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1"/>
        <w:spacing w:after="0"/>
        <w:rPr>
          <w:sz w:val="20"/>
          <w:szCs w:val="20"/>
          <w:color w:val="auto"/>
        </w:rPr>
      </w:pPr>
      <w:r>
        <w:rPr>
          <w:rFonts w:ascii="Arial" w:cs="Arial" w:eastAsia="Arial" w:hAnsi="Arial"/>
          <w:sz w:val="32"/>
          <w:szCs w:val="32"/>
          <w:b w:val="1"/>
          <w:bCs w:val="1"/>
          <w:color w:val="auto"/>
        </w:rPr>
        <w:t>UNITED STATES</w:t>
      </w:r>
    </w:p>
    <w:p>
      <w:pPr>
        <w:spacing w:after="0" w:line="54" w:lineRule="exact"/>
        <w:rPr>
          <w:sz w:val="24"/>
          <w:szCs w:val="24"/>
          <w:color w:val="auto"/>
        </w:rPr>
      </w:pPr>
    </w:p>
    <w:p>
      <w:pPr>
        <w:jc w:val="center"/>
        <w:ind w:right="-1041"/>
        <w:spacing w:after="0"/>
        <w:rPr>
          <w:sz w:val="20"/>
          <w:szCs w:val="20"/>
          <w:color w:val="auto"/>
        </w:rPr>
      </w:pPr>
      <w:r>
        <w:rPr>
          <w:rFonts w:ascii="Arial" w:cs="Arial" w:eastAsia="Arial" w:hAnsi="Arial"/>
          <w:sz w:val="32"/>
          <w:szCs w:val="32"/>
          <w:b w:val="1"/>
          <w:bCs w:val="1"/>
          <w:color w:val="auto"/>
        </w:rPr>
        <w:t>SECURITIES AND EXCHANGE COMMISSION</w:t>
      </w:r>
    </w:p>
    <w:p>
      <w:pPr>
        <w:spacing w:after="0" w:line="18" w:lineRule="exact"/>
        <w:rPr>
          <w:sz w:val="24"/>
          <w:szCs w:val="24"/>
          <w:color w:val="auto"/>
        </w:rPr>
      </w:pPr>
    </w:p>
    <w:p>
      <w:pPr>
        <w:jc w:val="center"/>
        <w:ind w:right="-1041"/>
        <w:spacing w:after="0"/>
        <w:rPr>
          <w:sz w:val="20"/>
          <w:szCs w:val="20"/>
          <w:color w:val="auto"/>
        </w:rPr>
      </w:pPr>
      <w:r>
        <w:rPr>
          <w:rFonts w:ascii="Arial" w:cs="Arial" w:eastAsia="Arial" w:hAnsi="Arial"/>
          <w:sz w:val="18"/>
          <w:szCs w:val="18"/>
          <w:b w:val="1"/>
          <w:bCs w:val="1"/>
          <w:color w:val="auto"/>
        </w:rPr>
        <w:t>Washington, D.C. 20549</w:t>
      </w:r>
    </w:p>
    <w:p>
      <w:pPr>
        <w:spacing w:after="0" w:line="114" w:lineRule="exact"/>
        <w:rPr>
          <w:sz w:val="24"/>
          <w:szCs w:val="24"/>
          <w:color w:val="auto"/>
        </w:rPr>
      </w:pPr>
    </w:p>
    <w:p>
      <w:pPr>
        <w:jc w:val="center"/>
        <w:ind w:right="-1041"/>
        <w:spacing w:after="0"/>
        <w:rPr>
          <w:sz w:val="20"/>
          <w:szCs w:val="20"/>
          <w:color w:val="auto"/>
        </w:rPr>
      </w:pPr>
      <w:r>
        <w:rPr>
          <w:rFonts w:ascii="Arial" w:cs="Arial" w:eastAsia="Arial" w:hAnsi="Arial"/>
          <w:sz w:val="43"/>
          <w:szCs w:val="43"/>
          <w:b w:val="1"/>
          <w:bCs w:val="1"/>
          <w:color w:val="auto"/>
        </w:rPr>
        <w:t>SCHEDULE 14A</w:t>
      </w:r>
    </w:p>
    <w:p>
      <w:pPr>
        <w:spacing w:after="0" w:line="176" w:lineRule="exact"/>
        <w:rPr>
          <w:sz w:val="24"/>
          <w:szCs w:val="24"/>
          <w:color w:val="auto"/>
        </w:rPr>
      </w:pPr>
    </w:p>
    <w:p>
      <w:pPr>
        <w:jc w:val="center"/>
        <w:ind w:right="-1041"/>
        <w:spacing w:after="0"/>
        <w:rPr>
          <w:sz w:val="20"/>
          <w:szCs w:val="20"/>
          <w:color w:val="auto"/>
        </w:rPr>
      </w:pPr>
      <w:r>
        <w:rPr>
          <w:rFonts w:ascii="Arial" w:cs="Arial" w:eastAsia="Arial" w:hAnsi="Arial"/>
          <w:sz w:val="18"/>
          <w:szCs w:val="18"/>
          <w:color w:val="auto"/>
        </w:rPr>
        <w:t>Proxy Statement Pursuant to Section 14(a) of</w:t>
      </w:r>
    </w:p>
    <w:p>
      <w:pPr>
        <w:spacing w:after="0" w:line="26" w:lineRule="exact"/>
        <w:rPr>
          <w:sz w:val="24"/>
          <w:szCs w:val="24"/>
          <w:color w:val="auto"/>
        </w:rPr>
      </w:pPr>
    </w:p>
    <w:p>
      <w:pPr>
        <w:jc w:val="center"/>
        <w:ind w:right="-1021"/>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3"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 w:lineRule="exact"/>
        <w:rPr>
          <w:sz w:val="24"/>
          <w:szCs w:val="24"/>
          <w:color w:val="auto"/>
        </w:rPr>
      </w:pPr>
    </w:p>
    <w:p>
      <w:pPr>
        <w:ind w:left="1"/>
        <w:spacing w:after="0"/>
        <w:rPr>
          <w:sz w:val="20"/>
          <w:szCs w:val="20"/>
          <w:color w:val="auto"/>
        </w:rPr>
      </w:pPr>
      <w:r>
        <w:rPr>
          <w:rFonts w:ascii="Arial" w:cs="Arial" w:eastAsia="Arial" w:hAnsi="Arial"/>
          <w:sz w:val="18"/>
          <w:szCs w:val="18"/>
          <w:color w:val="auto"/>
        </w:rPr>
        <w:t>Check the appropriate box:</w:t>
      </w:r>
    </w:p>
    <w:p>
      <w:pPr>
        <w:spacing w:after="0" w:line="13" w:lineRule="exact"/>
        <w:rPr>
          <w:sz w:val="24"/>
          <w:szCs w:val="24"/>
          <w:color w:val="auto"/>
        </w:rPr>
      </w:pPr>
    </w:p>
    <w:p>
      <w:pPr>
        <w:ind w:left="1061" w:hanging="1061"/>
        <w:spacing w:after="0"/>
        <w:tabs>
          <w:tab w:leader="none" w:pos="10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0" w:lineRule="exact"/>
        <w:rPr>
          <w:rFonts w:ascii="MS PGothic" w:cs="MS PGothic" w:eastAsia="MS PGothic" w:hAnsi="MS PGothic"/>
          <w:sz w:val="18"/>
          <w:szCs w:val="18"/>
          <w:color w:val="auto"/>
        </w:rPr>
      </w:pPr>
    </w:p>
    <w:p>
      <w:pPr>
        <w:ind w:left="1061" w:hanging="1061"/>
        <w:spacing w:after="0"/>
        <w:tabs>
          <w:tab w:leader="none" w:pos="10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 w:lineRule="exact"/>
        <w:rPr>
          <w:sz w:val="24"/>
          <w:szCs w:val="24"/>
          <w:color w:val="auto"/>
        </w:rPr>
      </w:pPr>
    </w:p>
    <w:p>
      <w:pPr>
        <w:ind w:left="1061" w:hanging="1061"/>
        <w:spacing w:after="0"/>
        <w:tabs>
          <w:tab w:leader="none" w:pos="10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 w:lineRule="exact"/>
        <w:rPr>
          <w:sz w:val="24"/>
          <w:szCs w:val="24"/>
          <w:color w:val="auto"/>
        </w:rPr>
      </w:pPr>
    </w:p>
    <w:p>
      <w:pPr>
        <w:ind w:left="1061" w:hanging="1061"/>
        <w:spacing w:after="0"/>
        <w:tabs>
          <w:tab w:leader="none" w:pos="106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 w:lineRule="exact"/>
        <w:rPr>
          <w:rFonts w:ascii="MS PGothic" w:cs="MS PGothic" w:eastAsia="MS PGothic" w:hAnsi="MS PGothic"/>
          <w:sz w:val="18"/>
          <w:szCs w:val="18"/>
          <w:color w:val="auto"/>
        </w:rPr>
      </w:pPr>
    </w:p>
    <w:p>
      <w:pPr>
        <w:ind w:left="1061" w:hanging="1061"/>
        <w:spacing w:after="0"/>
        <w:tabs>
          <w:tab w:leader="none" w:pos="106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65405</wp:posOffset>
            </wp:positionV>
            <wp:extent cx="1640205" cy="410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0205" cy="410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721"/>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64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43" w:lineRule="exact"/>
        <w:rPr>
          <w:sz w:val="24"/>
          <w:szCs w:val="24"/>
          <w:color w:val="auto"/>
        </w:rPr>
      </w:pPr>
    </w:p>
    <w:p>
      <w:pPr>
        <w:jc w:val="center"/>
        <w:ind w:right="-1041"/>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142240</wp:posOffset>
            </wp:positionV>
            <wp:extent cx="7064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12" w:lineRule="exact"/>
        <w:rPr>
          <w:sz w:val="24"/>
          <w:szCs w:val="24"/>
          <w:color w:val="auto"/>
        </w:rPr>
      </w:pPr>
    </w:p>
    <w:p>
      <w:pPr>
        <w:ind w:left="2701"/>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7" w:lineRule="exact"/>
        <w:rPr>
          <w:sz w:val="24"/>
          <w:szCs w:val="24"/>
          <w:color w:val="auto"/>
        </w:rPr>
      </w:pPr>
    </w:p>
    <w:p>
      <w:pPr>
        <w:ind w:left="1"/>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81" w:hanging="581"/>
        <w:spacing w:after="0"/>
        <w:tabs>
          <w:tab w:leader="none" w:pos="581"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6" w:lineRule="exact"/>
        <w:rPr>
          <w:sz w:val="24"/>
          <w:szCs w:val="24"/>
          <w:color w:val="auto"/>
        </w:rPr>
      </w:pPr>
    </w:p>
    <w:p>
      <w:pPr>
        <w:ind w:left="581" w:hanging="581"/>
        <w:spacing w:after="0"/>
        <w:tabs>
          <w:tab w:leader="none" w:pos="58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1" w:hanging="581"/>
        <w:spacing w:after="0"/>
        <w:tabs>
          <w:tab w:leader="none" w:pos="58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779145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060"/>
          </w:cols>
          <w:pgMar w:left="399" w:top="102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242570</wp:posOffset>
            </wp:positionV>
            <wp:extent cx="7158355" cy="9050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9050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242570</wp:posOffset>
            </wp:positionV>
            <wp:extent cx="7158355" cy="8973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8973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704215</wp:posOffset>
            </wp:positionV>
            <wp:extent cx="7158355" cy="857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8571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704215</wp:posOffset>
            </wp:positionV>
            <wp:extent cx="7158355" cy="857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8571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ind w:left="340" w:right="1040"/>
        <w:spacing w:after="0" w:line="365" w:lineRule="auto"/>
        <w:rPr>
          <w:sz w:val="20"/>
          <w:szCs w:val="20"/>
          <w:color w:val="auto"/>
        </w:rPr>
      </w:pPr>
      <w:r>
        <w:rPr>
          <w:rFonts w:ascii="Arial" w:cs="Arial" w:eastAsia="Arial" w:hAnsi="Arial"/>
          <w:sz w:val="36"/>
          <w:szCs w:val="36"/>
          <w:b w:val="1"/>
          <w:bCs w:val="1"/>
          <w:color w:val="auto"/>
        </w:rPr>
        <w:t>Notice of Fiscal 2024 Annual Meeting of Shareholders January 16, 2025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of Micron Technology, Inc.:</w:t>
      </w: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NOTICE IS HEREBY GIVEN that the Annual Meeting of Shareholders (the “Annual Meeting”) of Micron Technology, Inc., a Delaware corporation for the fiscal year ended August 29, 2024 (“Fiscal 2024”), will be held virtually on January 16, 2025, at 9:00 a.m., Pacific Standard Time, for the purposes listed below. As used herein, “we,” “our,” “us,” “Micron,” the “Company,” and similar terms refer to Micron Technology, Inc., unless the context indicates otherwise.</w:t>
      </w:r>
    </w:p>
    <w:p>
      <w:pPr>
        <w:spacing w:after="0" w:line="231" w:lineRule="exact"/>
        <w:rPr>
          <w:sz w:val="20"/>
          <w:szCs w:val="20"/>
          <w:color w:val="auto"/>
        </w:rPr>
      </w:pPr>
    </w:p>
    <w:p>
      <w:pPr>
        <w:ind w:left="1380" w:right="1000" w:hanging="447"/>
        <w:spacing w:after="0" w:line="182" w:lineRule="auto"/>
        <w:tabs>
          <w:tab w:leader="none" w:pos="1380" w:val="left"/>
        </w:tabs>
        <w:numPr>
          <w:ilvl w:val="0"/>
          <w:numId w:val="6"/>
        </w:numPr>
        <w:rPr>
          <w:rFonts w:ascii="Arial" w:cs="Arial" w:eastAsia="Arial" w:hAnsi="Arial"/>
          <w:sz w:val="29"/>
          <w:szCs w:val="29"/>
          <w:b w:val="1"/>
          <w:bCs w:val="1"/>
          <w:color w:val="BD03F7"/>
          <w:vertAlign w:val="subscript"/>
        </w:rPr>
      </w:pPr>
      <w:r>
        <w:rPr>
          <w:rFonts w:ascii="Arial" w:cs="Arial" w:eastAsia="Arial" w:hAnsi="Arial"/>
          <w:sz w:val="14"/>
          <w:szCs w:val="14"/>
          <w:color w:val="auto"/>
        </w:rPr>
        <w:t>To elect eight (8) directors to our Board of Directors (the “Board”) to serve for the ensuing year and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-236855</wp:posOffset>
            </wp:positionV>
            <wp:extent cx="6381115" cy="913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1115" cy="913765"/>
                    </a:xfrm>
                    <a:prstGeom prst="rect">
                      <a:avLst/>
                    </a:prstGeom>
                    <a:noFill/>
                  </pic:spPr>
                </pic:pic>
              </a:graphicData>
            </a:graphic>
          </wp:anchor>
        </w:drawing>
      </w:r>
    </w:p>
    <w:p>
      <w:pPr>
        <w:ind w:left="1380" w:hanging="447"/>
        <w:spacing w:after="0"/>
        <w:tabs>
          <w:tab w:leader="none" w:pos="1380" w:val="left"/>
        </w:tabs>
        <w:numPr>
          <w:ilvl w:val="0"/>
          <w:numId w:val="7"/>
        </w:numPr>
        <w:rPr>
          <w:rFonts w:ascii="Arial" w:cs="Arial" w:eastAsia="Arial" w:hAnsi="Arial"/>
          <w:sz w:val="18"/>
          <w:szCs w:val="18"/>
          <w:b w:val="1"/>
          <w:bCs w:val="1"/>
          <w:color w:val="BD03F7"/>
        </w:rPr>
      </w:pPr>
      <w:r>
        <w:rPr>
          <w:rFonts w:ascii="Arial" w:cs="Arial" w:eastAsia="Arial" w:hAnsi="Arial"/>
          <w:sz w:val="16"/>
          <w:szCs w:val="16"/>
          <w:color w:val="auto"/>
        </w:rPr>
        <w:t>To approve, on a non-binding basis, the compensation of our named executive officers;</w:t>
      </w:r>
    </w:p>
    <w:p>
      <w:pPr>
        <w:spacing w:after="0" w:line="21" w:lineRule="exact"/>
        <w:rPr>
          <w:rFonts w:ascii="Arial" w:cs="Arial" w:eastAsia="Arial" w:hAnsi="Arial"/>
          <w:sz w:val="18"/>
          <w:szCs w:val="18"/>
          <w:b w:val="1"/>
          <w:bCs w:val="1"/>
          <w:color w:val="BD03F7"/>
        </w:rPr>
      </w:pPr>
    </w:p>
    <w:p>
      <w:pPr>
        <w:ind w:left="940"/>
        <w:spacing w:after="0"/>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3    </w:t>
      </w:r>
      <w:r>
        <w:rPr>
          <w:rFonts w:ascii="Arial" w:cs="Arial" w:eastAsia="Arial" w:hAnsi="Arial"/>
          <w:sz w:val="16"/>
          <w:szCs w:val="16"/>
          <w:color w:val="000000"/>
        </w:rPr>
        <w:t>To approve the 2025 Equity Incentive Plan;</w:t>
      </w:r>
    </w:p>
    <w:p>
      <w:pPr>
        <w:spacing w:after="0" w:line="22" w:lineRule="exact"/>
        <w:rPr>
          <w:sz w:val="20"/>
          <w:szCs w:val="20"/>
          <w:color w:val="auto"/>
        </w:rPr>
      </w:pPr>
    </w:p>
    <w:p>
      <w:pPr>
        <w:ind w:left="1380" w:right="660" w:hanging="447"/>
        <w:spacing w:after="0" w:line="180" w:lineRule="auto"/>
        <w:tabs>
          <w:tab w:leader="none" w:pos="1380" w:val="left"/>
        </w:tabs>
        <w:numPr>
          <w:ilvl w:val="0"/>
          <w:numId w:val="8"/>
        </w:numPr>
        <w:rPr>
          <w:rFonts w:ascii="Arial" w:cs="Arial" w:eastAsia="Arial" w:hAnsi="Arial"/>
          <w:sz w:val="28"/>
          <w:szCs w:val="28"/>
          <w:b w:val="1"/>
          <w:bCs w:val="1"/>
          <w:color w:val="BD03F7"/>
          <w:vertAlign w:val="subscript"/>
        </w:rPr>
      </w:pPr>
      <w:r>
        <w:rPr>
          <w:rFonts w:ascii="Arial" w:cs="Arial" w:eastAsia="Arial" w:hAnsi="Arial"/>
          <w:sz w:val="14"/>
          <w:szCs w:val="14"/>
          <w:color w:val="auto"/>
        </w:rPr>
        <w:t>To ratify the appointment of PricewaterhouseCoopers LLP as our independent registered public accounting firm for the fiscal year ending August 28, 2025 (“Fiscal 2025”); and</w:t>
      </w:r>
    </w:p>
    <w:p>
      <w:pPr>
        <w:spacing w:after="0" w:line="15" w:lineRule="exact"/>
        <w:rPr>
          <w:sz w:val="20"/>
          <w:szCs w:val="20"/>
          <w:color w:val="auto"/>
        </w:rPr>
      </w:pPr>
    </w:p>
    <w:p>
      <w:pPr>
        <w:ind w:left="1380" w:hanging="447"/>
        <w:spacing w:after="0"/>
        <w:tabs>
          <w:tab w:leader="none" w:pos="1380" w:val="left"/>
        </w:tabs>
        <w:numPr>
          <w:ilvl w:val="0"/>
          <w:numId w:val="9"/>
        </w:numPr>
        <w:rPr>
          <w:rFonts w:ascii="Arial" w:cs="Arial" w:eastAsia="Arial" w:hAnsi="Arial"/>
          <w:sz w:val="18"/>
          <w:szCs w:val="18"/>
          <w:b w:val="1"/>
          <w:bCs w:val="1"/>
          <w:color w:val="BD03F7"/>
        </w:rPr>
      </w:pPr>
      <w:r>
        <w:rPr>
          <w:rFonts w:ascii="Arial" w:cs="Arial" w:eastAsia="Arial" w:hAnsi="Arial"/>
          <w:sz w:val="16"/>
          <w:szCs w:val="16"/>
          <w:color w:val="auto"/>
        </w:rPr>
        <w:t>To transact such other business as may properly come before the Annual Meeting or any adjournment thereof.</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Shareholders of record at the close of business on November 18, 2024 are entitled to receive notice of and to vote at the meeting and any postponements or adjournments of the meeting. A complete list of shareholders entitled to vote at the meeting will be available for inspection by any shareholder, for any purpose related to the meeting, for ten days prior to the meeting at our principal business offices during ordinary business hours. Please contact our Corporate Secretary at corporatesecretary@micron.com to schedule an appointment to review the list.</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Securities and Exchange Commission (“SEC”) permits proxy materials to be furnished over the Internet rather than in paper form. Accordingly, unless otherwise requested, we are sending our shareholders a notice (the “Notice”) regarding the availability of this proxy statement (the “Proxy Statement”), our Annual Report on Form 10-K for Fiscal 2024, and other proxy materials (together, the “proxy materials”) via the Internet. This electronic process gives you fast, convenient access to the proxy materials, reduces the impact on the environment, and reduces our printing and mailing costs. If you received the Notice by mail, you will not receive a printed copy of the proxy materials in the mail. The Notice instructs you on how to access and review the proxy materials. The Notice also instructs you on how you may submit your vote over the Internet. If you received a Notice by mail and would like to receive a copy of our proxy materials by electronic mail or mail, you should follow the instructions for requesting such proxy materials included in the Notice.</w:t>
      </w:r>
    </w:p>
    <w:p>
      <w:pPr>
        <w:spacing w:after="0" w:line="21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www.virtualshareholdermeeting.com/MU2024, where you will also be able to submit questions and vote online. You will not be able to attend the Annual Meeting at a physical location.</w:t>
      </w:r>
    </w:p>
    <w:p>
      <w:pPr>
        <w:spacing w:after="0" w:line="19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To ensure your representation at the meeting, you are urged to vote, whether or not you attend the Annual Meeting. You may vote by telephone or electronically via the Internet by following the instructions on the Notice. Alternatively, if you received a paper copy, you may sign, date, and return the proxy card in the postage-prepaid envelope enclosed for that purpose. Please refer to the instructions included with the proxy card for additional details. Shareholders attending the Annual Meeting may vote using the virtual meeting platform even if they have already submitted their proxy, and any previous votes that were submitted by the shareholder, whether by Internet, telephone, or mail, will be superseded by the vote that such shareholder casts at the Annual Meeting.</w:t>
      </w:r>
    </w:p>
    <w:p>
      <w:pPr>
        <w:spacing w:after="0" w:line="6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began distributing a Notice of Internet Availability of proxy materials, the Proxy Statement, the Annual Report on Form 10-K for Fiscal 2024, and proxy card, as applicable, to shareholders on November 26, 2024.</w:t>
      </w:r>
    </w:p>
    <w:p>
      <w:pPr>
        <w:sectPr>
          <w:pgSz w:w="11900" w:h="16838" w:orient="portrait"/>
          <w:cols w:equalWidth="0" w:num="1">
            <w:col w:w="11240"/>
          </w:cols>
          <w:pgMar w:left="320" w:top="922" w:right="339" w:bottom="1440" w:gutter="0" w:footer="0" w:header="0"/>
        </w:sect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Boise, Idaho</w:t>
      </w:r>
    </w:p>
    <w:p>
      <w:pPr>
        <w:ind w:left="240"/>
        <w:spacing w:after="0"/>
        <w:rPr>
          <w:sz w:val="20"/>
          <w:szCs w:val="20"/>
          <w:color w:val="auto"/>
        </w:rPr>
      </w:pPr>
      <w:r>
        <w:rPr>
          <w:rFonts w:ascii="Arial" w:cs="Arial" w:eastAsia="Arial" w:hAnsi="Arial"/>
          <w:sz w:val="17"/>
          <w:szCs w:val="17"/>
          <w:b w:val="1"/>
          <w:bCs w:val="1"/>
          <w:color w:val="auto"/>
        </w:rPr>
        <w:t>November 26, 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Ray</w:t>
      </w:r>
    </w:p>
    <w:p>
      <w:pPr>
        <w:spacing w:after="0"/>
        <w:rPr>
          <w:sz w:val="20"/>
          <w:szCs w:val="20"/>
          <w:color w:val="auto"/>
        </w:rPr>
      </w:pPr>
      <w:r>
        <w:rPr>
          <w:rFonts w:ascii="Arial" w:cs="Arial" w:eastAsia="Arial" w:hAnsi="Arial"/>
          <w:sz w:val="17"/>
          <w:szCs w:val="17"/>
          <w:color w:val="auto"/>
        </w:rPr>
        <w:t>Senior Vice President, Chief Legal Officer and Corporate Secretary</w:t>
      </w:r>
    </w:p>
    <w:p>
      <w:pPr>
        <w:spacing w:after="0" w:line="200" w:lineRule="exact"/>
        <w:rPr>
          <w:sz w:val="20"/>
          <w:szCs w:val="20"/>
          <w:color w:val="auto"/>
        </w:rPr>
      </w:pPr>
    </w:p>
    <w:p>
      <w:pPr>
        <w:sectPr>
          <w:pgSz w:w="11900" w:h="16838" w:orient="portrait"/>
          <w:cols w:equalWidth="0" w:num="2">
            <w:col w:w="3840" w:space="720"/>
            <w:col w:w="6680"/>
          </w:cols>
          <w:pgMar w:left="320" w:top="922" w:right="339" w:bottom="1440" w:gutter="0" w:footer="0" w:header="0"/>
          <w:type w:val="continuous"/>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6266180</wp:posOffset>
            </wp:positionH>
            <wp:positionV relativeFrom="paragraph">
              <wp:posOffset>306705</wp:posOffset>
            </wp:positionV>
            <wp:extent cx="77724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 cy="16256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6"/>
          <w:szCs w:val="36"/>
          <w:b w:val="1"/>
          <w:bCs w:val="1"/>
          <w:color w:val="auto"/>
        </w:rPr>
        <w:t>PROXY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030085" cy="384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0085" cy="38417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BD03F7"/>
        </w:rPr>
        <w:t>Proposal</w:t>
      </w:r>
    </w:p>
    <w:p>
      <w:pPr>
        <w:spacing w:after="0" w:line="45" w:lineRule="exact"/>
        <w:rPr>
          <w:sz w:val="20"/>
          <w:szCs w:val="20"/>
          <w:color w:val="auto"/>
        </w:rPr>
      </w:pPr>
    </w:p>
    <w:p>
      <w:pPr>
        <w:ind w:left="1660" w:hanging="912"/>
        <w:spacing w:after="0"/>
        <w:tabs>
          <w:tab w:leader="none" w:pos="1660" w:val="left"/>
        </w:tabs>
        <w:numPr>
          <w:ilvl w:val="0"/>
          <w:numId w:val="10"/>
        </w:numPr>
        <w:rPr>
          <w:rFonts w:ascii="Arial" w:cs="Arial" w:eastAsia="Arial" w:hAnsi="Arial"/>
          <w:sz w:val="28"/>
          <w:szCs w:val="28"/>
          <w:b w:val="1"/>
          <w:bCs w:val="1"/>
          <w:color w:val="BD03F7"/>
        </w:rPr>
      </w:pPr>
      <w:r>
        <w:rPr>
          <w:rFonts w:ascii="Arial" w:cs="Arial" w:eastAsia="Arial" w:hAnsi="Arial"/>
          <w:sz w:val="21"/>
          <w:szCs w:val="21"/>
          <w:b w:val="1"/>
          <w:bCs w:val="1"/>
          <w:color w:val="BD03F7"/>
        </w:rPr>
        <w:t>To elect eight (8) directors to our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The Board recommends that you</w:t>
      </w:r>
    </w:p>
    <w:p>
      <w:pPr>
        <w:spacing w:after="0" w:line="59" w:lineRule="exact"/>
        <w:rPr>
          <w:sz w:val="20"/>
          <w:szCs w:val="20"/>
          <w:color w:val="auto"/>
        </w:rPr>
      </w:pPr>
    </w:p>
    <w:p>
      <w:pPr>
        <w:ind w:left="480" w:right="640" w:hanging="475"/>
        <w:spacing w:after="0" w:line="199" w:lineRule="auto"/>
        <w:tabs>
          <w:tab w:leader="none" w:pos="480" w:val="left"/>
        </w:tabs>
        <w:numPr>
          <w:ilvl w:val="0"/>
          <w:numId w:val="11"/>
        </w:numPr>
        <w:rPr>
          <w:rFonts w:ascii="MS PGothic" w:cs="MS PGothic" w:eastAsia="MS PGothic" w:hAnsi="MS PGothic"/>
          <w:sz w:val="29"/>
          <w:szCs w:val="29"/>
          <w:color w:val="BD03F7"/>
        </w:rPr>
      </w:pPr>
      <w:r>
        <w:rPr>
          <w:rFonts w:ascii="Arial" w:cs="Arial" w:eastAsia="Arial" w:hAnsi="Arial"/>
          <w:sz w:val="18"/>
          <w:szCs w:val="18"/>
          <w:color w:val="auto"/>
        </w:rPr>
        <w:t xml:space="preserve">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each director nominee.</w:t>
      </w:r>
    </w:p>
    <w:p>
      <w:pPr>
        <w:spacing w:after="0" w:line="223" w:lineRule="exact"/>
        <w:rPr>
          <w:sz w:val="20"/>
          <w:szCs w:val="20"/>
          <w:color w:val="auto"/>
        </w:rPr>
      </w:pPr>
    </w:p>
    <w:p>
      <w:pPr>
        <w:sectPr>
          <w:pgSz w:w="11900" w:h="16838" w:orient="portrait"/>
          <w:cols w:equalWidth="0" w:num="2">
            <w:col w:w="7240" w:space="720"/>
            <w:col w:w="3160"/>
          </w:cols>
          <w:pgMar w:left="320" w:top="1084" w:right="459" w:bottom="1440" w:gutter="0" w:footer="0" w:header="0"/>
        </w:sectPr>
      </w:pPr>
    </w:p>
    <w:p>
      <w:pPr>
        <w:spacing w:after="0" w:line="51" w:lineRule="exact"/>
        <w:rPr>
          <w:sz w:val="20"/>
          <w:szCs w:val="20"/>
          <w:color w:val="auto"/>
        </w:rPr>
      </w:pPr>
    </w:p>
    <w:p>
      <w:pPr>
        <w:ind w:left="20" w:right="220"/>
        <w:spacing w:after="0" w:line="234" w:lineRule="auto"/>
        <w:rPr>
          <w:sz w:val="20"/>
          <w:szCs w:val="20"/>
          <w:color w:val="auto"/>
        </w:rPr>
      </w:pPr>
      <w:r>
        <w:rPr>
          <w:rFonts w:ascii="Arial" w:cs="Arial" w:eastAsia="Arial" w:hAnsi="Arial"/>
          <w:sz w:val="17"/>
          <w:szCs w:val="17"/>
          <w:color w:val="auto"/>
        </w:rPr>
        <w:t>To elect eight (8) directors to serve for the ensuing year and until their successors are elected and qualified. Upon the recommendation of our Governance and Sustainability Committee, our Board has nominated eight (8) current directors for election to serve as directors. See</w:t>
      </w:r>
    </w:p>
    <w:p>
      <w:pPr>
        <w:ind w:left="20"/>
        <w:spacing w:after="0"/>
        <w:rPr>
          <w:sz w:val="20"/>
          <w:szCs w:val="20"/>
          <w:color w:val="auto"/>
        </w:rPr>
      </w:pPr>
      <w:r>
        <w:rPr>
          <w:rFonts w:ascii="Arial" w:cs="Arial" w:eastAsia="Arial" w:hAnsi="Arial"/>
          <w:sz w:val="18"/>
          <w:szCs w:val="18"/>
          <w:color w:val="auto"/>
        </w:rPr>
        <w:t>“Proposal 1—Election of Directors” on page 6.</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6D6D6D"/>
        </w:rPr>
        <w:t>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89535</wp:posOffset>
            </wp:positionV>
            <wp:extent cx="760095" cy="982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0095" cy="9823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Richard M. Beyer</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Mary Pat McCarthy</w:t>
            </w:r>
          </w:p>
        </w:tc>
      </w:tr>
      <w:tr>
        <w:trPr>
          <w:trHeight w:val="486"/>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Chairman and Chief Executive</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Vice Chair of KPMG LLP</w:t>
            </w:r>
          </w:p>
        </w:tc>
      </w:tr>
      <w:tr>
        <w:trPr>
          <w:trHeight w:val="183"/>
        </w:trPr>
        <w:tc>
          <w:tcPr>
            <w:tcW w:w="542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Officer of Freescale Semiconductor,</w:t>
            </w:r>
          </w:p>
        </w:tc>
        <w:tc>
          <w:tcPr>
            <w:tcW w:w="260" w:type="dxa"/>
            <w:vAlign w:val="bottom"/>
          </w:tcPr>
          <w:p>
            <w:pPr>
              <w:spacing w:after="0"/>
              <w:rPr>
                <w:sz w:val="15"/>
                <w:szCs w:val="15"/>
                <w:color w:val="auto"/>
              </w:rPr>
            </w:pPr>
          </w:p>
        </w:tc>
        <w:tc>
          <w:tcPr>
            <w:tcW w:w="5440" w:type="dxa"/>
            <w:vAlign w:val="bottom"/>
            <w:shd w:val="clear" w:color="auto" w:fill="F9F9F9"/>
          </w:tcPr>
          <w:p>
            <w:pPr>
              <w:spacing w:after="0"/>
              <w:rPr>
                <w:sz w:val="15"/>
                <w:szCs w:val="15"/>
                <w:color w:val="auto"/>
              </w:rPr>
            </w:pP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Inc.</w:t>
            </w:r>
          </w:p>
        </w:tc>
        <w:tc>
          <w:tcPr>
            <w:tcW w:w="260" w:type="dxa"/>
            <w:vAlign w:val="bottom"/>
          </w:tcPr>
          <w:p>
            <w:pPr>
              <w:spacing w:after="0"/>
              <w:rPr>
                <w:sz w:val="20"/>
                <w:szCs w:val="20"/>
                <w:color w:val="auto"/>
              </w:rPr>
            </w:pPr>
          </w:p>
        </w:tc>
        <w:tc>
          <w:tcPr>
            <w:tcW w:w="5440" w:type="dxa"/>
            <w:vAlign w:val="bottom"/>
            <w:shd w:val="clear" w:color="auto" w:fill="F9F9F9"/>
          </w:tcPr>
          <w:p>
            <w:pPr>
              <w:spacing w:after="0"/>
              <w:rPr>
                <w:sz w:val="20"/>
                <w:szCs w:val="20"/>
                <w:color w:val="auto"/>
              </w:rPr>
            </w:pPr>
          </w:p>
        </w:tc>
      </w:tr>
      <w:tr>
        <w:trPr>
          <w:trHeight w:val="399"/>
        </w:trPr>
        <w:tc>
          <w:tcPr>
            <w:tcW w:w="5420" w:type="dxa"/>
            <w:vAlign w:val="bottom"/>
            <w:shd w:val="clear" w:color="auto" w:fill="F9F9F9"/>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shd w:val="clear" w:color="auto" w:fill="F9F9F9"/>
          </w:tcPr>
          <w:p>
            <w:pPr>
              <w:spacing w:after="0"/>
              <w:rPr>
                <w:sz w:val="24"/>
                <w:szCs w:val="24"/>
                <w:color w:val="auto"/>
              </w:rPr>
            </w:pPr>
          </w:p>
        </w:tc>
      </w:tr>
      <w:tr>
        <w:trPr>
          <w:trHeight w:val="94"/>
        </w:trPr>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40" w:type="dxa"/>
            <w:vAlign w:val="bottom"/>
          </w:tcPr>
          <w:p>
            <w:pPr>
              <w:spacing w:after="0"/>
              <w:rPr>
                <w:sz w:val="8"/>
                <w:szCs w:val="8"/>
                <w:color w:val="auto"/>
              </w:rPr>
            </w:pPr>
          </w:p>
        </w:tc>
      </w:tr>
      <w:tr>
        <w:trPr>
          <w:trHeight w:val="37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Lynn A. Dugle</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Sanjay Mehrotra</w:t>
            </w:r>
          </w:p>
        </w:tc>
      </w:tr>
      <w:tr>
        <w:trPr>
          <w:trHeight w:val="526"/>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Chairman, Chief Executive</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Micron’s President and Chief Executive</w:t>
            </w:r>
          </w:p>
        </w:tc>
      </w:tr>
      <w:tr>
        <w:trPr>
          <w:trHeight w:val="183"/>
        </w:trPr>
        <w:tc>
          <w:tcPr>
            <w:tcW w:w="542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Officer, and President of Engility</w:t>
            </w:r>
          </w:p>
        </w:tc>
        <w:tc>
          <w:tcPr>
            <w:tcW w:w="260" w:type="dxa"/>
            <w:vAlign w:val="bottom"/>
          </w:tcPr>
          <w:p>
            <w:pPr>
              <w:spacing w:after="0"/>
              <w:rPr>
                <w:sz w:val="15"/>
                <w:szCs w:val="15"/>
                <w:color w:val="auto"/>
              </w:rPr>
            </w:pPr>
          </w:p>
        </w:tc>
        <w:tc>
          <w:tcPr>
            <w:tcW w:w="544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Officer</w:t>
            </w: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Holdings Inc.</w:t>
            </w:r>
          </w:p>
        </w:tc>
        <w:tc>
          <w:tcPr>
            <w:tcW w:w="260" w:type="dxa"/>
            <w:vAlign w:val="bottom"/>
          </w:tcPr>
          <w:p>
            <w:pPr>
              <w:spacing w:after="0"/>
              <w:rPr>
                <w:sz w:val="20"/>
                <w:szCs w:val="20"/>
                <w:color w:val="auto"/>
              </w:rPr>
            </w:pPr>
          </w:p>
        </w:tc>
        <w:tc>
          <w:tcPr>
            <w:tcW w:w="5440" w:type="dxa"/>
            <w:vAlign w:val="bottom"/>
            <w:shd w:val="clear" w:color="auto" w:fill="F9F9F9"/>
          </w:tcPr>
          <w:p>
            <w:pPr>
              <w:spacing w:after="0"/>
              <w:rPr>
                <w:sz w:val="20"/>
                <w:szCs w:val="20"/>
                <w:color w:val="auto"/>
              </w:rPr>
            </w:pPr>
          </w:p>
        </w:tc>
      </w:tr>
      <w:tr>
        <w:trPr>
          <w:trHeight w:val="386"/>
        </w:trPr>
        <w:tc>
          <w:tcPr>
            <w:tcW w:w="5420" w:type="dxa"/>
            <w:vAlign w:val="bottom"/>
            <w:shd w:val="clear" w:color="auto" w:fill="F9F9F9"/>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shd w:val="clear" w:color="auto" w:fill="F9F9F9"/>
          </w:tcPr>
          <w:p>
            <w:pPr>
              <w:spacing w:after="0"/>
              <w:rPr>
                <w:sz w:val="24"/>
                <w:szCs w:val="24"/>
                <w:color w:val="auto"/>
              </w:rPr>
            </w:pPr>
          </w:p>
        </w:tc>
      </w:tr>
      <w:tr>
        <w:trPr>
          <w:trHeight w:val="94"/>
        </w:trPr>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40" w:type="dxa"/>
            <w:vAlign w:val="bottom"/>
          </w:tcPr>
          <w:p>
            <w:pPr>
              <w:spacing w:after="0"/>
              <w:rPr>
                <w:sz w:val="8"/>
                <w:szCs w:val="8"/>
                <w:color w:val="auto"/>
              </w:rPr>
            </w:pPr>
          </w:p>
        </w:tc>
      </w:tr>
      <w:tr>
        <w:trPr>
          <w:trHeight w:val="29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Steven J. Gomo</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Robert Swan</w:t>
            </w:r>
          </w:p>
        </w:tc>
      </w:tr>
      <w:tr>
        <w:trPr>
          <w:trHeight w:val="459"/>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Executive Vice President,</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Operating Partner at Andreessen</w:t>
            </w:r>
          </w:p>
        </w:tc>
      </w:tr>
      <w:tr>
        <w:trPr>
          <w:trHeight w:val="183"/>
        </w:trPr>
        <w:tc>
          <w:tcPr>
            <w:tcW w:w="542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Finance and Chief Financial Officer of</w:t>
            </w:r>
          </w:p>
        </w:tc>
        <w:tc>
          <w:tcPr>
            <w:tcW w:w="260" w:type="dxa"/>
            <w:vAlign w:val="bottom"/>
          </w:tcPr>
          <w:p>
            <w:pPr>
              <w:spacing w:after="0"/>
              <w:rPr>
                <w:sz w:val="15"/>
                <w:szCs w:val="15"/>
                <w:color w:val="auto"/>
              </w:rPr>
            </w:pPr>
          </w:p>
        </w:tc>
        <w:tc>
          <w:tcPr>
            <w:tcW w:w="544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Horowitz; Former Chief Executive</w:t>
            </w:r>
          </w:p>
        </w:tc>
      </w:tr>
      <w:tr>
        <w:trPr>
          <w:trHeight w:val="180"/>
        </w:trPr>
        <w:tc>
          <w:tcPr>
            <w:tcW w:w="5420" w:type="dxa"/>
            <w:vAlign w:val="bottom"/>
            <w:shd w:val="clear" w:color="auto" w:fill="F9F9F9"/>
          </w:tcPr>
          <w:p>
            <w:pPr>
              <w:ind w:left="2220"/>
              <w:spacing w:after="0" w:line="181" w:lineRule="exact"/>
              <w:rPr>
                <w:sz w:val="20"/>
                <w:szCs w:val="20"/>
                <w:color w:val="auto"/>
              </w:rPr>
            </w:pPr>
            <w:r>
              <w:rPr>
                <w:rFonts w:ascii="Arial" w:cs="Arial" w:eastAsia="Arial" w:hAnsi="Arial"/>
                <w:sz w:val="18"/>
                <w:szCs w:val="18"/>
                <w:color w:val="6D6D6D"/>
              </w:rPr>
              <w:t>NetApp, Inc.</w:t>
            </w:r>
          </w:p>
        </w:tc>
        <w:tc>
          <w:tcPr>
            <w:tcW w:w="260" w:type="dxa"/>
            <w:vAlign w:val="bottom"/>
          </w:tcPr>
          <w:p>
            <w:pPr>
              <w:spacing w:after="0"/>
              <w:rPr>
                <w:sz w:val="15"/>
                <w:szCs w:val="15"/>
                <w:color w:val="auto"/>
              </w:rPr>
            </w:pPr>
          </w:p>
        </w:tc>
        <w:tc>
          <w:tcPr>
            <w:tcW w:w="5440" w:type="dxa"/>
            <w:vAlign w:val="bottom"/>
            <w:shd w:val="clear" w:color="auto" w:fill="F9F9F9"/>
          </w:tcPr>
          <w:p>
            <w:pPr>
              <w:ind w:left="2220"/>
              <w:spacing w:after="0" w:line="181" w:lineRule="exact"/>
              <w:rPr>
                <w:sz w:val="20"/>
                <w:szCs w:val="20"/>
                <w:color w:val="auto"/>
              </w:rPr>
            </w:pPr>
            <w:r>
              <w:rPr>
                <w:rFonts w:ascii="Arial" w:cs="Arial" w:eastAsia="Arial" w:hAnsi="Arial"/>
                <w:sz w:val="18"/>
                <w:szCs w:val="18"/>
                <w:color w:val="6D6D6D"/>
              </w:rPr>
              <w:t>Officer and Chief Financial Officer of</w:t>
            </w:r>
          </w:p>
        </w:tc>
      </w:tr>
      <w:tr>
        <w:trPr>
          <w:trHeight w:val="238"/>
        </w:trPr>
        <w:tc>
          <w:tcPr>
            <w:tcW w:w="5420" w:type="dxa"/>
            <w:vAlign w:val="bottom"/>
            <w:shd w:val="clear" w:color="auto" w:fill="F9F9F9"/>
          </w:tcPr>
          <w:p>
            <w:pPr>
              <w:spacing w:after="0"/>
              <w:rPr>
                <w:sz w:val="20"/>
                <w:szCs w:val="20"/>
                <w:color w:val="auto"/>
              </w:rPr>
            </w:pPr>
          </w:p>
        </w:tc>
        <w:tc>
          <w:tcPr>
            <w:tcW w:w="260" w:type="dxa"/>
            <w:vAlign w:val="bottom"/>
          </w:tcPr>
          <w:p>
            <w:pPr>
              <w:spacing w:after="0"/>
              <w:rPr>
                <w:sz w:val="20"/>
                <w:szCs w:val="20"/>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Intel Corporation</w:t>
            </w:r>
          </w:p>
        </w:tc>
      </w:tr>
      <w:tr>
        <w:trPr>
          <w:trHeight w:val="394"/>
        </w:trPr>
        <w:tc>
          <w:tcPr>
            <w:tcW w:w="5420" w:type="dxa"/>
            <w:vAlign w:val="bottom"/>
            <w:shd w:val="clear" w:color="auto" w:fill="F9F9F9"/>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shd w:val="clear" w:color="auto" w:fill="F9F9F9"/>
          </w:tcPr>
          <w:p>
            <w:pPr>
              <w:spacing w:after="0"/>
              <w:rPr>
                <w:sz w:val="24"/>
                <w:szCs w:val="24"/>
                <w:color w:val="auto"/>
              </w:rPr>
            </w:pPr>
          </w:p>
        </w:tc>
      </w:tr>
      <w:tr>
        <w:trPr>
          <w:trHeight w:val="94"/>
        </w:trPr>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40" w:type="dxa"/>
            <w:vAlign w:val="bottom"/>
          </w:tcPr>
          <w:p>
            <w:pPr>
              <w:spacing w:after="0"/>
              <w:rPr>
                <w:sz w:val="8"/>
                <w:szCs w:val="8"/>
                <w:color w:val="auto"/>
              </w:rPr>
            </w:pPr>
          </w:p>
        </w:tc>
      </w:tr>
      <w:tr>
        <w:trPr>
          <w:trHeight w:val="29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Linnie M. Haynesworth</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MaryAnn Wright</w:t>
            </w:r>
          </w:p>
        </w:tc>
      </w:tr>
      <w:tr>
        <w:trPr>
          <w:trHeight w:val="459"/>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Sector Vice President, Cyber</w:t>
            </w:r>
          </w:p>
        </w:tc>
        <w:tc>
          <w:tcPr>
            <w:tcW w:w="260" w:type="dxa"/>
            <w:vAlign w:val="bottom"/>
          </w:tcPr>
          <w:p>
            <w:pPr>
              <w:spacing w:after="0"/>
              <w:rPr>
                <w:sz w:val="24"/>
                <w:szCs w:val="24"/>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Former Group Vice President of</w:t>
            </w:r>
          </w:p>
        </w:tc>
      </w:tr>
      <w:tr>
        <w:trPr>
          <w:trHeight w:val="183"/>
        </w:trPr>
        <w:tc>
          <w:tcPr>
            <w:tcW w:w="542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and Intelligence of Mission Solutions</w:t>
            </w:r>
          </w:p>
        </w:tc>
        <w:tc>
          <w:tcPr>
            <w:tcW w:w="260" w:type="dxa"/>
            <w:vAlign w:val="bottom"/>
          </w:tcPr>
          <w:p>
            <w:pPr>
              <w:spacing w:after="0"/>
              <w:rPr>
                <w:sz w:val="15"/>
                <w:szCs w:val="15"/>
                <w:color w:val="auto"/>
              </w:rPr>
            </w:pPr>
          </w:p>
        </w:tc>
        <w:tc>
          <w:tcPr>
            <w:tcW w:w="5440" w:type="dxa"/>
            <w:vAlign w:val="bottom"/>
            <w:shd w:val="clear" w:color="auto" w:fill="F9F9F9"/>
          </w:tcPr>
          <w:p>
            <w:pPr>
              <w:ind w:left="2220"/>
              <w:spacing w:after="0" w:line="183" w:lineRule="exact"/>
              <w:rPr>
                <w:sz w:val="20"/>
                <w:szCs w:val="20"/>
                <w:color w:val="auto"/>
              </w:rPr>
            </w:pPr>
            <w:r>
              <w:rPr>
                <w:rFonts w:ascii="Arial" w:cs="Arial" w:eastAsia="Arial" w:hAnsi="Arial"/>
                <w:sz w:val="18"/>
                <w:szCs w:val="18"/>
                <w:color w:val="6D6D6D"/>
              </w:rPr>
              <w:t>Engineering and Product Development</w:t>
            </w: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Division at Northrop Grumman</w:t>
            </w:r>
          </w:p>
        </w:tc>
        <w:tc>
          <w:tcPr>
            <w:tcW w:w="260" w:type="dxa"/>
            <w:vAlign w:val="bottom"/>
          </w:tcPr>
          <w:p>
            <w:pPr>
              <w:spacing w:after="0"/>
              <w:rPr>
                <w:sz w:val="20"/>
                <w:szCs w:val="20"/>
                <w:color w:val="auto"/>
              </w:rPr>
            </w:pPr>
          </w:p>
        </w:tc>
        <w:tc>
          <w:tcPr>
            <w:tcW w:w="5440" w:type="dxa"/>
            <w:vAlign w:val="bottom"/>
            <w:shd w:val="clear" w:color="auto" w:fill="F9F9F9"/>
          </w:tcPr>
          <w:p>
            <w:pPr>
              <w:ind w:left="2220"/>
              <w:spacing w:after="0"/>
              <w:rPr>
                <w:sz w:val="20"/>
                <w:szCs w:val="20"/>
                <w:color w:val="auto"/>
              </w:rPr>
            </w:pPr>
            <w:r>
              <w:rPr>
                <w:rFonts w:ascii="Arial" w:cs="Arial" w:eastAsia="Arial" w:hAnsi="Arial"/>
                <w:sz w:val="18"/>
                <w:szCs w:val="18"/>
                <w:color w:val="6D6D6D"/>
              </w:rPr>
              <w:t>of Johnson Controls International</w:t>
            </w:r>
          </w:p>
        </w:tc>
      </w:tr>
      <w:tr>
        <w:trPr>
          <w:trHeight w:val="574"/>
        </w:trPr>
        <w:tc>
          <w:tcPr>
            <w:tcW w:w="5420" w:type="dxa"/>
            <w:vAlign w:val="bottom"/>
            <w:shd w:val="clear" w:color="auto" w:fill="F9F9F9"/>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shd w:val="clear" w:color="auto" w:fill="F9F9F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-4526915</wp:posOffset>
            </wp:positionV>
            <wp:extent cx="4373880"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73880" cy="446786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-4526915</wp:posOffset>
            </wp:positionV>
            <wp:extent cx="4373880" cy="4467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73880"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type w:val="continuous"/>
        </w:sectPr>
      </w:pPr>
    </w:p>
    <w:bookmarkStart w:id="7" w:name="page8"/>
    <w:bookmarkEnd w:id="7"/>
    <w:tbl>
      <w:tblPr>
        <w:tblLayout w:type="fixed"/>
        <w:tblInd w:w="90" w:type="dxa"/>
        <w:tblCellMar>
          <w:top w:w="0" w:type="dxa"/>
          <w:left w:w="0" w:type="dxa"/>
          <w:bottom w:w="0" w:type="dxa"/>
          <w:right w:w="0" w:type="dxa"/>
        </w:tblCellMar>
      </w:tblPr>
      <w:tr>
        <w:trPr>
          <w:trHeight w:val="256"/>
        </w:trPr>
        <w:tc>
          <w:tcPr>
            <w:tcW w:w="1660" w:type="dxa"/>
            <w:vAlign w:val="bottom"/>
            <w:tcBorders>
              <w:top w:val="single" w:sz="8" w:color="BD03F7"/>
              <w:left w:val="single" w:sz="8" w:color="BD03F7"/>
              <w:right w:val="single" w:sz="8" w:color="BD03F7"/>
            </w:tcBorders>
          </w:tcPr>
          <w:p>
            <w:pPr>
              <w:jc w:val="center"/>
              <w:spacing w:after="0"/>
              <w:rPr>
                <w:sz w:val="20"/>
                <w:szCs w:val="20"/>
                <w:color w:val="auto"/>
              </w:rPr>
            </w:pPr>
            <w:r>
              <w:rPr>
                <w:rFonts w:ascii="Arial" w:cs="Arial" w:eastAsia="Arial" w:hAnsi="Arial"/>
                <w:sz w:val="18"/>
                <w:szCs w:val="18"/>
                <w:b w:val="1"/>
                <w:bCs w:val="1"/>
                <w:color w:val="BD03F7"/>
              </w:rPr>
              <w:t>Proposal</w:t>
            </w:r>
          </w:p>
        </w:tc>
        <w:tc>
          <w:tcPr>
            <w:tcW w:w="5860" w:type="dxa"/>
            <w:vAlign w:val="bottom"/>
          </w:tcPr>
          <w:p>
            <w:pPr>
              <w:spacing w:after="0"/>
              <w:rPr>
                <w:sz w:val="20"/>
                <w:szCs w:val="20"/>
                <w:color w:val="auto"/>
              </w:rPr>
            </w:pPr>
            <w:r>
              <w:rPr>
                <w:rFonts w:ascii="Arial" w:cs="Arial" w:eastAsia="Arial" w:hAnsi="Arial"/>
                <w:sz w:val="22"/>
                <w:szCs w:val="22"/>
                <w:b w:val="1"/>
                <w:bCs w:val="1"/>
                <w:color w:val="BD03F7"/>
                <w:w w:val="97"/>
              </w:rPr>
              <w:t>To approve, on a non-binding basis, the compensation of</w:t>
            </w:r>
          </w:p>
        </w:tc>
      </w:tr>
      <w:tr>
        <w:trPr>
          <w:trHeight w:val="296"/>
        </w:trPr>
        <w:tc>
          <w:tcPr>
            <w:tcW w:w="1660" w:type="dxa"/>
            <w:vAlign w:val="bottom"/>
            <w:tcBorders>
              <w:left w:val="single" w:sz="8" w:color="BD03F7"/>
              <w:right w:val="single" w:sz="8" w:color="BD03F7"/>
            </w:tcBorders>
          </w:tcPr>
          <w:p>
            <w:pPr>
              <w:jc w:val="right"/>
              <w:ind w:right="643"/>
              <w:spacing w:after="0" w:line="295" w:lineRule="exact"/>
              <w:rPr>
                <w:sz w:val="20"/>
                <w:szCs w:val="20"/>
                <w:color w:val="auto"/>
              </w:rPr>
            </w:pPr>
            <w:r>
              <w:rPr>
                <w:rFonts w:ascii="Arial" w:cs="Arial" w:eastAsia="Arial" w:hAnsi="Arial"/>
                <w:sz w:val="29"/>
                <w:szCs w:val="29"/>
                <w:b w:val="1"/>
                <w:bCs w:val="1"/>
                <w:color w:val="BD03F7"/>
              </w:rPr>
              <w:t>2</w:t>
            </w:r>
          </w:p>
        </w:tc>
        <w:tc>
          <w:tcPr>
            <w:tcW w:w="5860" w:type="dxa"/>
            <w:vAlign w:val="bottom"/>
          </w:tcPr>
          <w:p>
            <w:pPr>
              <w:spacing w:after="0"/>
              <w:rPr>
                <w:sz w:val="20"/>
                <w:szCs w:val="20"/>
                <w:color w:val="auto"/>
              </w:rPr>
            </w:pPr>
            <w:r>
              <w:rPr>
                <w:rFonts w:ascii="Arial" w:cs="Arial" w:eastAsia="Arial" w:hAnsi="Arial"/>
                <w:sz w:val="22"/>
                <w:szCs w:val="22"/>
                <w:b w:val="1"/>
                <w:bCs w:val="1"/>
                <w:color w:val="BD03F7"/>
              </w:rPr>
              <w:t>our named executive officers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70300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0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475" w:right="100" w:hanging="475"/>
        <w:spacing w:after="0" w:line="203" w:lineRule="auto"/>
        <w:tabs>
          <w:tab w:leader="none" w:pos="475" w:val="left"/>
        </w:tabs>
        <w:numPr>
          <w:ilvl w:val="0"/>
          <w:numId w:val="12"/>
        </w:numPr>
        <w:rPr>
          <w:rFonts w:ascii="MS PGothic" w:cs="MS PGothic" w:eastAsia="MS PGothic" w:hAnsi="MS PGothic"/>
          <w:sz w:val="29"/>
          <w:szCs w:val="29"/>
          <w:color w:val="BD03F7"/>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2.</w:t>
      </w:r>
    </w:p>
    <w:p>
      <w:pPr>
        <w:spacing w:after="0" w:line="215" w:lineRule="exact"/>
        <w:rPr>
          <w:sz w:val="20"/>
          <w:szCs w:val="20"/>
          <w:color w:val="auto"/>
        </w:rPr>
      </w:pPr>
    </w:p>
    <w:p>
      <w:pPr>
        <w:sectPr>
          <w:pgSz w:w="11900" w:h="16838" w:orient="portrait"/>
          <w:cols w:equalWidth="0" w:num="2">
            <w:col w:w="7600" w:space="445"/>
            <w:col w:w="3195"/>
          </w:cols>
          <w:pgMar w:left="320" w:top="1115" w:right="339" w:bottom="1440" w:gutter="0" w:footer="0" w:header="0"/>
        </w:sectPr>
      </w:pPr>
    </w:p>
    <w:p>
      <w:pPr>
        <w:spacing w:after="0" w:line="10" w:lineRule="exact"/>
        <w:rPr>
          <w:sz w:val="20"/>
          <w:szCs w:val="20"/>
          <w:color w:val="auto"/>
        </w:rPr>
      </w:pPr>
    </w:p>
    <w:p>
      <w:pPr>
        <w:jc w:val="both"/>
        <w:ind w:right="480"/>
        <w:spacing w:after="0" w:line="267" w:lineRule="auto"/>
        <w:rPr>
          <w:sz w:val="20"/>
          <w:szCs w:val="20"/>
          <w:color w:val="auto"/>
        </w:rPr>
      </w:pPr>
      <w:r>
        <w:rPr>
          <w:rFonts w:ascii="Arial" w:cs="Arial" w:eastAsia="Arial" w:hAnsi="Arial"/>
          <w:sz w:val="18"/>
          <w:szCs w:val="18"/>
          <w:color w:val="auto"/>
        </w:rPr>
        <w:t>For additional details on compensation of our named executive officers (the “Named Executive Officers” or the “NEOs” as defined in the section “Executive Compensation and Related Information —Compensation Discussion and Analysis—Named Executive Officers”), see “Proposal 2—Say-on-Pay” on page 35.</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5791835" cy="5227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1835" cy="522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type w:val="continuous"/>
        </w:sectPr>
      </w:pPr>
    </w:p>
    <w:bookmarkStart w:id="8" w:name="page9"/>
    <w:bookmarkEnd w:id="8"/>
    <w:tbl>
      <w:tblPr>
        <w:tblLayout w:type="fixed"/>
        <w:tblInd w:w="90" w:type="dxa"/>
        <w:tblCellMar>
          <w:top w:w="0" w:type="dxa"/>
          <w:left w:w="0" w:type="dxa"/>
          <w:bottom w:w="0" w:type="dxa"/>
          <w:right w:w="0" w:type="dxa"/>
        </w:tblCellMar>
      </w:tblPr>
      <w:tr>
        <w:trPr>
          <w:trHeight w:val="188"/>
        </w:trPr>
        <w:tc>
          <w:tcPr>
            <w:tcW w:w="1660" w:type="dxa"/>
            <w:vAlign w:val="bottom"/>
            <w:tcBorders>
              <w:top w:val="single" w:sz="8" w:color="BD03F7"/>
              <w:left w:val="single" w:sz="8" w:color="BD03F7"/>
              <w:right w:val="single" w:sz="8" w:color="BD03F7"/>
            </w:tcBorders>
          </w:tcPr>
          <w:p>
            <w:pPr>
              <w:jc w:val="center"/>
              <w:spacing w:after="0" w:line="189" w:lineRule="exact"/>
              <w:rPr>
                <w:sz w:val="20"/>
                <w:szCs w:val="20"/>
                <w:color w:val="auto"/>
              </w:rPr>
            </w:pPr>
            <w:r>
              <w:rPr>
                <w:rFonts w:ascii="Arial" w:cs="Arial" w:eastAsia="Arial" w:hAnsi="Arial"/>
                <w:sz w:val="18"/>
                <w:szCs w:val="18"/>
                <w:b w:val="1"/>
                <w:bCs w:val="1"/>
                <w:color w:val="BD03F7"/>
              </w:rPr>
              <w:t>Proposal</w:t>
            </w:r>
          </w:p>
        </w:tc>
        <w:tc>
          <w:tcPr>
            <w:tcW w:w="5300" w:type="dxa"/>
            <w:vAlign w:val="bottom"/>
          </w:tcPr>
          <w:p>
            <w:pPr>
              <w:spacing w:after="0"/>
              <w:rPr>
                <w:sz w:val="16"/>
                <w:szCs w:val="16"/>
                <w:color w:val="auto"/>
              </w:rPr>
            </w:pPr>
          </w:p>
        </w:tc>
        <w:tc>
          <w:tcPr>
            <w:tcW w:w="1380" w:type="dxa"/>
            <w:vAlign w:val="bottom"/>
            <w:vMerge w:val="restart"/>
          </w:tcPr>
          <w:p>
            <w:pPr>
              <w:ind w:left="1000"/>
              <w:spacing w:after="0" w:line="291" w:lineRule="exact"/>
              <w:rPr>
                <w:sz w:val="20"/>
                <w:szCs w:val="20"/>
                <w:color w:val="auto"/>
              </w:rPr>
            </w:pPr>
            <w:r>
              <w:rPr>
                <w:rFonts w:ascii="MS PGothic" w:cs="MS PGothic" w:eastAsia="MS PGothic" w:hAnsi="MS PGothic"/>
                <w:sz w:val="29"/>
                <w:szCs w:val="29"/>
                <w:color w:val="BD03F7"/>
              </w:rPr>
              <w:t>☑</w:t>
            </w:r>
          </w:p>
        </w:tc>
        <w:tc>
          <w:tcPr>
            <w:tcW w:w="2740" w:type="dxa"/>
            <w:vAlign w:val="bottom"/>
            <w:vMerge w:val="restart"/>
          </w:tcPr>
          <w:p>
            <w:pPr>
              <w:ind w:left="100"/>
              <w:spacing w:after="0"/>
              <w:rPr>
                <w:sz w:val="20"/>
                <w:szCs w:val="20"/>
                <w:color w:val="auto"/>
              </w:rPr>
            </w:pPr>
            <w:r>
              <w:rPr>
                <w:rFonts w:ascii="Arial" w:cs="Arial" w:eastAsia="Arial" w:hAnsi="Arial"/>
                <w:sz w:val="18"/>
                <w:szCs w:val="18"/>
                <w:color w:val="auto"/>
                <w:w w:val="99"/>
              </w:rPr>
              <w:t>The Board recommends that you</w:t>
            </w:r>
          </w:p>
        </w:tc>
        <w:tc>
          <w:tcPr>
            <w:tcW w:w="0" w:type="dxa"/>
            <w:vAlign w:val="bottom"/>
          </w:tcPr>
          <w:p>
            <w:pPr>
              <w:spacing w:after="0"/>
              <w:rPr>
                <w:sz w:val="1"/>
                <w:szCs w:val="1"/>
                <w:color w:val="auto"/>
              </w:rPr>
            </w:pPr>
          </w:p>
        </w:tc>
      </w:tr>
      <w:tr>
        <w:trPr>
          <w:trHeight w:val="108"/>
        </w:trPr>
        <w:tc>
          <w:tcPr>
            <w:tcW w:w="1660" w:type="dxa"/>
            <w:vAlign w:val="bottom"/>
            <w:tcBorders>
              <w:left w:val="single" w:sz="8" w:color="BD03F7"/>
              <w:right w:val="single" w:sz="8" w:color="BD03F7"/>
            </w:tcBorders>
            <w:vMerge w:val="restart"/>
          </w:tcPr>
          <w:p>
            <w:pPr>
              <w:jc w:val="right"/>
              <w:ind w:right="643"/>
              <w:spacing w:after="0"/>
              <w:rPr>
                <w:sz w:val="20"/>
                <w:szCs w:val="20"/>
                <w:color w:val="auto"/>
              </w:rPr>
            </w:pPr>
            <w:r>
              <w:rPr>
                <w:rFonts w:ascii="Arial" w:cs="Arial" w:eastAsia="Arial" w:hAnsi="Arial"/>
                <w:sz w:val="29"/>
                <w:szCs w:val="29"/>
                <w:b w:val="1"/>
                <w:bCs w:val="1"/>
                <w:color w:val="BD03F7"/>
              </w:rPr>
              <w:t>3</w:t>
            </w:r>
          </w:p>
        </w:tc>
        <w:tc>
          <w:tcPr>
            <w:tcW w:w="5300" w:type="dxa"/>
            <w:vAlign w:val="bottom"/>
            <w:vMerge w:val="restart"/>
          </w:tcPr>
          <w:p>
            <w:pPr>
              <w:spacing w:after="0"/>
              <w:rPr>
                <w:sz w:val="20"/>
                <w:szCs w:val="20"/>
                <w:color w:val="auto"/>
              </w:rPr>
            </w:pPr>
            <w:r>
              <w:rPr>
                <w:rFonts w:ascii="Arial" w:cs="Arial" w:eastAsia="Arial" w:hAnsi="Arial"/>
                <w:sz w:val="22"/>
                <w:szCs w:val="22"/>
                <w:b w:val="1"/>
                <w:bCs w:val="1"/>
                <w:color w:val="BD03F7"/>
              </w:rPr>
              <w:t>To approve the 2025 Equity Incentive Plan</w:t>
            </w:r>
          </w:p>
        </w:tc>
        <w:tc>
          <w:tcPr>
            <w:tcW w:w="13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BD03F7"/>
              <w:bottom w:val="single" w:sz="8" w:color="BD03F7"/>
              <w:right w:val="single" w:sz="8" w:color="BD03F7"/>
            </w:tcBorders>
            <w:vMerge w:val="continue"/>
          </w:tcPr>
          <w:p>
            <w:pPr>
              <w:spacing w:after="0"/>
              <w:rPr>
                <w:sz w:val="21"/>
                <w:szCs w:val="21"/>
                <w:color w:val="auto"/>
              </w:rPr>
            </w:pPr>
          </w:p>
        </w:tc>
        <w:tc>
          <w:tcPr>
            <w:tcW w:w="5300" w:type="dxa"/>
            <w:vAlign w:val="bottom"/>
            <w:tcBorders>
              <w:bottom w:val="single" w:sz="8" w:color="BD03F7"/>
            </w:tcBorders>
            <w:vMerge w:val="continue"/>
          </w:tcPr>
          <w:p>
            <w:pPr>
              <w:spacing w:after="0"/>
              <w:rPr>
                <w:sz w:val="21"/>
                <w:szCs w:val="21"/>
                <w:color w:val="auto"/>
              </w:rPr>
            </w:pPr>
          </w:p>
        </w:tc>
        <w:tc>
          <w:tcPr>
            <w:tcW w:w="1380" w:type="dxa"/>
            <w:vAlign w:val="bottom"/>
            <w:tcBorders>
              <w:bottom w:val="single" w:sz="8" w:color="BD03F7"/>
            </w:tcBorders>
            <w:vMerge w:val="continue"/>
          </w:tcPr>
          <w:p>
            <w:pPr>
              <w:spacing w:after="0"/>
              <w:rPr>
                <w:sz w:val="21"/>
                <w:szCs w:val="21"/>
                <w:color w:val="auto"/>
              </w:rPr>
            </w:pPr>
          </w:p>
        </w:tc>
        <w:tc>
          <w:tcPr>
            <w:tcW w:w="2740" w:type="dxa"/>
            <w:vAlign w:val="bottom"/>
            <w:tcBorders>
              <w:bottom w:val="single" w:sz="8" w:color="BD03F7"/>
            </w:tcBorders>
          </w:tcPr>
          <w:p>
            <w:pPr>
              <w:ind w:left="10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3.</w:t>
            </w:r>
          </w:p>
        </w:tc>
        <w:tc>
          <w:tcPr>
            <w:tcW w:w="0" w:type="dxa"/>
            <w:vAlign w:val="bottom"/>
          </w:tcPr>
          <w:p>
            <w:pPr>
              <w:spacing w:after="0"/>
              <w:rPr>
                <w:sz w:val="1"/>
                <w:szCs w:val="1"/>
                <w:color w:val="auto"/>
              </w:rPr>
            </w:pPr>
          </w:p>
        </w:tc>
      </w:tr>
    </w:tbl>
    <w:p>
      <w:pPr>
        <w:ind w:left="100" w:right="620"/>
        <w:spacing w:after="0" w:line="242" w:lineRule="auto"/>
        <w:rPr>
          <w:sz w:val="20"/>
          <w:szCs w:val="20"/>
          <w:color w:val="auto"/>
        </w:rPr>
      </w:pPr>
      <w:r>
        <w:rPr>
          <w:rFonts w:ascii="Arial" w:cs="Arial" w:eastAsia="Arial" w:hAnsi="Arial"/>
          <w:sz w:val="18"/>
          <w:szCs w:val="18"/>
          <w:b w:val="1"/>
          <w:bCs w:val="1"/>
          <w:color w:val="auto"/>
        </w:rPr>
        <w:t>Equity compensation is a critical component of our compensation program, please refer to page 83 for more details on the Board’s recommendation.</w:t>
      </w:r>
    </w:p>
    <w:tbl>
      <w:tblPr>
        <w:tblLayout w:type="fixed"/>
        <w:tblInd w:w="90" w:type="dxa"/>
        <w:tblCellMar>
          <w:top w:w="0" w:type="dxa"/>
          <w:left w:w="0" w:type="dxa"/>
          <w:bottom w:w="0" w:type="dxa"/>
          <w:right w:w="0" w:type="dxa"/>
        </w:tblCellMar>
      </w:tblPr>
      <w:tr>
        <w:trPr>
          <w:trHeight w:val="276"/>
        </w:trPr>
        <w:tc>
          <w:tcPr>
            <w:tcW w:w="1660" w:type="dxa"/>
            <w:vAlign w:val="bottom"/>
            <w:tcBorders>
              <w:top w:val="single" w:sz="8" w:color="BD03F7"/>
              <w:left w:val="single" w:sz="8" w:color="BD03F7"/>
              <w:right w:val="single" w:sz="8" w:color="BD03F7"/>
            </w:tcBorders>
          </w:tcPr>
          <w:p>
            <w:pPr>
              <w:jc w:val="center"/>
              <w:spacing w:after="0"/>
              <w:rPr>
                <w:sz w:val="20"/>
                <w:szCs w:val="20"/>
                <w:color w:val="auto"/>
              </w:rPr>
            </w:pPr>
            <w:r>
              <w:rPr>
                <w:rFonts w:ascii="Arial" w:cs="Arial" w:eastAsia="Arial" w:hAnsi="Arial"/>
                <w:sz w:val="18"/>
                <w:szCs w:val="18"/>
                <w:b w:val="1"/>
                <w:bCs w:val="1"/>
                <w:color w:val="BD03F7"/>
              </w:rPr>
              <w:t>Proposal</w:t>
            </w:r>
          </w:p>
        </w:tc>
        <w:tc>
          <w:tcPr>
            <w:tcW w:w="5960" w:type="dxa"/>
            <w:vAlign w:val="bottom"/>
            <w:tcBorders>
              <w:top w:val="single" w:sz="8" w:color="BD03F7"/>
            </w:tcBorders>
          </w:tcPr>
          <w:p>
            <w:pPr>
              <w:spacing w:after="0"/>
              <w:rPr>
                <w:sz w:val="20"/>
                <w:szCs w:val="20"/>
                <w:color w:val="auto"/>
              </w:rPr>
            </w:pPr>
            <w:r>
              <w:rPr>
                <w:rFonts w:ascii="Arial" w:cs="Arial" w:eastAsia="Arial" w:hAnsi="Arial"/>
                <w:sz w:val="22"/>
                <w:szCs w:val="22"/>
                <w:b w:val="1"/>
                <w:bCs w:val="1"/>
                <w:color w:val="BD03F7"/>
              </w:rPr>
              <w:t>Ratification of Appointment of Independent Registered</w:t>
            </w:r>
          </w:p>
        </w:tc>
        <w:tc>
          <w:tcPr>
            <w:tcW w:w="720" w:type="dxa"/>
            <w:vAlign w:val="bottom"/>
            <w:tcBorders>
              <w:top w:val="single" w:sz="8" w:color="BD03F7"/>
            </w:tcBorders>
            <w:vMerge w:val="restart"/>
          </w:tcPr>
          <w:p>
            <w:pPr>
              <w:ind w:left="340"/>
              <w:spacing w:after="0" w:line="291" w:lineRule="exact"/>
              <w:rPr>
                <w:sz w:val="20"/>
                <w:szCs w:val="20"/>
                <w:color w:val="auto"/>
              </w:rPr>
            </w:pPr>
            <w:r>
              <w:rPr>
                <w:rFonts w:ascii="MS PGothic" w:cs="MS PGothic" w:eastAsia="MS PGothic" w:hAnsi="MS PGothic"/>
                <w:sz w:val="29"/>
                <w:szCs w:val="29"/>
                <w:color w:val="BD03F7"/>
              </w:rPr>
              <w:t>☑</w:t>
            </w:r>
          </w:p>
        </w:tc>
        <w:tc>
          <w:tcPr>
            <w:tcW w:w="2740" w:type="dxa"/>
            <w:vAlign w:val="bottom"/>
            <w:tcBorders>
              <w:top w:val="single" w:sz="8" w:color="BD03F7"/>
            </w:tcBorders>
          </w:tcPr>
          <w:p>
            <w:pPr>
              <w:ind w:left="100"/>
              <w:spacing w:after="0"/>
              <w:rPr>
                <w:sz w:val="20"/>
                <w:szCs w:val="20"/>
                <w:color w:val="auto"/>
              </w:rPr>
            </w:pPr>
            <w:r>
              <w:rPr>
                <w:rFonts w:ascii="Arial" w:cs="Arial" w:eastAsia="Arial" w:hAnsi="Arial"/>
                <w:sz w:val="18"/>
                <w:szCs w:val="18"/>
                <w:color w:val="auto"/>
                <w:w w:val="99"/>
              </w:rPr>
              <w:t>The Board recommends that you</w:t>
            </w:r>
          </w:p>
        </w:tc>
        <w:tc>
          <w:tcPr>
            <w:tcW w:w="0" w:type="dxa"/>
            <w:vAlign w:val="bottom"/>
          </w:tcPr>
          <w:p>
            <w:pPr>
              <w:spacing w:after="0"/>
              <w:rPr>
                <w:sz w:val="1"/>
                <w:szCs w:val="1"/>
                <w:color w:val="auto"/>
              </w:rPr>
            </w:pPr>
          </w:p>
        </w:tc>
      </w:tr>
      <w:tr>
        <w:trPr>
          <w:trHeight w:val="242"/>
        </w:trPr>
        <w:tc>
          <w:tcPr>
            <w:tcW w:w="1660" w:type="dxa"/>
            <w:vAlign w:val="bottom"/>
            <w:tcBorders>
              <w:left w:val="single" w:sz="8" w:color="BD03F7"/>
              <w:bottom w:val="single" w:sz="8" w:color="BD03F7"/>
              <w:right w:val="single" w:sz="8" w:color="BD03F7"/>
            </w:tcBorders>
          </w:tcPr>
          <w:p>
            <w:pPr>
              <w:jc w:val="right"/>
              <w:ind w:right="646"/>
              <w:spacing w:after="0" w:line="242" w:lineRule="exact"/>
              <w:rPr>
                <w:sz w:val="20"/>
                <w:szCs w:val="20"/>
                <w:color w:val="auto"/>
              </w:rPr>
            </w:pPr>
            <w:r>
              <w:rPr>
                <w:rFonts w:ascii="Arial" w:cs="Arial" w:eastAsia="Arial" w:hAnsi="Arial"/>
                <w:sz w:val="28"/>
                <w:szCs w:val="28"/>
                <w:b w:val="1"/>
                <w:bCs w:val="1"/>
                <w:color w:val="BD03F7"/>
              </w:rPr>
              <w:t>4</w:t>
            </w:r>
          </w:p>
        </w:tc>
        <w:tc>
          <w:tcPr>
            <w:tcW w:w="5960" w:type="dxa"/>
            <w:vAlign w:val="bottom"/>
            <w:tcBorders>
              <w:bottom w:val="single" w:sz="8" w:color="BD03F7"/>
            </w:tcBorders>
          </w:tcPr>
          <w:p>
            <w:pPr>
              <w:spacing w:after="0" w:line="242" w:lineRule="exact"/>
              <w:rPr>
                <w:sz w:val="20"/>
                <w:szCs w:val="20"/>
                <w:color w:val="auto"/>
              </w:rPr>
            </w:pPr>
            <w:r>
              <w:rPr>
                <w:rFonts w:ascii="Arial" w:cs="Arial" w:eastAsia="Arial" w:hAnsi="Arial"/>
                <w:sz w:val="22"/>
                <w:szCs w:val="22"/>
                <w:b w:val="1"/>
                <w:bCs w:val="1"/>
                <w:color w:val="BD03F7"/>
              </w:rPr>
              <w:t>Public Accounting Firm</w:t>
            </w:r>
          </w:p>
        </w:tc>
        <w:tc>
          <w:tcPr>
            <w:tcW w:w="720" w:type="dxa"/>
            <w:vAlign w:val="bottom"/>
            <w:tcBorders>
              <w:bottom w:val="single" w:sz="8" w:color="BD03F7"/>
            </w:tcBorders>
            <w:vMerge w:val="continue"/>
          </w:tcPr>
          <w:p>
            <w:pPr>
              <w:spacing w:after="0"/>
              <w:rPr>
                <w:sz w:val="21"/>
                <w:szCs w:val="21"/>
                <w:color w:val="auto"/>
              </w:rPr>
            </w:pPr>
          </w:p>
        </w:tc>
        <w:tc>
          <w:tcPr>
            <w:tcW w:w="2740" w:type="dxa"/>
            <w:vAlign w:val="bottom"/>
            <w:tcBorders>
              <w:bottom w:val="single" w:sz="8" w:color="BD03F7"/>
            </w:tcBorders>
          </w:tcPr>
          <w:p>
            <w:pPr>
              <w:ind w:left="10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4.</w:t>
            </w:r>
          </w:p>
        </w:tc>
        <w:tc>
          <w:tcPr>
            <w:tcW w:w="0" w:type="dxa"/>
            <w:vAlign w:val="bottom"/>
          </w:tcPr>
          <w:p>
            <w:pPr>
              <w:spacing w:after="0"/>
              <w:rPr>
                <w:sz w:val="1"/>
                <w:szCs w:val="1"/>
                <w:color w:val="auto"/>
              </w:rPr>
            </w:pPr>
          </w:p>
        </w:tc>
      </w:tr>
    </w:tbl>
    <w:p>
      <w:pPr>
        <w:ind w:left="100" w:right="40"/>
        <w:spacing w:after="0" w:line="242" w:lineRule="auto"/>
        <w:rPr>
          <w:sz w:val="20"/>
          <w:szCs w:val="20"/>
          <w:color w:val="auto"/>
        </w:rPr>
      </w:pPr>
      <w:r>
        <w:rPr>
          <w:rFonts w:ascii="Arial" w:cs="Arial" w:eastAsia="Arial" w:hAnsi="Arial"/>
          <w:sz w:val="18"/>
          <w:szCs w:val="18"/>
          <w:b w:val="1"/>
          <w:bCs w:val="1"/>
          <w:color w:val="auto"/>
        </w:rPr>
        <w:t>The Board recommends ratifying the appointment of PricewaterhouseCoopers LLP (“PwC”) as our independent registered public accounting firm. Please see page 95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409575</wp:posOffset>
            </wp:positionV>
            <wp:extent cx="5646420" cy="1059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642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Annual Meeting</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to be held on </w:t>
      </w:r>
      <w:r>
        <w:rPr>
          <w:rFonts w:ascii="Arial" w:cs="Arial" w:eastAsia="Arial" w:hAnsi="Arial"/>
          <w:sz w:val="18"/>
          <w:szCs w:val="18"/>
          <w:b w:val="1"/>
          <w:bCs w:val="1"/>
          <w:color w:val="auto"/>
        </w:rPr>
        <w:t>January 16, 2025</w:t>
      </w:r>
      <w:r>
        <w:rPr>
          <w:rFonts w:ascii="Arial" w:cs="Arial" w:eastAsia="Arial" w:hAnsi="Arial"/>
          <w:sz w:val="18"/>
          <w:szCs w:val="18"/>
          <w:b w:val="1"/>
          <w:bCs w:val="1"/>
          <w:i w:val="1"/>
          <w:iCs w:val="1"/>
          <w:color w:val="auto"/>
        </w:rPr>
        <w:t>:</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Proxy Statement and Annual Report on Form 10-K for Fiscal 2024 are available at www.proxyvote.com.</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We began distributing a Notice of Internet Availability of proxy materials, the Proxy Statement, the Annual</w:t>
      </w:r>
    </w:p>
    <w:p>
      <w:pPr>
        <w:jc w:val="center"/>
        <w:ind w:right="-119"/>
        <w:spacing w:after="0"/>
        <w:rPr>
          <w:sz w:val="20"/>
          <w:szCs w:val="20"/>
          <w:color w:val="auto"/>
        </w:rPr>
      </w:pPr>
      <w:r>
        <w:rPr>
          <w:rFonts w:ascii="Arial" w:cs="Arial" w:eastAsia="Arial" w:hAnsi="Arial"/>
          <w:sz w:val="18"/>
          <w:szCs w:val="18"/>
          <w:i w:val="1"/>
          <w:iCs w:val="1"/>
          <w:color w:val="auto"/>
        </w:rPr>
        <w:t>Report on Form 10-K for Fiscal 2024, and proxy card, as applicable, to shareholders on November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115" w:right="419" w:bottom="1440" w:gutter="0" w:footer="0" w:header="0"/>
        </w:sectPr>
      </w:pPr>
    </w:p>
    <w:bookmarkStart w:id="9" w:name="page10"/>
    <w:bookmarkEnd w:id="9"/>
    <w:p>
      <w:pPr>
        <w:spacing w:after="0"/>
        <w:rPr>
          <w:sz w:val="20"/>
          <w:szCs w:val="20"/>
          <w:color w:val="auto"/>
        </w:rPr>
      </w:pPr>
      <w:r>
        <w:rPr>
          <w:rFonts w:ascii="Arial" w:cs="Arial" w:eastAsia="Arial" w:hAnsi="Arial"/>
          <w:sz w:val="36"/>
          <w:szCs w:val="36"/>
          <w:b w:val="1"/>
          <w:bCs w:val="1"/>
          <w:color w:val="auto"/>
        </w:rPr>
        <w:t>TABLE OF CONTENTS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84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Proxy Section</w:t>
            </w:r>
          </w:p>
        </w:tc>
        <w:tc>
          <w:tcPr>
            <w:tcW w:w="700" w:type="dxa"/>
            <w:vAlign w:val="bottom"/>
            <w:tcBorders>
              <w:bottom w:val="single" w:sz="8" w:color="BD03F7"/>
              <w:right w:val="single" w:sz="8" w:color="B6B6B6"/>
            </w:tcBorders>
          </w:tcPr>
          <w:p>
            <w:pPr>
              <w:ind w:left="120"/>
              <w:spacing w:after="0"/>
              <w:rPr>
                <w:sz w:val="20"/>
                <w:szCs w:val="20"/>
                <w:color w:val="auto"/>
              </w:rPr>
            </w:pPr>
            <w:r>
              <w:rPr>
                <w:rFonts w:ascii="Arial" w:cs="Arial" w:eastAsia="Arial" w:hAnsi="Arial"/>
                <w:sz w:val="18"/>
                <w:szCs w:val="18"/>
                <w:b w:val="1"/>
                <w:bCs w:val="1"/>
                <w:color w:val="auto"/>
              </w:rPr>
              <w:t>Page</w:t>
            </w:r>
          </w:p>
        </w:tc>
        <w:tc>
          <w:tcPr>
            <w:tcW w:w="462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Frequently Requested Information</w:t>
            </w:r>
          </w:p>
        </w:tc>
        <w:tc>
          <w:tcPr>
            <w:tcW w:w="860" w:type="dxa"/>
            <w:vAlign w:val="bottom"/>
            <w:tcBorders>
              <w:bottom w:val="single" w:sz="8" w:color="BD03F7"/>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Notice of Annual Meeting</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w:t>
            </w:r>
          </w:p>
        </w:tc>
        <w:tc>
          <w:tcPr>
            <w:tcW w:w="4620" w:type="dxa"/>
            <w:vAlign w:val="bottom"/>
          </w:tcPr>
          <w:p>
            <w:pPr>
              <w:spacing w:after="0"/>
              <w:rPr>
                <w:sz w:val="20"/>
                <w:szCs w:val="20"/>
                <w:color w:val="auto"/>
              </w:rPr>
            </w:pPr>
            <w:r>
              <w:rPr>
                <w:rFonts w:ascii="Arial" w:cs="Arial" w:eastAsia="Arial" w:hAnsi="Arial"/>
                <w:sz w:val="18"/>
                <w:szCs w:val="18"/>
                <w:color w:val="auto"/>
              </w:rPr>
              <w:t>Artificial Intelligence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20</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Proxy Roadmap</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2</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Auditor Fees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95</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Corporate Governance</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w:t>
            </w:r>
          </w:p>
        </w:tc>
        <w:tc>
          <w:tcPr>
            <w:tcW w:w="4620" w:type="dxa"/>
            <w:vAlign w:val="bottom"/>
          </w:tcPr>
          <w:p>
            <w:pPr>
              <w:spacing w:after="0"/>
              <w:rPr>
                <w:sz w:val="20"/>
                <w:szCs w:val="20"/>
                <w:color w:val="auto"/>
              </w:rPr>
            </w:pPr>
            <w:r>
              <w:rPr>
                <w:rFonts w:ascii="Arial" w:cs="Arial" w:eastAsia="Arial" w:hAnsi="Arial"/>
                <w:sz w:val="18"/>
                <w:szCs w:val="18"/>
                <w:color w:val="auto"/>
              </w:rPr>
              <w:t>Beneficial Ownership Table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98</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220"/>
              <w:spacing w:after="0"/>
              <w:rPr>
                <w:sz w:val="20"/>
                <w:szCs w:val="20"/>
                <w:color w:val="auto"/>
              </w:rPr>
            </w:pPr>
            <w:r>
              <w:rPr>
                <w:rFonts w:ascii="Arial" w:cs="Arial" w:eastAsia="Arial" w:hAnsi="Arial"/>
                <w:sz w:val="18"/>
                <w:szCs w:val="18"/>
                <w:color w:val="auto"/>
              </w:rPr>
              <w:t>Proposal 1 - Election of Directors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Board Diversity Matrix</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15</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Board of Directors</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w:t>
            </w:r>
          </w:p>
        </w:tc>
        <w:tc>
          <w:tcPr>
            <w:tcW w:w="4620" w:type="dxa"/>
            <w:vAlign w:val="bottom"/>
          </w:tcPr>
          <w:p>
            <w:pPr>
              <w:spacing w:after="0"/>
              <w:rPr>
                <w:sz w:val="20"/>
                <w:szCs w:val="20"/>
                <w:color w:val="auto"/>
              </w:rPr>
            </w:pPr>
            <w:r>
              <w:rPr>
                <w:rFonts w:ascii="Arial" w:cs="Arial" w:eastAsia="Arial" w:hAnsi="Arial"/>
                <w:sz w:val="18"/>
                <w:szCs w:val="18"/>
                <w:color w:val="auto"/>
              </w:rPr>
              <w:t>Board Leadership Structure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23</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660"/>
              <w:spacing w:after="0"/>
              <w:rPr>
                <w:sz w:val="20"/>
                <w:szCs w:val="20"/>
                <w:color w:val="auto"/>
              </w:rPr>
            </w:pPr>
            <w:r>
              <w:rPr>
                <w:rFonts w:ascii="Arial" w:cs="Arial" w:eastAsia="Arial" w:hAnsi="Arial"/>
                <w:sz w:val="18"/>
                <w:szCs w:val="18"/>
                <w:color w:val="auto"/>
              </w:rPr>
              <w:t>Nominees for Election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Board Refreshment &amp; Continuing Education</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16</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Director Skills and Experience</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12</w:t>
            </w:r>
          </w:p>
        </w:tc>
        <w:tc>
          <w:tcPr>
            <w:tcW w:w="4620" w:type="dxa"/>
            <w:vAlign w:val="bottom"/>
          </w:tcPr>
          <w:p>
            <w:pPr>
              <w:spacing w:after="0"/>
              <w:rPr>
                <w:sz w:val="20"/>
                <w:szCs w:val="20"/>
                <w:color w:val="auto"/>
              </w:rPr>
            </w:pPr>
            <w:r>
              <w:rPr>
                <w:rFonts w:ascii="Arial" w:cs="Arial" w:eastAsia="Arial" w:hAnsi="Arial"/>
                <w:sz w:val="18"/>
                <w:szCs w:val="18"/>
                <w:color w:val="auto"/>
              </w:rPr>
              <w:t>CEO Pay Ratio</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73</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440"/>
              <w:spacing w:after="0"/>
              <w:rPr>
                <w:sz w:val="20"/>
                <w:szCs w:val="20"/>
                <w:color w:val="auto"/>
              </w:rPr>
            </w:pPr>
            <w:r>
              <w:rPr>
                <w:rFonts w:ascii="Arial" w:cs="Arial" w:eastAsia="Arial" w:hAnsi="Arial"/>
                <w:sz w:val="18"/>
                <w:szCs w:val="18"/>
                <w:color w:val="auto"/>
              </w:rPr>
              <w:t>Board Diversity</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15</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Code of Business Conduct and Ethics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28</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Director Nominations and Board Refreshment</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16</w:t>
            </w:r>
          </w:p>
        </w:tc>
        <w:tc>
          <w:tcPr>
            <w:tcW w:w="4620" w:type="dxa"/>
            <w:vAlign w:val="bottom"/>
          </w:tcPr>
          <w:p>
            <w:pPr>
              <w:spacing w:after="0"/>
              <w:rPr>
                <w:sz w:val="20"/>
                <w:szCs w:val="20"/>
                <w:color w:val="auto"/>
              </w:rPr>
            </w:pPr>
            <w:r>
              <w:rPr>
                <w:rFonts w:ascii="Arial" w:cs="Arial" w:eastAsia="Arial" w:hAnsi="Arial"/>
                <w:sz w:val="18"/>
                <w:szCs w:val="18"/>
                <w:color w:val="auto"/>
              </w:rPr>
              <w:t>Components of our Executive Compensation Program</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46</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440"/>
              <w:spacing w:after="0"/>
              <w:rPr>
                <w:sz w:val="20"/>
                <w:szCs w:val="20"/>
                <w:color w:val="auto"/>
              </w:rPr>
            </w:pPr>
            <w:r>
              <w:rPr>
                <w:rFonts w:ascii="Arial" w:cs="Arial" w:eastAsia="Arial" w:hAnsi="Arial"/>
                <w:sz w:val="18"/>
                <w:szCs w:val="18"/>
                <w:color w:val="auto"/>
              </w:rPr>
              <w:t>Board’s Roles and Responsibilities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18</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Compensation Consultant</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43</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Shareholder Outreach</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28</w:t>
            </w:r>
          </w:p>
        </w:tc>
        <w:tc>
          <w:tcPr>
            <w:tcW w:w="4620" w:type="dxa"/>
            <w:vAlign w:val="bottom"/>
          </w:tcPr>
          <w:p>
            <w:pPr>
              <w:spacing w:after="0"/>
              <w:rPr>
                <w:sz w:val="20"/>
                <w:szCs w:val="20"/>
                <w:color w:val="auto"/>
              </w:rPr>
            </w:pPr>
            <w:r>
              <w:rPr>
                <w:rFonts w:ascii="Arial" w:cs="Arial" w:eastAsia="Arial" w:hAnsi="Arial"/>
                <w:sz w:val="18"/>
                <w:szCs w:val="18"/>
                <w:color w:val="auto"/>
              </w:rPr>
              <w:t>Cybersecurity Oversight</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19</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Certain Relationships and Related Person Transactions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31</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Director Independence</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22</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Arial" w:cs="Arial" w:eastAsia="Arial" w:hAnsi="Arial"/>
                <w:sz w:val="18"/>
                <w:szCs w:val="18"/>
                <w:color w:val="auto"/>
              </w:rPr>
              <w:t>Director Compensation</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32</w:t>
            </w:r>
          </w:p>
        </w:tc>
        <w:tc>
          <w:tcPr>
            <w:tcW w:w="4620" w:type="dxa"/>
            <w:vAlign w:val="bottom"/>
          </w:tcPr>
          <w:p>
            <w:pPr>
              <w:spacing w:after="0"/>
              <w:rPr>
                <w:sz w:val="20"/>
                <w:szCs w:val="20"/>
                <w:color w:val="auto"/>
              </w:rPr>
            </w:pPr>
            <w:r>
              <w:rPr>
                <w:rFonts w:ascii="Arial" w:cs="Arial" w:eastAsia="Arial" w:hAnsi="Arial"/>
                <w:sz w:val="18"/>
                <w:szCs w:val="18"/>
                <w:color w:val="auto"/>
              </w:rPr>
              <w:t>Director Skills and Experience Matrix</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12</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Executive Compensation and Related Information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35</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Director Stock Ownership Guidelines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34</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Proposal 2 - Say-on-Pay</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35</w:t>
            </w:r>
          </w:p>
        </w:tc>
        <w:tc>
          <w:tcPr>
            <w:tcW w:w="4620" w:type="dxa"/>
            <w:vAlign w:val="bottom"/>
          </w:tcPr>
          <w:p>
            <w:pPr>
              <w:spacing w:after="0"/>
              <w:rPr>
                <w:sz w:val="20"/>
                <w:szCs w:val="20"/>
                <w:color w:val="auto"/>
              </w:rPr>
            </w:pPr>
            <w:r>
              <w:rPr>
                <w:rFonts w:ascii="Arial" w:cs="Arial" w:eastAsia="Arial" w:hAnsi="Arial"/>
                <w:sz w:val="18"/>
                <w:szCs w:val="18"/>
                <w:color w:val="auto"/>
              </w:rPr>
              <w:t>Director Tenure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14</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220"/>
              <w:spacing w:after="0"/>
              <w:rPr>
                <w:sz w:val="20"/>
                <w:szCs w:val="20"/>
                <w:color w:val="auto"/>
              </w:rPr>
            </w:pPr>
            <w:r>
              <w:rPr>
                <w:rFonts w:ascii="Arial" w:cs="Arial" w:eastAsia="Arial" w:hAnsi="Arial"/>
                <w:sz w:val="18"/>
                <w:szCs w:val="18"/>
                <w:color w:val="auto"/>
              </w:rPr>
              <w:t>Compensation Discussion and Analysis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36</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Director Time Commitment Policy</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16</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Compensation Committee Report</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64</w:t>
            </w:r>
          </w:p>
        </w:tc>
        <w:tc>
          <w:tcPr>
            <w:tcW w:w="4620" w:type="dxa"/>
            <w:vAlign w:val="bottom"/>
          </w:tcPr>
          <w:p>
            <w:pPr>
              <w:spacing w:after="0"/>
              <w:rPr>
                <w:sz w:val="20"/>
                <w:szCs w:val="20"/>
                <w:color w:val="auto"/>
              </w:rPr>
            </w:pPr>
            <w:r>
              <w:rPr>
                <w:rFonts w:ascii="Arial" w:cs="Arial" w:eastAsia="Arial" w:hAnsi="Arial"/>
                <w:sz w:val="18"/>
                <w:szCs w:val="18"/>
                <w:color w:val="auto"/>
              </w:rPr>
              <w:t>Diversity, Equity and Inclusion</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20</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220"/>
              <w:spacing w:after="0"/>
              <w:rPr>
                <w:sz w:val="20"/>
                <w:szCs w:val="20"/>
                <w:color w:val="auto"/>
              </w:rPr>
            </w:pPr>
            <w:r>
              <w:rPr>
                <w:rFonts w:ascii="Arial" w:cs="Arial" w:eastAsia="Arial" w:hAnsi="Arial"/>
                <w:sz w:val="18"/>
                <w:szCs w:val="18"/>
                <w:color w:val="auto"/>
              </w:rPr>
              <w:t>Compensation Tables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65</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Enterprise Risk Management Oversight</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18</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Summary Compensation Table</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65</w:t>
            </w:r>
          </w:p>
        </w:tc>
        <w:tc>
          <w:tcPr>
            <w:tcW w:w="4620" w:type="dxa"/>
            <w:vAlign w:val="bottom"/>
          </w:tcPr>
          <w:p>
            <w:pPr>
              <w:spacing w:after="0"/>
              <w:rPr>
                <w:sz w:val="20"/>
                <w:szCs w:val="20"/>
                <w:color w:val="auto"/>
              </w:rPr>
            </w:pPr>
            <w:r>
              <w:rPr>
                <w:rFonts w:ascii="Arial" w:cs="Arial" w:eastAsia="Arial" w:hAnsi="Arial"/>
                <w:sz w:val="18"/>
                <w:szCs w:val="18"/>
                <w:color w:val="auto"/>
              </w:rPr>
              <w:t>Executive Compensation Highlights</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38</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440"/>
              <w:spacing w:after="0"/>
              <w:rPr>
                <w:sz w:val="20"/>
                <w:szCs w:val="20"/>
                <w:color w:val="auto"/>
              </w:rPr>
            </w:pPr>
            <w:r>
              <w:rPr>
                <w:rFonts w:ascii="Arial" w:cs="Arial" w:eastAsia="Arial" w:hAnsi="Arial"/>
                <w:sz w:val="18"/>
                <w:szCs w:val="18"/>
                <w:color w:val="auto"/>
              </w:rPr>
              <w:t>Grants of Plan-Based Awards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67</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Executive Compensation Practices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37</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Outstanding Equity Awards</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69</w:t>
            </w:r>
          </w:p>
        </w:tc>
        <w:tc>
          <w:tcPr>
            <w:tcW w:w="4620" w:type="dxa"/>
            <w:vAlign w:val="bottom"/>
          </w:tcPr>
          <w:p>
            <w:pPr>
              <w:spacing w:after="0"/>
              <w:rPr>
                <w:sz w:val="20"/>
                <w:szCs w:val="20"/>
                <w:color w:val="auto"/>
              </w:rPr>
            </w:pPr>
            <w:r>
              <w:rPr>
                <w:rFonts w:ascii="Arial" w:cs="Arial" w:eastAsia="Arial" w:hAnsi="Arial"/>
                <w:sz w:val="18"/>
                <w:szCs w:val="18"/>
                <w:color w:val="auto"/>
              </w:rPr>
              <w:t>Financial and Business Highlights</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37</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ind w:left="440"/>
              <w:spacing w:after="0"/>
              <w:rPr>
                <w:sz w:val="20"/>
                <w:szCs w:val="20"/>
                <w:color w:val="auto"/>
              </w:rPr>
            </w:pPr>
            <w:r>
              <w:rPr>
                <w:rFonts w:ascii="Arial" w:cs="Arial" w:eastAsia="Arial" w:hAnsi="Arial"/>
                <w:sz w:val="18"/>
                <w:szCs w:val="18"/>
                <w:color w:val="auto"/>
              </w:rPr>
              <w:t>Option Exercises and Stock Vested</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72</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Fiscal 2024 Director Compensation</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33</w:t>
            </w:r>
          </w:p>
        </w:tc>
        <w:tc>
          <w:tcPr>
            <w:tcW w:w="0" w:type="dxa"/>
            <w:vAlign w:val="bottom"/>
          </w:tcPr>
          <w:p>
            <w:pPr>
              <w:spacing w:after="0"/>
              <w:rPr>
                <w:sz w:val="1"/>
                <w:szCs w:val="1"/>
                <w:color w:val="auto"/>
              </w:rPr>
            </w:pPr>
          </w:p>
        </w:tc>
      </w:tr>
      <w:tr>
        <w:trPr>
          <w:trHeight w:val="229"/>
        </w:trPr>
        <w:tc>
          <w:tcPr>
            <w:tcW w:w="4840" w:type="dxa"/>
            <w:vAlign w:val="bottom"/>
          </w:tcPr>
          <w:p>
            <w:pPr>
              <w:ind w:left="440"/>
              <w:spacing w:after="0"/>
              <w:rPr>
                <w:sz w:val="20"/>
                <w:szCs w:val="20"/>
                <w:color w:val="auto"/>
              </w:rPr>
            </w:pPr>
            <w:r>
              <w:rPr>
                <w:rFonts w:ascii="Arial" w:cs="Arial" w:eastAsia="Arial" w:hAnsi="Arial"/>
                <w:sz w:val="18"/>
                <w:szCs w:val="18"/>
                <w:color w:val="auto"/>
              </w:rPr>
              <w:t>Nonqualified Deferred Compensation</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73</w:t>
            </w:r>
          </w:p>
        </w:tc>
        <w:tc>
          <w:tcPr>
            <w:tcW w:w="4620" w:type="dxa"/>
            <w:vAlign w:val="bottom"/>
          </w:tcPr>
          <w:p>
            <w:pPr>
              <w:spacing w:after="0"/>
              <w:rPr>
                <w:sz w:val="20"/>
                <w:szCs w:val="20"/>
                <w:color w:val="auto"/>
              </w:rPr>
            </w:pPr>
            <w:r>
              <w:rPr>
                <w:rFonts w:ascii="Arial" w:cs="Arial" w:eastAsia="Arial" w:hAnsi="Arial"/>
                <w:sz w:val="18"/>
                <w:szCs w:val="18"/>
                <w:color w:val="auto"/>
              </w:rPr>
              <w:t>Human Capital and Culture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20</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Chief Executive Officer Pay Ratio</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73</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Named Executive Officers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36</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Potential Payments Upon Termination or Change in Control</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74</w:t>
            </w:r>
          </w:p>
        </w:tc>
        <w:tc>
          <w:tcPr>
            <w:tcW w:w="4620" w:type="dxa"/>
            <w:vAlign w:val="bottom"/>
          </w:tcPr>
          <w:p>
            <w:pPr>
              <w:spacing w:after="0"/>
              <w:rPr>
                <w:sz w:val="20"/>
                <w:szCs w:val="20"/>
                <w:color w:val="auto"/>
              </w:rPr>
            </w:pPr>
            <w:r>
              <w:rPr>
                <w:rFonts w:ascii="Arial" w:cs="Arial" w:eastAsia="Arial" w:hAnsi="Arial"/>
                <w:sz w:val="18"/>
                <w:szCs w:val="18"/>
                <w:color w:val="auto"/>
              </w:rPr>
              <w:t>Nominees for Director &amp; Director Biographies</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99"/>
              </w:rPr>
              <w:t>7</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Equity Compensation Plan Information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77</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Executive Officer Stock Ownership Guidelines</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59</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Pay Versus Performance</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78</w:t>
            </w:r>
          </w:p>
        </w:tc>
        <w:tc>
          <w:tcPr>
            <w:tcW w:w="4620" w:type="dxa"/>
            <w:vAlign w:val="bottom"/>
          </w:tcPr>
          <w:p>
            <w:pPr>
              <w:spacing w:after="0"/>
              <w:rPr>
                <w:sz w:val="20"/>
                <w:szCs w:val="20"/>
                <w:color w:val="auto"/>
              </w:rPr>
            </w:pPr>
            <w:r>
              <w:rPr>
                <w:rFonts w:ascii="Arial" w:cs="Arial" w:eastAsia="Arial" w:hAnsi="Arial"/>
                <w:sz w:val="18"/>
                <w:szCs w:val="18"/>
                <w:color w:val="auto"/>
              </w:rPr>
              <w:t>Pay-for-Performance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41</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Proposal 3 - Approval of the 2025 Equity Incentive Plan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83</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Peer Group</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44</w:t>
            </w:r>
          </w:p>
        </w:tc>
        <w:tc>
          <w:tcPr>
            <w:tcW w:w="0" w:type="dxa"/>
            <w:vAlign w:val="bottom"/>
          </w:tcPr>
          <w:p>
            <w:pPr>
              <w:spacing w:after="0"/>
              <w:rPr>
                <w:sz w:val="1"/>
                <w:szCs w:val="1"/>
                <w:color w:val="auto"/>
              </w:rPr>
            </w:pPr>
          </w:p>
        </w:tc>
      </w:tr>
      <w:tr>
        <w:trPr>
          <w:trHeight w:val="175"/>
        </w:trPr>
        <w:tc>
          <w:tcPr>
            <w:tcW w:w="4840" w:type="dxa"/>
            <w:vAlign w:val="bottom"/>
          </w:tcPr>
          <w:p>
            <w:pPr>
              <w:spacing w:after="0" w:line="175" w:lineRule="exact"/>
              <w:rPr>
                <w:sz w:val="20"/>
                <w:szCs w:val="20"/>
                <w:color w:val="auto"/>
              </w:rPr>
            </w:pPr>
            <w:r>
              <w:rPr>
                <w:rFonts w:ascii="Arial" w:cs="Arial" w:eastAsia="Arial" w:hAnsi="Arial"/>
                <w:sz w:val="18"/>
                <w:szCs w:val="18"/>
                <w:color w:val="auto"/>
              </w:rPr>
              <w:t>Proposal 4 - Ratification of Appointment of</w:t>
            </w:r>
          </w:p>
        </w:tc>
        <w:tc>
          <w:tcPr>
            <w:tcW w:w="7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b w:val="1"/>
                <w:bCs w:val="1"/>
                <w:color w:val="BD03F7"/>
                <w:w w:val="99"/>
              </w:rPr>
              <w:t>95</w:t>
            </w:r>
          </w:p>
        </w:tc>
        <w:tc>
          <w:tcPr>
            <w:tcW w:w="4620" w:type="dxa"/>
            <w:vAlign w:val="bottom"/>
          </w:tcPr>
          <w:p>
            <w:pPr>
              <w:spacing w:after="0" w:line="175" w:lineRule="exact"/>
              <w:rPr>
                <w:sz w:val="20"/>
                <w:szCs w:val="20"/>
                <w:color w:val="auto"/>
              </w:rPr>
            </w:pPr>
            <w:r>
              <w:rPr>
                <w:rFonts w:ascii="Arial" w:cs="Arial" w:eastAsia="Arial" w:hAnsi="Arial"/>
                <w:sz w:val="18"/>
                <w:szCs w:val="18"/>
                <w:color w:val="auto"/>
              </w:rPr>
              <w:t>Potential Payments Upon Termination or a Change in</w:t>
            </w:r>
          </w:p>
        </w:tc>
        <w:tc>
          <w:tcPr>
            <w:tcW w:w="86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BD03F7"/>
                <w:w w:val="89"/>
              </w:rPr>
              <w:t>74</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Arial" w:cs="Arial" w:eastAsia="Arial" w:hAnsi="Arial"/>
                <w:sz w:val="18"/>
                <w:szCs w:val="18"/>
                <w:color w:val="auto"/>
              </w:rPr>
              <w:t>PricewaterhouseCoopers LLP</w:t>
            </w:r>
          </w:p>
        </w:tc>
        <w:tc>
          <w:tcPr>
            <w:tcW w:w="700" w:type="dxa"/>
            <w:vAlign w:val="bottom"/>
            <w:tcBorders>
              <w:right w:val="single" w:sz="8" w:color="B6B6B6"/>
            </w:tcBorders>
            <w:vMerge w:val="continue"/>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Control</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Principal Shareholders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98</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Report of the Audit Committee</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96</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Information Concerning Solicitation and Voting</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99</w:t>
            </w:r>
          </w:p>
        </w:tc>
        <w:tc>
          <w:tcPr>
            <w:tcW w:w="4620" w:type="dxa"/>
            <w:vAlign w:val="bottom"/>
          </w:tcPr>
          <w:p>
            <w:pPr>
              <w:spacing w:after="0"/>
              <w:rPr>
                <w:sz w:val="20"/>
                <w:szCs w:val="20"/>
                <w:color w:val="auto"/>
              </w:rPr>
            </w:pPr>
            <w:r>
              <w:rPr>
                <w:rFonts w:ascii="Arial" w:cs="Arial" w:eastAsia="Arial" w:hAnsi="Arial"/>
                <w:sz w:val="18"/>
                <w:szCs w:val="18"/>
                <w:color w:val="auto"/>
              </w:rPr>
              <w:t>Severance and Change in Control Arrangements</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60</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Incorporation by Reference of Certain Financial Information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103</w:t>
            </w:r>
          </w:p>
        </w:tc>
        <w:tc>
          <w:tcPr>
            <w:tcW w:w="4620" w:type="dxa"/>
            <w:vAlign w:val="bottom"/>
            <w:shd w:val="clear" w:color="auto" w:fill="F2F2F2"/>
          </w:tcPr>
          <w:p>
            <w:pPr>
              <w:spacing w:after="0"/>
              <w:rPr>
                <w:sz w:val="20"/>
                <w:szCs w:val="20"/>
                <w:color w:val="auto"/>
              </w:rPr>
            </w:pPr>
            <w:r>
              <w:rPr>
                <w:rFonts w:ascii="Arial" w:cs="Arial" w:eastAsia="Arial" w:hAnsi="Arial"/>
                <w:sz w:val="18"/>
                <w:szCs w:val="18"/>
                <w:color w:val="auto"/>
              </w:rPr>
              <w:t>Summary of the 2025 Equity Incentive Plan</w:t>
            </w:r>
          </w:p>
        </w:tc>
        <w:tc>
          <w:tcPr>
            <w:tcW w:w="860" w:type="dxa"/>
            <w:vAlign w:val="bottom"/>
            <w:shd w:val="clear" w:color="auto" w:fill="F2F2F2"/>
          </w:tcPr>
          <w:p>
            <w:pPr>
              <w:jc w:val="center"/>
              <w:ind w:left="110"/>
              <w:spacing w:after="0"/>
              <w:rPr>
                <w:sz w:val="20"/>
                <w:szCs w:val="20"/>
                <w:color w:val="auto"/>
              </w:rPr>
            </w:pPr>
            <w:r>
              <w:rPr>
                <w:rFonts w:ascii="Arial" w:cs="Arial" w:eastAsia="Arial" w:hAnsi="Arial"/>
                <w:sz w:val="18"/>
                <w:szCs w:val="18"/>
                <w:b w:val="1"/>
                <w:bCs w:val="1"/>
                <w:color w:val="BD03F7"/>
                <w:w w:val="89"/>
              </w:rPr>
              <w:t>86</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Householding of Proxy Statements and Annual Reports</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103</w:t>
            </w:r>
          </w:p>
        </w:tc>
        <w:tc>
          <w:tcPr>
            <w:tcW w:w="4620" w:type="dxa"/>
            <w:vAlign w:val="bottom"/>
          </w:tcPr>
          <w:p>
            <w:pPr>
              <w:spacing w:after="0"/>
              <w:rPr>
                <w:sz w:val="20"/>
                <w:szCs w:val="20"/>
                <w:color w:val="auto"/>
              </w:rPr>
            </w:pPr>
            <w:r>
              <w:rPr>
                <w:rFonts w:ascii="Arial" w:cs="Arial" w:eastAsia="Arial" w:hAnsi="Arial"/>
                <w:sz w:val="18"/>
                <w:szCs w:val="18"/>
                <w:color w:val="auto"/>
              </w:rPr>
              <w:t>Sustainability</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89"/>
              </w:rPr>
              <w:t>21</w:t>
            </w: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Cautionary Note on Forward-Looking Statements</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104</w:t>
            </w:r>
          </w:p>
        </w:tc>
        <w:tc>
          <w:tcPr>
            <w:tcW w:w="4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Deadline for Receipt of Shareholder Proposals</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104</w:t>
            </w:r>
          </w:p>
        </w:tc>
        <w:tc>
          <w:tcPr>
            <w:tcW w:w="4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F2F2F2"/>
          </w:tcPr>
          <w:p>
            <w:pPr>
              <w:spacing w:after="0"/>
              <w:rPr>
                <w:sz w:val="20"/>
                <w:szCs w:val="20"/>
                <w:color w:val="auto"/>
              </w:rPr>
            </w:pPr>
            <w:r>
              <w:rPr>
                <w:rFonts w:ascii="Arial" w:cs="Arial" w:eastAsia="Arial" w:hAnsi="Arial"/>
                <w:sz w:val="18"/>
                <w:szCs w:val="18"/>
                <w:color w:val="auto"/>
              </w:rPr>
              <w:t>Appendix A - 2025 Equity Incentive Plan</w:t>
            </w:r>
          </w:p>
        </w:tc>
        <w:tc>
          <w:tcPr>
            <w:tcW w:w="70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105</w:t>
            </w:r>
          </w:p>
        </w:tc>
        <w:tc>
          <w:tcPr>
            <w:tcW w:w="4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Appendix B - NASDAQ Diversity Matrix</w:t>
            </w:r>
          </w:p>
        </w:tc>
        <w:tc>
          <w:tcPr>
            <w:tcW w:w="70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129</w:t>
            </w:r>
          </w:p>
        </w:tc>
        <w:tc>
          <w:tcPr>
            <w:tcW w:w="4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60" w:lineRule="exact"/>
        <w:rPr>
          <w:sz w:val="20"/>
          <w:szCs w:val="20"/>
          <w:color w:val="auto"/>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All directors elected annually by a simple majority of votes cast</w:t>
      </w:r>
    </w:p>
    <w:p>
      <w:pPr>
        <w:spacing w:after="0" w:line="8" w:lineRule="exact"/>
        <w:rPr>
          <w:rFonts w:ascii="Arial" w:cs="Arial" w:eastAsia="Arial" w:hAnsi="Arial"/>
          <w:sz w:val="18"/>
          <w:szCs w:val="18"/>
          <w:b w:val="1"/>
          <w:bCs w:val="1"/>
          <w:color w:val="BD03F7"/>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Independent Board Chair or Lead Independent Director</w:t>
      </w:r>
    </w:p>
    <w:p>
      <w:pPr>
        <w:spacing w:after="0" w:line="8" w:lineRule="exact"/>
        <w:rPr>
          <w:rFonts w:ascii="Arial" w:cs="Arial" w:eastAsia="Arial" w:hAnsi="Arial"/>
          <w:sz w:val="18"/>
          <w:szCs w:val="18"/>
          <w:b w:val="1"/>
          <w:bCs w:val="1"/>
          <w:color w:val="BD03F7"/>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Board has nominated eight (8) individuals for election as directors at the Annual Meeting. Each of the nominees is currently a member of our Board and each nominee was elected to our Board at the Annual Meeting of Shareholders for the fiscal year ended August 31, 2023 (“Fiscal 2023”), except for Mr. Swan, who was appointed to the Board in March 2024 and was recommended to the Governance and Sustainability Committee by our Chief Executive Officer (“CEO”).</w:t>
      </w:r>
    </w:p>
    <w:p>
      <w:pPr>
        <w:spacing w:after="0" w:line="189"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In October 2024, Mr. Switz, the current Chair of our Board provided notice that he would retire from the Board and would not seek re-election at the Annual Meeting. Mr. Switz will continue to serve as a director and as Chair through the end of his term at the Annual Meeting.</w:t>
      </w:r>
    </w:p>
    <w:p>
      <w:pPr>
        <w:spacing w:after="0" w:line="17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Each director elected at the Annual Meeting will serve until our Annual Meeting of Shareholders for Fiscal 2025 and until a successor is duly elected and qualified, except in the case of death, resignation or removal of such director. Each of the nominees has consented to be named in this Proxy Statement and to serve as a director if elected. If any nominee is unable or unwilling to stand for election or serve as a director if elected, the persons named as proxies may vote for a substitute nominee designated by our existing Board, or our Board may choose to reduce its size.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voting “FOR” the election of each of the nominees.</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 Shareholders are not permitted to cumulate votes with respect to the election of directors.</w:t>
      </w:r>
    </w:p>
    <w:p>
      <w:pPr>
        <w:spacing w:after="0" w:line="18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as a holdover director. However, under our Corporate Governance Guidelines, each incumbent nominee is required to submit a contingent resignation to the Chair of the Governance and Sustainability Committee. If the incumbent nominee fails to receive a majority of the votes cast in an election that is not a “contested election” (as defined in our Amended and Restated Bylaws (as currently in effect, the “Bylaws”)), the Governance and Sustainability Committee will make a recommendation to the Board on whether to accept or reject the resignation, or whether other action should be taken. The Board will act on the resignation, taking into account the Governance and Sustainability Committee’s recommendation, and publicly disclose its decision and the rationale behind it within 90 days from the date the election results are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89535</wp:posOffset>
            </wp:positionV>
            <wp:extent cx="7064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5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178560" cy="1529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8560" cy="1529080"/>
                    </a:xfrm>
                    <a:prstGeom prst="rect">
                      <a:avLst/>
                    </a:prstGeom>
                    <a:noFill/>
                  </pic:spPr>
                </pic:pic>
              </a:graphicData>
            </a:graphic>
          </wp:anchor>
        </w:drawing>
      </w:r>
    </w:p>
    <w:p>
      <w:pPr>
        <w:spacing w:after="0" w:line="19" w:lineRule="exact"/>
        <w:rPr>
          <w:sz w:val="20"/>
          <w:szCs w:val="20"/>
          <w:color w:val="auto"/>
        </w:rPr>
      </w:pPr>
    </w:p>
    <w:p>
      <w:pPr>
        <w:ind w:left="3240" w:right="900" w:hanging="229"/>
        <w:spacing w:after="0" w:line="180" w:lineRule="auto"/>
        <w:tabs>
          <w:tab w:leader="none" w:pos="3240" w:val="left"/>
        </w:tabs>
        <w:numPr>
          <w:ilvl w:val="0"/>
          <w:numId w:val="14"/>
        </w:numPr>
        <w:rPr>
          <w:rFonts w:ascii="Arial" w:cs="Arial" w:eastAsia="Arial" w:hAnsi="Arial"/>
          <w:sz w:val="37"/>
          <w:szCs w:val="37"/>
          <w:b w:val="1"/>
          <w:bCs w:val="1"/>
          <w:color w:val="BD03F7"/>
          <w:vertAlign w:val="subscript"/>
        </w:rPr>
      </w:pPr>
      <w:r>
        <w:rPr>
          <w:rFonts w:ascii="Arial" w:cs="Arial" w:eastAsia="Arial" w:hAnsi="Arial"/>
          <w:sz w:val="15"/>
          <w:szCs w:val="15"/>
          <w:color w:val="auto"/>
        </w:rPr>
        <w:t>Chairman and Chief Executive Officer of Freescale Semiconductor, Inc., a semiconductor manufacturer, from 2008 through June 2012; director from 2008 to 2013.</w:t>
      </w:r>
    </w:p>
    <w:p>
      <w:pPr>
        <w:spacing w:after="0" w:line="260" w:lineRule="exact"/>
        <w:rPr>
          <w:rFonts w:ascii="Arial" w:cs="Arial" w:eastAsia="Arial" w:hAnsi="Arial"/>
          <w:sz w:val="37"/>
          <w:szCs w:val="37"/>
          <w:b w:val="1"/>
          <w:bCs w:val="1"/>
          <w:color w:val="BD03F7"/>
          <w:vertAlign w:val="subscript"/>
        </w:rPr>
      </w:pPr>
    </w:p>
    <w:p>
      <w:pPr>
        <w:ind w:left="3240" w:right="680" w:hanging="229"/>
        <w:spacing w:after="0" w:line="180" w:lineRule="auto"/>
        <w:tabs>
          <w:tab w:leader="none" w:pos="3240" w:val="left"/>
        </w:tabs>
        <w:numPr>
          <w:ilvl w:val="0"/>
          <w:numId w:val="14"/>
        </w:numPr>
        <w:rPr>
          <w:rFonts w:ascii="Arial" w:cs="Arial" w:eastAsia="Arial" w:hAnsi="Arial"/>
          <w:sz w:val="36"/>
          <w:szCs w:val="36"/>
          <w:b w:val="1"/>
          <w:bCs w:val="1"/>
          <w:color w:val="BD03F7"/>
          <w:vertAlign w:val="subscript"/>
        </w:rPr>
      </w:pPr>
      <w:r>
        <w:rPr>
          <w:rFonts w:ascii="Arial" w:cs="Arial" w:eastAsia="Arial" w:hAnsi="Arial"/>
          <w:sz w:val="15"/>
          <w:szCs w:val="15"/>
          <w:color w:val="auto"/>
        </w:rPr>
        <w:t>Prior to Freescale, Mr. Beyer was President, Chief Executive Officer and a director of Intersil Corporation, a semiconductor company, from 2002 to 2008.</w:t>
      </w:r>
    </w:p>
    <w:p>
      <w:pPr>
        <w:spacing w:after="0" w:line="31" w:lineRule="exact"/>
        <w:rPr>
          <w:rFonts w:ascii="Arial" w:cs="Arial" w:eastAsia="Arial" w:hAnsi="Arial"/>
          <w:sz w:val="36"/>
          <w:szCs w:val="36"/>
          <w:b w:val="1"/>
          <w:bCs w:val="1"/>
          <w:color w:val="BD03F7"/>
          <w:vertAlign w:val="subscript"/>
        </w:rPr>
      </w:pPr>
    </w:p>
    <w:p>
      <w:pPr>
        <w:ind w:left="3240" w:right="400" w:hanging="229"/>
        <w:spacing w:after="0" w:line="230" w:lineRule="auto"/>
        <w:tabs>
          <w:tab w:leader="none" w:pos="3240" w:val="left"/>
        </w:tabs>
        <w:numPr>
          <w:ilvl w:val="0"/>
          <w:numId w:val="14"/>
        </w:numPr>
        <w:rPr>
          <w:rFonts w:ascii="Arial" w:cs="Arial" w:eastAsia="Arial" w:hAnsi="Arial"/>
          <w:sz w:val="42"/>
          <w:szCs w:val="42"/>
          <w:b w:val="1"/>
          <w:bCs w:val="1"/>
          <w:color w:val="BD03F7"/>
          <w:vertAlign w:val="subscript"/>
        </w:rPr>
      </w:pPr>
      <w:r>
        <w:rPr>
          <w:rFonts w:ascii="Arial" w:cs="Arial" w:eastAsia="Arial" w:hAnsi="Arial"/>
          <w:sz w:val="16"/>
          <w:szCs w:val="16"/>
          <w:color w:val="auto"/>
        </w:rPr>
        <w:t>Mr. Beyer previously served in executive management roles at FVC.com, VLSI Technology, and National Semiconductor Corporation, and served three years as an officer in the United States Marine Corps.</w:t>
      </w:r>
    </w:p>
    <w:p>
      <w:pPr>
        <w:spacing w:after="0" w:line="87" w:lineRule="exact"/>
        <w:rPr>
          <w:rFonts w:ascii="Arial" w:cs="Arial" w:eastAsia="Arial" w:hAnsi="Arial"/>
          <w:sz w:val="42"/>
          <w:szCs w:val="42"/>
          <w:b w:val="1"/>
          <w:bCs w:val="1"/>
          <w:color w:val="BD03F7"/>
          <w:vertAlign w:val="subscript"/>
        </w:rPr>
      </w:pPr>
    </w:p>
    <w:p>
      <w:pPr>
        <w:ind w:left="3240" w:right="1720" w:hanging="229"/>
        <w:spacing w:after="0" w:line="213" w:lineRule="auto"/>
        <w:tabs>
          <w:tab w:leader="none" w:pos="3240" w:val="left"/>
        </w:tabs>
        <w:numPr>
          <w:ilvl w:val="0"/>
          <w:numId w:val="14"/>
        </w:numPr>
        <w:rPr>
          <w:rFonts w:ascii="Arial" w:cs="Arial" w:eastAsia="Arial" w:hAnsi="Arial"/>
          <w:sz w:val="25"/>
          <w:szCs w:val="25"/>
          <w:b w:val="1"/>
          <w:bCs w:val="1"/>
          <w:color w:val="BD03F7"/>
        </w:rPr>
      </w:pPr>
      <w:r>
        <w:rPr>
          <w:rFonts w:ascii="Arial" w:cs="Arial" w:eastAsia="Arial" w:hAnsi="Arial"/>
          <w:sz w:val="18"/>
          <w:szCs w:val="18"/>
          <w:color w:val="auto"/>
        </w:rPr>
        <w:t>Within the past five years, Mr. Beyer served on the Board of Directors of Dialog Semiconductor.</w:t>
      </w:r>
    </w:p>
    <w:p>
      <w:pPr>
        <w:sectPr>
          <w:pgSz w:w="11900" w:h="16838" w:orient="portrait"/>
          <w:cols w:equalWidth="0" w:num="1">
            <w:col w:w="11220"/>
          </w:cols>
          <w:pgMar w:left="340" w:top="125" w:right="3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Richard M.</w:t>
      </w:r>
    </w:p>
    <w:p>
      <w:pPr>
        <w:spacing w:after="0"/>
        <w:rPr>
          <w:sz w:val="20"/>
          <w:szCs w:val="20"/>
          <w:color w:val="auto"/>
        </w:rPr>
      </w:pPr>
      <w:r>
        <w:rPr>
          <w:rFonts w:ascii="Arial" w:cs="Arial" w:eastAsia="Arial" w:hAnsi="Arial"/>
          <w:sz w:val="36"/>
          <w:szCs w:val="36"/>
          <w:b w:val="1"/>
          <w:bCs w:val="1"/>
          <w:color w:val="auto"/>
        </w:rPr>
        <w:t>Beyer</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Age | 76</w:t>
      </w:r>
    </w:p>
    <w:p>
      <w:pPr>
        <w:spacing w:after="0"/>
        <w:rPr>
          <w:sz w:val="20"/>
          <w:szCs w:val="20"/>
          <w:color w:val="auto"/>
        </w:rPr>
      </w:pPr>
      <w:r>
        <w:rPr>
          <w:rFonts w:ascii="Arial" w:cs="Arial" w:eastAsia="Arial" w:hAnsi="Arial"/>
          <w:sz w:val="18"/>
          <w:szCs w:val="18"/>
          <w:color w:val="auto"/>
        </w:rPr>
        <w:t>Director Since |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0" w:lineRule="auto"/>
        <w:rPr>
          <w:sz w:val="20"/>
          <w:szCs w:val="20"/>
          <w:color w:val="auto"/>
        </w:rPr>
      </w:pPr>
      <w:r>
        <w:rPr>
          <w:rFonts w:ascii="Arial" w:cs="Arial" w:eastAsia="Arial" w:hAnsi="Arial"/>
          <w:sz w:val="18"/>
          <w:szCs w:val="18"/>
          <w:color w:val="auto"/>
        </w:rPr>
        <w:t>Compensation (Chair), Governance and Sustainability,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1178560" cy="1529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8560" cy="1529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94" w:lineRule="exact"/>
        <w:rPr>
          <w:sz w:val="20"/>
          <w:szCs w:val="20"/>
          <w:color w:val="auto"/>
        </w:rPr>
      </w:pPr>
    </w:p>
    <w:p>
      <w:pPr>
        <w:ind w:left="340" w:hanging="229"/>
        <w:spacing w:after="0"/>
        <w:tabs>
          <w:tab w:leader="none" w:pos="340" w:val="left"/>
        </w:tabs>
        <w:numPr>
          <w:ilvl w:val="0"/>
          <w:numId w:val="15"/>
        </w:numPr>
        <w:rPr>
          <w:rFonts w:ascii="Arial" w:cs="Arial" w:eastAsia="Arial" w:hAnsi="Arial"/>
          <w:sz w:val="25"/>
          <w:szCs w:val="25"/>
          <w:b w:val="1"/>
          <w:bCs w:val="1"/>
          <w:color w:val="BD03F7"/>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286385</wp:posOffset>
            </wp:positionV>
            <wp:extent cx="7064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2480" w:space="420"/>
            <w:col w:w="832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Lynn A. Dugle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Age | 65</w:t>
      </w:r>
    </w:p>
    <w:p>
      <w:pPr>
        <w:spacing w:after="0"/>
        <w:rPr>
          <w:sz w:val="20"/>
          <w:szCs w:val="20"/>
          <w:color w:val="auto"/>
        </w:rPr>
      </w:pPr>
      <w:r>
        <w:rPr>
          <w:rFonts w:ascii="Arial" w:cs="Arial" w:eastAsia="Arial" w:hAnsi="Arial"/>
          <w:sz w:val="18"/>
          <w:szCs w:val="18"/>
          <w:color w:val="auto"/>
        </w:rPr>
        <w:t>Director Since |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auto"/>
        <w:rPr>
          <w:sz w:val="20"/>
          <w:szCs w:val="20"/>
          <w:color w:val="auto"/>
        </w:rPr>
      </w:pPr>
      <w:r>
        <w:rPr>
          <w:rFonts w:ascii="Arial" w:cs="Arial" w:eastAsia="Arial" w:hAnsi="Arial"/>
          <w:sz w:val="18"/>
          <w:szCs w:val="18"/>
          <w:color w:val="auto"/>
        </w:rPr>
        <w:t>Governance and Sustainability, Security</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860" w:hanging="229"/>
        <w:spacing w:after="0" w:line="181" w:lineRule="auto"/>
        <w:tabs>
          <w:tab w:leader="none" w:pos="340" w:val="left"/>
        </w:tabs>
        <w:numPr>
          <w:ilvl w:val="0"/>
          <w:numId w:val="16"/>
        </w:numPr>
        <w:rPr>
          <w:rFonts w:ascii="Arial" w:cs="Arial" w:eastAsia="Arial" w:hAnsi="Arial"/>
          <w:sz w:val="35"/>
          <w:szCs w:val="35"/>
          <w:b w:val="1"/>
          <w:bCs w:val="1"/>
          <w:color w:val="BD03F7"/>
          <w:vertAlign w:val="subscript"/>
        </w:rPr>
      </w:pPr>
      <w:r>
        <w:rPr>
          <w:rFonts w:ascii="Arial" w:cs="Arial" w:eastAsia="Arial" w:hAnsi="Arial"/>
          <w:sz w:val="15"/>
          <w:szCs w:val="15"/>
          <w:color w:val="auto"/>
        </w:rPr>
        <w:t>Chairman, Chief Executive Officer, and President of Engility Holdings Inc., an NYSE-listed engineering services firm, from March 2016 to January 2019.</w:t>
      </w:r>
    </w:p>
    <w:p>
      <w:pPr>
        <w:spacing w:after="0" w:line="46" w:lineRule="exact"/>
        <w:rPr>
          <w:rFonts w:ascii="Arial" w:cs="Arial" w:eastAsia="Arial" w:hAnsi="Arial"/>
          <w:sz w:val="35"/>
          <w:szCs w:val="35"/>
          <w:b w:val="1"/>
          <w:bCs w:val="1"/>
          <w:color w:val="BD03F7"/>
          <w:vertAlign w:val="subscript"/>
        </w:rPr>
      </w:pPr>
    </w:p>
    <w:p>
      <w:pPr>
        <w:ind w:left="340" w:right="140" w:hanging="229"/>
        <w:spacing w:after="0" w:line="230" w:lineRule="auto"/>
        <w:tabs>
          <w:tab w:leader="none" w:pos="340" w:val="left"/>
        </w:tabs>
        <w:numPr>
          <w:ilvl w:val="0"/>
          <w:numId w:val="16"/>
        </w:numPr>
        <w:rPr>
          <w:rFonts w:ascii="Arial" w:cs="Arial" w:eastAsia="Arial" w:hAnsi="Arial"/>
          <w:sz w:val="42"/>
          <w:szCs w:val="42"/>
          <w:b w:val="1"/>
          <w:bCs w:val="1"/>
          <w:color w:val="BD03F7"/>
          <w:vertAlign w:val="subscript"/>
        </w:rPr>
      </w:pPr>
      <w:r>
        <w:rPr>
          <w:rFonts w:ascii="Arial" w:cs="Arial" w:eastAsia="Arial" w:hAnsi="Arial"/>
          <w:sz w:val="16"/>
          <w:szCs w:val="16"/>
          <w:color w:val="auto"/>
        </w:rPr>
        <w:t>Prior to Engility, Ms. Dugle was Corporate Vice President, President of Intelligence and Information Systems of Raytheon Company, a U.S. defense contractor and industrial corporation, from January 2009 to March 2015.</w:t>
      </w:r>
    </w:p>
    <w:p>
      <w:pPr>
        <w:spacing w:after="0" w:line="2" w:lineRule="exact"/>
        <w:rPr>
          <w:rFonts w:ascii="Arial" w:cs="Arial" w:eastAsia="Arial" w:hAnsi="Arial"/>
          <w:sz w:val="42"/>
          <w:szCs w:val="42"/>
          <w:b w:val="1"/>
          <w:bCs w:val="1"/>
          <w:color w:val="BD03F7"/>
          <w:vertAlign w:val="subscript"/>
        </w:rPr>
      </w:pPr>
    </w:p>
    <w:p>
      <w:pPr>
        <w:ind w:left="340" w:hanging="229"/>
        <w:spacing w:after="0" w:line="181" w:lineRule="auto"/>
        <w:tabs>
          <w:tab w:leader="none" w:pos="340" w:val="left"/>
        </w:tabs>
        <w:numPr>
          <w:ilvl w:val="0"/>
          <w:numId w:val="16"/>
        </w:numPr>
        <w:rPr>
          <w:rFonts w:ascii="Arial" w:cs="Arial" w:eastAsia="Arial" w:hAnsi="Arial"/>
          <w:sz w:val="34"/>
          <w:szCs w:val="34"/>
          <w:b w:val="1"/>
          <w:bCs w:val="1"/>
          <w:color w:val="BD03F7"/>
          <w:vertAlign w:val="subscript"/>
        </w:rPr>
      </w:pPr>
      <w:r>
        <w:rPr>
          <w:rFonts w:ascii="Arial" w:cs="Arial" w:eastAsia="Arial" w:hAnsi="Arial"/>
          <w:sz w:val="15"/>
          <w:szCs w:val="15"/>
          <w:color w:val="auto"/>
        </w:rPr>
        <w:t>Within the past five years, Ms. Dugle served on the Board of Directors of State Street Corporation.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29"/>
        <w:spacing w:after="0"/>
        <w:tabs>
          <w:tab w:leader="none" w:pos="340" w:val="left"/>
        </w:tabs>
        <w:numPr>
          <w:ilvl w:val="0"/>
          <w:numId w:val="17"/>
        </w:numPr>
        <w:rPr>
          <w:rFonts w:ascii="Arial" w:cs="Arial" w:eastAsia="Arial" w:hAnsi="Arial"/>
          <w:sz w:val="25"/>
          <w:szCs w:val="25"/>
          <w:b w:val="1"/>
          <w:bCs w:val="1"/>
          <w:color w:val="BD03F7"/>
        </w:rPr>
      </w:pPr>
      <w:r>
        <w:rPr>
          <w:rFonts w:ascii="Arial" w:cs="Arial" w:eastAsia="Arial" w:hAnsi="Arial"/>
          <w:sz w:val="18"/>
          <w:szCs w:val="18"/>
          <w:color w:val="auto"/>
        </w:rPr>
        <w:t>EOG Resources, Inc.</w:t>
      </w:r>
    </w:p>
    <w:p>
      <w:pPr>
        <w:spacing w:after="0" w:line="62" w:lineRule="exact"/>
        <w:rPr>
          <w:rFonts w:ascii="Arial" w:cs="Arial" w:eastAsia="Arial" w:hAnsi="Arial"/>
          <w:sz w:val="25"/>
          <w:szCs w:val="25"/>
          <w:b w:val="1"/>
          <w:bCs w:val="1"/>
          <w:color w:val="BD03F7"/>
        </w:rPr>
      </w:pPr>
    </w:p>
    <w:p>
      <w:pPr>
        <w:ind w:left="340" w:hanging="229"/>
        <w:spacing w:after="0"/>
        <w:tabs>
          <w:tab w:leader="none" w:pos="340" w:val="left"/>
        </w:tabs>
        <w:numPr>
          <w:ilvl w:val="0"/>
          <w:numId w:val="17"/>
        </w:numPr>
        <w:rPr>
          <w:rFonts w:ascii="Arial" w:cs="Arial" w:eastAsia="Arial" w:hAnsi="Arial"/>
          <w:sz w:val="25"/>
          <w:szCs w:val="25"/>
          <w:b w:val="1"/>
          <w:bCs w:val="1"/>
          <w:color w:val="BD03F7"/>
        </w:rPr>
      </w:pPr>
      <w:r>
        <w:rPr>
          <w:rFonts w:ascii="Arial" w:cs="Arial" w:eastAsia="Arial" w:hAnsi="Arial"/>
          <w:sz w:val="18"/>
          <w:szCs w:val="18"/>
          <w:color w:val="auto"/>
        </w:rPr>
        <w:t>KBR, Inc.</w:t>
      </w:r>
    </w:p>
    <w:p>
      <w:pPr>
        <w:spacing w:after="0" w:line="62" w:lineRule="exact"/>
        <w:rPr>
          <w:rFonts w:ascii="Arial" w:cs="Arial" w:eastAsia="Arial" w:hAnsi="Arial"/>
          <w:sz w:val="25"/>
          <w:szCs w:val="25"/>
          <w:b w:val="1"/>
          <w:bCs w:val="1"/>
          <w:color w:val="BD03F7"/>
        </w:rPr>
      </w:pPr>
    </w:p>
    <w:p>
      <w:pPr>
        <w:ind w:left="340" w:hanging="229"/>
        <w:spacing w:after="0"/>
        <w:tabs>
          <w:tab w:leader="none" w:pos="340" w:val="left"/>
        </w:tabs>
        <w:numPr>
          <w:ilvl w:val="0"/>
          <w:numId w:val="17"/>
        </w:numPr>
        <w:rPr>
          <w:rFonts w:ascii="Arial" w:cs="Arial" w:eastAsia="Arial" w:hAnsi="Arial"/>
          <w:sz w:val="25"/>
          <w:szCs w:val="25"/>
          <w:b w:val="1"/>
          <w:bCs w:val="1"/>
          <w:color w:val="BD03F7"/>
        </w:rPr>
      </w:pPr>
      <w:r>
        <w:rPr>
          <w:rFonts w:ascii="Arial" w:cs="Arial" w:eastAsia="Arial" w:hAnsi="Arial"/>
          <w:sz w:val="18"/>
          <w:szCs w:val="18"/>
          <w:color w:val="auto"/>
        </w:rPr>
        <w:t>TE Connectivity Ltd.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Ms. Dugle’s experience as chairman and chief executive officer of a public engineering services firm and senior officer of a leading public technology company provides our Board expertise in information, technology, cybersecurity, corporate strategy, operations, and research and development, all of which are critical to achieving our strategic objectives. We believe these experiences, qualifications, attributes, and skills qualify Ms. Dugle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266065</wp:posOffset>
            </wp:positionV>
            <wp:extent cx="7064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20"/>
            <w:col w:w="832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60"/>
        <w:spacing w:after="0"/>
        <w:rPr>
          <w:sz w:val="20"/>
          <w:szCs w:val="20"/>
          <w:color w:val="auto"/>
        </w:rPr>
      </w:pPr>
      <w:r>
        <w:rPr>
          <w:sz w:val="1"/>
          <w:szCs w:val="1"/>
          <w:color w:val="auto"/>
        </w:rPr>
        <w:drawing>
          <wp:inline distT="0" distB="0" distL="0" distR="0">
            <wp:extent cx="77724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1"/>
          <w:szCs w:val="11"/>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100330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type w:val="continuous"/>
        </w:sectPr>
      </w:pPr>
    </w:p>
    <w:bookmarkStart w:id="12" w:name="page13"/>
    <w:bookmarkEnd w:id="12"/>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064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Steven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-2048510</wp:posOffset>
            </wp:positionV>
            <wp:extent cx="1178560" cy="1631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8560" cy="1631315"/>
                    </a:xfrm>
                    <a:prstGeom prst="rect">
                      <a:avLst/>
                    </a:prstGeom>
                    <a:noFill/>
                  </pic:spPr>
                </pic:pic>
              </a:graphicData>
            </a:graphic>
          </wp:anchor>
        </w:drawing>
      </w:r>
    </w:p>
    <w:p>
      <w:pPr>
        <w:ind w:left="20"/>
        <w:spacing w:after="0"/>
        <w:rPr>
          <w:sz w:val="20"/>
          <w:szCs w:val="20"/>
          <w:color w:val="auto"/>
        </w:rPr>
      </w:pPr>
      <w:r>
        <w:rPr>
          <w:rFonts w:ascii="Arial" w:cs="Arial" w:eastAsia="Arial" w:hAnsi="Arial"/>
          <w:sz w:val="36"/>
          <w:szCs w:val="36"/>
          <w:b w:val="1"/>
          <w:bCs w:val="1"/>
          <w:color w:val="auto"/>
        </w:rPr>
        <w:t>Gomo</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72</w:t>
      </w:r>
    </w:p>
    <w:p>
      <w:pPr>
        <w:ind w:left="20"/>
        <w:spacing w:after="0"/>
        <w:rPr>
          <w:sz w:val="20"/>
          <w:szCs w:val="20"/>
          <w:color w:val="auto"/>
        </w:rPr>
      </w:pPr>
      <w:r>
        <w:rPr>
          <w:rFonts w:ascii="Arial" w:cs="Arial" w:eastAsia="Arial" w:hAnsi="Arial"/>
          <w:sz w:val="18"/>
          <w:szCs w:val="18"/>
          <w:color w:val="auto"/>
        </w:rPr>
        <w:t>Director Since | 2018</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7"/>
          <w:szCs w:val="17"/>
          <w:color w:val="auto"/>
        </w:rPr>
        <w:t>Audit, 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1178560" cy="1631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8560" cy="1631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180" w:hanging="229"/>
        <w:spacing w:after="0" w:line="182" w:lineRule="auto"/>
        <w:tabs>
          <w:tab w:leader="none" w:pos="340" w:val="left"/>
        </w:tabs>
        <w:numPr>
          <w:ilvl w:val="0"/>
          <w:numId w:val="18"/>
        </w:numPr>
        <w:rPr>
          <w:rFonts w:ascii="Arial" w:cs="Arial" w:eastAsia="Arial" w:hAnsi="Arial"/>
          <w:sz w:val="41"/>
          <w:szCs w:val="41"/>
          <w:b w:val="1"/>
          <w:bCs w:val="1"/>
          <w:color w:val="BD03F7"/>
          <w:vertAlign w:val="subscript"/>
        </w:rPr>
      </w:pPr>
      <w:r>
        <w:rPr>
          <w:rFonts w:ascii="Arial" w:cs="Arial" w:eastAsia="Arial" w:hAnsi="Arial"/>
          <w:sz w:val="16"/>
          <w:szCs w:val="16"/>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29"/>
        <w:spacing w:after="0"/>
        <w:tabs>
          <w:tab w:leader="none" w:pos="340" w:val="left"/>
        </w:tabs>
        <w:numPr>
          <w:ilvl w:val="0"/>
          <w:numId w:val="19"/>
        </w:numPr>
        <w:rPr>
          <w:rFonts w:ascii="Arial" w:cs="Arial" w:eastAsia="Arial" w:hAnsi="Arial"/>
          <w:sz w:val="25"/>
          <w:szCs w:val="25"/>
          <w:b w:val="1"/>
          <w:bCs w:val="1"/>
          <w:color w:val="BD03F7"/>
        </w:rPr>
      </w:pPr>
      <w:r>
        <w:rPr>
          <w:rFonts w:ascii="Arial" w:cs="Arial" w:eastAsia="Arial" w:hAnsi="Arial"/>
          <w:sz w:val="18"/>
          <w:szCs w:val="18"/>
          <w:color w:val="auto"/>
        </w:rPr>
        <w:t>Nutanix, Inc.</w:t>
      </w:r>
    </w:p>
    <w:p>
      <w:pPr>
        <w:spacing w:after="0" w:line="62" w:lineRule="exact"/>
        <w:rPr>
          <w:rFonts w:ascii="Arial" w:cs="Arial" w:eastAsia="Arial" w:hAnsi="Arial"/>
          <w:sz w:val="25"/>
          <w:szCs w:val="25"/>
          <w:b w:val="1"/>
          <w:bCs w:val="1"/>
          <w:color w:val="BD03F7"/>
        </w:rPr>
      </w:pPr>
    </w:p>
    <w:p>
      <w:pPr>
        <w:ind w:left="340" w:hanging="229"/>
        <w:spacing w:after="0"/>
        <w:tabs>
          <w:tab w:leader="none" w:pos="340" w:val="left"/>
        </w:tabs>
        <w:numPr>
          <w:ilvl w:val="0"/>
          <w:numId w:val="19"/>
        </w:numPr>
        <w:rPr>
          <w:rFonts w:ascii="Arial" w:cs="Arial" w:eastAsia="Arial" w:hAnsi="Arial"/>
          <w:sz w:val="25"/>
          <w:szCs w:val="25"/>
          <w:b w:val="1"/>
          <w:bCs w:val="1"/>
          <w:color w:val="BD03F7"/>
        </w:rPr>
      </w:pPr>
      <w:r>
        <w:rPr>
          <w:rFonts w:ascii="Arial" w:cs="Arial" w:eastAsia="Arial" w:hAnsi="Arial"/>
          <w:sz w:val="18"/>
          <w:szCs w:val="18"/>
          <w:color w:val="auto"/>
        </w:rPr>
        <w:t>Enphase Energy,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927100</wp:posOffset>
            </wp:positionV>
            <wp:extent cx="7064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585" w:lineRule="exact"/>
        <w:rPr>
          <w:sz w:val="20"/>
          <w:szCs w:val="20"/>
          <w:color w:val="auto"/>
        </w:rPr>
      </w:pPr>
    </w:p>
    <w:p>
      <w:pPr>
        <w:sectPr>
          <w:pgSz w:w="11900" w:h="16838" w:orient="portrait"/>
          <w:cols w:equalWidth="0" w:num="2">
            <w:col w:w="2200" w:space="720"/>
            <w:col w:w="83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line="255" w:lineRule="auto"/>
        <w:rPr>
          <w:sz w:val="20"/>
          <w:szCs w:val="20"/>
          <w:color w:val="auto"/>
        </w:rPr>
      </w:pPr>
      <w:r>
        <w:rPr>
          <w:rFonts w:ascii="Arial" w:cs="Arial" w:eastAsia="Arial" w:hAnsi="Arial"/>
          <w:sz w:val="35"/>
          <w:szCs w:val="35"/>
          <w:b w:val="1"/>
          <w:bCs w:val="1"/>
          <w:color w:val="auto"/>
        </w:rPr>
        <w:t>Linnie M. Haynesworth</w:t>
      </w:r>
    </w:p>
    <w:p>
      <w:pPr>
        <w:spacing w:after="0" w:line="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67</w:t>
      </w:r>
    </w:p>
    <w:p>
      <w:pPr>
        <w:ind w:left="20"/>
        <w:spacing w:after="0"/>
        <w:rPr>
          <w:sz w:val="20"/>
          <w:szCs w:val="20"/>
          <w:color w:val="auto"/>
        </w:rPr>
      </w:pPr>
      <w:r>
        <w:rPr>
          <w:rFonts w:ascii="Arial" w:cs="Arial" w:eastAsia="Arial" w:hAnsi="Arial"/>
          <w:sz w:val="18"/>
          <w:szCs w:val="18"/>
          <w:color w:val="auto"/>
        </w:rPr>
        <w:t>Director Since | 2021</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8"/>
          <w:szCs w:val="18"/>
          <w:color w:val="auto"/>
        </w:rPr>
        <w:t>Audit, Security (Chair)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280" w:hanging="229"/>
        <w:spacing w:after="0" w:line="183" w:lineRule="auto"/>
        <w:tabs>
          <w:tab w:leader="none" w:pos="340" w:val="left"/>
        </w:tabs>
        <w:numPr>
          <w:ilvl w:val="0"/>
          <w:numId w:val="20"/>
        </w:numPr>
        <w:rPr>
          <w:rFonts w:ascii="Arial" w:cs="Arial" w:eastAsia="Arial" w:hAnsi="Arial"/>
          <w:sz w:val="42"/>
          <w:szCs w:val="42"/>
          <w:b w:val="1"/>
          <w:bCs w:val="1"/>
          <w:color w:val="BD03F7"/>
          <w:vertAlign w:val="subscript"/>
        </w:rPr>
      </w:pPr>
      <w:r>
        <w:rPr>
          <w:rFonts w:ascii="Arial" w:cs="Arial" w:eastAsia="Arial" w:hAnsi="Arial"/>
          <w:sz w:val="16"/>
          <w:szCs w:val="16"/>
          <w:color w:val="auto"/>
        </w:rPr>
        <w:t>Sector Vice President, Cyber and Intelligence Mission Solutions Division from January 2016 to 2019, and Sector Vice President and General Manager from December 2013 to 2019 at Northrop Grumman, a defense and space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29"/>
        <w:spacing w:after="0"/>
        <w:tabs>
          <w:tab w:leader="none" w:pos="340" w:val="left"/>
        </w:tabs>
        <w:numPr>
          <w:ilvl w:val="0"/>
          <w:numId w:val="21"/>
        </w:numPr>
        <w:rPr>
          <w:rFonts w:ascii="Arial" w:cs="Arial" w:eastAsia="Arial" w:hAnsi="Arial"/>
          <w:sz w:val="25"/>
          <w:szCs w:val="25"/>
          <w:b w:val="1"/>
          <w:bCs w:val="1"/>
          <w:color w:val="BD03F7"/>
        </w:rPr>
      </w:pPr>
      <w:r>
        <w:rPr>
          <w:rFonts w:ascii="Arial" w:cs="Arial" w:eastAsia="Arial" w:hAnsi="Arial"/>
          <w:sz w:val="18"/>
          <w:szCs w:val="18"/>
          <w:color w:val="auto"/>
        </w:rPr>
        <w:t>Truist Financial Corporation</w:t>
      </w:r>
    </w:p>
    <w:p>
      <w:pPr>
        <w:spacing w:after="0" w:line="62" w:lineRule="exact"/>
        <w:rPr>
          <w:rFonts w:ascii="Arial" w:cs="Arial" w:eastAsia="Arial" w:hAnsi="Arial"/>
          <w:sz w:val="25"/>
          <w:szCs w:val="25"/>
          <w:b w:val="1"/>
          <w:bCs w:val="1"/>
          <w:color w:val="BD03F7"/>
        </w:rPr>
      </w:pPr>
    </w:p>
    <w:p>
      <w:pPr>
        <w:ind w:left="340" w:hanging="229"/>
        <w:spacing w:after="0"/>
        <w:tabs>
          <w:tab w:leader="none" w:pos="340" w:val="left"/>
        </w:tabs>
        <w:numPr>
          <w:ilvl w:val="0"/>
          <w:numId w:val="21"/>
        </w:numPr>
        <w:rPr>
          <w:rFonts w:ascii="Arial" w:cs="Arial" w:eastAsia="Arial" w:hAnsi="Arial"/>
          <w:sz w:val="25"/>
          <w:szCs w:val="25"/>
          <w:b w:val="1"/>
          <w:bCs w:val="1"/>
          <w:color w:val="BD03F7"/>
        </w:rPr>
      </w:pPr>
      <w:r>
        <w:rPr>
          <w:rFonts w:ascii="Arial" w:cs="Arial" w:eastAsia="Arial" w:hAnsi="Arial"/>
          <w:sz w:val="18"/>
          <w:szCs w:val="18"/>
          <w:color w:val="auto"/>
        </w:rPr>
        <w:t>Automatic Data Processing, Inc.</w:t>
      </w:r>
    </w:p>
    <w:p>
      <w:pPr>
        <w:spacing w:after="0" w:line="62" w:lineRule="exact"/>
        <w:rPr>
          <w:rFonts w:ascii="Arial" w:cs="Arial" w:eastAsia="Arial" w:hAnsi="Arial"/>
          <w:sz w:val="25"/>
          <w:szCs w:val="25"/>
          <w:b w:val="1"/>
          <w:bCs w:val="1"/>
          <w:color w:val="BD03F7"/>
        </w:rPr>
      </w:pPr>
    </w:p>
    <w:p>
      <w:pPr>
        <w:ind w:left="340" w:hanging="229"/>
        <w:spacing w:after="0"/>
        <w:tabs>
          <w:tab w:leader="none" w:pos="340" w:val="left"/>
        </w:tabs>
        <w:numPr>
          <w:ilvl w:val="0"/>
          <w:numId w:val="21"/>
        </w:numPr>
        <w:rPr>
          <w:rFonts w:ascii="Arial" w:cs="Arial" w:eastAsia="Arial" w:hAnsi="Arial"/>
          <w:sz w:val="25"/>
          <w:szCs w:val="25"/>
          <w:b w:val="1"/>
          <w:bCs w:val="1"/>
          <w:color w:val="BD03F7"/>
        </w:rPr>
      </w:pPr>
      <w:r>
        <w:rPr>
          <w:rFonts w:ascii="Arial" w:cs="Arial" w:eastAsia="Arial" w:hAnsi="Arial"/>
          <w:sz w:val="18"/>
          <w:szCs w:val="18"/>
          <w:color w:val="auto"/>
        </w:rPr>
        <w:t>Eastman Chemical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Ms. Haynesworth’s experience as the sector vice president and general manager of a public defense and space company provides our Board expertise in technology integration, cybersecurity (including a Certificate in Cybersecurity Oversight), enterprise strategy, risk management, and large complex system development, delivery, and deployment, and contributes valuable insights and perspectives to our business and operations. Additionally, Ms. Haynesworth became a Member of the Defense Business Board of the United States Department of Defense in November 2021. We believe these experiences, qualifications, attributes, and skills qualify Ms. Haynesworth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587375</wp:posOffset>
            </wp:positionV>
            <wp:extent cx="7064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913" w:lineRule="exact"/>
        <w:rPr>
          <w:sz w:val="20"/>
          <w:szCs w:val="20"/>
          <w:color w:val="auto"/>
        </w:rPr>
      </w:pPr>
    </w:p>
    <w:p>
      <w:pPr>
        <w:sectPr>
          <w:pgSz w:w="11900" w:h="16838" w:orient="portrait"/>
          <w:cols w:equalWidth="0" w:num="2">
            <w:col w:w="2280" w:space="640"/>
            <w:col w:w="83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left="986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064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40"/>
        <w:spacing w:after="0" w:line="255" w:lineRule="auto"/>
        <w:rPr>
          <w:sz w:val="20"/>
          <w:szCs w:val="20"/>
          <w:color w:val="auto"/>
        </w:rPr>
      </w:pPr>
      <w:r>
        <w:rPr>
          <w:rFonts w:ascii="Arial" w:cs="Arial" w:eastAsia="Arial" w:hAnsi="Arial"/>
          <w:sz w:val="35"/>
          <w:szCs w:val="35"/>
          <w:b w:val="1"/>
          <w:bCs w:val="1"/>
          <w:color w:val="auto"/>
        </w:rPr>
        <w:t>Mary Pat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-2252345</wp:posOffset>
            </wp:positionV>
            <wp:extent cx="1178560" cy="1546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8560" cy="154622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Age | 69</w:t>
      </w:r>
    </w:p>
    <w:p>
      <w:pPr>
        <w:spacing w:after="0"/>
        <w:rPr>
          <w:sz w:val="20"/>
          <w:szCs w:val="20"/>
          <w:color w:val="auto"/>
        </w:rPr>
      </w:pPr>
      <w:r>
        <w:rPr>
          <w:rFonts w:ascii="Arial" w:cs="Arial" w:eastAsia="Arial" w:hAnsi="Arial"/>
          <w:sz w:val="18"/>
          <w:szCs w:val="18"/>
          <w:color w:val="auto"/>
        </w:rPr>
        <w:t>Director Since |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rPr>
          <w:sz w:val="20"/>
          <w:szCs w:val="20"/>
          <w:color w:val="auto"/>
        </w:rPr>
      </w:pPr>
      <w:r>
        <w:rPr>
          <w:rFonts w:ascii="Arial" w:cs="Arial" w:eastAsia="Arial" w:hAnsi="Arial"/>
          <w:sz w:val="17"/>
          <w:szCs w:val="17"/>
          <w:color w:val="auto"/>
        </w:rPr>
        <w:t>Audit (Chair),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1178560" cy="1563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78560" cy="1563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200" w:hanging="229"/>
        <w:spacing w:after="0" w:line="219" w:lineRule="auto"/>
        <w:tabs>
          <w:tab w:leader="none" w:pos="340" w:val="left"/>
        </w:tabs>
        <w:numPr>
          <w:ilvl w:val="0"/>
          <w:numId w:val="22"/>
        </w:numPr>
        <w:rPr>
          <w:rFonts w:ascii="Arial" w:cs="Arial" w:eastAsia="Arial" w:hAnsi="Arial"/>
          <w:sz w:val="47"/>
          <w:szCs w:val="47"/>
          <w:b w:val="1"/>
          <w:bCs w:val="1"/>
          <w:color w:val="BD03F7"/>
          <w:vertAlign w:val="subscript"/>
        </w:rPr>
      </w:pPr>
      <w:r>
        <w:rPr>
          <w:rFonts w:ascii="Arial" w:cs="Arial" w:eastAsia="Arial" w:hAnsi="Arial"/>
          <w:sz w:val="17"/>
          <w:szCs w:val="17"/>
          <w:color w:val="auto"/>
        </w:rPr>
        <w:t>Vice Chair of KPMG LLP, the U.S. member firm of the global audit, tax, and advisory services firm, from July 1998 until her retirement in December 2011. Ms. McCarthy joined KPMG in 1977, became a partner in 1987, and held numerous senior leadership positions with the firm during her tenure.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29"/>
        <w:spacing w:after="0"/>
        <w:tabs>
          <w:tab w:leader="none" w:pos="340" w:val="left"/>
        </w:tabs>
        <w:numPr>
          <w:ilvl w:val="0"/>
          <w:numId w:val="23"/>
        </w:numPr>
        <w:rPr>
          <w:rFonts w:ascii="Arial" w:cs="Arial" w:eastAsia="Arial" w:hAnsi="Arial"/>
          <w:sz w:val="25"/>
          <w:szCs w:val="25"/>
          <w:b w:val="1"/>
          <w:bCs w:val="1"/>
          <w:color w:val="BD03F7"/>
        </w:rPr>
      </w:pPr>
      <w:r>
        <w:rPr>
          <w:rFonts w:ascii="Arial" w:cs="Arial" w:eastAsia="Arial" w:hAnsi="Arial"/>
          <w:sz w:val="18"/>
          <w:szCs w:val="18"/>
          <w:color w:val="auto"/>
        </w:rPr>
        <w:t>Palo Alto Networks,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1021080</wp:posOffset>
            </wp:positionV>
            <wp:extent cx="7064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787" w:lineRule="exact"/>
        <w:rPr>
          <w:sz w:val="20"/>
          <w:szCs w:val="20"/>
          <w:color w:val="auto"/>
        </w:rPr>
      </w:pPr>
    </w:p>
    <w:p>
      <w:pPr>
        <w:sectPr>
          <w:pgSz w:w="11900" w:h="16838" w:orient="portrait"/>
          <w:cols w:equalWidth="0" w:num="2">
            <w:col w:w="2180" w:space="720"/>
            <w:col w:w="832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40"/>
        <w:spacing w:after="0" w:line="255" w:lineRule="auto"/>
        <w:rPr>
          <w:sz w:val="20"/>
          <w:szCs w:val="20"/>
          <w:color w:val="auto"/>
        </w:rPr>
      </w:pPr>
      <w:r>
        <w:rPr>
          <w:rFonts w:ascii="Arial" w:cs="Arial" w:eastAsia="Arial" w:hAnsi="Arial"/>
          <w:sz w:val="35"/>
          <w:szCs w:val="35"/>
          <w:b w:val="1"/>
          <w:bCs w:val="1"/>
          <w:color w:val="auto"/>
        </w:rPr>
        <w:t>Sanjay Mehrotra</w:t>
      </w:r>
    </w:p>
    <w:p>
      <w:pPr>
        <w:spacing w:after="0" w:line="3" w:lineRule="exact"/>
        <w:rPr>
          <w:sz w:val="20"/>
          <w:szCs w:val="20"/>
          <w:color w:val="auto"/>
        </w:rPr>
      </w:pPr>
    </w:p>
    <w:p>
      <w:pPr>
        <w:ind w:right="580"/>
        <w:spacing w:after="0" w:line="279" w:lineRule="auto"/>
        <w:rPr>
          <w:sz w:val="20"/>
          <w:szCs w:val="20"/>
          <w:color w:val="auto"/>
        </w:rPr>
      </w:pPr>
      <w:r>
        <w:rPr>
          <w:rFonts w:ascii="Arial" w:cs="Arial" w:eastAsia="Arial" w:hAnsi="Arial"/>
          <w:sz w:val="20"/>
          <w:szCs w:val="20"/>
          <w:b w:val="1"/>
          <w:bCs w:val="1"/>
          <w:color w:val="auto"/>
        </w:rPr>
        <w:t>Chief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Age | 66</w:t>
      </w:r>
    </w:p>
    <w:p>
      <w:pPr>
        <w:spacing w:after="0"/>
        <w:rPr>
          <w:sz w:val="20"/>
          <w:szCs w:val="20"/>
          <w:color w:val="auto"/>
        </w:rPr>
      </w:pPr>
      <w:r>
        <w:rPr>
          <w:rFonts w:ascii="Arial" w:cs="Arial" w:eastAsia="Arial" w:hAnsi="Arial"/>
          <w:sz w:val="18"/>
          <w:szCs w:val="18"/>
          <w:color w:val="auto"/>
        </w:rPr>
        <w:t>Director Since |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420" w:hanging="229"/>
        <w:spacing w:after="0" w:line="223" w:lineRule="auto"/>
        <w:tabs>
          <w:tab w:leader="none" w:pos="340" w:val="left"/>
        </w:tabs>
        <w:numPr>
          <w:ilvl w:val="0"/>
          <w:numId w:val="24"/>
        </w:numPr>
        <w:rPr>
          <w:rFonts w:ascii="Arial" w:cs="Arial" w:eastAsia="Arial" w:hAnsi="Arial"/>
          <w:sz w:val="42"/>
          <w:szCs w:val="42"/>
          <w:b w:val="1"/>
          <w:bCs w:val="1"/>
          <w:color w:val="BD03F7"/>
          <w:vertAlign w:val="subscript"/>
        </w:rPr>
      </w:pPr>
      <w:r>
        <w:rPr>
          <w:rFonts w:ascii="Arial" w:cs="Arial" w:eastAsia="Arial" w:hAnsi="Arial"/>
          <w:sz w:val="16"/>
          <w:szCs w:val="16"/>
          <w:color w:val="auto"/>
        </w:rPr>
        <w:t>Mr. Mehrotra has served as Micron’s President, Chief Executive Officer, and Director since May 2017.</w:t>
      </w:r>
    </w:p>
    <w:p>
      <w:pPr>
        <w:spacing w:after="0" w:line="17" w:lineRule="exact"/>
        <w:rPr>
          <w:rFonts w:ascii="Arial" w:cs="Arial" w:eastAsia="Arial" w:hAnsi="Arial"/>
          <w:sz w:val="42"/>
          <w:szCs w:val="42"/>
          <w:b w:val="1"/>
          <w:bCs w:val="1"/>
          <w:color w:val="BD03F7"/>
          <w:vertAlign w:val="subscript"/>
        </w:rPr>
      </w:pPr>
    </w:p>
    <w:p>
      <w:pPr>
        <w:ind w:left="340" w:right="180" w:hanging="229"/>
        <w:spacing w:after="0" w:line="184" w:lineRule="auto"/>
        <w:tabs>
          <w:tab w:leader="none" w:pos="340" w:val="left"/>
        </w:tabs>
        <w:numPr>
          <w:ilvl w:val="0"/>
          <w:numId w:val="24"/>
        </w:numPr>
        <w:rPr>
          <w:rFonts w:ascii="Arial" w:cs="Arial" w:eastAsia="Arial" w:hAnsi="Arial"/>
          <w:sz w:val="42"/>
          <w:szCs w:val="42"/>
          <w:b w:val="1"/>
          <w:bCs w:val="1"/>
          <w:color w:val="BD03F7"/>
          <w:vertAlign w:val="subscript"/>
        </w:rPr>
      </w:pPr>
      <w:r>
        <w:rPr>
          <w:rFonts w:ascii="Arial" w:cs="Arial" w:eastAsia="Arial" w:hAnsi="Arial"/>
          <w:sz w:val="16"/>
          <w:szCs w:val="16"/>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ind w:left="340" w:hanging="229"/>
        <w:spacing w:after="0" w:line="184" w:lineRule="auto"/>
        <w:tabs>
          <w:tab w:leader="none" w:pos="340" w:val="left"/>
        </w:tabs>
        <w:numPr>
          <w:ilvl w:val="0"/>
          <w:numId w:val="25"/>
        </w:numPr>
        <w:rPr>
          <w:rFonts w:ascii="Arial" w:cs="Arial" w:eastAsia="Arial" w:hAnsi="Arial"/>
          <w:sz w:val="31"/>
          <w:szCs w:val="31"/>
          <w:b w:val="1"/>
          <w:bCs w:val="1"/>
          <w:color w:val="BD03F7"/>
          <w:vertAlign w:val="subscript"/>
        </w:rPr>
      </w:pPr>
      <w:r>
        <w:rPr>
          <w:rFonts w:ascii="Arial" w:cs="Arial" w:eastAsia="Arial" w:hAnsi="Arial"/>
          <w:sz w:val="14"/>
          <w:szCs w:val="14"/>
          <w:color w:val="auto"/>
        </w:rPr>
        <w:t>CDW Corporation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Mr. Mehrotra has more than 40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729615</wp:posOffset>
            </wp:positionV>
            <wp:extent cx="7064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339" w:lineRule="exact"/>
        <w:rPr>
          <w:sz w:val="20"/>
          <w:szCs w:val="20"/>
          <w:color w:val="auto"/>
        </w:rPr>
      </w:pPr>
    </w:p>
    <w:p>
      <w:pPr>
        <w:sectPr>
          <w:pgSz w:w="11900" w:h="16838" w:orient="portrait"/>
          <w:cols w:equalWidth="0" w:num="2">
            <w:col w:w="2180" w:space="720"/>
            <w:col w:w="8320"/>
          </w:cols>
          <w:pgMar w:left="340" w:top="125"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9860"/>
        <w:spacing w:after="0"/>
        <w:rPr>
          <w:sz w:val="20"/>
          <w:szCs w:val="20"/>
          <w:color w:val="auto"/>
        </w:rPr>
      </w:pPr>
      <w:r>
        <w:rPr>
          <w:sz w:val="1"/>
          <w:szCs w:val="1"/>
          <w:color w:val="auto"/>
        </w:rPr>
        <w:drawing>
          <wp:inline distT="0" distB="0" distL="0" distR="0">
            <wp:extent cx="77724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1"/>
          <w:szCs w:val="11"/>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524510</wp:posOffset>
            </wp:positionV>
            <wp:extent cx="7064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1178560" cy="1631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78560" cy="1631315"/>
                    </a:xfrm>
                    <a:prstGeom prst="rect">
                      <a:avLst/>
                    </a:prstGeom>
                    <a:noFill/>
                  </pic:spPr>
                </pic:pic>
              </a:graphicData>
            </a:graphic>
          </wp:anchor>
        </w:drawing>
      </w:r>
    </w:p>
    <w:p>
      <w:pPr>
        <w:spacing w:after="0" w:line="19" w:lineRule="exact"/>
        <w:rPr>
          <w:sz w:val="20"/>
          <w:szCs w:val="20"/>
          <w:color w:val="auto"/>
        </w:rPr>
      </w:pPr>
    </w:p>
    <w:p>
      <w:pPr>
        <w:ind w:left="3320" w:right="180" w:hanging="235"/>
        <w:spacing w:after="0" w:line="189" w:lineRule="auto"/>
        <w:tabs>
          <w:tab w:leader="none" w:pos="3320" w:val="left"/>
        </w:tabs>
        <w:numPr>
          <w:ilvl w:val="0"/>
          <w:numId w:val="26"/>
        </w:numPr>
        <w:rPr>
          <w:rFonts w:ascii="Arial" w:cs="Arial" w:eastAsia="Arial" w:hAnsi="Arial"/>
          <w:sz w:val="50"/>
          <w:szCs w:val="50"/>
          <w:b w:val="1"/>
          <w:bCs w:val="1"/>
          <w:color w:val="BD03F7"/>
          <w:vertAlign w:val="subscript"/>
        </w:rPr>
      </w:pPr>
      <w:r>
        <w:rPr>
          <w:rFonts w:ascii="Arial" w:cs="Arial" w:eastAsia="Arial" w:hAnsi="Arial"/>
          <w:sz w:val="18"/>
          <w:szCs w:val="18"/>
          <w:color w:val="auto"/>
        </w:rPr>
        <w:t>Operating Partner at Andreessen Horowitz since July 2021. Prior to that, Mr. Swan served at Intel Corporation as CEO from February 2019 to February 2021, as Interim CEO and Executive Vice President, CFO from June 2018 to January 2019 and as Executive Vice President, CFO from October 2016 to June 2018. Prior to joining Intel, Mr. Swan held several senior management roles at other companies, including CFO at eBay Inc., Electronic Data Systems Corp., TRW Inc., and Webvan Group, Inc., where he additionally served as COO and CEO.</w:t>
      </w:r>
    </w:p>
    <w:p>
      <w:pPr>
        <w:spacing w:after="0" w:line="200" w:lineRule="exact"/>
        <w:rPr>
          <w:rFonts w:ascii="Arial" w:cs="Arial" w:eastAsia="Arial" w:hAnsi="Arial"/>
          <w:sz w:val="50"/>
          <w:szCs w:val="50"/>
          <w:b w:val="1"/>
          <w:bCs w:val="1"/>
          <w:color w:val="BD03F7"/>
          <w:vertAlign w:val="subscript"/>
        </w:rPr>
      </w:pPr>
    </w:p>
    <w:p>
      <w:pPr>
        <w:spacing w:after="0" w:line="236" w:lineRule="exact"/>
        <w:rPr>
          <w:rFonts w:ascii="Arial" w:cs="Arial" w:eastAsia="Arial" w:hAnsi="Arial"/>
          <w:sz w:val="50"/>
          <w:szCs w:val="50"/>
          <w:b w:val="1"/>
          <w:bCs w:val="1"/>
          <w:color w:val="BD03F7"/>
          <w:vertAlign w:val="subscript"/>
        </w:rPr>
      </w:pPr>
    </w:p>
    <w:p>
      <w:pPr>
        <w:ind w:left="3320" w:right="100" w:hanging="235"/>
        <w:spacing w:after="0" w:line="180" w:lineRule="auto"/>
        <w:tabs>
          <w:tab w:leader="none" w:pos="3320" w:val="left"/>
        </w:tabs>
        <w:numPr>
          <w:ilvl w:val="0"/>
          <w:numId w:val="26"/>
        </w:numPr>
        <w:rPr>
          <w:rFonts w:ascii="Arial" w:cs="Arial" w:eastAsia="Arial" w:hAnsi="Arial"/>
          <w:sz w:val="36"/>
          <w:szCs w:val="36"/>
          <w:b w:val="1"/>
          <w:bCs w:val="1"/>
          <w:color w:val="BD03F7"/>
          <w:vertAlign w:val="subscript"/>
        </w:rPr>
      </w:pPr>
      <w:r>
        <w:rPr>
          <w:rFonts w:ascii="Arial" w:cs="Arial" w:eastAsia="Arial" w:hAnsi="Arial"/>
          <w:sz w:val="15"/>
          <w:szCs w:val="15"/>
          <w:color w:val="auto"/>
        </w:rPr>
        <w:t>Within the past five years, Mr. Swan served on the Board of Directors of eBay and Intel and served on the Board of Commissioners of GoTo Group.</w:t>
      </w:r>
    </w:p>
    <w:p>
      <w:pPr>
        <w:spacing w:after="0" w:line="21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Other Current Public Company Directorships</w:t>
      </w:r>
    </w:p>
    <w:p>
      <w:pPr>
        <w:sectPr>
          <w:pgSz w:w="11900" w:h="16838" w:orient="portrait"/>
          <w:cols w:equalWidth="0" w:num="1">
            <w:col w:w="11240"/>
          </w:cols>
          <w:pgMar w:left="320" w:top="125" w:right="339" w:bottom="1440" w:gutter="0" w:footer="0" w:header="0"/>
        </w:sectPr>
      </w:pPr>
    </w:p>
    <w:p>
      <w:pPr>
        <w:spacing w:after="0" w:line="39" w:lineRule="exact"/>
        <w:rPr>
          <w:sz w:val="20"/>
          <w:szCs w:val="20"/>
          <w:color w:val="auto"/>
        </w:rPr>
      </w:pPr>
    </w:p>
    <w:p>
      <w:pPr>
        <w:ind w:left="80"/>
        <w:spacing w:after="0"/>
        <w:rPr>
          <w:sz w:val="20"/>
          <w:szCs w:val="20"/>
          <w:color w:val="auto"/>
        </w:rPr>
      </w:pPr>
      <w:r>
        <w:rPr>
          <w:rFonts w:ascii="Arial" w:cs="Arial" w:eastAsia="Arial" w:hAnsi="Arial"/>
          <w:sz w:val="35"/>
          <w:szCs w:val="35"/>
          <w:b w:val="1"/>
          <w:bCs w:val="1"/>
          <w:color w:val="auto"/>
        </w:rPr>
        <w:t>Robert Swan</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 64</w:t>
      </w:r>
    </w:p>
    <w:p>
      <w:pPr>
        <w:ind w:left="80"/>
        <w:spacing w:after="0"/>
        <w:rPr>
          <w:sz w:val="20"/>
          <w:szCs w:val="20"/>
          <w:color w:val="auto"/>
        </w:rPr>
      </w:pPr>
      <w:r>
        <w:rPr>
          <w:rFonts w:ascii="Arial" w:cs="Arial" w:eastAsia="Arial" w:hAnsi="Arial"/>
          <w:sz w:val="18"/>
          <w:szCs w:val="18"/>
          <w:color w:val="auto"/>
        </w:rPr>
        <w:t>Director Since | 2024</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ind w:left="8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40" w:hanging="235"/>
        <w:spacing w:after="0"/>
        <w:tabs>
          <w:tab w:leader="none" w:pos="340" w:val="left"/>
        </w:tabs>
        <w:numPr>
          <w:ilvl w:val="0"/>
          <w:numId w:val="27"/>
        </w:numPr>
        <w:rPr>
          <w:rFonts w:ascii="Arial" w:cs="Arial" w:eastAsia="Arial" w:hAnsi="Arial"/>
          <w:sz w:val="25"/>
          <w:szCs w:val="25"/>
          <w:b w:val="1"/>
          <w:bCs w:val="1"/>
          <w:color w:val="BD03F7"/>
        </w:rPr>
      </w:pPr>
      <w:r>
        <w:rPr>
          <w:rFonts w:ascii="Arial" w:cs="Arial" w:eastAsia="Arial" w:hAnsi="Arial"/>
          <w:sz w:val="18"/>
          <w:szCs w:val="18"/>
          <w:color w:val="auto"/>
        </w:rPr>
        <w:t>Nike,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Mr. Swan’s experience as a former CEO and CFO of public technology companies in the semiconductor memory industry, including Intel, provides our Board expertise in our industry and technology as well as finance, business development, manufacturing, operations, corporate governance and information security expertise. We believe these experiences, qualifications, attributes, and skills qualify Mr. Swan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141605</wp:posOffset>
            </wp:positionV>
            <wp:extent cx="7064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2280" w:space="700"/>
            <w:col w:w="8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right="1040"/>
        <w:spacing w:after="0" w:line="255" w:lineRule="auto"/>
        <w:rPr>
          <w:sz w:val="20"/>
          <w:szCs w:val="20"/>
          <w:color w:val="auto"/>
        </w:rPr>
      </w:pPr>
      <w:r>
        <w:rPr>
          <w:rFonts w:ascii="Arial" w:cs="Arial" w:eastAsia="Arial" w:hAnsi="Arial"/>
          <w:sz w:val="35"/>
          <w:szCs w:val="35"/>
          <w:b w:val="1"/>
          <w:bCs w:val="1"/>
          <w:color w:val="auto"/>
        </w:rPr>
        <w:t>MaryAnn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-2244090</wp:posOffset>
            </wp:positionV>
            <wp:extent cx="1178560" cy="1537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78560" cy="1537335"/>
                    </a:xfrm>
                    <a:prstGeom prst="rect">
                      <a:avLst/>
                    </a:prstGeom>
                    <a:noFill/>
                  </pic:spPr>
                </pic:pic>
              </a:graphicData>
            </a:graphic>
          </wp:anchor>
        </w:drawing>
      </w:r>
    </w:p>
    <w:p>
      <w:pPr>
        <w:ind w:left="80"/>
        <w:spacing w:after="0"/>
        <w:rPr>
          <w:sz w:val="20"/>
          <w:szCs w:val="20"/>
          <w:color w:val="auto"/>
        </w:rPr>
      </w:pPr>
      <w:r>
        <w:rPr>
          <w:rFonts w:ascii="Arial" w:cs="Arial" w:eastAsia="Arial" w:hAnsi="Arial"/>
          <w:sz w:val="22"/>
          <w:szCs w:val="22"/>
          <w:b w:val="1"/>
          <w:bCs w:val="1"/>
          <w:color w:val="auto"/>
        </w:rPr>
        <w:t>Independent</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 62</w:t>
      </w:r>
    </w:p>
    <w:p>
      <w:pPr>
        <w:ind w:left="80"/>
        <w:spacing w:after="0"/>
        <w:rPr>
          <w:sz w:val="20"/>
          <w:szCs w:val="20"/>
          <w:color w:val="auto"/>
        </w:rPr>
      </w:pPr>
      <w:r>
        <w:rPr>
          <w:rFonts w:ascii="Arial" w:cs="Arial" w:eastAsia="Arial" w:hAnsi="Arial"/>
          <w:sz w:val="18"/>
          <w:szCs w:val="18"/>
          <w:color w:val="auto"/>
        </w:rPr>
        <w:t>Director Since | 2019</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ind w:left="80"/>
        <w:spacing w:after="0" w:line="229" w:lineRule="auto"/>
        <w:rPr>
          <w:sz w:val="20"/>
          <w:szCs w:val="20"/>
          <w:color w:val="auto"/>
        </w:rPr>
      </w:pPr>
      <w:r>
        <w:rPr>
          <w:rFonts w:ascii="Arial" w:cs="Arial" w:eastAsia="Arial" w:hAnsi="Arial"/>
          <w:sz w:val="18"/>
          <w:szCs w:val="18"/>
          <w:color w:val="auto"/>
        </w:rPr>
        <w:t>Compensation, Governance and Sustainability (Chair)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200" w:hanging="235"/>
        <w:spacing w:after="0" w:line="182" w:lineRule="auto"/>
        <w:tabs>
          <w:tab w:leader="none" w:pos="340" w:val="left"/>
        </w:tabs>
        <w:numPr>
          <w:ilvl w:val="0"/>
          <w:numId w:val="28"/>
        </w:numPr>
        <w:rPr>
          <w:rFonts w:ascii="Arial" w:cs="Arial" w:eastAsia="Arial" w:hAnsi="Arial"/>
          <w:sz w:val="41"/>
          <w:szCs w:val="41"/>
          <w:b w:val="1"/>
          <w:bCs w:val="1"/>
          <w:color w:val="BD03F7"/>
          <w:vertAlign w:val="subscript"/>
        </w:rPr>
      </w:pPr>
      <w:r>
        <w:rPr>
          <w:rFonts w:ascii="Arial" w:cs="Arial" w:eastAsia="Arial" w:hAnsi="Arial"/>
          <w:sz w:val="16"/>
          <w:szCs w:val="16"/>
          <w:color w:val="auto"/>
        </w:rPr>
        <w:t>Group Vice President of Engineering and Product Development of Johnson Controls International from 2013 to 2017. Ms. Wright also served as Vice President and General Manager for Johnson Controls’ Hybrid Systems business and as CEO of Johnson Controls-Saft from 2007 to 2009.</w:t>
      </w:r>
    </w:p>
    <w:p>
      <w:pPr>
        <w:spacing w:after="0" w:line="260" w:lineRule="exact"/>
        <w:rPr>
          <w:rFonts w:ascii="Arial" w:cs="Arial" w:eastAsia="Arial" w:hAnsi="Arial"/>
          <w:sz w:val="41"/>
          <w:szCs w:val="41"/>
          <w:b w:val="1"/>
          <w:bCs w:val="1"/>
          <w:color w:val="BD03F7"/>
          <w:vertAlign w:val="subscript"/>
        </w:rPr>
      </w:pPr>
    </w:p>
    <w:p>
      <w:pPr>
        <w:ind w:left="340" w:right="80" w:hanging="235"/>
        <w:spacing w:after="0" w:line="180" w:lineRule="auto"/>
        <w:tabs>
          <w:tab w:leader="none" w:pos="340" w:val="left"/>
        </w:tabs>
        <w:numPr>
          <w:ilvl w:val="0"/>
          <w:numId w:val="28"/>
        </w:numPr>
        <w:rPr>
          <w:rFonts w:ascii="Arial" w:cs="Arial" w:eastAsia="Arial" w:hAnsi="Arial"/>
          <w:sz w:val="36"/>
          <w:szCs w:val="36"/>
          <w:b w:val="1"/>
          <w:bCs w:val="1"/>
          <w:color w:val="BD03F7"/>
          <w:vertAlign w:val="subscript"/>
        </w:rPr>
      </w:pPr>
      <w:r>
        <w:rPr>
          <w:rFonts w:ascii="Arial" w:cs="Arial" w:eastAsia="Arial" w:hAnsi="Arial"/>
          <w:sz w:val="15"/>
          <w:szCs w:val="15"/>
          <w:color w:val="auto"/>
        </w:rPr>
        <w:t>Prior to joining Johnson Controls, Ms. Wright served in the Office of the Chair and was EVP Engineering, Sales and Program Management at Collins &amp; Aikman Corporation from 2006 to 2007.</w:t>
      </w:r>
    </w:p>
    <w:p>
      <w:pPr>
        <w:spacing w:after="0" w:line="246" w:lineRule="exact"/>
        <w:rPr>
          <w:rFonts w:ascii="Arial" w:cs="Arial" w:eastAsia="Arial" w:hAnsi="Arial"/>
          <w:sz w:val="36"/>
          <w:szCs w:val="36"/>
          <w:b w:val="1"/>
          <w:bCs w:val="1"/>
          <w:color w:val="BD03F7"/>
          <w:vertAlign w:val="subscript"/>
        </w:rPr>
      </w:pPr>
    </w:p>
    <w:p>
      <w:pPr>
        <w:ind w:left="340" w:right="260" w:hanging="235"/>
        <w:spacing w:after="0" w:line="181" w:lineRule="auto"/>
        <w:tabs>
          <w:tab w:leader="none" w:pos="340" w:val="left"/>
        </w:tabs>
        <w:numPr>
          <w:ilvl w:val="0"/>
          <w:numId w:val="28"/>
        </w:numPr>
        <w:rPr>
          <w:rFonts w:ascii="Arial" w:cs="Arial" w:eastAsia="Arial" w:hAnsi="Arial"/>
          <w:sz w:val="42"/>
          <w:szCs w:val="42"/>
          <w:b w:val="1"/>
          <w:bCs w:val="1"/>
          <w:color w:val="BD03F7"/>
          <w:vertAlign w:val="subscript"/>
        </w:rPr>
      </w:pPr>
      <w:r>
        <w:rPr>
          <w:rFonts w:ascii="Arial" w:cs="Arial" w:eastAsia="Arial" w:hAnsi="Arial"/>
          <w:sz w:val="16"/>
          <w:szCs w:val="16"/>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219" w:lineRule="exact"/>
        <w:rPr>
          <w:rFonts w:ascii="Arial" w:cs="Arial" w:eastAsia="Arial" w:hAnsi="Arial"/>
          <w:sz w:val="42"/>
          <w:szCs w:val="42"/>
          <w:b w:val="1"/>
          <w:bCs w:val="1"/>
          <w:color w:val="BD03F7"/>
          <w:vertAlign w:val="subscript"/>
        </w:rPr>
      </w:pPr>
    </w:p>
    <w:p>
      <w:pPr>
        <w:ind w:left="340" w:right="700" w:hanging="235"/>
        <w:spacing w:after="0" w:line="180" w:lineRule="auto"/>
        <w:tabs>
          <w:tab w:leader="none" w:pos="340" w:val="left"/>
        </w:tabs>
        <w:numPr>
          <w:ilvl w:val="0"/>
          <w:numId w:val="28"/>
        </w:numPr>
        <w:rPr>
          <w:rFonts w:ascii="Arial" w:cs="Arial" w:eastAsia="Arial" w:hAnsi="Arial"/>
          <w:sz w:val="36"/>
          <w:szCs w:val="36"/>
          <w:b w:val="1"/>
          <w:bCs w:val="1"/>
          <w:color w:val="BD03F7"/>
          <w:vertAlign w:val="subscript"/>
        </w:rPr>
      </w:pPr>
      <w:r>
        <w:rPr>
          <w:rFonts w:ascii="Arial" w:cs="Arial" w:eastAsia="Arial" w:hAnsi="Arial"/>
          <w:sz w:val="15"/>
          <w:szCs w:val="15"/>
          <w:color w:val="auto"/>
        </w:rPr>
        <w:t>Within the past five years, Ms. Wright served on the Board of Directors of Maxim Integrated Products, Inc. and Delphi Technologies.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35"/>
        <w:spacing w:after="0"/>
        <w:tabs>
          <w:tab w:leader="none" w:pos="34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Group 1 Automotive, Inc.</w:t>
      </w:r>
    </w:p>
    <w:p>
      <w:pPr>
        <w:spacing w:after="0" w:line="62" w:lineRule="exact"/>
        <w:rPr>
          <w:rFonts w:ascii="Arial" w:cs="Arial" w:eastAsia="Arial" w:hAnsi="Arial"/>
          <w:sz w:val="25"/>
          <w:szCs w:val="25"/>
          <w:b w:val="1"/>
          <w:bCs w:val="1"/>
          <w:color w:val="BD03F7"/>
        </w:rPr>
      </w:pPr>
    </w:p>
    <w:p>
      <w:pPr>
        <w:ind w:left="340" w:hanging="235"/>
        <w:spacing w:after="0"/>
        <w:tabs>
          <w:tab w:leader="none" w:pos="34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Brunswick Corporation</w:t>
      </w:r>
    </w:p>
    <w:p>
      <w:pPr>
        <w:spacing w:after="0" w:line="62" w:lineRule="exact"/>
        <w:rPr>
          <w:rFonts w:ascii="Arial" w:cs="Arial" w:eastAsia="Arial" w:hAnsi="Arial"/>
          <w:sz w:val="25"/>
          <w:szCs w:val="25"/>
          <w:b w:val="1"/>
          <w:bCs w:val="1"/>
          <w:color w:val="BD03F7"/>
        </w:rPr>
      </w:pPr>
    </w:p>
    <w:p>
      <w:pPr>
        <w:ind w:left="340" w:hanging="235"/>
        <w:spacing w:after="0"/>
        <w:tabs>
          <w:tab w:leader="none" w:pos="34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Solid Power,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252095</wp:posOffset>
            </wp:positionV>
            <wp:extent cx="7064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320"/>
            <w:col w:w="8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RETIRING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064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Robert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-1988820</wp:posOffset>
            </wp:positionV>
            <wp:extent cx="1178560" cy="1571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78560" cy="1571625"/>
                    </a:xfrm>
                    <a:prstGeom prst="rect">
                      <a:avLst/>
                    </a:prstGeom>
                    <a:noFill/>
                  </pic:spPr>
                </pic:pic>
              </a:graphicData>
            </a:graphic>
          </wp:anchor>
        </w:drawing>
      </w:r>
    </w:p>
    <w:p>
      <w:pPr>
        <w:ind w:left="20"/>
        <w:spacing w:after="0"/>
        <w:rPr>
          <w:sz w:val="20"/>
          <w:szCs w:val="20"/>
          <w:color w:val="auto"/>
        </w:rPr>
      </w:pPr>
      <w:r>
        <w:rPr>
          <w:rFonts w:ascii="Arial" w:cs="Arial" w:eastAsia="Arial" w:hAnsi="Arial"/>
          <w:sz w:val="36"/>
          <w:szCs w:val="36"/>
          <w:b w:val="1"/>
          <w:bCs w:val="1"/>
          <w:color w:val="auto"/>
        </w:rPr>
        <w:t>Switz</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Independent,</w:t>
      </w:r>
    </w:p>
    <w:p>
      <w:pPr>
        <w:ind w:left="20"/>
        <w:spacing w:after="0" w:line="204" w:lineRule="auto"/>
        <w:rPr>
          <w:sz w:val="20"/>
          <w:szCs w:val="20"/>
          <w:color w:val="auto"/>
        </w:rPr>
      </w:pPr>
      <w:r>
        <w:rPr>
          <w:rFonts w:ascii="Arial" w:cs="Arial" w:eastAsia="Arial" w:hAnsi="Arial"/>
          <w:sz w:val="22"/>
          <w:szCs w:val="22"/>
          <w:b w:val="1"/>
          <w:bCs w:val="1"/>
          <w:color w:val="auto"/>
        </w:rPr>
        <w:t>Chair of the</w:t>
      </w:r>
    </w:p>
    <w:p>
      <w:pPr>
        <w:ind w:left="20"/>
        <w:spacing w:after="0"/>
        <w:rPr>
          <w:sz w:val="20"/>
          <w:szCs w:val="20"/>
          <w:color w:val="auto"/>
        </w:rPr>
      </w:pPr>
      <w:r>
        <w:rPr>
          <w:rFonts w:ascii="Arial" w:cs="Arial" w:eastAsia="Arial" w:hAnsi="Arial"/>
          <w:sz w:val="22"/>
          <w:szCs w:val="22"/>
          <w:b w:val="1"/>
          <w:bCs w:val="1"/>
          <w:color w:val="auto"/>
        </w:rPr>
        <w:t>Board</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78</w:t>
      </w:r>
    </w:p>
    <w:p>
      <w:pPr>
        <w:ind w:left="20"/>
        <w:spacing w:after="0"/>
        <w:rPr>
          <w:sz w:val="20"/>
          <w:szCs w:val="20"/>
          <w:color w:val="auto"/>
        </w:rPr>
      </w:pPr>
      <w:r>
        <w:rPr>
          <w:rFonts w:ascii="Arial" w:cs="Arial" w:eastAsia="Arial" w:hAnsi="Arial"/>
          <w:sz w:val="18"/>
          <w:szCs w:val="18"/>
          <w:color w:val="auto"/>
        </w:rPr>
        <w:t>Director Since | 2006</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line="229" w:lineRule="auto"/>
        <w:rPr>
          <w:sz w:val="20"/>
          <w:szCs w:val="20"/>
          <w:color w:val="auto"/>
        </w:rPr>
      </w:pPr>
      <w:r>
        <w:rPr>
          <w:rFonts w:ascii="Arial" w:cs="Arial" w:eastAsia="Arial" w:hAnsi="Arial"/>
          <w:sz w:val="18"/>
          <w:szCs w:val="18"/>
          <w:color w:val="auto"/>
        </w:rPr>
        <w:t>Compensation, Governance and Sustainability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320" w:hanging="229"/>
        <w:spacing w:after="0" w:line="181" w:lineRule="auto"/>
        <w:tabs>
          <w:tab w:leader="none" w:pos="340" w:val="left"/>
        </w:tabs>
        <w:numPr>
          <w:ilvl w:val="0"/>
          <w:numId w:val="30"/>
        </w:numPr>
        <w:rPr>
          <w:rFonts w:ascii="Arial" w:cs="Arial" w:eastAsia="Arial" w:hAnsi="Arial"/>
          <w:sz w:val="47"/>
          <w:szCs w:val="47"/>
          <w:b w:val="1"/>
          <w:bCs w:val="1"/>
          <w:color w:val="BD03F7"/>
          <w:vertAlign w:val="subscript"/>
        </w:rPr>
      </w:pPr>
      <w:r>
        <w:rPr>
          <w:rFonts w:ascii="Arial" w:cs="Arial" w:eastAsia="Arial" w:hAnsi="Arial"/>
          <w:sz w:val="17"/>
          <w:szCs w:val="17"/>
          <w:color w:val="auto"/>
        </w:rPr>
        <w:t>President and Chief Executive Officer of ADC Telecommunications, Inc., a supplier of network infrastructure products and services, from August 2003 until December 2010 and Chairman from 2008 until December 2010, when Tyco Electronics Ltd. acquired ADC. Mr. Switz joined ADC in 1994 and throughout his career there held numerous leadership positions.</w:t>
      </w:r>
    </w:p>
    <w:p>
      <w:pPr>
        <w:spacing w:after="0" w:line="276" w:lineRule="exact"/>
        <w:rPr>
          <w:rFonts w:ascii="Arial" w:cs="Arial" w:eastAsia="Arial" w:hAnsi="Arial"/>
          <w:sz w:val="47"/>
          <w:szCs w:val="47"/>
          <w:b w:val="1"/>
          <w:bCs w:val="1"/>
          <w:color w:val="BD03F7"/>
          <w:vertAlign w:val="subscript"/>
        </w:rPr>
      </w:pPr>
    </w:p>
    <w:p>
      <w:pPr>
        <w:ind w:left="340" w:right="380" w:hanging="229"/>
        <w:spacing w:after="0"/>
        <w:tabs>
          <w:tab w:leader="none" w:pos="340" w:val="left"/>
        </w:tabs>
        <w:numPr>
          <w:ilvl w:val="0"/>
          <w:numId w:val="30"/>
        </w:numPr>
        <w:rPr>
          <w:rFonts w:ascii="Arial" w:cs="Arial" w:eastAsia="Arial" w:hAnsi="Arial"/>
          <w:sz w:val="37"/>
          <w:szCs w:val="37"/>
          <w:b w:val="1"/>
          <w:bCs w:val="1"/>
          <w:color w:val="BD03F7"/>
          <w:vertAlign w:val="subscript"/>
        </w:rPr>
      </w:pPr>
      <w:r>
        <w:rPr>
          <w:rFonts w:ascii="Arial" w:cs="Arial" w:eastAsia="Arial" w:hAnsi="Arial"/>
          <w:sz w:val="15"/>
          <w:szCs w:val="15"/>
          <w:color w:val="auto"/>
        </w:rPr>
        <w:t>Within the past five years, Mr. Switz served on the Board of Directors of Mandiant, Inc. (formerly FireEye, Inc.).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29"/>
        <w:spacing w:after="0"/>
        <w:tabs>
          <w:tab w:leader="none" w:pos="340" w:val="left"/>
        </w:tabs>
        <w:numPr>
          <w:ilvl w:val="0"/>
          <w:numId w:val="31"/>
        </w:numPr>
        <w:rPr>
          <w:rFonts w:ascii="Arial" w:cs="Arial" w:eastAsia="Arial" w:hAnsi="Arial"/>
          <w:sz w:val="25"/>
          <w:szCs w:val="25"/>
          <w:b w:val="1"/>
          <w:bCs w:val="1"/>
          <w:color w:val="BD03F7"/>
        </w:rPr>
      </w:pPr>
      <w:r>
        <w:rPr>
          <w:rFonts w:ascii="Arial" w:cs="Arial" w:eastAsia="Arial" w:hAnsi="Arial"/>
          <w:sz w:val="18"/>
          <w:szCs w:val="18"/>
          <w:color w:val="auto"/>
        </w:rPr>
        <w:t>Marvell Technology Group Ltd.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49" w:lineRule="exact"/>
        <w:rPr>
          <w:sz w:val="20"/>
          <w:szCs w:val="20"/>
          <w:color w:val="auto"/>
        </w:rPr>
      </w:pPr>
    </w:p>
    <w:p>
      <w:pPr>
        <w:ind w:right="300"/>
        <w:spacing w:after="0" w:line="214" w:lineRule="auto"/>
        <w:rPr>
          <w:sz w:val="20"/>
          <w:szCs w:val="20"/>
          <w:color w:val="auto"/>
        </w:rPr>
      </w:pPr>
      <w:r>
        <w:rPr>
          <w:rFonts w:ascii="Arial" w:cs="Arial" w:eastAsia="Arial" w:hAnsi="Arial"/>
          <w:sz w:val="18"/>
          <w:szCs w:val="18"/>
          <w:color w:val="auto"/>
        </w:rPr>
        <w:t>Appointed Chair of Micron’s Board in 2012, Mr. Switz’s experience as Chief Executive Officer and Chairman of a leading technology company and history and leadership on Micron’s Board provide the Board expertise in the technology industry as well as international business operations, finance,</w:t>
      </w:r>
    </w:p>
    <w:p>
      <w:pPr>
        <w:spacing w:after="0" w:line="2" w:lineRule="exact"/>
        <w:rPr>
          <w:sz w:val="20"/>
          <w:szCs w:val="20"/>
          <w:color w:val="auto"/>
        </w:rPr>
      </w:pPr>
    </w:p>
    <w:p>
      <w:pPr>
        <w:jc w:val="both"/>
        <w:ind w:right="280"/>
        <w:spacing w:after="0" w:line="220" w:lineRule="auto"/>
        <w:rPr>
          <w:sz w:val="20"/>
          <w:szCs w:val="20"/>
          <w:color w:val="auto"/>
        </w:rPr>
      </w:pPr>
      <w:r>
        <w:rPr>
          <w:rFonts w:ascii="Arial" w:cs="Arial" w:eastAsia="Arial" w:hAnsi="Arial"/>
          <w:sz w:val="18"/>
          <w:szCs w:val="18"/>
          <w:color w:val="auto"/>
        </w:rPr>
        <w:t>corporate development, corporate governance, and management, all of which are critical to achieving our strategic objectives. We believe these experiences, qualifications, attributes, and skills qualify Mr. Switz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1108075</wp:posOffset>
            </wp:positionV>
            <wp:extent cx="7064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936" w:lineRule="exact"/>
        <w:rPr>
          <w:sz w:val="20"/>
          <w:szCs w:val="20"/>
          <w:color w:val="auto"/>
        </w:rPr>
      </w:pPr>
    </w:p>
    <w:p>
      <w:pPr>
        <w:sectPr>
          <w:pgSz w:w="11900" w:h="16838" w:orient="portrait"/>
          <w:cols w:equalWidth="0" w:num="2">
            <w:col w:w="2600" w:space="320"/>
            <w:col w:w="8320"/>
          </w:cols>
          <w:pgMar w:left="320" w:top="125"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5791835" cy="1452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1835"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DIRECTOR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skills that we value for our Board align with our vision to be a global leader in memory and storage solutions, to transform how the world uses information to enrich life for all. The below table provides an overview of the collective skills of our Board and our nominees and why each is essential to the oversight and successful execution of our strategy and values.</w:t>
      </w:r>
    </w:p>
    <w:p>
      <w:pPr>
        <w:spacing w:after="0" w:line="251" w:lineRule="exact"/>
        <w:rPr>
          <w:sz w:val="20"/>
          <w:szCs w:val="20"/>
          <w:color w:val="auto"/>
        </w:rPr>
      </w:pPr>
    </w:p>
    <w:p>
      <w:pPr>
        <w:ind w:left="800"/>
        <w:spacing w:after="0"/>
        <w:tabs>
          <w:tab w:leader="none" w:pos="5740" w:val="left"/>
        </w:tabs>
        <w:rPr>
          <w:sz w:val="20"/>
          <w:szCs w:val="20"/>
          <w:color w:val="auto"/>
        </w:rPr>
      </w:pPr>
      <w:r>
        <w:rPr>
          <w:rFonts w:ascii="Arial" w:cs="Arial" w:eastAsia="Arial" w:hAnsi="Arial"/>
          <w:sz w:val="18"/>
          <w:szCs w:val="18"/>
          <w:b w:val="1"/>
          <w:bCs w:val="1"/>
          <w:color w:val="auto"/>
        </w:rPr>
        <w:t>Skills and Experience</w:t>
      </w:r>
      <w:r>
        <w:rPr>
          <w:sz w:val="20"/>
          <w:szCs w:val="20"/>
          <w:color w:val="auto"/>
        </w:rPr>
        <w:tab/>
      </w:r>
      <w:r>
        <w:rPr>
          <w:rFonts w:ascii="Arial" w:cs="Arial" w:eastAsia="Arial" w:hAnsi="Arial"/>
          <w:sz w:val="17"/>
          <w:szCs w:val="17"/>
          <w:b w:val="1"/>
          <w:bCs w:val="1"/>
          <w:color w:val="auto"/>
        </w:rPr>
        <w:t>Alignment to Micron’s Strategy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47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4723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1"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Multinational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-178435</wp:posOffset>
            </wp:positionV>
            <wp:extent cx="324485" cy="324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Experience with businesses with significant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192405</wp:posOffset>
            </wp:positionV>
            <wp:extent cx="324485" cy="324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Executive Leadership (public or private)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in a senior leadership role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Micron is a global leader in memory with over 48,000 employees spanning multiple countries. Our directors provide valuable business and cultural perspectives aligned to our core vision and mission.</w:t>
      </w:r>
    </w:p>
    <w:p>
      <w:pPr>
        <w:spacing w:after="0" w:line="14"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The scale and complexity of our industry requires leadership with strategic clarity and an understanding of how to execute our biggest goals.</w:t>
      </w:r>
    </w:p>
    <w:p>
      <w:pPr>
        <w:spacing w:after="0" w:line="9" w:lineRule="exact"/>
        <w:rPr>
          <w:sz w:val="20"/>
          <w:szCs w:val="20"/>
          <w:color w:val="auto"/>
        </w:rPr>
      </w:pPr>
    </w:p>
    <w:p>
      <w:pPr>
        <w:sectPr>
          <w:pgSz w:w="11900" w:h="16838" w:orient="portrait"/>
          <w:cols w:equalWidth="0" w:num="2">
            <w:col w:w="5640" w:space="120"/>
            <w:col w:w="5480"/>
          </w:cols>
          <w:pgMar w:left="320" w:top="125" w:right="339" w:bottom="1440" w:gutter="0" w:footer="0" w:header="0"/>
          <w:type w:val="continuous"/>
        </w:sectPr>
      </w:pPr>
    </w:p>
    <w:p>
      <w:pPr>
        <w:ind w:left="800"/>
        <w:spacing w:after="0"/>
        <w:rPr>
          <w:sz w:val="20"/>
          <w:szCs w:val="20"/>
          <w:color w:val="auto"/>
        </w:rPr>
      </w:pPr>
      <w:r>
        <w:rPr>
          <w:rFonts w:ascii="Arial" w:cs="Arial" w:eastAsia="Arial" w:hAnsi="Arial"/>
          <w:sz w:val="18"/>
          <w:szCs w:val="18"/>
          <w:color w:val="BD03F7"/>
        </w:rPr>
        <w:t>Operations/Manufacturing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Experience with global, large-scale complex operations or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19050</wp:posOffset>
            </wp:positionV>
            <wp:extent cx="324485" cy="324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Strategy/Marketing</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with sales or marketing strategy</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Experience managing cybersecurity, information, and data security risks</w:t>
      </w:r>
    </w:p>
    <w:p>
      <w:pPr>
        <w:spacing w:after="0" w:line="119" w:lineRule="exact"/>
        <w:rPr>
          <w:sz w:val="20"/>
          <w:szCs w:val="20"/>
          <w:color w:val="auto"/>
        </w:rPr>
      </w:pPr>
    </w:p>
    <w:p>
      <w:pPr>
        <w:ind w:left="800" w:right="140"/>
        <w:spacing w:after="0" w:line="290" w:lineRule="auto"/>
        <w:rPr>
          <w:sz w:val="20"/>
          <w:szCs w:val="20"/>
          <w:color w:val="auto"/>
        </w:rPr>
      </w:pPr>
      <w:r>
        <w:rPr>
          <w:rFonts w:ascii="Arial" w:cs="Arial" w:eastAsia="Arial" w:hAnsi="Arial"/>
          <w:sz w:val="17"/>
          <w:szCs w:val="17"/>
          <w:color w:val="BD03F7"/>
        </w:rPr>
        <w:t xml:space="preserve">Governance/Public Company Board Service </w:t>
      </w:r>
      <w:r>
        <w:rPr>
          <w:rFonts w:ascii="Arial" w:cs="Arial" w:eastAsia="Arial" w:hAnsi="Arial"/>
          <w:sz w:val="17"/>
          <w:szCs w:val="17"/>
          <w:color w:val="000000"/>
        </w:rPr>
        <w:t>Experience on a public company’s board of directors overseeing corporate governance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324485" cy="324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Finance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overseeing financial reporting</w:t>
      </w:r>
    </w:p>
    <w:p>
      <w:pPr>
        <w:spacing w:after="0" w:line="20" w:lineRule="exact"/>
        <w:rPr>
          <w:sz w:val="20"/>
          <w:szCs w:val="20"/>
          <w:color w:val="auto"/>
        </w:rPr>
      </w:pPr>
      <w:r>
        <w:rPr>
          <w:sz w:val="20"/>
          <w:szCs w:val="20"/>
          <w:color w:val="auto"/>
        </w:rPr>
        <w:br w:type="column"/>
      </w:r>
    </w:p>
    <w:p>
      <w:pPr>
        <w:ind w:right="480"/>
        <w:spacing w:after="0" w:line="267" w:lineRule="auto"/>
        <w:rPr>
          <w:sz w:val="20"/>
          <w:szCs w:val="20"/>
          <w:color w:val="auto"/>
        </w:rPr>
      </w:pPr>
      <w:r>
        <w:rPr>
          <w:rFonts w:ascii="Arial" w:cs="Arial" w:eastAsia="Arial" w:hAnsi="Arial"/>
          <w:sz w:val="18"/>
          <w:szCs w:val="18"/>
          <w:color w:val="auto"/>
        </w:rPr>
        <w:t>Our business model involves a complex distribution and supply chain network. Our directors oversee and guide operational efficiencies in various facets of our operations.</w:t>
      </w:r>
    </w:p>
    <w:p>
      <w:pPr>
        <w:spacing w:after="0" w:line="89" w:lineRule="exact"/>
        <w:rPr>
          <w:sz w:val="20"/>
          <w:szCs w:val="20"/>
          <w:color w:val="auto"/>
        </w:rPr>
      </w:pPr>
    </w:p>
    <w:p>
      <w:pPr>
        <w:ind w:right="840"/>
        <w:spacing w:after="0" w:line="285" w:lineRule="auto"/>
        <w:rPr>
          <w:sz w:val="20"/>
          <w:szCs w:val="20"/>
          <w:color w:val="auto"/>
        </w:rPr>
      </w:pPr>
      <w:r>
        <w:rPr>
          <w:rFonts w:ascii="Arial" w:cs="Arial" w:eastAsia="Arial" w:hAnsi="Arial"/>
          <w:sz w:val="18"/>
          <w:szCs w:val="18"/>
          <w:color w:val="auto"/>
        </w:rPr>
        <w:t>We win by knowing our customers and our Board provides guidance in marketing and sales strategy.</w:t>
      </w:r>
    </w:p>
    <w:p>
      <w:pPr>
        <w:spacing w:after="0" w:line="8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Protecting our data and assets requires constant vigilance and awareness of cybersecurity threats. Having directors with a background in cyber oversight allows our Board to assist management in identifying and mitigating these threats.</w:t>
      </w:r>
    </w:p>
    <w:p>
      <w:pPr>
        <w:spacing w:after="0" w:line="122" w:lineRule="exact"/>
        <w:rPr>
          <w:sz w:val="20"/>
          <w:szCs w:val="20"/>
          <w:color w:val="auto"/>
        </w:rPr>
      </w:pPr>
    </w:p>
    <w:p>
      <w:pPr>
        <w:ind w:right="160"/>
        <w:spacing w:after="0" w:line="316" w:lineRule="auto"/>
        <w:rPr>
          <w:sz w:val="20"/>
          <w:szCs w:val="20"/>
          <w:color w:val="auto"/>
        </w:rPr>
      </w:pPr>
      <w:r>
        <w:rPr>
          <w:rFonts w:ascii="Arial" w:cs="Arial" w:eastAsia="Arial" w:hAnsi="Arial"/>
          <w:sz w:val="17"/>
          <w:szCs w:val="17"/>
          <w:color w:val="auto"/>
        </w:rPr>
        <w:t>Our Board emphasizes good board and governance practices and provides valuable oversight in our evolving regulatory environment.</w:t>
      </w:r>
    </w:p>
    <w:p>
      <w:pPr>
        <w:spacing w:after="0" w:line="77"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We are a large-scale technology company in a capital-intensive industry, which requires complex financial management. Our Board is an integral part of this function.</w:t>
      </w:r>
    </w:p>
    <w:p>
      <w:pPr>
        <w:spacing w:after="0" w:line="200" w:lineRule="exact"/>
        <w:rPr>
          <w:sz w:val="20"/>
          <w:szCs w:val="20"/>
          <w:color w:val="auto"/>
        </w:rPr>
      </w:pPr>
    </w:p>
    <w:p>
      <w:pPr>
        <w:sectPr>
          <w:pgSz w:w="11900" w:h="16838" w:orient="portrait"/>
          <w:cols w:equalWidth="0" w:num="2">
            <w:col w:w="5400" w:space="360"/>
            <w:col w:w="54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ind w:left="9080"/>
        <w:spacing w:after="0"/>
        <w:rPr>
          <w:sz w:val="20"/>
          <w:szCs w:val="20"/>
          <w:color w:val="auto"/>
        </w:rPr>
      </w:pPr>
      <w:r>
        <w:rPr>
          <w:rFonts w:ascii="Arial" w:cs="Arial" w:eastAsia="Arial" w:hAnsi="Arial"/>
          <w:sz w:val="16"/>
          <w:szCs w:val="16"/>
          <w:b w:val="1"/>
          <w:bCs w:val="1"/>
          <w:u w:val="single" w:color="auto"/>
          <w:color w:val="BD03F7"/>
        </w:rPr>
        <w:t>Table of Contents</w:t>
      </w:r>
    </w:p>
    <w:p>
      <w:pPr>
        <w:sectPr>
          <w:pgSz w:w="11900" w:h="16838" w:orient="portrait"/>
          <w:cols w:equalWidth="0" w:num="1">
            <w:col w:w="10440"/>
          </w:cols>
          <w:pgMar w:left="11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BD03F7"/>
        </w:rPr>
        <w:t>Auditing/Accounting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-178435</wp:posOffset>
            </wp:positionV>
            <wp:extent cx="324485" cy="324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Experience overseeing auditing and accounting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BD03F7"/>
        </w:rPr>
        <w:t>Strategy/Innovation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-110490</wp:posOffset>
            </wp:positionV>
            <wp:extent cx="324485" cy="324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8"/>
          <w:szCs w:val="18"/>
          <w:color w:val="auto"/>
        </w:rPr>
        <w:t>Experience setting and executing corporate strategies geared towards long-term success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BD03F7"/>
        </w:rPr>
        <w:t>Risk Management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Experience assessing and responding to enterprise risks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BD03F7"/>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-110490</wp:posOffset>
            </wp:positionV>
            <wp:extent cx="324485" cy="324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ind w:right="380"/>
        <w:spacing w:after="0" w:line="249" w:lineRule="auto"/>
        <w:rPr>
          <w:sz w:val="20"/>
          <w:szCs w:val="20"/>
          <w:color w:val="auto"/>
        </w:rPr>
      </w:pPr>
      <w:r>
        <w:rPr>
          <w:rFonts w:ascii="Arial" w:cs="Arial" w:eastAsia="Arial" w:hAnsi="Arial"/>
          <w:sz w:val="18"/>
          <w:szCs w:val="18"/>
          <w:color w:val="auto"/>
        </w:rPr>
        <w:t>Experience in human capital management in large global organizations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BD03F7"/>
        </w:rPr>
        <w:t>Technology/Semiconductor</w:t>
      </w:r>
    </w:p>
    <w:p>
      <w:pPr>
        <w:spacing w:after="0" w:line="2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Experience in the semiconductor industry or other relevant technology industries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BD03F7"/>
        </w:rPr>
        <w:t>Public Policy/Political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-110490</wp:posOffset>
            </wp:positionV>
            <wp:extent cx="324485" cy="324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ind w:right="140"/>
        <w:spacing w:after="0" w:line="249" w:lineRule="auto"/>
        <w:rPr>
          <w:sz w:val="20"/>
          <w:szCs w:val="20"/>
          <w:color w:val="auto"/>
        </w:rPr>
      </w:pPr>
      <w:r>
        <w:rPr>
          <w:rFonts w:ascii="Arial" w:cs="Arial" w:eastAsia="Arial" w:hAnsi="Arial"/>
          <w:sz w:val="18"/>
          <w:szCs w:val="18"/>
          <w:color w:val="auto"/>
        </w:rPr>
        <w:t>Experience obtained through substantive engagements with policymakers or government agencies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Experience with accounting or auditing allows our Board to provide key oversight of our financial reporting processes and internal controls.</w:t>
      </w:r>
    </w:p>
    <w:p>
      <w:pPr>
        <w:spacing w:after="0" w:line="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Innovation is at the heart of Micron and our Board’s experience with emerging technologies and strategic planning gives us valuable perspective as we assess and execute on our strategic objectives.</w:t>
      </w:r>
    </w:p>
    <w:p>
      <w:pPr>
        <w:spacing w:after="0" w:line="14"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Risk management oversight experience promotes our ability to detect, evaluate, and respond to enterprise risks, including environmental risks.</w:t>
      </w:r>
    </w:p>
    <w:p>
      <w:pPr>
        <w:spacing w:after="0" w:line="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Our people are integral to our success, and we care about their successes as well. Our Board’s experiences with management, talent retention and development, and corporate culture provides key insights for our continued investment in our people globally.</w:t>
      </w:r>
    </w:p>
    <w:p>
      <w:pPr>
        <w:spacing w:after="0" w:line="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benefit from our Board’s experience and knowledge of the business, technology, products, operations and challenges that impact semiconductor companies or other companies in the technology sector.</w:t>
      </w:r>
    </w:p>
    <w:p>
      <w:pPr>
        <w:spacing w:after="0" w:line="14"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Experience working with policymakers or government agencies provides the necessary insight into the political and regulatory matters that impact our Company and its stakeholders. Our Board helps to guide our engagement with regulators and policymakers.</w:t>
      </w:r>
    </w:p>
    <w:p>
      <w:pPr>
        <w:spacing w:after="0" w:line="200" w:lineRule="exact"/>
        <w:rPr>
          <w:sz w:val="20"/>
          <w:szCs w:val="20"/>
          <w:color w:val="auto"/>
        </w:rPr>
      </w:pPr>
    </w:p>
    <w:p>
      <w:pPr>
        <w:sectPr>
          <w:pgSz w:w="11900" w:h="16838" w:orient="portrait"/>
          <w:cols w:equalWidth="0" w:num="2">
            <w:col w:w="4880" w:space="80"/>
            <w:col w:w="5480"/>
          </w:cols>
          <w:pgMar w:left="11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80"/>
        <w:spacing w:after="0"/>
        <w:rPr>
          <w:sz w:val="20"/>
          <w:szCs w:val="20"/>
          <w:color w:val="auto"/>
        </w:rPr>
      </w:pPr>
      <w:r>
        <w:rPr>
          <w:sz w:val="1"/>
          <w:szCs w:val="1"/>
          <w:color w:val="auto"/>
        </w:rPr>
        <w:drawing>
          <wp:inline distT="0" distB="0" distL="0" distR="0">
            <wp:extent cx="777240"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105410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40"/>
          </w:cols>
          <w:pgMar w:left="1120" w:top="125"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SKILLS AND EXPERIENCE OF DIRECTORS AND NOMINEES</w:t>
      </w:r>
    </w:p>
    <w:p>
      <w:pPr>
        <w:spacing w:after="0" w:line="22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Governance and Sustainability Committee oversees the Board’s composition and identifies and continually refines the list of skills, attributes, and experiences that it believes will result in an effective, dynamic, and diverse Board. The Governance and Sustainability Committee uses the insights this matrix provides to recommend committee assignments and inform searches for new director candidates or opportunities to refresh Board composition. During its most recent annual update, the Governance and Sustainability Committee undertook a comprehensive review and refresh of the skills matrix to ensure it is aligned to our business, including defining the skills and adding a statement on the importance of each skill.</w:t>
      </w:r>
    </w:p>
    <w:p>
      <w:pPr>
        <w:spacing w:after="0" w:line="20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following table highlights the specific skills, experience, qualifications and attributes that each of our directors and nominees brings to the Board. A particular director or nominee may possess other skills, experience, qualifications or attributes even though they are not indicated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Borders>
              <w:top w:val="single" w:sz="8" w:color="BD03F7"/>
            </w:tcBorders>
            <w:vMerge w:val="restart"/>
          </w:tcPr>
          <w:p>
            <w:pPr>
              <w:ind w:left="20"/>
              <w:spacing w:after="0"/>
              <w:rPr>
                <w:sz w:val="20"/>
                <w:szCs w:val="20"/>
                <w:color w:val="auto"/>
              </w:rPr>
            </w:pPr>
            <w:r>
              <w:rPr>
                <w:rFonts w:ascii="Arial" w:cs="Arial" w:eastAsia="Arial" w:hAnsi="Arial"/>
                <w:sz w:val="16"/>
                <w:szCs w:val="16"/>
                <w:b w:val="1"/>
                <w:bCs w:val="1"/>
                <w:color w:val="BD03F7"/>
              </w:rPr>
              <w:t>Skills and Experience</w:t>
            </w:r>
          </w:p>
        </w:tc>
        <w:tc>
          <w:tcPr>
            <w:tcW w:w="98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Richard M.</w:t>
            </w:r>
          </w:p>
        </w:tc>
        <w:tc>
          <w:tcPr>
            <w:tcW w:w="96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Lynn A.</w:t>
            </w:r>
          </w:p>
        </w:tc>
        <w:tc>
          <w:tcPr>
            <w:tcW w:w="98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Steven J.</w:t>
            </w:r>
          </w:p>
        </w:tc>
        <w:tc>
          <w:tcPr>
            <w:tcW w:w="108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Linnie M.</w:t>
            </w:r>
          </w:p>
        </w:tc>
        <w:tc>
          <w:tcPr>
            <w:tcW w:w="980" w:type="dxa"/>
            <w:vAlign w:val="bottom"/>
            <w:tcBorders>
              <w:top w:val="single" w:sz="8" w:color="BD03F7"/>
            </w:tcBorders>
          </w:tcPr>
          <w:p>
            <w:pPr>
              <w:ind w:left="180"/>
              <w:spacing w:after="0" w:line="175" w:lineRule="exact"/>
              <w:rPr>
                <w:sz w:val="20"/>
                <w:szCs w:val="20"/>
                <w:color w:val="auto"/>
              </w:rPr>
            </w:pPr>
            <w:r>
              <w:rPr>
                <w:rFonts w:ascii="Arial" w:cs="Arial" w:eastAsia="Arial" w:hAnsi="Arial"/>
                <w:sz w:val="16"/>
                <w:szCs w:val="16"/>
                <w:color w:val="auto"/>
              </w:rPr>
              <w:t>Mary Pat</w:t>
            </w:r>
          </w:p>
        </w:tc>
        <w:tc>
          <w:tcPr>
            <w:tcW w:w="98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Sanjay</w:t>
            </w:r>
          </w:p>
        </w:tc>
        <w:tc>
          <w:tcPr>
            <w:tcW w:w="980" w:type="dxa"/>
            <w:vAlign w:val="bottom"/>
            <w:tcBorders>
              <w:top w:val="single" w:sz="8" w:color="BD03F7"/>
            </w:tcBorders>
            <w:vMerge w:val="restart"/>
          </w:tcPr>
          <w:p>
            <w:pPr>
              <w:ind w:left="40"/>
              <w:spacing w:after="0"/>
              <w:rPr>
                <w:sz w:val="20"/>
                <w:szCs w:val="20"/>
                <w:color w:val="auto"/>
              </w:rPr>
            </w:pPr>
            <w:r>
              <w:rPr>
                <w:rFonts w:ascii="Arial" w:cs="Arial" w:eastAsia="Arial" w:hAnsi="Arial"/>
                <w:sz w:val="16"/>
                <w:szCs w:val="16"/>
                <w:color w:val="auto"/>
                <w:w w:val="99"/>
              </w:rPr>
              <w:t>Robert Swan</w:t>
            </w:r>
          </w:p>
        </w:tc>
        <w:tc>
          <w:tcPr>
            <w:tcW w:w="100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Robert E.</w:t>
            </w:r>
          </w:p>
        </w:tc>
        <w:tc>
          <w:tcPr>
            <w:tcW w:w="98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w w:val="99"/>
              </w:rPr>
              <w:t>MaryAnn</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BD03F7"/>
            </w:tcBorders>
            <w:vMerge w:val="continue"/>
          </w:tcPr>
          <w:p>
            <w:pPr>
              <w:spacing w:after="0"/>
              <w:rPr>
                <w:sz w:val="18"/>
                <w:szCs w:val="18"/>
                <w:color w:val="auto"/>
              </w:rPr>
            </w:pP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Beyer</w:t>
            </w:r>
          </w:p>
        </w:tc>
        <w:tc>
          <w:tcPr>
            <w:tcW w:w="96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Dugle</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Gomo</w:t>
            </w: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Haynesworth</w:t>
            </w:r>
          </w:p>
        </w:tc>
        <w:tc>
          <w:tcPr>
            <w:tcW w:w="980" w:type="dxa"/>
            <w:vAlign w:val="bottom"/>
            <w:tcBorders>
              <w:bottom w:val="single" w:sz="8" w:color="BD03F7"/>
            </w:tcBorders>
          </w:tcPr>
          <w:p>
            <w:pPr>
              <w:ind w:left="140"/>
              <w:spacing w:after="0"/>
              <w:rPr>
                <w:sz w:val="20"/>
                <w:szCs w:val="20"/>
                <w:color w:val="auto"/>
              </w:rPr>
            </w:pPr>
            <w:r>
              <w:rPr>
                <w:rFonts w:ascii="Arial" w:cs="Arial" w:eastAsia="Arial" w:hAnsi="Arial"/>
                <w:sz w:val="16"/>
                <w:szCs w:val="16"/>
                <w:color w:val="auto"/>
              </w:rPr>
              <w:t>McCarthy</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w w:val="99"/>
              </w:rPr>
              <w:t>Mehrotra</w:t>
            </w:r>
          </w:p>
        </w:tc>
        <w:tc>
          <w:tcPr>
            <w:tcW w:w="980" w:type="dxa"/>
            <w:vAlign w:val="bottom"/>
            <w:tcBorders>
              <w:bottom w:val="single" w:sz="8" w:color="BD03F7"/>
            </w:tcBorders>
            <w:vMerge w:val="continue"/>
          </w:tcPr>
          <w:p>
            <w:pPr>
              <w:spacing w:after="0"/>
              <w:rPr>
                <w:sz w:val="18"/>
                <w:szCs w:val="18"/>
                <w:color w:val="auto"/>
              </w:rPr>
            </w:pPr>
          </w:p>
        </w:tc>
        <w:tc>
          <w:tcPr>
            <w:tcW w:w="100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Switz</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w w:val="99"/>
              </w:rPr>
              <w:t>Wright</w:t>
            </w:r>
          </w:p>
        </w:tc>
        <w:tc>
          <w:tcPr>
            <w:tcW w:w="0" w:type="dxa"/>
            <w:vAlign w:val="bottom"/>
          </w:tcPr>
          <w:p>
            <w:pPr>
              <w:spacing w:after="0"/>
              <w:rPr>
                <w:sz w:val="1"/>
                <w:szCs w:val="1"/>
                <w:color w:val="auto"/>
              </w:rPr>
            </w:pPr>
          </w:p>
        </w:tc>
      </w:tr>
      <w:tr>
        <w:trPr>
          <w:trHeight w:val="302"/>
        </w:trPr>
        <w:tc>
          <w:tcPr>
            <w:tcW w:w="2220" w:type="dxa"/>
            <w:vAlign w:val="bottom"/>
          </w:tcPr>
          <w:p>
            <w:pPr>
              <w:ind w:left="20"/>
              <w:spacing w:after="0"/>
              <w:rPr>
                <w:sz w:val="20"/>
                <w:szCs w:val="20"/>
                <w:color w:val="auto"/>
              </w:rPr>
            </w:pPr>
            <w:r>
              <w:rPr>
                <w:rFonts w:ascii="Arial" w:cs="Arial" w:eastAsia="Arial" w:hAnsi="Arial"/>
                <w:sz w:val="16"/>
                <w:szCs w:val="16"/>
                <w:color w:val="auto"/>
              </w:rPr>
              <w:t>Multinational experience</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Executive leadership (public</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Arial" w:cs="Arial" w:eastAsia="Arial" w:hAnsi="Arial"/>
                <w:sz w:val="16"/>
                <w:szCs w:val="16"/>
                <w:color w:val="auto"/>
              </w:rPr>
              <w:t>or private)</w:t>
            </w:r>
          </w:p>
        </w:tc>
        <w:tc>
          <w:tcPr>
            <w:tcW w:w="980" w:type="dxa"/>
            <w:vAlign w:val="bottom"/>
            <w:vMerge w:val="continue"/>
            <w:shd w:val="clear" w:color="auto" w:fill="F2F2F2"/>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100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Operations/Manufacturing</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Strategy/Marketing</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31"/>
        </w:trPr>
        <w:tc>
          <w:tcPr>
            <w:tcW w:w="2220" w:type="dxa"/>
            <w:vAlign w:val="bottom"/>
          </w:tcPr>
          <w:p>
            <w:pPr>
              <w:ind w:left="20"/>
              <w:spacing w:after="0"/>
              <w:rPr>
                <w:sz w:val="20"/>
                <w:szCs w:val="20"/>
                <w:color w:val="auto"/>
              </w:rPr>
            </w:pPr>
            <w:r>
              <w:rPr>
                <w:rFonts w:ascii="Arial" w:cs="Arial" w:eastAsia="Arial" w:hAnsi="Arial"/>
                <w:sz w:val="16"/>
                <w:szCs w:val="16"/>
                <w:color w:val="auto"/>
              </w:rPr>
              <w:t>Cybersecurity</w:t>
            </w:r>
          </w:p>
        </w:tc>
        <w:tc>
          <w:tcPr>
            <w:tcW w:w="980" w:type="dxa"/>
            <w:vAlign w:val="bottom"/>
            <w:shd w:val="clear" w:color="auto" w:fill="F2F2F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Governance/Public Company</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vMerge w:val="restart"/>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Arial" w:cs="Arial" w:eastAsia="Arial" w:hAnsi="Arial"/>
                <w:sz w:val="16"/>
                <w:szCs w:val="16"/>
                <w:color w:val="auto"/>
              </w:rPr>
              <w:t>Board Service</w:t>
            </w:r>
          </w:p>
        </w:tc>
        <w:tc>
          <w:tcPr>
            <w:tcW w:w="980" w:type="dxa"/>
            <w:vAlign w:val="bottom"/>
            <w:vMerge w:val="continue"/>
            <w:shd w:val="clear" w:color="auto" w:fill="F2F2F2"/>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1000" w:type="dxa"/>
            <w:vAlign w:val="bottom"/>
            <w:vMerge w:val="continue"/>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Finance</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Auditing/Accounting</w:t>
            </w:r>
          </w:p>
        </w:tc>
        <w:tc>
          <w:tcPr>
            <w:tcW w:w="980" w:type="dxa"/>
            <w:vAlign w:val="bottom"/>
            <w:shd w:val="clear" w:color="auto" w:fill="F2F2F2"/>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Strategy/Innovation</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Risk Management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Human Capital Management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2220" w:type="dxa"/>
            <w:vAlign w:val="bottom"/>
          </w:tcPr>
          <w:p>
            <w:pPr>
              <w:ind w:left="20"/>
              <w:spacing w:after="0"/>
              <w:rPr>
                <w:sz w:val="20"/>
                <w:szCs w:val="20"/>
                <w:color w:val="auto"/>
              </w:rPr>
            </w:pPr>
            <w:r>
              <w:rPr>
                <w:rFonts w:ascii="Arial" w:cs="Arial" w:eastAsia="Arial" w:hAnsi="Arial"/>
                <w:sz w:val="16"/>
                <w:szCs w:val="16"/>
                <w:color w:val="auto"/>
              </w:rPr>
              <w:t>Technology/Semiconductor</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Pr>
          <w:p>
            <w:pPr>
              <w:spacing w:after="0"/>
              <w:rPr>
                <w:sz w:val="24"/>
                <w:szCs w:val="24"/>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32"/>
        </w:trPr>
        <w:tc>
          <w:tcPr>
            <w:tcW w:w="222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Public Policy/Political Affairs</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Borders>
              <w:bottom w:val="single" w:sz="8" w:color="BD03F7"/>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BD03F7"/>
            </w:tcBorders>
            <w:shd w:val="clear" w:color="auto" w:fill="F2F2F2"/>
          </w:tcPr>
          <w:p>
            <w:pPr>
              <w:spacing w:after="0"/>
              <w:rPr>
                <w:sz w:val="24"/>
                <w:szCs w:val="24"/>
                <w:color w:val="auto"/>
              </w:rPr>
            </w:pPr>
          </w:p>
        </w:tc>
        <w:tc>
          <w:tcPr>
            <w:tcW w:w="108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2F2F2"/>
          </w:tcPr>
          <w:p>
            <w:pPr>
              <w:spacing w:after="0"/>
              <w:rPr>
                <w:sz w:val="24"/>
                <w:szCs w:val="24"/>
                <w:color w:val="auto"/>
              </w:rPr>
            </w:pP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42"/>
        </w:trPr>
        <w:tc>
          <w:tcPr>
            <w:tcW w:w="2220" w:type="dxa"/>
            <w:vAlign w:val="bottom"/>
          </w:tcPr>
          <w:p>
            <w:pPr>
              <w:ind w:left="20"/>
              <w:spacing w:after="0"/>
              <w:rPr>
                <w:sz w:val="20"/>
                <w:szCs w:val="20"/>
                <w:color w:val="auto"/>
              </w:rPr>
            </w:pPr>
            <w:r>
              <w:rPr>
                <w:rFonts w:ascii="Arial" w:cs="Arial" w:eastAsia="Arial" w:hAnsi="Arial"/>
                <w:sz w:val="16"/>
                <w:szCs w:val="16"/>
                <w:color w:val="auto"/>
              </w:rPr>
              <w:t>Gender</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76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65</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72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67</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69</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66</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64</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78</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25"/>
        </w:trPr>
        <w:tc>
          <w:tcPr>
            <w:tcW w:w="2220" w:type="dxa"/>
            <w:vAlign w:val="bottom"/>
          </w:tcPr>
          <w:p>
            <w:pPr>
              <w:ind w:left="20"/>
              <w:spacing w:after="0"/>
              <w:rPr>
                <w:sz w:val="20"/>
                <w:szCs w:val="20"/>
                <w:color w:val="auto"/>
              </w:rPr>
            </w:pPr>
            <w:r>
              <w:rPr>
                <w:rFonts w:ascii="Arial" w:cs="Arial" w:eastAsia="Arial" w:hAnsi="Arial"/>
                <w:sz w:val="16"/>
                <w:szCs w:val="16"/>
                <w:color w:val="auto"/>
              </w:rPr>
              <w:t>Age</w:t>
            </w:r>
          </w:p>
        </w:tc>
        <w:tc>
          <w:tcPr>
            <w:tcW w:w="980" w:type="dxa"/>
            <w:vAlign w:val="bottom"/>
            <w:vMerge w:val="continue"/>
            <w:shd w:val="clear" w:color="auto" w:fill="F2F2F2"/>
          </w:tcPr>
          <w:p>
            <w:pPr>
              <w:spacing w:after="0"/>
              <w:rPr>
                <w:sz w:val="19"/>
                <w:szCs w:val="19"/>
                <w:color w:val="auto"/>
              </w:rPr>
            </w:pPr>
          </w:p>
        </w:tc>
        <w:tc>
          <w:tcPr>
            <w:tcW w:w="960" w:type="dxa"/>
            <w:vAlign w:val="bottom"/>
            <w:vMerge w:val="continue"/>
          </w:tcPr>
          <w:p>
            <w:pPr>
              <w:spacing w:after="0"/>
              <w:rPr>
                <w:sz w:val="19"/>
                <w:szCs w:val="19"/>
                <w:color w:val="auto"/>
              </w:rPr>
            </w:pPr>
          </w:p>
        </w:tc>
        <w:tc>
          <w:tcPr>
            <w:tcW w:w="980" w:type="dxa"/>
            <w:vAlign w:val="bottom"/>
            <w:vMerge w:val="continue"/>
            <w:shd w:val="clear" w:color="auto" w:fill="F2F2F2"/>
          </w:tcPr>
          <w:p>
            <w:pPr>
              <w:spacing w:after="0"/>
              <w:rPr>
                <w:sz w:val="19"/>
                <w:szCs w:val="19"/>
                <w:color w:val="auto"/>
              </w:rPr>
            </w:pPr>
          </w:p>
        </w:tc>
        <w:tc>
          <w:tcPr>
            <w:tcW w:w="1080" w:type="dxa"/>
            <w:vAlign w:val="bottom"/>
            <w:vMerge w:val="continue"/>
          </w:tcPr>
          <w:p>
            <w:pPr>
              <w:spacing w:after="0"/>
              <w:rPr>
                <w:sz w:val="19"/>
                <w:szCs w:val="19"/>
                <w:color w:val="auto"/>
              </w:rPr>
            </w:pPr>
          </w:p>
        </w:tc>
        <w:tc>
          <w:tcPr>
            <w:tcW w:w="980" w:type="dxa"/>
            <w:vAlign w:val="bottom"/>
            <w:vMerge w:val="continue"/>
            <w:shd w:val="clear" w:color="auto" w:fill="F2F2F2"/>
          </w:tcPr>
          <w:p>
            <w:pPr>
              <w:spacing w:after="0"/>
              <w:rPr>
                <w:sz w:val="19"/>
                <w:szCs w:val="19"/>
                <w:color w:val="auto"/>
              </w:rPr>
            </w:pPr>
          </w:p>
        </w:tc>
        <w:tc>
          <w:tcPr>
            <w:tcW w:w="980" w:type="dxa"/>
            <w:vAlign w:val="bottom"/>
            <w:vMerge w:val="continue"/>
          </w:tcPr>
          <w:p>
            <w:pPr>
              <w:spacing w:after="0"/>
              <w:rPr>
                <w:sz w:val="19"/>
                <w:szCs w:val="19"/>
                <w:color w:val="auto"/>
              </w:rPr>
            </w:pPr>
          </w:p>
        </w:tc>
        <w:tc>
          <w:tcPr>
            <w:tcW w:w="980" w:type="dxa"/>
            <w:vAlign w:val="bottom"/>
            <w:vMerge w:val="continue"/>
            <w:shd w:val="clear" w:color="auto" w:fill="F2F2F2"/>
          </w:tcPr>
          <w:p>
            <w:pPr>
              <w:spacing w:after="0"/>
              <w:rPr>
                <w:sz w:val="19"/>
                <w:szCs w:val="19"/>
                <w:color w:val="auto"/>
              </w:rPr>
            </w:pPr>
          </w:p>
        </w:tc>
        <w:tc>
          <w:tcPr>
            <w:tcW w:w="1000" w:type="dxa"/>
            <w:vAlign w:val="bottom"/>
            <w:vMerge w:val="continue"/>
          </w:tcPr>
          <w:p>
            <w:pPr>
              <w:spacing w:after="0"/>
              <w:rPr>
                <w:sz w:val="19"/>
                <w:szCs w:val="19"/>
                <w:color w:val="auto"/>
              </w:rPr>
            </w:pPr>
          </w:p>
        </w:tc>
        <w:tc>
          <w:tcPr>
            <w:tcW w:w="980" w:type="dxa"/>
            <w:vAlign w:val="bottom"/>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2013</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2024</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2006</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Tenure (Years)</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89"/>
              </w:rPr>
              <w:t>11</w:t>
            </w:r>
          </w:p>
        </w:tc>
        <w:tc>
          <w:tcPr>
            <w:tcW w:w="9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9"/>
              </w:rPr>
              <w:t>4</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w:t>
            </w: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9"/>
              </w:rPr>
              <w:t>3</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9"/>
              </w:rPr>
              <w:t>7</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9"/>
              </w:rPr>
              <w:t>18</w:t>
            </w:r>
          </w:p>
        </w:tc>
        <w:tc>
          <w:tcPr>
            <w:tcW w:w="9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-665480</wp:posOffset>
            </wp:positionV>
            <wp:extent cx="205105"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-665480</wp:posOffset>
            </wp:positionV>
            <wp:extent cx="20510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-665480</wp:posOffset>
            </wp:positionV>
            <wp:extent cx="205105"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-665480</wp:posOffset>
            </wp:positionV>
            <wp:extent cx="20510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-665480</wp:posOffset>
            </wp:positionV>
            <wp:extent cx="20510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-665480</wp:posOffset>
            </wp:positionV>
            <wp:extent cx="20510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-665480</wp:posOffset>
            </wp:positionV>
            <wp:extent cx="20510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-665480</wp:posOffset>
            </wp:positionV>
            <wp:extent cx="20510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105" cy="162560"/>
                    </a:xfrm>
                    <a:prstGeom prst="rect">
                      <a:avLst/>
                    </a:prstGeom>
                    <a:noFill/>
                  </pic:spPr>
                </pic:pic>
              </a:graphicData>
            </a:graphic>
          </wp:anchor>
        </w:drawing>
        <w:drawing>
          <wp:anchor simplePos="0" relativeHeight="251657728" behindDoc="1" locked="0" layoutInCell="0" allowOverlap="1">
            <wp:simplePos x="0" y="0"/>
            <wp:positionH relativeFrom="column">
              <wp:posOffset>6659245</wp:posOffset>
            </wp:positionH>
            <wp:positionV relativeFrom="paragraph">
              <wp:posOffset>-665480</wp:posOffset>
            </wp:positionV>
            <wp:extent cx="20510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10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The Governance and Sustainability Committee is committed to continuing to identify and recruit highly qualified director candidates with diverse experiences, perspectives, and backgrounds to join our Board. The table below provides certain diversity information regarding the composition of our Board. The diversity table required by the Nasdaq Stock Market LLC (“Nasdaq”) can be found in Appendix B.</w:t>
      </w: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Board Diversity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20" w:type="dxa"/>
            <w:vAlign w:val="bottom"/>
            <w:tcBorders>
              <w:top w:val="single" w:sz="8" w:color="BD03F7"/>
            </w:tcBorders>
          </w:tcPr>
          <w:p>
            <w:pPr>
              <w:ind w:left="20"/>
              <w:spacing w:after="0" w:line="155" w:lineRule="exact"/>
              <w:rPr>
                <w:sz w:val="20"/>
                <w:szCs w:val="20"/>
                <w:color w:val="auto"/>
              </w:rPr>
            </w:pPr>
            <w:r>
              <w:rPr>
                <w:rFonts w:ascii="Arial" w:cs="Arial" w:eastAsia="Arial" w:hAnsi="Arial"/>
                <w:sz w:val="16"/>
                <w:szCs w:val="16"/>
                <w:b w:val="1"/>
                <w:bCs w:val="1"/>
                <w:color w:val="BD03F7"/>
              </w:rPr>
              <w:t>Demographic/Diversity</w:t>
            </w:r>
          </w:p>
        </w:tc>
        <w:tc>
          <w:tcPr>
            <w:tcW w:w="9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Richard M.</w:t>
            </w:r>
          </w:p>
        </w:tc>
        <w:tc>
          <w:tcPr>
            <w:tcW w:w="96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Lynn A.</w:t>
            </w:r>
          </w:p>
        </w:tc>
        <w:tc>
          <w:tcPr>
            <w:tcW w:w="9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Steven J.</w:t>
            </w:r>
          </w:p>
        </w:tc>
        <w:tc>
          <w:tcPr>
            <w:tcW w:w="10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Linnie M.</w:t>
            </w:r>
          </w:p>
        </w:tc>
        <w:tc>
          <w:tcPr>
            <w:tcW w:w="9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w w:val="99"/>
              </w:rPr>
              <w:t>Mary Pat</w:t>
            </w:r>
          </w:p>
        </w:tc>
        <w:tc>
          <w:tcPr>
            <w:tcW w:w="9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Sanjay</w:t>
            </w:r>
          </w:p>
        </w:tc>
        <w:tc>
          <w:tcPr>
            <w:tcW w:w="98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6"/>
                <w:szCs w:val="16"/>
                <w:color w:val="auto"/>
                <w:w w:val="99"/>
              </w:rPr>
              <w:t>Robert Swan</w:t>
            </w:r>
          </w:p>
        </w:tc>
        <w:tc>
          <w:tcPr>
            <w:tcW w:w="100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rPr>
              <w:t>Robert E.</w:t>
            </w:r>
          </w:p>
        </w:tc>
        <w:tc>
          <w:tcPr>
            <w:tcW w:w="9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color w:val="auto"/>
                <w:w w:val="99"/>
              </w:rPr>
              <w:t>MaryAnn</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BD03F7"/>
            </w:tcBorders>
          </w:tcPr>
          <w:p>
            <w:pPr>
              <w:ind w:left="20"/>
              <w:spacing w:after="0"/>
              <w:rPr>
                <w:sz w:val="20"/>
                <w:szCs w:val="20"/>
                <w:color w:val="auto"/>
              </w:rPr>
            </w:pPr>
            <w:r>
              <w:rPr>
                <w:rFonts w:ascii="Arial" w:cs="Arial" w:eastAsia="Arial" w:hAnsi="Arial"/>
                <w:sz w:val="16"/>
                <w:szCs w:val="16"/>
                <w:b w:val="1"/>
                <w:bCs w:val="1"/>
                <w:color w:val="BD03F7"/>
              </w:rPr>
              <w:t>Categories</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Beyer</w:t>
            </w:r>
          </w:p>
        </w:tc>
        <w:tc>
          <w:tcPr>
            <w:tcW w:w="96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Dugle</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Gomo</w:t>
            </w: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Haynesworth</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McCarthy</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w w:val="99"/>
              </w:rPr>
              <w:t>Mehrotra</w:t>
            </w:r>
          </w:p>
        </w:tc>
        <w:tc>
          <w:tcPr>
            <w:tcW w:w="980" w:type="dxa"/>
            <w:vAlign w:val="bottom"/>
            <w:tcBorders>
              <w:bottom w:val="single" w:sz="8" w:color="BD03F7"/>
            </w:tcBorders>
            <w:vMerge w:val="continue"/>
          </w:tcPr>
          <w:p>
            <w:pPr>
              <w:spacing w:after="0"/>
              <w:rPr>
                <w:sz w:val="18"/>
                <w:szCs w:val="18"/>
                <w:color w:val="auto"/>
              </w:rPr>
            </w:pPr>
          </w:p>
        </w:tc>
        <w:tc>
          <w:tcPr>
            <w:tcW w:w="100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rPr>
              <w:t>Switz</w:t>
            </w:r>
          </w:p>
        </w:tc>
        <w:tc>
          <w:tcPr>
            <w:tcW w:w="9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color w:val="auto"/>
                <w:w w:val="99"/>
              </w:rPr>
              <w:t>Wright</w:t>
            </w:r>
          </w:p>
        </w:tc>
        <w:tc>
          <w:tcPr>
            <w:tcW w:w="0" w:type="dxa"/>
            <w:vAlign w:val="bottom"/>
          </w:tcPr>
          <w:p>
            <w:pPr>
              <w:spacing w:after="0"/>
              <w:rPr>
                <w:sz w:val="1"/>
                <w:szCs w:val="1"/>
                <w:color w:val="auto"/>
              </w:rPr>
            </w:pPr>
          </w:p>
        </w:tc>
      </w:tr>
      <w:tr>
        <w:trPr>
          <w:trHeight w:val="30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African American or Black</w:t>
            </w:r>
          </w:p>
        </w:tc>
        <w:tc>
          <w:tcPr>
            <w:tcW w:w="980" w:type="dxa"/>
            <w:vAlign w:val="bottom"/>
            <w:tcBorders>
              <w:bottom w:val="single" w:sz="8" w:color="DBDBDB"/>
            </w:tcBorders>
            <w:shd w:val="clear" w:color="auto" w:fill="F9F9F9"/>
          </w:tcPr>
          <w:p>
            <w:pPr>
              <w:spacing w:after="0"/>
              <w:rPr>
                <w:sz w:val="24"/>
                <w:szCs w:val="24"/>
                <w:color w:val="auto"/>
              </w:rPr>
            </w:pPr>
          </w:p>
        </w:tc>
        <w:tc>
          <w:tcPr>
            <w:tcW w:w="96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1080" w:type="dxa"/>
            <w:vAlign w:val="bottom"/>
            <w:tcBorders>
              <w:bottom w:val="single" w:sz="8" w:color="DBDBDB"/>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DBDBDB"/>
            </w:tcBorders>
            <w:shd w:val="clear" w:color="auto" w:fill="F9F9F9"/>
          </w:tcPr>
          <w:p>
            <w:pPr>
              <w:spacing w:after="0"/>
              <w:rPr>
                <w:sz w:val="24"/>
                <w:szCs w:val="24"/>
                <w:color w:val="auto"/>
              </w:rPr>
            </w:pPr>
          </w:p>
        </w:tc>
        <w:tc>
          <w:tcPr>
            <w:tcW w:w="98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100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20"/>
              <w:spacing w:after="0" w:line="155" w:lineRule="exact"/>
              <w:rPr>
                <w:sz w:val="20"/>
                <w:szCs w:val="20"/>
                <w:color w:val="auto"/>
              </w:rPr>
            </w:pPr>
            <w:r>
              <w:rPr>
                <w:rFonts w:ascii="Arial" w:cs="Arial" w:eastAsia="Arial" w:hAnsi="Arial"/>
                <w:sz w:val="16"/>
                <w:szCs w:val="16"/>
                <w:color w:val="auto"/>
              </w:rPr>
              <w:t>Alaskan Native or Native</w:t>
            </w:r>
          </w:p>
        </w:tc>
        <w:tc>
          <w:tcPr>
            <w:tcW w:w="980" w:type="dxa"/>
            <w:vAlign w:val="bottom"/>
            <w:shd w:val="clear" w:color="auto" w:fill="F9F9F9"/>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American</w:t>
            </w:r>
          </w:p>
        </w:tc>
        <w:tc>
          <w:tcPr>
            <w:tcW w:w="980" w:type="dxa"/>
            <w:vAlign w:val="bottom"/>
            <w:tcBorders>
              <w:bottom w:val="single" w:sz="8" w:color="DBDBDB"/>
            </w:tcBorders>
            <w:shd w:val="clear" w:color="auto" w:fill="F9F9F9"/>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9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Asian</w:t>
            </w:r>
          </w:p>
        </w:tc>
        <w:tc>
          <w:tcPr>
            <w:tcW w:w="980" w:type="dxa"/>
            <w:vAlign w:val="bottom"/>
            <w:tcBorders>
              <w:bottom w:val="single" w:sz="8" w:color="DBDBDB"/>
            </w:tcBorders>
            <w:shd w:val="clear" w:color="auto" w:fill="F9F9F9"/>
          </w:tcPr>
          <w:p>
            <w:pPr>
              <w:spacing w:after="0"/>
              <w:rPr>
                <w:sz w:val="24"/>
                <w:szCs w:val="24"/>
                <w:color w:val="auto"/>
              </w:rPr>
            </w:pPr>
          </w:p>
        </w:tc>
        <w:tc>
          <w:tcPr>
            <w:tcW w:w="96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108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DBDBDB"/>
            </w:tcBorders>
            <w:shd w:val="clear" w:color="auto" w:fill="F9F9F9"/>
          </w:tcPr>
          <w:p>
            <w:pPr>
              <w:spacing w:after="0"/>
              <w:rPr>
                <w:sz w:val="24"/>
                <w:szCs w:val="24"/>
                <w:color w:val="auto"/>
              </w:rPr>
            </w:pPr>
          </w:p>
        </w:tc>
        <w:tc>
          <w:tcPr>
            <w:tcW w:w="100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Hispanic or Latinx</w:t>
            </w:r>
          </w:p>
        </w:tc>
        <w:tc>
          <w:tcPr>
            <w:tcW w:w="980" w:type="dxa"/>
            <w:vAlign w:val="bottom"/>
            <w:tcBorders>
              <w:bottom w:val="single" w:sz="8" w:color="DBDBDB"/>
            </w:tcBorders>
            <w:shd w:val="clear" w:color="auto" w:fill="F9F9F9"/>
          </w:tcPr>
          <w:p>
            <w:pPr>
              <w:spacing w:after="0"/>
              <w:rPr>
                <w:sz w:val="20"/>
                <w:szCs w:val="20"/>
                <w:color w:val="auto"/>
              </w:rPr>
            </w:pPr>
          </w:p>
        </w:tc>
        <w:tc>
          <w:tcPr>
            <w:tcW w:w="96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line="156" w:lineRule="exact"/>
              <w:rPr>
                <w:sz w:val="20"/>
                <w:szCs w:val="20"/>
                <w:color w:val="auto"/>
              </w:rPr>
            </w:pPr>
            <w:r>
              <w:rPr>
                <w:rFonts w:ascii="Arial" w:cs="Arial" w:eastAsia="Arial" w:hAnsi="Arial"/>
                <w:sz w:val="16"/>
                <w:szCs w:val="16"/>
                <w:color w:val="auto"/>
              </w:rPr>
              <w:t>Native Hawaiian or Pacific</w:t>
            </w:r>
          </w:p>
        </w:tc>
        <w:tc>
          <w:tcPr>
            <w:tcW w:w="980" w:type="dxa"/>
            <w:vAlign w:val="bottom"/>
            <w:shd w:val="clear" w:color="auto" w:fill="F9F9F9"/>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Islander</w:t>
            </w:r>
          </w:p>
        </w:tc>
        <w:tc>
          <w:tcPr>
            <w:tcW w:w="980" w:type="dxa"/>
            <w:vAlign w:val="bottom"/>
            <w:tcBorders>
              <w:bottom w:val="single" w:sz="8" w:color="DBDBDB"/>
            </w:tcBorders>
            <w:shd w:val="clear" w:color="auto" w:fill="F9F9F9"/>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9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White</w:t>
            </w:r>
          </w:p>
        </w:tc>
        <w:tc>
          <w:tcPr>
            <w:tcW w:w="980" w:type="dxa"/>
            <w:vAlign w:val="bottom"/>
            <w:tcBorders>
              <w:bottom w:val="single" w:sz="8" w:color="DBDBDB"/>
            </w:tcBorders>
            <w:shd w:val="clear" w:color="auto" w:fill="F9F9F9"/>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DBDBDB"/>
            </w:tcBorders>
            <w:shd w:val="clear" w:color="auto" w:fill="F9F9F9"/>
          </w:tcPr>
          <w:p>
            <w:pPr>
              <w:jc w:val="center"/>
              <w:spacing w:after="0"/>
              <w:rPr>
                <w:sz w:val="20"/>
                <w:szCs w:val="20"/>
                <w:color w:val="auto"/>
              </w:rPr>
            </w:pPr>
            <w:r>
              <w:rPr>
                <w:rFonts w:ascii="Arial" w:cs="Arial" w:eastAsia="Arial" w:hAnsi="Arial"/>
                <w:sz w:val="25"/>
                <w:szCs w:val="25"/>
                <w:color w:val="BD03F7"/>
                <w:w w:val="90"/>
              </w:rPr>
              <w:t>•</w:t>
            </w:r>
          </w:p>
        </w:tc>
        <w:tc>
          <w:tcPr>
            <w:tcW w:w="108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jc w:val="center"/>
              <w:spacing w:after="0"/>
              <w:rPr>
                <w:sz w:val="20"/>
                <w:szCs w:val="20"/>
                <w:color w:val="auto"/>
              </w:rPr>
            </w:pPr>
            <w:r>
              <w:rPr>
                <w:rFonts w:ascii="Arial" w:cs="Arial" w:eastAsia="Arial" w:hAnsi="Arial"/>
                <w:sz w:val="25"/>
                <w:szCs w:val="25"/>
                <w:color w:val="BD03F7"/>
              </w:rPr>
              <w:t>•</w:t>
            </w:r>
          </w:p>
        </w:tc>
        <w:tc>
          <w:tcPr>
            <w:tcW w:w="98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shd w:val="clear" w:color="auto" w:fill="F9F9F9"/>
          </w:tcPr>
          <w:p>
            <w:pPr>
              <w:jc w:val="center"/>
              <w:spacing w:after="0"/>
              <w:rPr>
                <w:sz w:val="20"/>
                <w:szCs w:val="20"/>
                <w:color w:val="auto"/>
              </w:rPr>
            </w:pPr>
            <w:r>
              <w:rPr>
                <w:rFonts w:ascii="Arial" w:cs="Arial" w:eastAsia="Arial" w:hAnsi="Arial"/>
                <w:sz w:val="25"/>
                <w:szCs w:val="25"/>
                <w:color w:val="BD03F7"/>
                <w:w w:val="90"/>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25"/>
                <w:szCs w:val="25"/>
                <w:color w:val="BD03F7"/>
                <w:w w:val="90"/>
              </w:rPr>
              <w:t>•</w:t>
            </w:r>
          </w:p>
        </w:tc>
        <w:tc>
          <w:tcPr>
            <w:tcW w:w="980" w:type="dxa"/>
            <w:vAlign w:val="bottom"/>
            <w:tcBorders>
              <w:bottom w:val="single" w:sz="8" w:color="DBDBDB"/>
            </w:tcBorders>
            <w:shd w:val="clear" w:color="auto" w:fill="F9F9F9"/>
          </w:tcPr>
          <w:p>
            <w:pPr>
              <w:jc w:val="center"/>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55"/>
        </w:trPr>
        <w:tc>
          <w:tcPr>
            <w:tcW w:w="2220" w:type="dxa"/>
            <w:vAlign w:val="bottom"/>
          </w:tcPr>
          <w:p>
            <w:pPr>
              <w:ind w:left="20"/>
              <w:spacing w:after="0" w:line="155" w:lineRule="exact"/>
              <w:rPr>
                <w:sz w:val="20"/>
                <w:szCs w:val="20"/>
                <w:color w:val="auto"/>
              </w:rPr>
            </w:pPr>
            <w:r>
              <w:rPr>
                <w:rFonts w:ascii="Arial" w:cs="Arial" w:eastAsia="Arial" w:hAnsi="Arial"/>
                <w:sz w:val="16"/>
                <w:szCs w:val="16"/>
                <w:color w:val="auto"/>
              </w:rPr>
              <w:t>Two or More Races or</w:t>
            </w:r>
          </w:p>
        </w:tc>
        <w:tc>
          <w:tcPr>
            <w:tcW w:w="980" w:type="dxa"/>
            <w:vAlign w:val="bottom"/>
            <w:shd w:val="clear" w:color="auto" w:fill="F9F9F9"/>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shd w:val="clear" w:color="auto" w:fill="F9F9F9"/>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Ethnicities</w:t>
            </w:r>
          </w:p>
        </w:tc>
        <w:tc>
          <w:tcPr>
            <w:tcW w:w="980" w:type="dxa"/>
            <w:vAlign w:val="bottom"/>
            <w:tcBorders>
              <w:bottom w:val="single" w:sz="8" w:color="DBDBDB"/>
            </w:tcBorders>
            <w:shd w:val="clear" w:color="auto" w:fill="F9F9F9"/>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98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980" w:type="dxa"/>
            <w:vAlign w:val="bottom"/>
            <w:tcBorders>
              <w:bottom w:val="single" w:sz="8" w:color="DBDBDB"/>
            </w:tcBorders>
            <w:shd w:val="clear" w:color="auto" w:fill="F9F9F9"/>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LGBTQ+</w:t>
            </w:r>
          </w:p>
        </w:tc>
        <w:tc>
          <w:tcPr>
            <w:tcW w:w="980" w:type="dxa"/>
            <w:vAlign w:val="bottom"/>
            <w:tcBorders>
              <w:bottom w:val="single" w:sz="8" w:color="DBDBDB"/>
            </w:tcBorders>
            <w:shd w:val="clear" w:color="auto" w:fill="F9F9F9"/>
          </w:tcPr>
          <w:p>
            <w:pPr>
              <w:spacing w:after="0"/>
              <w:rPr>
                <w:sz w:val="20"/>
                <w:szCs w:val="20"/>
                <w:color w:val="auto"/>
              </w:rPr>
            </w:pPr>
          </w:p>
        </w:tc>
        <w:tc>
          <w:tcPr>
            <w:tcW w:w="96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shd w:val="clear" w:color="auto" w:fill="F9F9F9"/>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22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Military Veteran</w:t>
            </w:r>
          </w:p>
        </w:tc>
        <w:tc>
          <w:tcPr>
            <w:tcW w:w="98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25"/>
                <w:szCs w:val="25"/>
                <w:color w:val="BD03F7"/>
              </w:rPr>
              <w:t>•</w:t>
            </w:r>
          </w:p>
        </w:tc>
        <w:tc>
          <w:tcPr>
            <w:tcW w:w="96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9F9F9"/>
          </w:tcPr>
          <w:p>
            <w:pPr>
              <w:spacing w:after="0"/>
              <w:rPr>
                <w:sz w:val="24"/>
                <w:szCs w:val="24"/>
                <w:color w:val="auto"/>
              </w:rPr>
            </w:pPr>
          </w:p>
        </w:tc>
        <w:tc>
          <w:tcPr>
            <w:tcW w:w="108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9F9F9"/>
          </w:tcPr>
          <w:p>
            <w:pPr>
              <w:spacing w:after="0"/>
              <w:rPr>
                <w:sz w:val="24"/>
                <w:szCs w:val="24"/>
                <w:color w:val="auto"/>
              </w:rPr>
            </w:pPr>
          </w:p>
        </w:tc>
        <w:tc>
          <w:tcPr>
            <w:tcW w:w="98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9F9F9"/>
          </w:tcPr>
          <w:p>
            <w:pPr>
              <w:spacing w:after="0"/>
              <w:rPr>
                <w:sz w:val="24"/>
                <w:szCs w:val="24"/>
                <w:color w:val="auto"/>
              </w:rPr>
            </w:pPr>
          </w:p>
        </w:tc>
        <w:tc>
          <w:tcPr>
            <w:tcW w:w="1000" w:type="dxa"/>
            <w:vAlign w:val="bottom"/>
            <w:tcBorders>
              <w:bottom w:val="single" w:sz="8" w:color="BD03F7"/>
            </w:tcBorders>
          </w:tcPr>
          <w:p>
            <w:pPr>
              <w:spacing w:after="0"/>
              <w:rPr>
                <w:sz w:val="24"/>
                <w:szCs w:val="24"/>
                <w:color w:val="auto"/>
              </w:rPr>
            </w:pPr>
          </w:p>
        </w:tc>
        <w:tc>
          <w:tcPr>
            <w:tcW w:w="980" w:type="dxa"/>
            <w:vAlign w:val="bottom"/>
            <w:tcBorders>
              <w:bottom w:val="single" w:sz="8" w:color="BD03F7"/>
            </w:tcBorders>
            <w:shd w:val="clear" w:color="auto" w:fill="F9F9F9"/>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NOMINATION PROCESS</w:t>
      </w:r>
    </w:p>
    <w:p>
      <w:pPr>
        <w:spacing w:after="0" w:line="24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among other things, the knowledge, experience, integrity, and judgment of the candidates, their contribution to the diversity of backgrounds, experience and skills on the Board, and their ability to devote sufficient time and effort to their duties as directors and provide appropriate oversight. The Governance and Sustainability Committee considers the following skills and experience particularly relevant: experience in the semiconductor industry or related industries; strong business acumen and judgment; excellent interpersonal skills; business relationships with key individuals in industry, government, and education that may be of assistance to us and our operations; familiarity with accounting rules and practices; and “independence” as defined and required by the Listing Rules of the Nasdaq and relevant rules and regulations of the SEC. The Governance and Sustainability Committee then recommends the selected candidates to the Board.</w:t>
      </w:r>
    </w:p>
    <w:p>
      <w:pPr>
        <w:spacing w:after="0" w:line="213"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When the Board decides to add directors to the Board, the Governance and Sustainability Committee may work with a third-party executive search firm to assist in identifying and evaluating potential candidates for which it may pay a fee.</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among other things, the range of viewpoints represented on the Board.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TIME COMMITMENT POLICY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Our Corporate Governance Guidelines contain the following limits on the number of public company board commitments a director may have.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60" w:type="dxa"/>
            <w:vAlign w:val="bottom"/>
            <w:tcBorders>
              <w:top w:val="single" w:sz="8" w:color="BD03F7"/>
              <w:bottom w:val="single" w:sz="8" w:color="BD03F7"/>
            </w:tcBorders>
          </w:tcPr>
          <w:p>
            <w:pPr>
              <w:ind w:left="20"/>
              <w:spacing w:after="0"/>
              <w:rPr>
                <w:sz w:val="20"/>
                <w:szCs w:val="20"/>
                <w:color w:val="auto"/>
              </w:rPr>
            </w:pPr>
            <w:r>
              <w:rPr>
                <w:rFonts w:ascii="Arial" w:cs="Arial" w:eastAsia="Arial" w:hAnsi="Arial"/>
                <w:sz w:val="18"/>
                <w:szCs w:val="18"/>
                <w:b w:val="1"/>
                <w:bCs w:val="1"/>
                <w:color w:val="auto"/>
              </w:rPr>
              <w:t>Director Category</w:t>
            </w:r>
          </w:p>
        </w:tc>
        <w:tc>
          <w:tcPr>
            <w:tcW w:w="6940" w:type="dxa"/>
            <w:vAlign w:val="bottom"/>
            <w:tcBorders>
              <w:top w:val="single" w:sz="8" w:color="BD03F7"/>
              <w:bottom w:val="single" w:sz="8" w:color="BD03F7"/>
            </w:tcBorders>
          </w:tcPr>
          <w:p>
            <w:pPr>
              <w:ind w:left="1660"/>
              <w:spacing w:after="0"/>
              <w:rPr>
                <w:sz w:val="20"/>
                <w:szCs w:val="20"/>
                <w:color w:val="auto"/>
              </w:rPr>
            </w:pPr>
            <w:r>
              <w:rPr>
                <w:rFonts w:ascii="Arial" w:cs="Arial" w:eastAsia="Arial" w:hAnsi="Arial"/>
                <w:sz w:val="18"/>
                <w:szCs w:val="18"/>
                <w:b w:val="1"/>
                <w:bCs w:val="1"/>
                <w:color w:val="auto"/>
              </w:rPr>
              <w:t>Director Time Service Limits</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Non-Employee Directors</w:t>
            </w:r>
          </w:p>
        </w:tc>
        <w:tc>
          <w:tcPr>
            <w:tcW w:w="6940" w:type="dxa"/>
            <w:vAlign w:val="bottom"/>
          </w:tcPr>
          <w:p>
            <w:pPr>
              <w:ind w:left="1660"/>
              <w:spacing w:after="0"/>
              <w:rPr>
                <w:sz w:val="20"/>
                <w:szCs w:val="20"/>
                <w:color w:val="auto"/>
              </w:rPr>
            </w:pPr>
            <w:r>
              <w:rPr>
                <w:rFonts w:ascii="Arial" w:cs="Arial" w:eastAsia="Arial" w:hAnsi="Arial"/>
                <w:sz w:val="18"/>
                <w:szCs w:val="18"/>
                <w:color w:val="auto"/>
              </w:rPr>
              <w:t>No More than 4 Other Public Company Boards</w:t>
            </w:r>
          </w:p>
        </w:tc>
      </w:tr>
      <w:tr>
        <w:trPr>
          <w:trHeight w:val="234"/>
        </w:trPr>
        <w:tc>
          <w:tcPr>
            <w:tcW w:w="366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Employee Directors</w:t>
            </w:r>
          </w:p>
        </w:tc>
        <w:tc>
          <w:tcPr>
            <w:tcW w:w="6940" w:type="dxa"/>
            <w:vAlign w:val="bottom"/>
            <w:tcBorders>
              <w:bottom w:val="single" w:sz="8" w:color="BD03F7"/>
            </w:tcBorders>
          </w:tcPr>
          <w:p>
            <w:pPr>
              <w:ind w:left="1660"/>
              <w:spacing w:after="0"/>
              <w:rPr>
                <w:sz w:val="20"/>
                <w:szCs w:val="20"/>
                <w:color w:val="auto"/>
              </w:rPr>
            </w:pPr>
            <w:r>
              <w:rPr>
                <w:rFonts w:ascii="Arial" w:cs="Arial" w:eastAsia="Arial" w:hAnsi="Arial"/>
                <w:sz w:val="18"/>
                <w:szCs w:val="18"/>
                <w:color w:val="auto"/>
              </w:rPr>
              <w:t>No More than 2 Other Public Company Boards</w:t>
            </w:r>
          </w:p>
        </w:tc>
      </w:tr>
    </w:tbl>
    <w:p>
      <w:pPr>
        <w:spacing w:after="0" w:line="31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This limitation will not apply if the Board determines that simultaneous service does not impair the ability of the member to effectively serve on the Board. A director’s time commitment is considered as part of the director nomination process and is reviewed annually.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REFRESHMENT</w:t>
      </w:r>
    </w:p>
    <w:p>
      <w:pPr>
        <w:spacing w:after="0" w:line="24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Board believes that periodic director refreshment can provide new experiences and fresh perspectives to our Board and is most effective if it is sufficiently balanced with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 With the appointments of Mr. Swan in 2024 and Ms.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color w:val="auto"/>
        </w:rPr>
        <w:t>Haynesworth in 2021, our Board refreshed its composition while maintaining institutional knowledge with directors of varying lengths of tenure.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ONBOARDING AND CONTINUING EDUCATION</w:t>
      </w:r>
    </w:p>
    <w:p>
      <w:pPr>
        <w:spacing w:after="0" w:line="24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maintain a comprehensive director onboarding program focused on introducing new directors to our business and facilitating director integration on our Board, which is regularly updated. Our program is designed to familiarize new directors with our business, organization, strategies and policies and assists new directors in developing company and industry knowledge to optimize their service on the Board. Our process also includes one-on-one meetings with several members of our senior management.</w:t>
      </w:r>
    </w:p>
    <w:p>
      <w:pPr>
        <w:spacing w:after="0" w:line="20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Regular continuing education programs enhance the skills and knowledge directors use to perform their responsibilities. These programs may include internally developed materials and presentations, programs presented by third parties and financial and administrative support to attend academic or other independent programs.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SELF-EVALUATION</w:t>
      </w:r>
    </w:p>
    <w:p>
      <w:pPr>
        <w:spacing w:after="0" w:line="2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in which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composition, structure and responsibilities of our Board and its committees, agendas and meeting schedules for our Board and its committees, and changes in the performance or functioning of our Board, and such evaluations are taken into account when the Board makes decisions regarding nominations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BOARD’S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BOARD’S ROLE IN RISK OVERSIGHT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Assessment and Mitigation</w:t>
      </w:r>
    </w:p>
    <w:p>
      <w:pPr>
        <w:spacing w:after="0" w:line="25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operate in a dynamic economic, social, and political landscape, making structured and conscientious risk management more important than ever. Our Board reviews and oversees our enterprise risk management program, which is a unified approach to risk management that helps us achieve a shared understanding of risks and make informed business decisions. This approach enhances our capability to address future events that create uncertainty and respond in an efficient and effective manner. It also facilitates prompt action to mitigate identified risks and embeds risk management into our culture.</w:t>
      </w:r>
    </w:p>
    <w:p>
      <w:pPr>
        <w:spacing w:after="0" w:line="206"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The Board has delegated primary oversight of our enterprise risk management process to the Audit Committee, which conducts reviews of our risk assessment and enterprise risk management policies as described below, including overseeing the management of risks related to financial reporting and compliance. Other Board committees provide additional insights into our enterprise risk management program in the areas of their core competencies, and report to the Board regularly on matters relating to the following specific areas of risk the committees oversee:</w:t>
      </w:r>
    </w:p>
    <w:p>
      <w:pPr>
        <w:spacing w:after="0" w:line="206" w:lineRule="exact"/>
        <w:rPr>
          <w:sz w:val="20"/>
          <w:szCs w:val="20"/>
          <w:color w:val="auto"/>
        </w:rPr>
      </w:pPr>
    </w:p>
    <w:p>
      <w:pPr>
        <w:ind w:left="640" w:hanging="310"/>
        <w:spacing w:after="0"/>
        <w:tabs>
          <w:tab w:leader="none" w:pos="640" w:val="left"/>
        </w:tabs>
        <w:numPr>
          <w:ilvl w:val="0"/>
          <w:numId w:val="32"/>
        </w:numPr>
        <w:rPr>
          <w:rFonts w:ascii="Arial" w:cs="Arial" w:eastAsia="Arial" w:hAnsi="Arial"/>
          <w:sz w:val="18"/>
          <w:szCs w:val="18"/>
          <w:color w:val="BD03F7"/>
        </w:rPr>
      </w:pPr>
      <w:r>
        <w:rPr>
          <w:rFonts w:ascii="Arial" w:cs="Arial" w:eastAsia="Arial" w:hAnsi="Arial"/>
          <w:sz w:val="18"/>
          <w:szCs w:val="18"/>
          <w:color w:val="auto"/>
        </w:rPr>
        <w:t>The Compensation Committee oversees management of risks relating to our compensation plans and programs.</w:t>
      </w:r>
    </w:p>
    <w:p>
      <w:pPr>
        <w:spacing w:after="0" w:line="250" w:lineRule="exact"/>
        <w:rPr>
          <w:rFonts w:ascii="Arial" w:cs="Arial" w:eastAsia="Arial" w:hAnsi="Arial"/>
          <w:sz w:val="18"/>
          <w:szCs w:val="18"/>
          <w:color w:val="BD03F7"/>
        </w:rPr>
      </w:pPr>
    </w:p>
    <w:p>
      <w:pPr>
        <w:ind w:left="640" w:hanging="310"/>
        <w:spacing w:after="0"/>
        <w:tabs>
          <w:tab w:leader="none" w:pos="640" w:val="left"/>
        </w:tabs>
        <w:numPr>
          <w:ilvl w:val="0"/>
          <w:numId w:val="32"/>
        </w:numPr>
        <w:rPr>
          <w:rFonts w:ascii="Arial" w:cs="Arial" w:eastAsia="Arial" w:hAnsi="Arial"/>
          <w:sz w:val="18"/>
          <w:szCs w:val="18"/>
          <w:color w:val="BD03F7"/>
        </w:rPr>
      </w:pPr>
      <w:r>
        <w:rPr>
          <w:rFonts w:ascii="Arial" w:cs="Arial" w:eastAsia="Arial" w:hAnsi="Arial"/>
          <w:sz w:val="18"/>
          <w:szCs w:val="18"/>
          <w:color w:val="auto"/>
        </w:rPr>
        <w:t>The Finance Committee oversees the Company’s strategies for management of significant financial risks.</w:t>
      </w:r>
    </w:p>
    <w:p>
      <w:pPr>
        <w:spacing w:after="0" w:line="250" w:lineRule="exact"/>
        <w:rPr>
          <w:rFonts w:ascii="Arial" w:cs="Arial" w:eastAsia="Arial" w:hAnsi="Arial"/>
          <w:sz w:val="18"/>
          <w:szCs w:val="18"/>
          <w:color w:val="BD03F7"/>
        </w:rPr>
      </w:pPr>
    </w:p>
    <w:p>
      <w:pPr>
        <w:ind w:left="660" w:right="240" w:hanging="330"/>
        <w:spacing w:after="0" w:line="285" w:lineRule="auto"/>
        <w:tabs>
          <w:tab w:leader="none" w:pos="655" w:val="left"/>
        </w:tabs>
        <w:numPr>
          <w:ilvl w:val="0"/>
          <w:numId w:val="32"/>
        </w:numPr>
        <w:rPr>
          <w:rFonts w:ascii="Arial" w:cs="Arial" w:eastAsia="Arial" w:hAnsi="Arial"/>
          <w:sz w:val="18"/>
          <w:szCs w:val="18"/>
          <w:color w:val="BD03F7"/>
        </w:rPr>
      </w:pPr>
      <w:r>
        <w:rPr>
          <w:rFonts w:ascii="Arial" w:cs="Arial" w:eastAsia="Arial" w:hAnsi="Arial"/>
          <w:sz w:val="18"/>
          <w:szCs w:val="18"/>
          <w:color w:val="auto"/>
        </w:rPr>
        <w:t>The Governance and Sustainability Committee oversees risks associated with the Board’s governance, director independence, the Company’s human capital programs and sustainability initiatives, and public policy and government affairs activities.</w:t>
      </w:r>
    </w:p>
    <w:p>
      <w:pPr>
        <w:spacing w:after="0" w:line="181" w:lineRule="exact"/>
        <w:rPr>
          <w:rFonts w:ascii="Arial" w:cs="Arial" w:eastAsia="Arial" w:hAnsi="Arial"/>
          <w:sz w:val="18"/>
          <w:szCs w:val="18"/>
          <w:color w:val="BD03F7"/>
        </w:rPr>
      </w:pPr>
    </w:p>
    <w:p>
      <w:pPr>
        <w:ind w:left="640" w:hanging="310"/>
        <w:spacing w:after="0"/>
        <w:tabs>
          <w:tab w:leader="none" w:pos="640" w:val="left"/>
        </w:tabs>
        <w:numPr>
          <w:ilvl w:val="0"/>
          <w:numId w:val="32"/>
        </w:numPr>
        <w:rPr>
          <w:rFonts w:ascii="Arial" w:cs="Arial" w:eastAsia="Arial" w:hAnsi="Arial"/>
          <w:sz w:val="18"/>
          <w:szCs w:val="18"/>
          <w:color w:val="BD03F7"/>
        </w:rPr>
      </w:pPr>
      <w:r>
        <w:rPr>
          <w:rFonts w:ascii="Arial" w:cs="Arial" w:eastAsia="Arial" w:hAnsi="Arial"/>
          <w:sz w:val="18"/>
          <w:szCs w:val="18"/>
          <w:color w:val="auto"/>
        </w:rPr>
        <w:t>The Security Committee oversees risks associated with physical security and cybersecurity.</w:t>
      </w:r>
    </w:p>
    <w:p>
      <w:pPr>
        <w:spacing w:after="0" w:line="25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performing their oversight responsibilities, the Board and each committee has full access to management, as well as the ability to engage independent advisors. In addition, the Chair of the Board leads regular executive sessions of the independent directors, facilitates cross-committee feedback, and fosters open dialogue and constructive feedback among the independent directors, which further supports the Board’s ability to fulfill its risk oversight duties. Following the conclusion of our Annual Meeting, our Lead Independent Director will fulfill these duties. See “Proposal 1 - Election of Directors—Board’s Roles and Responsibilities—Board Leadership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Risk Management Process</w:t>
      </w:r>
    </w:p>
    <w:p>
      <w:pPr>
        <w:spacing w:after="0" w:line="248" w:lineRule="exact"/>
        <w:rPr>
          <w:sz w:val="20"/>
          <w:szCs w:val="20"/>
          <w:color w:val="auto"/>
        </w:rPr>
      </w:pPr>
    </w:p>
    <w:p>
      <w:pPr>
        <w:jc w:val="both"/>
        <w:ind w:right="320"/>
        <w:spacing w:after="0" w:line="267" w:lineRule="auto"/>
        <w:rPr>
          <w:sz w:val="20"/>
          <w:szCs w:val="20"/>
          <w:color w:val="auto"/>
        </w:rPr>
      </w:pPr>
      <w:r>
        <w:rPr>
          <w:rFonts w:ascii="Arial" w:cs="Arial" w:eastAsia="Arial" w:hAnsi="Arial"/>
          <w:sz w:val="18"/>
          <w:szCs w:val="18"/>
          <w:color w:val="auto"/>
        </w:rPr>
        <w:t>We designed our enterprise risk management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Vice President of Risk Advisory Services coordinates two enterprise risk management workstreams:</w:t>
      </w:r>
    </w:p>
    <w:p>
      <w:pPr>
        <w:spacing w:after="0" w:line="250" w:lineRule="exact"/>
        <w:rPr>
          <w:sz w:val="20"/>
          <w:szCs w:val="20"/>
          <w:color w:val="auto"/>
        </w:rPr>
      </w:pPr>
    </w:p>
    <w:p>
      <w:pPr>
        <w:ind w:left="660" w:right="40" w:hanging="330"/>
        <w:spacing w:after="0" w:line="258" w:lineRule="auto"/>
        <w:tabs>
          <w:tab w:leader="none" w:pos="655" w:val="left"/>
        </w:tabs>
        <w:numPr>
          <w:ilvl w:val="0"/>
          <w:numId w:val="33"/>
        </w:numPr>
        <w:rPr>
          <w:rFonts w:ascii="Arial" w:cs="Arial" w:eastAsia="Arial" w:hAnsi="Arial"/>
          <w:sz w:val="18"/>
          <w:szCs w:val="18"/>
          <w:color w:val="BD03F7"/>
        </w:rPr>
      </w:pPr>
      <w:r>
        <w:rPr>
          <w:rFonts w:ascii="Arial" w:cs="Arial" w:eastAsia="Arial" w:hAnsi="Arial"/>
          <w:sz w:val="18"/>
          <w:szCs w:val="18"/>
          <w:b w:val="1"/>
          <w:bCs w:val="1"/>
          <w:color w:val="auto"/>
        </w:rPr>
        <w:t>Quarterly Assessment by Risk Council</w:t>
      </w:r>
      <w:r>
        <w:rPr>
          <w:rFonts w:ascii="Arial" w:cs="Arial" w:eastAsia="Arial" w:hAnsi="Arial"/>
          <w:sz w:val="18"/>
          <w:szCs w:val="18"/>
          <w:color w:val="auto"/>
        </w:rPr>
        <w:t>: This workstream consists of a quarterly meeting of the Risk Council, which is composed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from all our major functions. The Risk Council evaluates our operations and surrounding circumstances, identifying potential events, trends or operational conditions that could result in a risk exposure, referred to as Risk Triggers. Once the most significant Risk Triggers are identified, Risk Advisory Services performs an evaluation of their potential impacts on us, assesses if the existing business processes and controls are sufficient to manage the risk and identifies if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right="60"/>
        <w:spacing w:after="0" w:line="261" w:lineRule="auto"/>
        <w:rPr>
          <w:sz w:val="20"/>
          <w:szCs w:val="20"/>
          <w:color w:val="auto"/>
        </w:rPr>
      </w:pPr>
      <w:r>
        <w:rPr>
          <w:rFonts w:ascii="Arial" w:cs="Arial" w:eastAsia="Arial" w:hAnsi="Arial"/>
          <w:sz w:val="18"/>
          <w:szCs w:val="18"/>
          <w:color w:val="auto"/>
        </w:rPr>
        <w:t>additional risk mitigating actions are needed. Where additional actions are deemed necessary, the Risk Council representative of the relevant function coordinates the implementation of such actions. The results of Risk Council quarterly assessments are presented to the Company’s senior leadership and the Audit Committee for review and discussion, and feedback from these parties is taken into consideration in the implementation of such actions.</w:t>
      </w:r>
    </w:p>
    <w:p>
      <w:pPr>
        <w:spacing w:after="0" w:line="203" w:lineRule="exact"/>
        <w:rPr>
          <w:sz w:val="20"/>
          <w:szCs w:val="20"/>
          <w:color w:val="auto"/>
        </w:rPr>
      </w:pPr>
    </w:p>
    <w:p>
      <w:pPr>
        <w:ind w:left="660" w:right="20" w:hanging="330"/>
        <w:spacing w:after="0" w:line="258" w:lineRule="auto"/>
        <w:tabs>
          <w:tab w:leader="none" w:pos="655" w:val="left"/>
        </w:tabs>
        <w:numPr>
          <w:ilvl w:val="0"/>
          <w:numId w:val="34"/>
        </w:numPr>
        <w:rPr>
          <w:rFonts w:ascii="Arial" w:cs="Arial" w:eastAsia="Arial" w:hAnsi="Arial"/>
          <w:sz w:val="18"/>
          <w:szCs w:val="18"/>
          <w:color w:val="BD03F7"/>
        </w:rPr>
      </w:pPr>
      <w:r>
        <w:rPr>
          <w:rFonts w:ascii="Arial" w:cs="Arial" w:eastAsia="Arial" w:hAnsi="Arial"/>
          <w:sz w:val="18"/>
          <w:szCs w:val="18"/>
          <w:b w:val="1"/>
          <w:bCs w:val="1"/>
          <w:color w:val="auto"/>
        </w:rPr>
        <w:t>Annual Process Owner Risk Self-Assessment</w:t>
      </w:r>
      <w:r>
        <w:rPr>
          <w:rFonts w:ascii="Arial" w:cs="Arial" w:eastAsia="Arial" w:hAnsi="Arial"/>
          <w:sz w:val="18"/>
          <w:szCs w:val="18"/>
          <w:color w:val="auto"/>
        </w:rPr>
        <w:t>: Annually, Risk Advisory Services facilitates a process where key process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enterprise evaluate their processes’ ability to mitigate related risks and identify necessary improvements. This assessment is presented to each functional head, where process owners and their senior functional leaders discuss the results and determine if any actions, process changes or improvements are necessary. The overall results of the annual self-assessment are presented to the Audit Committee and the Board.</w:t>
      </w:r>
    </w:p>
    <w:p>
      <w:pPr>
        <w:spacing w:after="0" w:line="206"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color w:val="auto"/>
        </w:rPr>
        <w:t>The combination of these two workstreams embeds risk management in our fabric, regularly engaging leaders across the enterprise and focusing the entire organization on the identification of and mitigation of risks.</w:t>
      </w:r>
    </w:p>
    <w:p>
      <w:pPr>
        <w:spacing w:after="0" w:line="181"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These workstreams also provide timely information to our Chief Executive Officer’s staff and the Audit Committee that is used as input in the development of the Company’s strategy and direction.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Risks</w:t>
      </w:r>
    </w:p>
    <w:p>
      <w:pPr>
        <w:spacing w:after="0" w:line="2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Committee reviews our compensation programs annually to determine whether risks arising from our compensation policies and practices are reasonably likely to have a material adverse effect on us. In making this assessment, we, with guidance from our outside compensation consultants, reviewed our compensation programs to determine if the programs’ provisions and operations create undesired or unintentional risk of a material nature. The Compensation Committee then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 to potential reward, and risk-control.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 Although the Compensation Committee reviewed all compensation programs, the committee focused on the programs with variability of payout, with the ability of a participant to directly affect payout, and the controls on participant action and payout. Following the review, the Compensation Committee has concluded that our compensation policies and practices are not reasonably likely to create situations that would have a material adverse effect on 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Risks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administers its cybersecurity risk oversight function directly as a whole, as well as through the Security Committee, which is comprised of independent directors. Our Chief Security Officer and our Chief Information Officer report to our Security Committee, which oversees monitoring and incident response, risk mitigation, supply chain security, physical security, product security, insider trust, and other security-related items and are primarily responsible to assess and manage our material risks from cybersecurity threats. Our Chief Security Officer and Chief Information Officer provide quarterly briefings to the Security Committee regarding our Company’s cybersecurity risks and activities, including any recent cybersecurity incidents and related responses, cybersecurity systems testing, activities of third parties, and the like. Our Security Committee provides regular updates to the Board of Directors on such reports. In addition, our Chief Security Officer and our Chief Information Officer provide annual briefings to the Board on cybersecurity risks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cybersecurity policies and practices follow the cybersecurity framework of the National Institute of Standards and Technology (NIST). We periodically engage assessors, consultants, auditors or other third parties in connection with our risk assessment processes. The results of those assessments are reported to the Security Committee, and we make adjustments to our cybersecurity policies and practices as necessary in light of the assessments. While we have not experienced a material information security (cybersecurity) incident in the past three fiscal years, we maintain an information security (cybersecurity) risk insurance policy as a matter of good practice.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ARTIFICIAL INTELLIGENCE</w:t>
      </w:r>
    </w:p>
    <w:p>
      <w:pPr>
        <w:spacing w:after="0" w:line="24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vision is an artificial intelligence (“AI”) governance framework flexible enough to keep pace with emerging opportunities, challenges and risks, as well as the evolving international regulatory environment. In the fall of 2023, with Board support, we launched a generative AI governance initiative. Our governance structure provides for technical and AI risk assessment and executive leadership oversight on the innovative and responsible use of emerging generative AI-enabled solutions. We have established an Executive Committee, comprised of members of our management team, which meets periodically to review key cases escalated by the Operating Committee, and which has reviewed and approved our AI Governance Policy.</w:t>
      </w:r>
    </w:p>
    <w:p>
      <w:pPr>
        <w:spacing w:after="0" w:line="20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Our information technology and security teams, led by our Chief Information Officer, are responsible for our AI governance processes, with close support from our Compliance, Legal, and People teams. The cross-functional Operating Committee drives compliance with AI ethical principles and regulatory requirements in development and usage of AI systems, including generative AI tools. Our Operating Committee, which meets regularly, reports to our Chief Information Officer and provides him regular updates. Our Security Committee of the Board also receives regular updates on our AI governance process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AND CULTURE</w:t>
      </w:r>
    </w:p>
    <w:p>
      <w:pPr>
        <w:spacing w:after="0" w:line="2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our people are our most important resource and a critical driver of our competitive advantage. Central to our continuous innovation is an ingrained culture of inclusion, well-being, and continuous learning. Our Board considers a diverse and inclusive environment to be a crucial element of the Company’s business strategy, including effectively addressing customer, shareholder, and other stakeholder needs. The Board has tasked the Company’s management team with taking a proactive approach to developing the semiconductor workforce of the future, and periodically reviews our programs and processes to ensure continual improvement. In addition to this proactive approach to improving our Company, the Board encouraged the Company to commit resources to the well-being of our communities around the globe. Such resources include the Company-established Micron Foundation whose purpose is to provide grants that increase access to STEM education and careers and towards resources for basic living needs. In Fiscal 2024, we continued to invest in strategic partnerships to bolster the representation of underrepresented groups, upheld pay equity, and continued our work to strengthen our culture of inclusion. The diversity, equality, and inclusion (“DEI”) commitments set forth in our 2023 DEI Annual Report extend beyond Micron to the broader communities where we work and live, and exemplify our dedication to accelerating inclusive economic prospects, nurturing diverse business ecosystems, and ensuring their sustainable growth. Micron’s business requires the kind of innovation and resilience that can only be delivered by a supply chain that embraces inclusive sourcing practices. That’s why for the last four years, we have developed goals around our diverse supplier representation and spend and have exceeded those goals each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Board believes a diverse workforce is a competitive advantage and that diverse teams drive more innovation, delivering value to our customers and increased returns to shareholders. We believe diverse teams expand creativity and problem-solving, lead to better decision-making, and enhance team member engagement and retention. Encouraged by our Board, our proactive strategies tap into latent talent, reaching out to communities of women, veterans, people with disabilities, rural communities, and other underrepresented groups globally. This is bolstered by leveraging cutting-edge technologies, forming robust industry alliances, fostering academic collaborations, and curating innovative avenues for non-traditional talent pathways like apprenticeships and return-to-work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Equality</w:t>
      </w:r>
    </w:p>
    <w:p>
      <w:pPr>
        <w:spacing w:after="0" w:line="23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believe our vision to enrich life for all includes how we compensate our employees. We analyze our global compensation and benefits to ensure opportunities for all employees because our People value makes it essential that we pay everyone fairly. With the assistance of a third-party specialist and state-of-the-art technology, we analyze and rectify any disparities in compensation. This rigor encompasses all groups: including women, veterans, people with disabilities, and specific racial and ethnic communities. In Fiscal 2024, we reinstated our cash bonus program and, for Fiscal 2024, we proudly achieved global pay equity across base pay, bonus and equity.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w:t>
      </w:r>
    </w:p>
    <w:p>
      <w:pPr>
        <w:spacing w:after="0" w:line="25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believe that creating an inclusive culture at Micron helps us unleash the full potential of our team members, so everyone feels seen, heard, valued, and respected. These values help us create an environment where team members know they can bring their whole selves to work. To further this mission, we have required comprehensive training for all employees on fostering a respectful workplace, free from harassment or discrimination. We also launched a new initiative this year to provide training for our senior leaders on the four stages of psychological safety, demonstrating our commitment to inclusivity. Furthermore, recognizing the significance of mental health and well-being, we offer a global employee assistance program and provide opportunities for team members to engage in social connection and build relationships through onsite workplace experience events. We also leverage our 10 Employee Resource Groups (“ERGs”), whose members are our ambassadors of inclusion. ERG membership now exceeds more than half our workforce population, with nearly 56% of our global team members belonging to at least one ERG in Fiscal 2024, and we reward our ERG leaders with stock grants for their leadership.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detailed insight into our DEI initiatives and their global impact, please refer to our latest DEI Annual Report available at micron.com/DEI.</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SUSTAINABILITY</w:t>
      </w:r>
    </w:p>
    <w:p>
      <w:pPr>
        <w:spacing w:after="0" w:line="24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commitment to understanding and addressing environmental, social, and governance (“ESG”) issues along our value chain and in our communities is a critical part of our culture and our vision to transform how the world uses information to enrich life for all. Our Board considers ESG issues to be an integral part of its business oversight and our corporate strategy and has encouraged a proactive approach toward mitigating our impact on the environment, supporting our team members and the communities in which they live, respecting human rights, driving transparency and accountability in our supply chain, and developing innovative products that support a sustainable future. We have developed and are executing a sustainability strategy in response to these issues that leverages our leading products, responsible sourcing and operations, and engaged team members.</w:t>
      </w:r>
    </w:p>
    <w:p>
      <w:pPr>
        <w:spacing w:after="0" w:line="209"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monitoring material ESG trends and related long- and short-term impacts of the Company’s operations, supply chains, and products, as well as the Company’s activities and annual public reporting on these topics directed by the Company’s Sustainability Council, sustainability staff, and various teams implementing the Company’s sustainability efforts.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Governance and Sustainability Committee reviews and discusses ESG issues at each regularly scheduled committee meeting. Discussions and reports to the committee include information about significant ESG issues, such as observations from consultations with team members, customers, investors, and other stakeholders about their interests and expectations for us; our social and environmental impacts and benefits; and the impacts of these issues on our business. The Governance and Sustainability Committee regularly reviews the establishment and implementation of our long-term environmental goals and aspirations. As our programs continue to evolve, we revisit these goals to drive greater performance and address the expectations of our stakeholders. In 2020, we set ambitious long-term goals for emissions, energy, water, and waste. In 2022, we expanded our ambitions, setting new goals for our climate initiatives. We expect to allocate about $1 billion of capital expenditures between 2021 and 2028 to support these goals, though we cannot guarantee that our environmental goals and aspirations set forth below will be realized. These goals and initiatives have been developed based in part on feedback from</w:t>
      </w:r>
    </w:p>
    <w:p>
      <w:pPr>
        <w:spacing w:after="0" w:line="200" w:lineRule="exact"/>
        <w:rPr>
          <w:sz w:val="20"/>
          <w:szCs w:val="20"/>
          <w:color w:val="auto"/>
        </w:rPr>
      </w:pPr>
    </w:p>
    <w:p>
      <w:pPr>
        <w:spacing w:after="0" w:line="390"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investors, customers, and team members, and are a critical component of our management of evolving physical, regulatory, market, supply chain, and other risks and opportunities related to climate change, water availability, and other ESG issues.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Our Environmental Goals and Aspirations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Borders>
              <w:top w:val="single" w:sz="8" w:color="BD03F7"/>
              <w:bottom w:val="single" w:sz="8" w:color="BD03F7"/>
            </w:tcBorders>
          </w:tcPr>
          <w:p>
            <w:pPr>
              <w:spacing w:after="0"/>
              <w:rPr>
                <w:sz w:val="19"/>
                <w:szCs w:val="19"/>
                <w:color w:val="auto"/>
              </w:rPr>
            </w:pPr>
          </w:p>
        </w:tc>
        <w:tc>
          <w:tcPr>
            <w:tcW w:w="5080" w:type="dxa"/>
            <w:vAlign w:val="bottom"/>
            <w:tcBorders>
              <w:top w:val="single" w:sz="8" w:color="BD03F7"/>
              <w:bottom w:val="single" w:sz="8" w:color="BD03F7"/>
            </w:tcBorders>
          </w:tcPr>
          <w:p>
            <w:pPr>
              <w:jc w:val="center"/>
              <w:ind w:left="10"/>
              <w:spacing w:after="0"/>
              <w:rPr>
                <w:sz w:val="20"/>
                <w:szCs w:val="20"/>
                <w:color w:val="auto"/>
              </w:rPr>
            </w:pPr>
            <w:r>
              <w:rPr>
                <w:rFonts w:ascii="Arial" w:cs="Arial" w:eastAsia="Arial" w:hAnsi="Arial"/>
                <w:sz w:val="18"/>
                <w:szCs w:val="18"/>
                <w:b w:val="1"/>
                <w:bCs w:val="1"/>
                <w:color w:val="auto"/>
                <w:w w:val="99"/>
              </w:rPr>
              <w:t>Goals</w:t>
            </w:r>
          </w:p>
        </w:tc>
        <w:tc>
          <w:tcPr>
            <w:tcW w:w="4660" w:type="dxa"/>
            <w:vAlign w:val="bottom"/>
            <w:tcBorders>
              <w:top w:val="single" w:sz="8" w:color="BD03F7"/>
              <w:bottom w:val="single" w:sz="8" w:color="BD03F7"/>
            </w:tcBorders>
          </w:tcPr>
          <w:p>
            <w:pPr>
              <w:jc w:val="center"/>
              <w:ind w:right="30"/>
              <w:spacing w:after="0"/>
              <w:rPr>
                <w:sz w:val="20"/>
                <w:szCs w:val="20"/>
                <w:color w:val="auto"/>
              </w:rPr>
            </w:pPr>
            <w:r>
              <w:rPr>
                <w:rFonts w:ascii="Arial" w:cs="Arial" w:eastAsia="Arial" w:hAnsi="Arial"/>
                <w:sz w:val="18"/>
                <w:szCs w:val="18"/>
                <w:b w:val="1"/>
                <w:bCs w:val="1"/>
                <w:color w:val="auto"/>
                <w:w w:val="98"/>
              </w:rPr>
              <w:t>Aspirations</w:t>
            </w:r>
          </w:p>
        </w:tc>
      </w:tr>
      <w:tr>
        <w:trPr>
          <w:trHeight w:val="176"/>
        </w:trPr>
        <w:tc>
          <w:tcPr>
            <w:tcW w:w="1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Emissions:</w:t>
            </w:r>
          </w:p>
        </w:tc>
        <w:tc>
          <w:tcPr>
            <w:tcW w:w="5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75% reduction in greenhouse gas emissions per unit of</w:t>
            </w:r>
          </w:p>
        </w:tc>
        <w:tc>
          <w:tcPr>
            <w:tcW w:w="4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Net zero scope 1 and 2 emissions by</w:t>
            </w:r>
          </w:p>
        </w:tc>
      </w:tr>
      <w:tr>
        <w:trPr>
          <w:trHeight w:val="202"/>
        </w:trPr>
        <w:tc>
          <w:tcPr>
            <w:tcW w:w="1400" w:type="dxa"/>
            <w:vAlign w:val="bottom"/>
          </w:tcPr>
          <w:p>
            <w:pPr>
              <w:spacing w:after="0"/>
              <w:rPr>
                <w:sz w:val="17"/>
                <w:szCs w:val="17"/>
                <w:color w:val="auto"/>
              </w:rPr>
            </w:pPr>
          </w:p>
        </w:tc>
        <w:tc>
          <w:tcPr>
            <w:tcW w:w="50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9"/>
              </w:rPr>
              <w:t>production in calendar year 2030 vs. calendar year</w:t>
            </w:r>
          </w:p>
        </w:tc>
        <w:tc>
          <w:tcPr>
            <w:tcW w:w="46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9"/>
              </w:rPr>
              <w:t>calendar year 2050</w:t>
            </w:r>
          </w:p>
        </w:tc>
      </w:tr>
      <w:tr>
        <w:trPr>
          <w:trHeight w:val="238"/>
        </w:trPr>
        <w:tc>
          <w:tcPr>
            <w:tcW w:w="14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4"/>
              </w:rPr>
              <w:t>2018</w:t>
            </w:r>
          </w:p>
        </w:tc>
        <w:tc>
          <w:tcPr>
            <w:tcW w:w="4660" w:type="dxa"/>
            <w:vAlign w:val="bottom"/>
          </w:tcPr>
          <w:p>
            <w:pPr>
              <w:spacing w:after="0"/>
              <w:rPr>
                <w:sz w:val="20"/>
                <w:szCs w:val="20"/>
                <w:color w:val="auto"/>
              </w:rPr>
            </w:pPr>
          </w:p>
        </w:tc>
      </w:tr>
      <w:tr>
        <w:trPr>
          <w:trHeight w:val="381"/>
        </w:trPr>
        <w:tc>
          <w:tcPr>
            <w:tcW w:w="1400" w:type="dxa"/>
            <w:vAlign w:val="bottom"/>
          </w:tcPr>
          <w:p>
            <w:pPr>
              <w:spacing w:after="0"/>
              <w:rPr>
                <w:sz w:val="24"/>
                <w:szCs w:val="24"/>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9"/>
              </w:rPr>
              <w:t>42% absolute reduction in scope 1 emissions by</w:t>
            </w:r>
          </w:p>
        </w:tc>
        <w:tc>
          <w:tcPr>
            <w:tcW w:w="4660" w:type="dxa"/>
            <w:vAlign w:val="bottom"/>
          </w:tcPr>
          <w:p>
            <w:pPr>
              <w:spacing w:after="0"/>
              <w:rPr>
                <w:sz w:val="24"/>
                <w:szCs w:val="24"/>
                <w:color w:val="auto"/>
              </w:rPr>
            </w:pPr>
          </w:p>
        </w:tc>
      </w:tr>
      <w:tr>
        <w:trPr>
          <w:trHeight w:val="188"/>
        </w:trPr>
        <w:tc>
          <w:tcPr>
            <w:tcW w:w="1400" w:type="dxa"/>
            <w:vAlign w:val="bottom"/>
          </w:tcPr>
          <w:p>
            <w:pPr>
              <w:spacing w:after="0"/>
              <w:rPr>
                <w:sz w:val="16"/>
                <w:szCs w:val="16"/>
                <w:color w:val="auto"/>
              </w:rPr>
            </w:pPr>
          </w:p>
        </w:tc>
        <w:tc>
          <w:tcPr>
            <w:tcW w:w="508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9"/>
              </w:rPr>
              <w:t>calendar year 2030 from the calendar year 2020</w:t>
            </w:r>
          </w:p>
        </w:tc>
        <w:tc>
          <w:tcPr>
            <w:tcW w:w="4660" w:type="dxa"/>
            <w:vAlign w:val="bottom"/>
          </w:tcPr>
          <w:p>
            <w:pPr>
              <w:spacing w:after="0"/>
              <w:rPr>
                <w:sz w:val="16"/>
                <w:szCs w:val="16"/>
                <w:color w:val="auto"/>
              </w:rPr>
            </w:pPr>
          </w:p>
        </w:tc>
      </w:tr>
      <w:tr>
        <w:trPr>
          <w:trHeight w:val="238"/>
        </w:trPr>
        <w:tc>
          <w:tcPr>
            <w:tcW w:w="14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8"/>
              </w:rPr>
              <w:t>baseline</w:t>
            </w:r>
          </w:p>
        </w:tc>
        <w:tc>
          <w:tcPr>
            <w:tcW w:w="4660" w:type="dxa"/>
            <w:vAlign w:val="bottom"/>
          </w:tcPr>
          <w:p>
            <w:pPr>
              <w:spacing w:after="0"/>
              <w:rPr>
                <w:sz w:val="20"/>
                <w:szCs w:val="20"/>
                <w:color w:val="auto"/>
              </w:rPr>
            </w:pPr>
          </w:p>
        </w:tc>
      </w:tr>
      <w:tr>
        <w:trPr>
          <w:trHeight w:val="23"/>
        </w:trPr>
        <w:tc>
          <w:tcPr>
            <w:tcW w:w="1400" w:type="dxa"/>
            <w:vAlign w:val="bottom"/>
            <w:tcBorders>
              <w:bottom w:val="single" w:sz="8" w:color="DBDBDB"/>
            </w:tcBorders>
          </w:tcPr>
          <w:p>
            <w:pPr>
              <w:spacing w:after="0" w:line="20" w:lineRule="exact"/>
              <w:rPr>
                <w:sz w:val="1"/>
                <w:szCs w:val="1"/>
                <w:color w:val="auto"/>
              </w:rPr>
            </w:pPr>
          </w:p>
        </w:tc>
        <w:tc>
          <w:tcPr>
            <w:tcW w:w="5080" w:type="dxa"/>
            <w:vAlign w:val="bottom"/>
            <w:tcBorders>
              <w:bottom w:val="single" w:sz="8" w:color="DBDBDB"/>
            </w:tcBorders>
          </w:tcPr>
          <w:p>
            <w:pPr>
              <w:spacing w:after="0" w:line="20" w:lineRule="exact"/>
              <w:rPr>
                <w:sz w:val="1"/>
                <w:szCs w:val="1"/>
                <w:color w:val="auto"/>
              </w:rPr>
            </w:pPr>
          </w:p>
        </w:tc>
        <w:tc>
          <w:tcPr>
            <w:tcW w:w="4660" w:type="dxa"/>
            <w:vAlign w:val="bottom"/>
            <w:tcBorders>
              <w:bottom w:val="single" w:sz="8" w:color="DBDBDB"/>
            </w:tcBorders>
          </w:tcPr>
          <w:p>
            <w:pPr>
              <w:spacing w:after="0" w:line="20" w:lineRule="exact"/>
              <w:rPr>
                <w:sz w:val="1"/>
                <w:szCs w:val="1"/>
                <w:color w:val="auto"/>
              </w:rPr>
            </w:pPr>
          </w:p>
        </w:tc>
      </w:tr>
      <w:tr>
        <w:trPr>
          <w:trHeight w:val="176"/>
        </w:trPr>
        <w:tc>
          <w:tcPr>
            <w:tcW w:w="1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Energy:</w:t>
            </w:r>
          </w:p>
        </w:tc>
        <w:tc>
          <w:tcPr>
            <w:tcW w:w="5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100% renewable electricity in U.S. operations by</w:t>
            </w:r>
          </w:p>
        </w:tc>
        <w:tc>
          <w:tcPr>
            <w:tcW w:w="4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100% renewable energy globally, where available</w:t>
            </w:r>
          </w:p>
        </w:tc>
      </w:tr>
      <w:tr>
        <w:trPr>
          <w:trHeight w:val="238"/>
        </w:trPr>
        <w:tc>
          <w:tcPr>
            <w:tcW w:w="14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9"/>
              </w:rPr>
              <w:t>the end of calendar year 2025</w:t>
            </w:r>
          </w:p>
        </w:tc>
        <w:tc>
          <w:tcPr>
            <w:tcW w:w="4660" w:type="dxa"/>
            <w:vAlign w:val="bottom"/>
          </w:tcPr>
          <w:p>
            <w:pPr>
              <w:spacing w:after="0"/>
              <w:rPr>
                <w:sz w:val="20"/>
                <w:szCs w:val="20"/>
                <w:color w:val="auto"/>
              </w:rPr>
            </w:pPr>
          </w:p>
        </w:tc>
      </w:tr>
      <w:tr>
        <w:trPr>
          <w:trHeight w:val="449"/>
        </w:trPr>
        <w:tc>
          <w:tcPr>
            <w:tcW w:w="1400" w:type="dxa"/>
            <w:vAlign w:val="bottom"/>
            <w:tcBorders>
              <w:bottom w:val="single" w:sz="8" w:color="DBDBDB"/>
            </w:tcBorders>
          </w:tcPr>
          <w:p>
            <w:pPr>
              <w:spacing w:after="0"/>
              <w:rPr>
                <w:sz w:val="24"/>
                <w:szCs w:val="24"/>
                <w:color w:val="auto"/>
              </w:rPr>
            </w:pPr>
          </w:p>
        </w:tc>
        <w:tc>
          <w:tcPr>
            <w:tcW w:w="5080" w:type="dxa"/>
            <w:vAlign w:val="bottom"/>
            <w:tcBorders>
              <w:bottom w:val="single" w:sz="8" w:color="DBDBDB"/>
            </w:tcBorders>
          </w:tcPr>
          <w:p>
            <w:pPr>
              <w:jc w:val="center"/>
              <w:ind w:left="10"/>
              <w:spacing w:after="0"/>
              <w:rPr>
                <w:sz w:val="20"/>
                <w:szCs w:val="20"/>
                <w:color w:val="auto"/>
              </w:rPr>
            </w:pPr>
            <w:r>
              <w:rPr>
                <w:rFonts w:ascii="Arial" w:cs="Arial" w:eastAsia="Arial" w:hAnsi="Arial"/>
                <w:sz w:val="18"/>
                <w:szCs w:val="18"/>
                <w:color w:val="auto"/>
                <w:w w:val="99"/>
              </w:rPr>
              <w:t>100% renewable electricity in Malaysia (ongoing)</w:t>
            </w:r>
          </w:p>
        </w:tc>
        <w:tc>
          <w:tcPr>
            <w:tcW w:w="4660" w:type="dxa"/>
            <w:vAlign w:val="bottom"/>
            <w:tcBorders>
              <w:bottom w:val="single" w:sz="8" w:color="DBDBDB"/>
            </w:tcBorders>
          </w:tcPr>
          <w:p>
            <w:pPr>
              <w:spacing w:after="0"/>
              <w:rPr>
                <w:sz w:val="24"/>
                <w:szCs w:val="24"/>
                <w:color w:val="auto"/>
              </w:rPr>
            </w:pPr>
          </w:p>
        </w:tc>
      </w:tr>
      <w:tr>
        <w:trPr>
          <w:trHeight w:val="181"/>
        </w:trPr>
        <w:tc>
          <w:tcPr>
            <w:tcW w:w="140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Water:</w:t>
            </w:r>
          </w:p>
        </w:tc>
        <w:tc>
          <w:tcPr>
            <w:tcW w:w="5080" w:type="dxa"/>
            <w:vAlign w:val="bottom"/>
          </w:tcPr>
          <w:p>
            <w:pPr>
              <w:jc w:val="center"/>
              <w:ind w:left="10"/>
              <w:spacing w:after="0" w:line="181" w:lineRule="exact"/>
              <w:rPr>
                <w:sz w:val="20"/>
                <w:szCs w:val="20"/>
                <w:color w:val="auto"/>
              </w:rPr>
            </w:pPr>
            <w:r>
              <w:rPr>
                <w:rFonts w:ascii="Arial" w:cs="Arial" w:eastAsia="Arial" w:hAnsi="Arial"/>
                <w:sz w:val="18"/>
                <w:szCs w:val="18"/>
                <w:color w:val="auto"/>
                <w:w w:val="99"/>
              </w:rPr>
              <w:t>75% water conservation through reuse, recycling, and</w:t>
            </w:r>
          </w:p>
        </w:tc>
        <w:tc>
          <w:tcPr>
            <w:tcW w:w="4660" w:type="dxa"/>
            <w:vAlign w:val="bottom"/>
          </w:tcPr>
          <w:p>
            <w:pPr>
              <w:jc w:val="center"/>
              <w:ind w:right="30"/>
              <w:spacing w:after="0" w:line="181" w:lineRule="exact"/>
              <w:rPr>
                <w:sz w:val="20"/>
                <w:szCs w:val="20"/>
                <w:color w:val="auto"/>
              </w:rPr>
            </w:pPr>
            <w:r>
              <w:rPr>
                <w:rFonts w:ascii="Arial" w:cs="Arial" w:eastAsia="Arial" w:hAnsi="Arial"/>
                <w:sz w:val="18"/>
                <w:szCs w:val="18"/>
                <w:color w:val="auto"/>
                <w:w w:val="99"/>
              </w:rPr>
              <w:t>100% water conservation through reuse,</w:t>
            </w:r>
          </w:p>
        </w:tc>
      </w:tr>
      <w:tr>
        <w:trPr>
          <w:trHeight w:val="238"/>
        </w:trPr>
        <w:tc>
          <w:tcPr>
            <w:tcW w:w="14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9"/>
              </w:rPr>
              <w:t>restoration in calendar year 2030</w:t>
            </w:r>
          </w:p>
        </w:tc>
        <w:tc>
          <w:tcPr>
            <w:tcW w:w="4660" w:type="dxa"/>
            <w:vAlign w:val="bottom"/>
          </w:tcPr>
          <w:p>
            <w:pPr>
              <w:jc w:val="center"/>
              <w:ind w:right="10"/>
              <w:spacing w:after="0"/>
              <w:rPr>
                <w:sz w:val="20"/>
                <w:szCs w:val="20"/>
                <w:color w:val="auto"/>
              </w:rPr>
            </w:pPr>
            <w:r>
              <w:rPr>
                <w:rFonts w:ascii="Arial" w:cs="Arial" w:eastAsia="Arial" w:hAnsi="Arial"/>
                <w:sz w:val="18"/>
                <w:szCs w:val="18"/>
                <w:color w:val="auto"/>
                <w:w w:val="99"/>
              </w:rPr>
              <w:t>recycling, and restoration</w:t>
            </w:r>
          </w:p>
        </w:tc>
      </w:tr>
      <w:tr>
        <w:trPr>
          <w:trHeight w:val="23"/>
        </w:trPr>
        <w:tc>
          <w:tcPr>
            <w:tcW w:w="1400" w:type="dxa"/>
            <w:vAlign w:val="bottom"/>
            <w:tcBorders>
              <w:bottom w:val="single" w:sz="8" w:color="DBDBDB"/>
            </w:tcBorders>
          </w:tcPr>
          <w:p>
            <w:pPr>
              <w:spacing w:after="0" w:line="20" w:lineRule="exact"/>
              <w:rPr>
                <w:sz w:val="1"/>
                <w:szCs w:val="1"/>
                <w:color w:val="auto"/>
              </w:rPr>
            </w:pPr>
          </w:p>
        </w:tc>
        <w:tc>
          <w:tcPr>
            <w:tcW w:w="5080" w:type="dxa"/>
            <w:vAlign w:val="bottom"/>
            <w:tcBorders>
              <w:bottom w:val="single" w:sz="8" w:color="DBDBDB"/>
            </w:tcBorders>
          </w:tcPr>
          <w:p>
            <w:pPr>
              <w:spacing w:after="0" w:line="20" w:lineRule="exact"/>
              <w:rPr>
                <w:sz w:val="1"/>
                <w:szCs w:val="1"/>
                <w:color w:val="auto"/>
              </w:rPr>
            </w:pPr>
          </w:p>
        </w:tc>
        <w:tc>
          <w:tcPr>
            <w:tcW w:w="4660" w:type="dxa"/>
            <w:vAlign w:val="bottom"/>
            <w:tcBorders>
              <w:bottom w:val="single" w:sz="8" w:color="DBDBDB"/>
            </w:tcBorders>
          </w:tcPr>
          <w:p>
            <w:pPr>
              <w:spacing w:after="0" w:line="20" w:lineRule="exact"/>
              <w:rPr>
                <w:sz w:val="1"/>
                <w:szCs w:val="1"/>
                <w:color w:val="auto"/>
              </w:rPr>
            </w:pPr>
          </w:p>
        </w:tc>
      </w:tr>
      <w:tr>
        <w:trPr>
          <w:trHeight w:val="176"/>
        </w:trPr>
        <w:tc>
          <w:tcPr>
            <w:tcW w:w="1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Waste:</w:t>
            </w:r>
          </w:p>
        </w:tc>
        <w:tc>
          <w:tcPr>
            <w:tcW w:w="5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95% reuse, recycle, and recovery and zero hazardous</w:t>
            </w:r>
          </w:p>
        </w:tc>
        <w:tc>
          <w:tcPr>
            <w:tcW w:w="4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9"/>
              </w:rPr>
              <w:t>Zero waste to landfill through waste minimization,</w:t>
            </w:r>
          </w:p>
        </w:tc>
      </w:tr>
      <w:tr>
        <w:trPr>
          <w:trHeight w:val="238"/>
        </w:trPr>
        <w:tc>
          <w:tcPr>
            <w:tcW w:w="14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9"/>
              </w:rPr>
              <w:t>waste to landfill in calendar year 2030*</w:t>
            </w:r>
          </w:p>
        </w:tc>
        <w:tc>
          <w:tcPr>
            <w:tcW w:w="4660" w:type="dxa"/>
            <w:vAlign w:val="bottom"/>
          </w:tcPr>
          <w:p>
            <w:pPr>
              <w:jc w:val="center"/>
              <w:ind w:right="30"/>
              <w:spacing w:after="0"/>
              <w:rPr>
                <w:sz w:val="20"/>
                <w:szCs w:val="20"/>
                <w:color w:val="auto"/>
              </w:rPr>
            </w:pPr>
            <w:r>
              <w:rPr>
                <w:rFonts w:ascii="Arial" w:cs="Arial" w:eastAsia="Arial" w:hAnsi="Arial"/>
                <w:sz w:val="18"/>
                <w:szCs w:val="18"/>
                <w:color w:val="auto"/>
                <w:w w:val="99"/>
              </w:rPr>
              <w:t>reuse, recycling, and recovery</w:t>
            </w:r>
          </w:p>
        </w:tc>
      </w:tr>
      <w:tr>
        <w:trPr>
          <w:trHeight w:val="23"/>
        </w:trPr>
        <w:tc>
          <w:tcPr>
            <w:tcW w:w="1400" w:type="dxa"/>
            <w:vAlign w:val="bottom"/>
            <w:tcBorders>
              <w:bottom w:val="single" w:sz="8" w:color="BD03F7"/>
            </w:tcBorders>
          </w:tcPr>
          <w:p>
            <w:pPr>
              <w:spacing w:after="0" w:line="20" w:lineRule="exact"/>
              <w:rPr>
                <w:sz w:val="1"/>
                <w:szCs w:val="1"/>
                <w:color w:val="auto"/>
              </w:rPr>
            </w:pPr>
          </w:p>
        </w:tc>
        <w:tc>
          <w:tcPr>
            <w:tcW w:w="5080" w:type="dxa"/>
            <w:vAlign w:val="bottom"/>
            <w:tcBorders>
              <w:bottom w:val="single" w:sz="8" w:color="BD03F7"/>
            </w:tcBorders>
          </w:tcPr>
          <w:p>
            <w:pPr>
              <w:spacing w:after="0" w:line="20" w:lineRule="exact"/>
              <w:rPr>
                <w:sz w:val="1"/>
                <w:szCs w:val="1"/>
                <w:color w:val="auto"/>
              </w:rPr>
            </w:pPr>
          </w:p>
        </w:tc>
        <w:tc>
          <w:tcPr>
            <w:tcW w:w="4660" w:type="dxa"/>
            <w:vAlign w:val="bottom"/>
            <w:tcBorders>
              <w:bottom w:val="single" w:sz="8" w:color="BD03F7"/>
            </w:tcBorders>
          </w:tcPr>
          <w:p>
            <w:pPr>
              <w:spacing w:after="0" w:line="20" w:lineRule="exact"/>
              <w:rPr>
                <w:sz w:val="1"/>
                <w:szCs w:val="1"/>
                <w:color w:val="auto"/>
              </w:rPr>
            </w:pPr>
          </w:p>
        </w:tc>
      </w:tr>
    </w:tbl>
    <w:p>
      <w:pPr>
        <w:spacing w:after="0" w:line="174"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6"/>
          <w:szCs w:val="16"/>
          <w:color w:val="auto"/>
        </w:rPr>
        <w:t>Subject to vendor availability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Fiscal 2024, the Board also reviewed:</w:t>
      </w:r>
    </w:p>
    <w:p>
      <w:pPr>
        <w:spacing w:after="0" w:line="250" w:lineRule="exact"/>
        <w:rPr>
          <w:sz w:val="20"/>
          <w:szCs w:val="20"/>
          <w:color w:val="auto"/>
        </w:rPr>
      </w:pPr>
    </w:p>
    <w:p>
      <w:pPr>
        <w:ind w:left="660" w:right="480" w:hanging="330"/>
        <w:spacing w:after="0" w:line="267" w:lineRule="auto"/>
        <w:tabs>
          <w:tab w:leader="none" w:pos="655"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our annual sustainability report content and processes, which includes indexes and information aligning with the Sustainability Accounting Standards Board (“SASB”) semiconductor industry standard and Taskforce on Climate-related Financial Disclosures (“TCFD”), supporting investor requests to align with the SASB standard and TCFD recommendations;</w:t>
      </w:r>
    </w:p>
    <w:p>
      <w:pPr>
        <w:spacing w:after="0" w:line="197" w:lineRule="exact"/>
        <w:rPr>
          <w:rFonts w:ascii="Arial" w:cs="Arial" w:eastAsia="Arial" w:hAnsi="Arial"/>
          <w:sz w:val="18"/>
          <w:szCs w:val="18"/>
          <w:color w:val="BD03F7"/>
        </w:rPr>
      </w:pPr>
    </w:p>
    <w:p>
      <w:pPr>
        <w:ind w:left="660" w:right="240" w:hanging="330"/>
        <w:spacing w:after="0" w:line="285" w:lineRule="auto"/>
        <w:tabs>
          <w:tab w:leader="none" w:pos="655"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our responsible sourcing and human rights efforts, including our conflict minerals report outlining our response to human rights and other concerns related to mineral sourcing as well as our annual modern slavery and human trafficking statement;</w:t>
      </w:r>
    </w:p>
    <w:p>
      <w:pPr>
        <w:spacing w:after="0" w:line="181"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our human capital initiatives, including our talent acquisition, retention, and development policies and practices; and</w:t>
      </w:r>
    </w:p>
    <w:p>
      <w:pPr>
        <w:spacing w:after="0" w:line="250"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findings from team member, customer, investor and other stakeholder engagement exercises.</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strive to make a positive impact on our team members, the communities in which we operate, and the planet, as well as our customers’ sustainability performance. We plan to continue regular consultation with stakeholders regarding environmental and social issues and report annually on our progress in these efforts. Our 2024 Sustainability Report, available at micron.com/sustainability and micron.com/esg, includes more details about the ways we are committed to sustainable practices and supporting our global community.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STRUCTURE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0" w:lineRule="exact"/>
        <w:rPr>
          <w:sz w:val="20"/>
          <w:szCs w:val="20"/>
          <w:color w:val="auto"/>
        </w:rPr>
      </w:pPr>
    </w:p>
    <w:p>
      <w:pPr>
        <w:jc w:val="both"/>
        <w:ind w:right="460"/>
        <w:spacing w:after="0" w:line="267" w:lineRule="auto"/>
        <w:rPr>
          <w:sz w:val="20"/>
          <w:szCs w:val="20"/>
          <w:color w:val="auto"/>
        </w:rPr>
      </w:pPr>
      <w:r>
        <w:rPr>
          <w:rFonts w:ascii="Arial" w:cs="Arial" w:eastAsia="Arial" w:hAnsi="Arial"/>
          <w:sz w:val="18"/>
          <w:szCs w:val="18"/>
          <w:color w:val="auto"/>
        </w:rPr>
        <w:t>The Board has determined that directors Beyer, Dugle, Gomo, Haynesworth, McCarthy, Swan, Switz, and Wright qualify as independent directors as defined in the Listing Rules of Nasdaq. None of these directors have a relationship which, in the opinion of the Board, would interfere with the exercise of independent judgment in carrying out the responsibilities of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0"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Our Board is currently led by Robert E. Switz, who has served as the Chair of the Board since February 2012. Mr. Switz is an independent director, and as such, the Board has not appointed a Lead Independent Director.</w:t>
      </w:r>
    </w:p>
    <w:p>
      <w:pPr>
        <w:spacing w:after="0" w:line="181"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In his role as Chair, Mr. Switz oversees our Board and facilitates the flow of information between it and management. This fosters open dialogue and constructive feedback among our independent Board members and management. In particular, our Chair has the following duties and responsibilities, as determined by the Board and set forth in our Corporate Governance Guidelines:</w:t>
      </w:r>
    </w:p>
    <w:p>
      <w:pPr>
        <w:spacing w:after="0" w:line="184" w:lineRule="exact"/>
        <w:rPr>
          <w:sz w:val="20"/>
          <w:szCs w:val="20"/>
          <w:color w:val="auto"/>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serves as a liaison between the Chief Executive Officer and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presides at, and chairs, Board meetings and meetings of shareholders;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establishes agendas for each Board meeting in consultation with the chairs of applicable committees of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leads executive sessions of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has authority to call Board meetings, special meetings of shareholders, and meetings of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leads the Board in discussions concerning the Chief Executive Officer’s performance and Chief Executive Officer succession;</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approves meeting schedules for the Board;</w:t>
      </w:r>
    </w:p>
    <w:p>
      <w:pPr>
        <w:spacing w:after="0" w:line="223"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approves information sent to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if requested by major shareholders, is available for consultation and direct communication; and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7"/>
        </w:numPr>
        <w:rPr>
          <w:rFonts w:ascii="Arial" w:cs="Arial" w:eastAsia="Arial" w:hAnsi="Arial"/>
          <w:sz w:val="18"/>
          <w:szCs w:val="18"/>
          <w:color w:val="BD03F7"/>
        </w:rPr>
      </w:pPr>
      <w:r>
        <w:rPr>
          <w:rFonts w:ascii="Arial" w:cs="Arial" w:eastAsia="Arial" w:hAnsi="Arial"/>
          <w:sz w:val="18"/>
          <w:szCs w:val="18"/>
          <w:color w:val="auto"/>
        </w:rPr>
        <w:t>performs such other duties and responsibilities as requested by the Board.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Transition</w:t>
      </w:r>
    </w:p>
    <w:p>
      <w:pPr>
        <w:spacing w:after="0" w:line="24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In October 2024, Mr. Switz, the current Chair of our Board, provided notice that he would retire from the Board and would not seek re-election at the Annual Meeting. Mr. Switz will continue to serve as a director and as Chair through the end of his term at the Annual Meeting.</w:t>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do not have a fixed policy on whether the roles of Chair of the Board and Chief Executive Officer should be separate or combined. Our Governance and Sustainability Committee conducts an annual assessment of the Board’s leadership structure and, when appropriate, recommends changes to the Board’s leadership structure to the Board for approval, taking into consideration the needs of the Board and the Company at such time. The Board believes its programs for overseeing risk, as described under “—The Board’s Role in Risk Oversight—Risk Oversight, Assessment, and Mitigation” above, would be effective under a variety of leadership frameworks and therefore do not materially affect its choice of structure.</w:t>
      </w:r>
    </w:p>
    <w:p>
      <w:pPr>
        <w:spacing w:after="0" w:line="20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light of Mr. Switz’s retirement, the Board reviewed the Board leadership structure, considered the benefits and risks of the current structure, as well as a combined Chair/Chief Executive Officer leadership structure, taking into account the Company’s practices for ensuring</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independent Board oversight of management. After consideration, our Board determined that combining the roles of Chair and Chief Executive Officer (in combination with a Lead Independent Director) is the most effective leadership structure for the Company at this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unanimously appointed Mr. Mehrotra as Chair effective upon Mr. Switz’s retirement.</w:t>
      </w:r>
    </w:p>
    <w:p>
      <w:pPr>
        <w:spacing w:after="0" w:line="21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Since joining Micron in 2017 as President and Chief Executive Officer, Mehrotra has shown strong leadership of the Company’s strategy and business operations and has transformed the Company into a technology, product, and manufacturing leader. During his time as Chief Executive Officer, the Company has introduced multiple generations of both DRAM and NAND ahead of its competitors and delivered industry-leading products acknowledged for their world-class quality. Mr. Mehrotra has been widely recognized for his leadership and contributions to the memory and storage industry and this Board leadership structure will clearly allocate primary</w:t>
      </w:r>
    </w:p>
    <w:p>
      <w:pPr>
        <w:spacing w:after="0" w:line="200" w:lineRule="exact"/>
        <w:rPr>
          <w:sz w:val="20"/>
          <w:szCs w:val="20"/>
          <w:color w:val="auto"/>
        </w:rPr>
      </w:pPr>
    </w:p>
    <w:p>
      <w:pPr>
        <w:spacing w:after="0" w:line="39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responsibility for the operational leadership and strategic direction of the Company to our Chair and Chief Executive Officer, while enabling the Lead Independent Director to facilitate our Board’s independent oversight of management, promote communication between management and our Board, and support our Board’s consideration of key governance matters.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Corporate Governance Guidelines provide that when the role of the Chair is combined with that of the Chief Executive Officer, the independent directors are required to appoint a lead independent director. Accordingly, the Board unanimously elected Lynn Dugle as our Lead Independent Director, which will be effective upon Mr. Switz’s retirement. Ms. Dugle will provide strong independent leadership, which is essential for our Board to effectively perform its primary oversight functions, and provide the Board with the opportunity to constructively challenge management, while leveraging Mr. Mehrotra’s deep understanding of the business, the semiconductor industry and technology to elevate the right strategic opportunities and key risks and mitigation approaches to the Board’s attention.</w:t>
      </w:r>
    </w:p>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her role as Lead Independent Director, Ms. Dugle will oversee our Board and facilitate the flow of information between it and management. This fosters open dialogue and constructive feedback among our independent Board members and management. In particular, our Lead Independent Director will have duties as set forth in our Corporate Governance Guidelines as follows, as well as such other duties and responsibilities as requested by the Board:</w:t>
      </w:r>
    </w:p>
    <w:p>
      <w:pPr>
        <w:spacing w:after="0" w:line="187" w:lineRule="exact"/>
        <w:rPr>
          <w:sz w:val="20"/>
          <w:szCs w:val="20"/>
          <w:color w:val="auto"/>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serve as a liaison between the Chief Executive Officer and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lead executive sessions of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have authority to call Board meetings, special meetings of shareholders, and meetings of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lead the Board in discussions concerning the Chief Executive Officer’s performance and Chief Executive Officer succession;</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approve meeting agendas and meeting schedules for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approve information sent to the Board; and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8"/>
        </w:numPr>
        <w:rPr>
          <w:rFonts w:ascii="Arial" w:cs="Arial" w:eastAsia="Arial" w:hAnsi="Arial"/>
          <w:sz w:val="18"/>
          <w:szCs w:val="18"/>
          <w:color w:val="BD03F7"/>
        </w:rPr>
      </w:pPr>
      <w:r>
        <w:rPr>
          <w:rFonts w:ascii="Arial" w:cs="Arial" w:eastAsia="Arial" w:hAnsi="Arial"/>
          <w:sz w:val="18"/>
          <w:szCs w:val="18"/>
          <w:color w:val="auto"/>
        </w:rPr>
        <w:t>if requested by major shareholders, be available for consultation and direct communication.</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believe it is essential that the Board maintain the flexibility to determine its leadership structure based on the particular composition of the Board and continuity of leadership, the individuals serving in leadership positions and the evolving needs and opportunities of the Company and considerations. Accordingly, the Board will continue to consider its leadership structure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held seven formal meetings during Fiscal 2024. The Board met in Executive Session (meetings in which only independent directors are present) four times during Fiscal 2024. In Fiscal 2024, the Board had a standing Audit Committee, Compensation Committee, Finance Committee, Governance and Sustainability Committee, and Security Committee. During Fiscal 2024, the Audit Committee met eight times, the Compensation Committee met five times, the Finance Committee met four times, the Governance and Sustainability Committee met four times, and the Security Committee met five times. In addition to formal committee meetings, the chair of each committee engaged in regular discussions with management regarding various issues relevant to their respective committees. All incumbent directors attended 75% or more of the total number of meetings of the Board and the committees on which they served during Fiscal 2024. We expect director attendance at the Annual Meeting of Shareholders, and all then-serving members of our Board were present at our Fiscal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Audit, Compensation, Finance, Governance and Sustainability, and Security Committees each have written charters that comply with SEC and Nasdaq rules relating to corporate governance matters. The complete duties and responsibilities of each of the committees are set forth in their written charters. Copies of the committee charters as well as our Corporate Governance Guidelines are available on the corporate governance portion of our website at www.micron.com and are also available in print without charge upon request to corporatesecretary@micron.com.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Mses. McCarthy and Haynesworth and Messrs. Gomo and Swan currently serve, and during Fiscal 2024 served, on the Audit Committee. Ms. Haynesworth joined the Audit Committee in January 2024, replacing Ms. Dugle. Mr. Swan joined the Audit Committee in March 2024. Ms. McCarthy has served as Chair of the Audit Committee since January 2023. The Board has determined that all Audit Committee members are independent under the rules applicable to audit committee members promulgated by the SEC and Nasdaq and that each of these members is sufficiently proficient in reading and understanding our financial statements to serve on the Audit Committee. The Board has determined that each of Ms. McCarthy and Messrs. Gomo and Swan qualifies as an “audit committee financial expert” for purposes of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161925</wp:posOffset>
            </wp:positionV>
            <wp:extent cx="1494790" cy="17595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94790" cy="1759585"/>
                    </a:xfrm>
                    <a:prstGeom prst="rect">
                      <a:avLst/>
                    </a:prstGeom>
                    <a:noFill/>
                  </pic:spPr>
                </pic:pic>
              </a:graphicData>
            </a:graphic>
          </wp:anchor>
        </w:drawing>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2600" w:type="dxa"/>
            <w:vAlign w:val="bottom"/>
            <w:tcBorders>
              <w:bottom w:val="single" w:sz="8" w:color="BD03F7"/>
            </w:tcBorders>
            <w:shd w:val="clear" w:color="auto" w:fill="F9F9F9"/>
          </w:tcPr>
          <w:p>
            <w:pPr>
              <w:ind w:left="460"/>
              <w:spacing w:after="0"/>
              <w:rPr>
                <w:sz w:val="20"/>
                <w:szCs w:val="20"/>
                <w:color w:val="auto"/>
              </w:rPr>
            </w:pPr>
            <w:r>
              <w:rPr>
                <w:rFonts w:ascii="Arial" w:cs="Arial" w:eastAsia="Arial" w:hAnsi="Arial"/>
                <w:sz w:val="18"/>
                <w:szCs w:val="18"/>
                <w:b w:val="1"/>
                <w:bCs w:val="1"/>
                <w:color w:val="auto"/>
              </w:rPr>
              <w:t>Audit Committee</w:t>
            </w:r>
          </w:p>
        </w:tc>
        <w:tc>
          <w:tcPr>
            <w:tcW w:w="7520" w:type="dxa"/>
            <w:vAlign w:val="bottom"/>
            <w:tcBorders>
              <w:bottom w:val="single" w:sz="8" w:color="BD03F7"/>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r>
      <w:tr>
        <w:trPr>
          <w:trHeight w:val="74"/>
        </w:trPr>
        <w:tc>
          <w:tcPr>
            <w:tcW w:w="2600" w:type="dxa"/>
            <w:vAlign w:val="bottom"/>
          </w:tcPr>
          <w:p>
            <w:pPr>
              <w:spacing w:after="0"/>
              <w:rPr>
                <w:sz w:val="6"/>
                <w:szCs w:val="6"/>
                <w:color w:val="auto"/>
              </w:rPr>
            </w:pPr>
          </w:p>
        </w:tc>
        <w:tc>
          <w:tcPr>
            <w:tcW w:w="7520" w:type="dxa"/>
            <w:vAlign w:val="bottom"/>
            <w:shd w:val="clear" w:color="auto" w:fill="F9F9F9"/>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-59055</wp:posOffset>
            </wp:positionV>
            <wp:extent cx="4937125" cy="16148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37125" cy="1614805"/>
                    </a:xfrm>
                    <a:prstGeom prst="rect">
                      <a:avLst/>
                    </a:prstGeom>
                    <a:noFill/>
                  </pic:spPr>
                </pic:pic>
              </a:graphicData>
            </a:graphic>
          </wp:anchor>
        </w:drawing>
      </w:r>
    </w:p>
    <w:p>
      <w:pPr>
        <w:ind w:left="3180" w:hanging="1494"/>
        <w:spacing w:after="0"/>
        <w:tabs>
          <w:tab w:leader="none" w:pos="3180" w:val="left"/>
        </w:tabs>
        <w:numPr>
          <w:ilvl w:val="0"/>
          <w:numId w:val="39"/>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overseeing and monitoring:</w:t>
      </w:r>
    </w:p>
    <w:p>
      <w:pPr>
        <w:spacing w:after="0" w:line="33"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2024</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the integrity of our financial statements;</w:t>
      </w:r>
    </w:p>
    <w:p>
      <w:pPr>
        <w:spacing w:after="0" w:line="22" w:lineRule="exact"/>
        <w:rPr>
          <w:sz w:val="20"/>
          <w:szCs w:val="20"/>
          <w:color w:val="auto"/>
        </w:rPr>
      </w:pPr>
    </w:p>
    <w:tbl>
      <w:tblPr>
        <w:tblLayout w:type="fixed"/>
        <w:tblInd w:w="560" w:type="dxa"/>
        <w:tblCellMar>
          <w:top w:w="0" w:type="dxa"/>
          <w:left w:w="0" w:type="dxa"/>
          <w:bottom w:w="0" w:type="dxa"/>
          <w:right w:w="0" w:type="dxa"/>
        </w:tblCellMar>
      </w:tblPr>
      <w:tr>
        <w:trPr>
          <w:trHeight w:val="246"/>
        </w:trPr>
        <w:tc>
          <w:tcPr>
            <w:tcW w:w="2360" w:type="dxa"/>
            <w:vAlign w:val="bottom"/>
          </w:tcPr>
          <w:p>
            <w:pPr>
              <w:jc w:val="right"/>
              <w:ind w:right="1050"/>
              <w:spacing w:after="0"/>
              <w:rPr>
                <w:sz w:val="20"/>
                <w:szCs w:val="20"/>
                <w:color w:val="auto"/>
              </w:rPr>
            </w:pPr>
            <w:r>
              <w:rPr>
                <w:rFonts w:ascii="Arial" w:cs="Arial" w:eastAsia="Arial" w:hAnsi="Arial"/>
                <w:sz w:val="18"/>
                <w:szCs w:val="18"/>
                <w:b w:val="1"/>
                <w:bCs w:val="1"/>
                <w:color w:val="BD03F7"/>
              </w:rPr>
              <w:t>4</w:t>
            </w:r>
          </w:p>
        </w:tc>
        <w:tc>
          <w:tcPr>
            <w:tcW w:w="44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6900" w:type="dxa"/>
            <w:vAlign w:val="bottom"/>
          </w:tcPr>
          <w:p>
            <w:pPr>
              <w:ind w:left="60"/>
              <w:spacing w:after="0"/>
              <w:rPr>
                <w:sz w:val="20"/>
                <w:szCs w:val="20"/>
                <w:color w:val="auto"/>
              </w:rPr>
            </w:pPr>
            <w:r>
              <w:rPr>
                <w:rFonts w:ascii="Arial" w:cs="Arial" w:eastAsia="Arial" w:hAnsi="Arial"/>
                <w:sz w:val="18"/>
                <w:szCs w:val="18"/>
                <w:b w:val="1"/>
                <w:bCs w:val="1"/>
                <w:color w:val="auto"/>
              </w:rPr>
              <w:t>the adequacy of our internal controls and procedures;</w:t>
            </w:r>
          </w:p>
        </w:tc>
        <w:tc>
          <w:tcPr>
            <w:tcW w:w="0" w:type="dxa"/>
            <w:vAlign w:val="bottom"/>
          </w:tcPr>
          <w:p>
            <w:pPr>
              <w:spacing w:after="0"/>
              <w:rPr>
                <w:sz w:val="1"/>
                <w:szCs w:val="1"/>
                <w:color w:val="auto"/>
              </w:rPr>
            </w:pPr>
          </w:p>
        </w:tc>
      </w:tr>
      <w:tr>
        <w:trPr>
          <w:trHeight w:val="199"/>
        </w:trPr>
        <w:tc>
          <w:tcPr>
            <w:tcW w:w="236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8"/>
              </w:rPr>
              <w:t>Members</w:t>
            </w:r>
          </w:p>
        </w:tc>
        <w:tc>
          <w:tcPr>
            <w:tcW w:w="44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6900" w:type="dxa"/>
            <w:vAlign w:val="bottom"/>
          </w:tcPr>
          <w:p>
            <w:pPr>
              <w:ind w:left="60"/>
              <w:spacing w:after="0" w:line="199" w:lineRule="exact"/>
              <w:rPr>
                <w:sz w:val="20"/>
                <w:szCs w:val="20"/>
                <w:color w:val="auto"/>
              </w:rPr>
            </w:pPr>
            <w:r>
              <w:rPr>
                <w:rFonts w:ascii="Arial" w:cs="Arial" w:eastAsia="Arial" w:hAnsi="Arial"/>
                <w:sz w:val="18"/>
                <w:szCs w:val="18"/>
                <w:b w:val="1"/>
                <w:bCs w:val="1"/>
                <w:color w:val="auto"/>
                <w:w w:val="99"/>
              </w:rPr>
              <w:t>the performance of our internal audit function and of our independent registered</w:t>
            </w:r>
          </w:p>
        </w:tc>
        <w:tc>
          <w:tcPr>
            <w:tcW w:w="0" w:type="dxa"/>
            <w:vAlign w:val="bottom"/>
          </w:tcPr>
          <w:p>
            <w:pPr>
              <w:spacing w:after="0"/>
              <w:rPr>
                <w:sz w:val="1"/>
                <w:szCs w:val="1"/>
                <w:color w:val="auto"/>
              </w:rPr>
            </w:pPr>
          </w:p>
        </w:tc>
      </w:tr>
      <w:tr>
        <w:trPr>
          <w:trHeight w:val="40"/>
        </w:trPr>
        <w:tc>
          <w:tcPr>
            <w:tcW w:w="2360" w:type="dxa"/>
            <w:vAlign w:val="bottom"/>
            <w:tcBorders>
              <w:bottom w:val="single" w:sz="8" w:color="BD03F7"/>
            </w:tcBorders>
          </w:tcPr>
          <w:p>
            <w:pPr>
              <w:spacing w:after="0"/>
              <w:rPr>
                <w:sz w:val="3"/>
                <w:szCs w:val="3"/>
                <w:color w:val="auto"/>
              </w:rPr>
            </w:pPr>
          </w:p>
        </w:tc>
        <w:tc>
          <w:tcPr>
            <w:tcW w:w="440" w:type="dxa"/>
            <w:vAlign w:val="bottom"/>
            <w:vMerge w:val="continue"/>
          </w:tcPr>
          <w:p>
            <w:pPr>
              <w:spacing w:after="0"/>
              <w:rPr>
                <w:sz w:val="3"/>
                <w:szCs w:val="3"/>
                <w:color w:val="auto"/>
              </w:rPr>
            </w:pPr>
          </w:p>
        </w:tc>
        <w:tc>
          <w:tcPr>
            <w:tcW w:w="6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public accounting firm;</w:t>
            </w: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80"/>
        <w:spacing w:after="0"/>
        <w:rPr>
          <w:sz w:val="20"/>
          <w:szCs w:val="20"/>
          <w:color w:val="auto"/>
        </w:rPr>
      </w:pPr>
      <w:r>
        <w:rPr>
          <w:rFonts w:ascii="Arial" w:cs="Arial" w:eastAsia="Arial" w:hAnsi="Arial"/>
          <w:sz w:val="17"/>
          <w:szCs w:val="17"/>
          <w:b w:val="1"/>
          <w:bCs w:val="1"/>
          <w:color w:val="auto"/>
        </w:rPr>
        <w:t>Mary Pat McCarthy, Chair</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Steven J. Gomo</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Linnie M. Haynesworth</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Robert Swan</w:t>
      </w:r>
    </w:p>
    <w:p>
      <w:pPr>
        <w:spacing w:after="0" w:line="20" w:lineRule="exact"/>
        <w:rPr>
          <w:sz w:val="20"/>
          <w:szCs w:val="20"/>
          <w:color w:val="auto"/>
        </w:rPr>
      </w:pPr>
      <w:r>
        <w:rPr>
          <w:sz w:val="20"/>
          <w:szCs w:val="20"/>
          <w:color w:val="auto"/>
        </w:rPr>
        <w:br w:type="column"/>
      </w:r>
    </w:p>
    <w:p>
      <w:pPr>
        <w:ind w:left="240" w:hanging="175"/>
        <w:spacing w:after="0"/>
        <w:tabs>
          <w:tab w:leader="none" w:pos="240" w:val="left"/>
        </w:tabs>
        <w:numPr>
          <w:ilvl w:val="0"/>
          <w:numId w:val="40"/>
        </w:numPr>
        <w:rPr>
          <w:rFonts w:ascii="Arial" w:cs="Arial" w:eastAsia="Arial" w:hAnsi="Arial"/>
          <w:sz w:val="18"/>
          <w:szCs w:val="18"/>
          <w:b w:val="1"/>
          <w:bCs w:val="1"/>
          <w:color w:val="BD03F7"/>
        </w:rPr>
      </w:pPr>
      <w:r>
        <w:rPr>
          <w:rFonts w:ascii="Arial" w:cs="Arial" w:eastAsia="Arial" w:hAnsi="Arial"/>
          <w:sz w:val="18"/>
          <w:szCs w:val="18"/>
          <w:b w:val="1"/>
          <w:bCs w:val="1"/>
          <w:color w:val="auto"/>
        </w:rPr>
        <w:t>any related party transactions;</w:t>
      </w:r>
    </w:p>
    <w:p>
      <w:pPr>
        <w:spacing w:after="0" w:line="75" w:lineRule="exact"/>
        <w:rPr>
          <w:rFonts w:ascii="Arial" w:cs="Arial" w:eastAsia="Arial" w:hAnsi="Arial"/>
          <w:sz w:val="18"/>
          <w:szCs w:val="18"/>
          <w:b w:val="1"/>
          <w:bCs w:val="1"/>
          <w:color w:val="BD03F7"/>
        </w:rPr>
      </w:pPr>
    </w:p>
    <w:p>
      <w:pPr>
        <w:ind w:left="240" w:right="1560" w:hanging="175"/>
        <w:spacing w:after="0" w:line="183" w:lineRule="auto"/>
        <w:tabs>
          <w:tab w:leader="none" w:pos="240" w:val="left"/>
        </w:tabs>
        <w:numPr>
          <w:ilvl w:val="0"/>
          <w:numId w:val="40"/>
        </w:numPr>
        <w:rPr>
          <w:rFonts w:ascii="Arial" w:cs="Arial" w:eastAsia="Arial" w:hAnsi="Arial"/>
          <w:sz w:val="32"/>
          <w:szCs w:val="32"/>
          <w:b w:val="1"/>
          <w:bCs w:val="1"/>
          <w:color w:val="BD03F7"/>
          <w:vertAlign w:val="subscript"/>
        </w:rPr>
      </w:pPr>
      <w:r>
        <w:rPr>
          <w:rFonts w:ascii="Arial" w:cs="Arial" w:eastAsia="Arial" w:hAnsi="Arial"/>
          <w:sz w:val="16"/>
          <w:szCs w:val="16"/>
          <w:b w:val="1"/>
          <w:bCs w:val="1"/>
          <w:color w:val="auto"/>
        </w:rPr>
        <w:t>the qualifications and independence of our independent registered public accounting firm; and</w:t>
      </w:r>
    </w:p>
    <w:p>
      <w:pPr>
        <w:spacing w:after="0" w:line="63" w:lineRule="exact"/>
        <w:rPr>
          <w:rFonts w:ascii="Arial" w:cs="Arial" w:eastAsia="Arial" w:hAnsi="Arial"/>
          <w:sz w:val="32"/>
          <w:szCs w:val="32"/>
          <w:b w:val="1"/>
          <w:bCs w:val="1"/>
          <w:color w:val="BD03F7"/>
          <w:vertAlign w:val="subscript"/>
        </w:rPr>
      </w:pPr>
    </w:p>
    <w:p>
      <w:pPr>
        <w:ind w:left="240" w:hanging="175"/>
        <w:spacing w:after="0"/>
        <w:tabs>
          <w:tab w:leader="none" w:pos="240" w:val="left"/>
        </w:tabs>
        <w:numPr>
          <w:ilvl w:val="0"/>
          <w:numId w:val="40"/>
        </w:numPr>
        <w:rPr>
          <w:rFonts w:ascii="Arial" w:cs="Arial" w:eastAsia="Arial" w:hAnsi="Arial"/>
          <w:sz w:val="18"/>
          <w:szCs w:val="18"/>
          <w:b w:val="1"/>
          <w:bCs w:val="1"/>
          <w:color w:val="BD03F7"/>
        </w:rPr>
      </w:pPr>
      <w:r>
        <w:rPr>
          <w:rFonts w:ascii="Arial" w:cs="Arial" w:eastAsia="Arial" w:hAnsi="Arial"/>
          <w:sz w:val="18"/>
          <w:szCs w:val="18"/>
          <w:b w:val="1"/>
          <w:bCs w:val="1"/>
          <w:color w:val="auto"/>
        </w:rPr>
        <w:t>our compliance with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478345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83455" cy="14541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Prepare the Audit Committee Report that is included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13335</wp:posOffset>
            </wp:positionV>
            <wp:extent cx="64325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2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440"/>
            <w:col w:w="8060"/>
          </w:cols>
          <w:pgMar w:left="320" w:top="125"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Ms. Wright and Messrs. Beyer and Switz currently serve, and during Fiscal 2024 served, on the Compensation Committee. Mr. Beyer has</w:t>
      </w:r>
    </w:p>
    <w:p>
      <w:pPr>
        <w:spacing w:after="0" w:line="1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served as Chair of the Compensation Committee since April 2021. Mr. Switz will continue to serve as a member of the Compensation Committee until his term as a director ends at the Annual Meeting. The Board has determined that all Compensation Committee members are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independent under the rules applicable to compensation committee members promulgated by the SEC and the Listing Rules of Nasdaq and each qualifies as a “non-employee director” as defined under Rule 16b-3 of the Securities Exchange Act of 1934, as amended (the “Exchange Act”). The Compensation Committee is responsible for reviewing and approving the compensation of our executive officers. See “Executive Compensation and Related Information—Compensation Discussion and Analysis” and “Executive Compensation and Related Information—Compensation Committee Report” for information regarding how the Compensation Committee sets executive compensation levels. The Compensation Committee has authority to delegate any of its responsibilities to a subcommittee as it may deem appropriate in its judgment.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234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b w:val="1"/>
                <w:bCs w:val="1"/>
                <w:color w:val="auto"/>
                <w:w w:val="99"/>
              </w:rPr>
              <w:t>Compensation Committee</w:t>
            </w:r>
          </w:p>
        </w:tc>
        <w:tc>
          <w:tcPr>
            <w:tcW w:w="240" w:type="dxa"/>
            <w:vAlign w:val="bottom"/>
            <w:tcBorders>
              <w:bottom w:val="single" w:sz="8" w:color="BD03F7"/>
            </w:tcBorders>
            <w:shd w:val="clear" w:color="auto" w:fill="F9F9F9"/>
          </w:tcPr>
          <w:p>
            <w:pPr>
              <w:spacing w:after="0"/>
              <w:rPr>
                <w:sz w:val="19"/>
                <w:szCs w:val="19"/>
                <w:color w:val="auto"/>
              </w:rPr>
            </w:pPr>
          </w:p>
        </w:tc>
        <w:tc>
          <w:tcPr>
            <w:tcW w:w="7600" w:type="dxa"/>
            <w:vAlign w:val="bottom"/>
            <w:tcBorders>
              <w:bottom w:val="single" w:sz="8" w:color="BD03F7"/>
            </w:tcBorders>
            <w:gridSpan w:val="2"/>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c>
          <w:tcPr>
            <w:tcW w:w="0" w:type="dxa"/>
            <w:vAlign w:val="bottom"/>
          </w:tcPr>
          <w:p>
            <w:pPr>
              <w:spacing w:after="0"/>
              <w:rPr>
                <w:sz w:val="1"/>
                <w:szCs w:val="1"/>
                <w:color w:val="auto"/>
              </w:rPr>
            </w:pPr>
          </w:p>
        </w:tc>
      </w:tr>
      <w:tr>
        <w:trPr>
          <w:trHeight w:val="249"/>
        </w:trPr>
        <w:tc>
          <w:tcPr>
            <w:tcW w:w="2340" w:type="dxa"/>
            <w:vAlign w:val="bottom"/>
            <w:vMerge w:val="restart"/>
            <w:shd w:val="clear" w:color="auto" w:fill="F9F9F9"/>
          </w:tcPr>
          <w:p>
            <w:pPr>
              <w:jc w:val="center"/>
              <w:spacing w:after="0"/>
              <w:rPr>
                <w:sz w:val="20"/>
                <w:szCs w:val="20"/>
                <w:color w:val="auto"/>
              </w:rPr>
            </w:pPr>
            <w:r>
              <w:rPr>
                <w:rFonts w:ascii="Arial" w:cs="Arial" w:eastAsia="Arial" w:hAnsi="Arial"/>
                <w:sz w:val="18"/>
                <w:szCs w:val="18"/>
                <w:b w:val="1"/>
                <w:bCs w:val="1"/>
                <w:color w:val="BD03F7"/>
                <w:w w:val="99"/>
              </w:rPr>
              <w:t>5</w:t>
            </w:r>
          </w:p>
        </w:tc>
        <w:tc>
          <w:tcPr>
            <w:tcW w:w="240" w:type="dxa"/>
            <w:vAlign w:val="bottom"/>
            <w:shd w:val="clear" w:color="auto" w:fill="F9F9F9"/>
          </w:tcPr>
          <w:p>
            <w:pPr>
              <w:spacing w:after="0"/>
              <w:rPr>
                <w:sz w:val="21"/>
                <w:szCs w:val="21"/>
                <w:color w:val="auto"/>
              </w:rPr>
            </w:pPr>
          </w:p>
        </w:tc>
        <w:tc>
          <w:tcPr>
            <w:tcW w:w="260" w:type="dxa"/>
            <w:vAlign w:val="bottom"/>
            <w:shd w:val="clear" w:color="auto" w:fill="F9F9F9"/>
          </w:tcPr>
          <w:p>
            <w:pPr>
              <w:spacing w:after="0"/>
              <w:rPr>
                <w:sz w:val="21"/>
                <w:szCs w:val="21"/>
                <w:color w:val="auto"/>
              </w:rPr>
            </w:pP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Review and approve salaries, bonuses, equity awards, other compensation, and the</w:t>
            </w:r>
          </w:p>
        </w:tc>
        <w:tc>
          <w:tcPr>
            <w:tcW w:w="0" w:type="dxa"/>
            <w:vAlign w:val="bottom"/>
          </w:tcPr>
          <w:p>
            <w:pPr>
              <w:spacing w:after="0"/>
              <w:rPr>
                <w:sz w:val="1"/>
                <w:szCs w:val="1"/>
                <w:color w:val="auto"/>
              </w:rPr>
            </w:pPr>
          </w:p>
        </w:tc>
      </w:tr>
      <w:tr>
        <w:trPr>
          <w:trHeight w:val="133"/>
        </w:trPr>
        <w:tc>
          <w:tcPr>
            <w:tcW w:w="2340" w:type="dxa"/>
            <w:vAlign w:val="bottom"/>
            <w:vMerge w:val="continue"/>
            <w:shd w:val="clear" w:color="auto" w:fill="F9F9F9"/>
          </w:tcPr>
          <w:p>
            <w:pPr>
              <w:spacing w:after="0"/>
              <w:rPr>
                <w:sz w:val="11"/>
                <w:szCs w:val="11"/>
                <w:color w:val="auto"/>
              </w:rPr>
            </w:pPr>
          </w:p>
        </w:tc>
        <w:tc>
          <w:tcPr>
            <w:tcW w:w="240" w:type="dxa"/>
            <w:vAlign w:val="bottom"/>
            <w:shd w:val="clear" w:color="auto" w:fill="F9F9F9"/>
          </w:tcPr>
          <w:p>
            <w:pPr>
              <w:spacing w:after="0"/>
              <w:rPr>
                <w:sz w:val="11"/>
                <w:szCs w:val="11"/>
                <w:color w:val="auto"/>
              </w:rPr>
            </w:pPr>
          </w:p>
        </w:tc>
        <w:tc>
          <w:tcPr>
            <w:tcW w:w="260" w:type="dxa"/>
            <w:vAlign w:val="bottom"/>
            <w:vMerge w:val="restart"/>
            <w:shd w:val="clear" w:color="auto" w:fill="F9F9F9"/>
          </w:tcPr>
          <w:p>
            <w:pPr>
              <w:ind w:left="100"/>
              <w:spacing w:after="0" w:line="183" w:lineRule="exact"/>
              <w:rPr>
                <w:sz w:val="20"/>
                <w:szCs w:val="20"/>
                <w:color w:val="auto"/>
              </w:rPr>
            </w:pPr>
            <w:r>
              <w:rPr>
                <w:rFonts w:ascii="Arial" w:cs="Arial" w:eastAsia="Arial" w:hAnsi="Arial"/>
                <w:sz w:val="18"/>
                <w:szCs w:val="18"/>
                <w:b w:val="1"/>
                <w:bCs w:val="1"/>
                <w:color w:val="BD03F7"/>
              </w:rPr>
              <w:t>•</w:t>
            </w:r>
          </w:p>
        </w:tc>
        <w:tc>
          <w:tcPr>
            <w:tcW w:w="7340" w:type="dxa"/>
            <w:vAlign w:val="bottom"/>
            <w:vMerge w:val="restart"/>
            <w:shd w:val="clear" w:color="auto" w:fill="F9F9F9"/>
          </w:tcPr>
          <w:p>
            <w:pPr>
              <w:spacing w:after="0" w:line="183" w:lineRule="exact"/>
              <w:rPr>
                <w:sz w:val="20"/>
                <w:szCs w:val="20"/>
                <w:color w:val="auto"/>
              </w:rPr>
            </w:pPr>
            <w:r>
              <w:rPr>
                <w:rFonts w:ascii="Arial" w:cs="Arial" w:eastAsia="Arial" w:hAnsi="Arial"/>
                <w:sz w:val="18"/>
                <w:szCs w:val="18"/>
                <w:b w:val="1"/>
                <w:bCs w:val="1"/>
                <w:color w:val="auto"/>
              </w:rPr>
              <w:t>performance measures and goals for our Chief Executive Officer and other executive</w:t>
            </w:r>
          </w:p>
        </w:tc>
        <w:tc>
          <w:tcPr>
            <w:tcW w:w="0" w:type="dxa"/>
            <w:vAlign w:val="bottom"/>
          </w:tcPr>
          <w:p>
            <w:pPr>
              <w:spacing w:after="0"/>
              <w:rPr>
                <w:sz w:val="1"/>
                <w:szCs w:val="1"/>
                <w:color w:val="auto"/>
              </w:rPr>
            </w:pPr>
          </w:p>
        </w:tc>
      </w:tr>
      <w:tr>
        <w:trPr>
          <w:trHeight w:val="50"/>
        </w:trPr>
        <w:tc>
          <w:tcPr>
            <w:tcW w:w="2340" w:type="dxa"/>
            <w:vAlign w:val="bottom"/>
            <w:vMerge w:val="restart"/>
            <w:shd w:val="clear" w:color="auto" w:fill="F9F9F9"/>
          </w:tcPr>
          <w:p>
            <w:pPr>
              <w:jc w:val="center"/>
              <w:spacing w:after="0"/>
              <w:rPr>
                <w:sz w:val="20"/>
                <w:szCs w:val="20"/>
                <w:color w:val="auto"/>
              </w:rPr>
            </w:pPr>
            <w:r>
              <w:rPr>
                <w:rFonts w:ascii="Arial" w:cs="Arial" w:eastAsia="Arial" w:hAnsi="Arial"/>
                <w:sz w:val="18"/>
                <w:szCs w:val="18"/>
                <w:b w:val="1"/>
                <w:bCs w:val="1"/>
                <w:color w:val="auto"/>
                <w:w w:val="98"/>
              </w:rPr>
              <w:t>Meetings in Fiscal 2024</w:t>
            </w:r>
          </w:p>
        </w:tc>
        <w:tc>
          <w:tcPr>
            <w:tcW w:w="240" w:type="dxa"/>
            <w:vAlign w:val="bottom"/>
            <w:shd w:val="clear" w:color="auto" w:fill="F9F9F9"/>
          </w:tcPr>
          <w:p>
            <w:pPr>
              <w:spacing w:after="0"/>
              <w:rPr>
                <w:sz w:val="4"/>
                <w:szCs w:val="4"/>
                <w:color w:val="auto"/>
              </w:rPr>
            </w:pPr>
          </w:p>
        </w:tc>
        <w:tc>
          <w:tcPr>
            <w:tcW w:w="260" w:type="dxa"/>
            <w:vAlign w:val="bottom"/>
            <w:vMerge w:val="continue"/>
            <w:shd w:val="clear" w:color="auto" w:fill="F9F9F9"/>
          </w:tcPr>
          <w:p>
            <w:pPr>
              <w:spacing w:after="0"/>
              <w:rPr>
                <w:sz w:val="4"/>
                <w:szCs w:val="4"/>
                <w:color w:val="auto"/>
              </w:rPr>
            </w:pPr>
          </w:p>
        </w:tc>
        <w:tc>
          <w:tcPr>
            <w:tcW w:w="7340" w:type="dxa"/>
            <w:vAlign w:val="bottom"/>
            <w:vMerge w:val="continue"/>
            <w:shd w:val="clear" w:color="auto" w:fill="F9F9F9"/>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340" w:type="dxa"/>
            <w:vAlign w:val="bottom"/>
            <w:vMerge w:val="continue"/>
            <w:shd w:val="clear" w:color="auto" w:fill="F9F9F9"/>
          </w:tcPr>
          <w:p>
            <w:pPr>
              <w:spacing w:after="0"/>
              <w:rPr>
                <w:sz w:val="20"/>
                <w:szCs w:val="20"/>
                <w:color w:val="auto"/>
              </w:rPr>
            </w:pPr>
          </w:p>
        </w:tc>
        <w:tc>
          <w:tcPr>
            <w:tcW w:w="240" w:type="dxa"/>
            <w:vAlign w:val="bottom"/>
            <w:shd w:val="clear" w:color="auto" w:fill="F9F9F9"/>
          </w:tcPr>
          <w:p>
            <w:pPr>
              <w:spacing w:after="0"/>
              <w:rPr>
                <w:sz w:val="20"/>
                <w:szCs w:val="20"/>
                <w:color w:val="auto"/>
              </w:rPr>
            </w:pPr>
          </w:p>
        </w:tc>
        <w:tc>
          <w:tcPr>
            <w:tcW w:w="260" w:type="dxa"/>
            <w:vAlign w:val="bottom"/>
            <w:shd w:val="clear" w:color="auto" w:fill="F9F9F9"/>
          </w:tcPr>
          <w:p>
            <w:pPr>
              <w:spacing w:after="0"/>
              <w:rPr>
                <w:sz w:val="20"/>
                <w:szCs w:val="20"/>
                <w:color w:val="auto"/>
              </w:rPr>
            </w:pP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officers.</w:t>
            </w:r>
          </w:p>
        </w:tc>
        <w:tc>
          <w:tcPr>
            <w:tcW w:w="0" w:type="dxa"/>
            <w:vAlign w:val="bottom"/>
          </w:tcPr>
          <w:p>
            <w:pPr>
              <w:spacing w:after="0"/>
              <w:rPr>
                <w:sz w:val="1"/>
                <w:szCs w:val="1"/>
                <w:color w:val="auto"/>
              </w:rPr>
            </w:pPr>
          </w:p>
        </w:tc>
      </w:tr>
      <w:tr>
        <w:trPr>
          <w:trHeight w:val="281"/>
        </w:trPr>
        <w:tc>
          <w:tcPr>
            <w:tcW w:w="2340" w:type="dxa"/>
            <w:vAlign w:val="bottom"/>
            <w:shd w:val="clear" w:color="auto" w:fill="F9F9F9"/>
          </w:tcPr>
          <w:p>
            <w:pPr>
              <w:jc w:val="center"/>
              <w:spacing w:after="0"/>
              <w:rPr>
                <w:sz w:val="20"/>
                <w:szCs w:val="20"/>
                <w:color w:val="auto"/>
              </w:rPr>
            </w:pPr>
            <w:r>
              <w:rPr>
                <w:rFonts w:ascii="Arial" w:cs="Arial" w:eastAsia="Arial" w:hAnsi="Arial"/>
                <w:sz w:val="18"/>
                <w:szCs w:val="18"/>
                <w:b w:val="1"/>
                <w:bCs w:val="1"/>
                <w:color w:val="BD03F7"/>
                <w:w w:val="99"/>
              </w:rPr>
              <w:t>3</w:t>
            </w:r>
          </w:p>
        </w:tc>
        <w:tc>
          <w:tcPr>
            <w:tcW w:w="240" w:type="dxa"/>
            <w:vAlign w:val="bottom"/>
            <w:shd w:val="clear" w:color="auto" w:fill="F9F9F9"/>
          </w:tcPr>
          <w:p>
            <w:pPr>
              <w:spacing w:after="0"/>
              <w:rPr>
                <w:sz w:val="24"/>
                <w:szCs w:val="24"/>
                <w:color w:val="auto"/>
              </w:rPr>
            </w:pPr>
          </w:p>
        </w:tc>
        <w:tc>
          <w:tcPr>
            <w:tcW w:w="260" w:type="dxa"/>
            <w:vAlign w:val="bottom"/>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40" w:type="dxa"/>
            <w:vAlign w:val="bottom"/>
            <w:vMerge w:val="restart"/>
            <w:shd w:val="clear" w:color="auto" w:fill="F9F9F9"/>
          </w:tcPr>
          <w:p>
            <w:pPr>
              <w:spacing w:after="0"/>
              <w:rPr>
                <w:sz w:val="20"/>
                <w:szCs w:val="20"/>
                <w:color w:val="auto"/>
              </w:rPr>
            </w:pPr>
            <w:r>
              <w:rPr>
                <w:rFonts w:ascii="Arial" w:cs="Arial" w:eastAsia="Arial" w:hAnsi="Arial"/>
                <w:sz w:val="18"/>
                <w:szCs w:val="18"/>
                <w:b w:val="1"/>
                <w:bCs w:val="1"/>
                <w:color w:val="auto"/>
              </w:rPr>
              <w:t>Review and approve amendments to or terminations of any compensatory contracts</w:t>
            </w:r>
          </w:p>
        </w:tc>
        <w:tc>
          <w:tcPr>
            <w:tcW w:w="0" w:type="dxa"/>
            <w:vAlign w:val="bottom"/>
          </w:tcPr>
          <w:p>
            <w:pPr>
              <w:spacing w:after="0"/>
              <w:rPr>
                <w:sz w:val="1"/>
                <w:szCs w:val="1"/>
                <w:color w:val="auto"/>
              </w:rPr>
            </w:pPr>
          </w:p>
        </w:tc>
      </w:tr>
      <w:tr>
        <w:trPr>
          <w:trHeight w:val="27"/>
        </w:trPr>
        <w:tc>
          <w:tcPr>
            <w:tcW w:w="2340" w:type="dxa"/>
            <w:vAlign w:val="bottom"/>
            <w:vMerge w:val="restart"/>
            <w:shd w:val="clear" w:color="auto" w:fill="F9F9F9"/>
          </w:tcPr>
          <w:p>
            <w:pPr>
              <w:jc w:val="center"/>
              <w:spacing w:after="0"/>
              <w:rPr>
                <w:sz w:val="20"/>
                <w:szCs w:val="20"/>
                <w:color w:val="auto"/>
              </w:rPr>
            </w:pPr>
            <w:r>
              <w:rPr>
                <w:rFonts w:ascii="Arial" w:cs="Arial" w:eastAsia="Arial" w:hAnsi="Arial"/>
                <w:sz w:val="18"/>
                <w:szCs w:val="18"/>
                <w:b w:val="1"/>
                <w:bCs w:val="1"/>
                <w:color w:val="auto"/>
                <w:w w:val="98"/>
              </w:rPr>
              <w:t>Members</w:t>
            </w:r>
          </w:p>
        </w:tc>
        <w:tc>
          <w:tcPr>
            <w:tcW w:w="240" w:type="dxa"/>
            <w:vAlign w:val="bottom"/>
            <w:shd w:val="clear" w:color="auto" w:fill="F9F9F9"/>
          </w:tcPr>
          <w:p>
            <w:pPr>
              <w:spacing w:after="0"/>
              <w:rPr>
                <w:sz w:val="2"/>
                <w:szCs w:val="2"/>
                <w:color w:val="auto"/>
              </w:rPr>
            </w:pPr>
          </w:p>
        </w:tc>
        <w:tc>
          <w:tcPr>
            <w:tcW w:w="260" w:type="dxa"/>
            <w:vAlign w:val="bottom"/>
            <w:vMerge w:val="continue"/>
            <w:shd w:val="clear" w:color="auto" w:fill="F9F9F9"/>
          </w:tcPr>
          <w:p>
            <w:pPr>
              <w:spacing w:after="0"/>
              <w:rPr>
                <w:sz w:val="2"/>
                <w:szCs w:val="2"/>
                <w:color w:val="auto"/>
              </w:rPr>
            </w:pPr>
          </w:p>
        </w:tc>
        <w:tc>
          <w:tcPr>
            <w:tcW w:w="7340" w:type="dxa"/>
            <w:vAlign w:val="bottom"/>
            <w:vMerge w:val="continue"/>
            <w:shd w:val="clear" w:color="auto" w:fill="F9F9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340" w:type="dxa"/>
            <w:vAlign w:val="bottom"/>
            <w:vMerge w:val="continue"/>
            <w:shd w:val="clear" w:color="auto" w:fill="F9F9F9"/>
          </w:tcPr>
          <w:p>
            <w:pPr>
              <w:spacing w:after="0"/>
              <w:rPr>
                <w:sz w:val="19"/>
                <w:szCs w:val="19"/>
                <w:color w:val="auto"/>
              </w:rPr>
            </w:pPr>
          </w:p>
        </w:tc>
        <w:tc>
          <w:tcPr>
            <w:tcW w:w="240" w:type="dxa"/>
            <w:vAlign w:val="bottom"/>
            <w:shd w:val="clear" w:color="auto" w:fill="F9F9F9"/>
          </w:tcPr>
          <w:p>
            <w:pPr>
              <w:spacing w:after="0"/>
              <w:rPr>
                <w:sz w:val="19"/>
                <w:szCs w:val="19"/>
                <w:color w:val="auto"/>
              </w:rPr>
            </w:pPr>
          </w:p>
        </w:tc>
        <w:tc>
          <w:tcPr>
            <w:tcW w:w="260" w:type="dxa"/>
            <w:vAlign w:val="bottom"/>
            <w:shd w:val="clear" w:color="auto" w:fill="F9F9F9"/>
          </w:tcPr>
          <w:p>
            <w:pPr>
              <w:spacing w:after="0"/>
              <w:rPr>
                <w:sz w:val="19"/>
                <w:szCs w:val="19"/>
                <w:color w:val="auto"/>
              </w:rPr>
            </w:pP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with the Chief Executive Officer or other executive officers.</w:t>
            </w:r>
          </w:p>
        </w:tc>
        <w:tc>
          <w:tcPr>
            <w:tcW w:w="0" w:type="dxa"/>
            <w:vAlign w:val="bottom"/>
          </w:tcPr>
          <w:p>
            <w:pPr>
              <w:spacing w:after="0"/>
              <w:rPr>
                <w:sz w:val="1"/>
                <w:szCs w:val="1"/>
                <w:color w:val="auto"/>
              </w:rPr>
            </w:pPr>
          </w:p>
        </w:tc>
      </w:tr>
      <w:tr>
        <w:trPr>
          <w:trHeight w:val="180"/>
        </w:trPr>
        <w:tc>
          <w:tcPr>
            <w:tcW w:w="2340" w:type="dxa"/>
            <w:vAlign w:val="bottom"/>
            <w:shd w:val="clear" w:color="auto" w:fill="F9F9F9"/>
          </w:tcPr>
          <w:p>
            <w:pPr>
              <w:spacing w:after="0"/>
              <w:rPr>
                <w:sz w:val="15"/>
                <w:szCs w:val="15"/>
                <w:color w:val="auto"/>
              </w:rPr>
            </w:pPr>
          </w:p>
        </w:tc>
        <w:tc>
          <w:tcPr>
            <w:tcW w:w="240" w:type="dxa"/>
            <w:vAlign w:val="bottom"/>
            <w:shd w:val="clear" w:color="auto" w:fill="F9F9F9"/>
          </w:tcPr>
          <w:p>
            <w:pPr>
              <w:spacing w:after="0"/>
              <w:rPr>
                <w:sz w:val="15"/>
                <w:szCs w:val="15"/>
                <w:color w:val="auto"/>
              </w:rPr>
            </w:pPr>
          </w:p>
        </w:tc>
        <w:tc>
          <w:tcPr>
            <w:tcW w:w="260" w:type="dxa"/>
            <w:vAlign w:val="bottom"/>
            <w:shd w:val="clear" w:color="auto" w:fill="F9F9F9"/>
          </w:tcPr>
          <w:p>
            <w:pPr>
              <w:spacing w:after="0"/>
              <w:rPr>
                <w:sz w:val="15"/>
                <w:szCs w:val="15"/>
                <w:color w:val="auto"/>
              </w:rPr>
            </w:pPr>
          </w:p>
        </w:tc>
        <w:tc>
          <w:tcPr>
            <w:tcW w:w="7340" w:type="dxa"/>
            <w:vAlign w:val="bottom"/>
            <w:shd w:val="clear" w:color="auto" w:fill="F9F9F9"/>
          </w:tcPr>
          <w:p>
            <w:pPr>
              <w:spacing w:after="0" w:line="181" w:lineRule="exact"/>
              <w:rPr>
                <w:sz w:val="20"/>
                <w:szCs w:val="20"/>
                <w:color w:val="auto"/>
              </w:rPr>
            </w:pPr>
            <w:r>
              <w:rPr>
                <w:rFonts w:ascii="Arial" w:cs="Arial" w:eastAsia="Arial" w:hAnsi="Arial"/>
                <w:sz w:val="18"/>
                <w:szCs w:val="18"/>
                <w:b w:val="1"/>
                <w:bCs w:val="1"/>
                <w:color w:val="auto"/>
              </w:rPr>
              <w:t>Establish and review, and oversee the development and implementation of, the</w:t>
            </w:r>
          </w:p>
        </w:tc>
        <w:tc>
          <w:tcPr>
            <w:tcW w:w="0" w:type="dxa"/>
            <w:vAlign w:val="bottom"/>
          </w:tcPr>
          <w:p>
            <w:pPr>
              <w:spacing w:after="0"/>
              <w:rPr>
                <w:sz w:val="1"/>
                <w:szCs w:val="1"/>
                <w:color w:val="auto"/>
              </w:rPr>
            </w:pPr>
          </w:p>
        </w:tc>
      </w:tr>
      <w:tr>
        <w:trPr>
          <w:trHeight w:val="121"/>
        </w:trPr>
        <w:tc>
          <w:tcPr>
            <w:tcW w:w="2340" w:type="dxa"/>
            <w:vAlign w:val="bottom"/>
            <w:tcBorders>
              <w:bottom w:val="single" w:sz="8" w:color="BD03F7"/>
            </w:tcBorders>
            <w:shd w:val="clear" w:color="auto" w:fill="F9F9F9"/>
          </w:tcPr>
          <w:p>
            <w:pPr>
              <w:spacing w:after="0"/>
              <w:rPr>
                <w:sz w:val="10"/>
                <w:szCs w:val="10"/>
                <w:color w:val="auto"/>
              </w:rPr>
            </w:pPr>
          </w:p>
        </w:tc>
        <w:tc>
          <w:tcPr>
            <w:tcW w:w="240" w:type="dxa"/>
            <w:vAlign w:val="bottom"/>
            <w:tcBorders>
              <w:bottom w:val="single" w:sz="8" w:color="F9F9F9"/>
            </w:tcBorders>
            <w:shd w:val="clear" w:color="auto" w:fill="F9F9F9"/>
          </w:tcPr>
          <w:p>
            <w:pPr>
              <w:spacing w:after="0"/>
              <w:rPr>
                <w:sz w:val="10"/>
                <w:szCs w:val="10"/>
                <w:color w:val="auto"/>
              </w:rPr>
            </w:pPr>
          </w:p>
        </w:tc>
        <w:tc>
          <w:tcPr>
            <w:tcW w:w="260" w:type="dxa"/>
            <w:vAlign w:val="bottom"/>
            <w:tcBorders>
              <w:bottom w:val="single" w:sz="8" w:color="F9F9F9"/>
            </w:tcBorders>
            <w:vMerge w:val="restart"/>
            <w:shd w:val="clear" w:color="auto" w:fill="F9F9F9"/>
          </w:tcPr>
          <w:p>
            <w:pPr>
              <w:ind w:left="100"/>
              <w:spacing w:after="0" w:line="183" w:lineRule="exact"/>
              <w:rPr>
                <w:sz w:val="20"/>
                <w:szCs w:val="20"/>
                <w:color w:val="auto"/>
              </w:rPr>
            </w:pPr>
            <w:r>
              <w:rPr>
                <w:rFonts w:ascii="Arial" w:cs="Arial" w:eastAsia="Arial" w:hAnsi="Arial"/>
                <w:sz w:val="18"/>
                <w:szCs w:val="18"/>
                <w:b w:val="1"/>
                <w:bCs w:val="1"/>
                <w:color w:val="BD03F7"/>
              </w:rPr>
              <w:t>•</w:t>
            </w:r>
          </w:p>
        </w:tc>
        <w:tc>
          <w:tcPr>
            <w:tcW w:w="7340" w:type="dxa"/>
            <w:vAlign w:val="bottom"/>
            <w:tcBorders>
              <w:bottom w:val="single" w:sz="8" w:color="F9F9F9"/>
            </w:tcBorders>
            <w:vMerge w:val="restart"/>
            <w:shd w:val="clear" w:color="auto" w:fill="F9F9F9"/>
          </w:tcPr>
          <w:p>
            <w:pPr>
              <w:spacing w:after="0" w:line="183" w:lineRule="exact"/>
              <w:rPr>
                <w:sz w:val="20"/>
                <w:szCs w:val="20"/>
                <w:color w:val="auto"/>
              </w:rPr>
            </w:pPr>
            <w:r>
              <w:rPr>
                <w:rFonts w:ascii="Arial" w:cs="Arial" w:eastAsia="Arial" w:hAnsi="Arial"/>
                <w:sz w:val="18"/>
                <w:szCs w:val="18"/>
                <w:b w:val="1"/>
                <w:bCs w:val="1"/>
                <w:color w:val="auto"/>
              </w:rPr>
              <w:t>Company’s employee compensation plans, including the Short-Term Incentive plan</w:t>
            </w:r>
          </w:p>
        </w:tc>
        <w:tc>
          <w:tcPr>
            <w:tcW w:w="0" w:type="dxa"/>
            <w:vAlign w:val="bottom"/>
          </w:tcPr>
          <w:p>
            <w:pPr>
              <w:spacing w:after="0"/>
              <w:rPr>
                <w:sz w:val="1"/>
                <w:szCs w:val="1"/>
                <w:color w:val="auto"/>
              </w:rPr>
            </w:pPr>
          </w:p>
        </w:tc>
      </w:tr>
      <w:tr>
        <w:trPr>
          <w:trHeight w:val="42"/>
        </w:trPr>
        <w:tc>
          <w:tcPr>
            <w:tcW w:w="2340" w:type="dxa"/>
            <w:vAlign w:val="bottom"/>
            <w:shd w:val="clear" w:color="auto" w:fill="F9F9F9"/>
          </w:tcPr>
          <w:p>
            <w:pPr>
              <w:spacing w:after="0"/>
              <w:rPr>
                <w:sz w:val="3"/>
                <w:szCs w:val="3"/>
                <w:color w:val="auto"/>
              </w:rPr>
            </w:pPr>
          </w:p>
        </w:tc>
        <w:tc>
          <w:tcPr>
            <w:tcW w:w="240" w:type="dxa"/>
            <w:vAlign w:val="bottom"/>
            <w:shd w:val="clear" w:color="auto" w:fill="F9F9F9"/>
          </w:tcPr>
          <w:p>
            <w:pPr>
              <w:spacing w:after="0"/>
              <w:rPr>
                <w:sz w:val="3"/>
                <w:szCs w:val="3"/>
                <w:color w:val="auto"/>
              </w:rPr>
            </w:pPr>
          </w:p>
        </w:tc>
        <w:tc>
          <w:tcPr>
            <w:tcW w:w="260" w:type="dxa"/>
            <w:vAlign w:val="bottom"/>
            <w:vMerge w:val="continue"/>
            <w:shd w:val="clear" w:color="auto" w:fill="F9F9F9"/>
          </w:tcPr>
          <w:p>
            <w:pPr>
              <w:spacing w:after="0"/>
              <w:rPr>
                <w:sz w:val="3"/>
                <w:szCs w:val="3"/>
                <w:color w:val="auto"/>
              </w:rPr>
            </w:pPr>
          </w:p>
        </w:tc>
        <w:tc>
          <w:tcPr>
            <w:tcW w:w="7340" w:type="dxa"/>
            <w:vAlign w:val="bottom"/>
            <w:vMerge w:val="continue"/>
            <w:shd w:val="clear" w:color="auto" w:fill="F9F9F9"/>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F9F9F9"/>
          </w:tcPr>
          <w:p>
            <w:pPr>
              <w:spacing w:after="0"/>
              <w:rPr>
                <w:sz w:val="19"/>
                <w:szCs w:val="19"/>
                <w:color w:val="auto"/>
              </w:rPr>
            </w:pPr>
          </w:p>
        </w:tc>
        <w:tc>
          <w:tcPr>
            <w:tcW w:w="240" w:type="dxa"/>
            <w:vAlign w:val="bottom"/>
            <w:shd w:val="clear" w:color="auto" w:fill="F9F9F9"/>
          </w:tcPr>
          <w:p>
            <w:pPr>
              <w:spacing w:after="0"/>
              <w:rPr>
                <w:sz w:val="19"/>
                <w:szCs w:val="19"/>
                <w:color w:val="auto"/>
              </w:rPr>
            </w:pPr>
          </w:p>
        </w:tc>
        <w:tc>
          <w:tcPr>
            <w:tcW w:w="260" w:type="dxa"/>
            <w:vAlign w:val="bottom"/>
            <w:shd w:val="clear" w:color="auto" w:fill="F9F9F9"/>
          </w:tcPr>
          <w:p>
            <w:pPr>
              <w:spacing w:after="0"/>
              <w:rPr>
                <w:sz w:val="19"/>
                <w:szCs w:val="19"/>
                <w:color w:val="auto"/>
              </w:rPr>
            </w:pP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(the “STI Plan”).</w:t>
            </w:r>
          </w:p>
        </w:tc>
        <w:tc>
          <w:tcPr>
            <w:tcW w:w="0" w:type="dxa"/>
            <w:vAlign w:val="bottom"/>
          </w:tcPr>
          <w:p>
            <w:pPr>
              <w:spacing w:after="0"/>
              <w:rPr>
                <w:sz w:val="1"/>
                <w:szCs w:val="1"/>
                <w:color w:val="auto"/>
              </w:rPr>
            </w:pPr>
          </w:p>
        </w:tc>
      </w:tr>
      <w:tr>
        <w:trPr>
          <w:trHeight w:val="246"/>
        </w:trPr>
        <w:tc>
          <w:tcPr>
            <w:tcW w:w="234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60" w:type="dxa"/>
            <w:vAlign w:val="bottom"/>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Administer the Company’s equity-based plans.</w:t>
            </w:r>
          </w:p>
        </w:tc>
        <w:tc>
          <w:tcPr>
            <w:tcW w:w="0" w:type="dxa"/>
            <w:vAlign w:val="bottom"/>
          </w:tcPr>
          <w:p>
            <w:pPr>
              <w:spacing w:after="0"/>
              <w:rPr>
                <w:sz w:val="1"/>
                <w:szCs w:val="1"/>
                <w:color w:val="auto"/>
              </w:rPr>
            </w:pPr>
          </w:p>
        </w:tc>
      </w:tr>
      <w:tr>
        <w:trPr>
          <w:trHeight w:val="269"/>
        </w:trPr>
        <w:tc>
          <w:tcPr>
            <w:tcW w:w="234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Richard M. Beyer, Chair</w:t>
            </w:r>
          </w:p>
        </w:tc>
        <w:tc>
          <w:tcPr>
            <w:tcW w:w="240" w:type="dxa"/>
            <w:vAlign w:val="bottom"/>
            <w:shd w:val="clear" w:color="auto" w:fill="F9F9F9"/>
          </w:tcPr>
          <w:p>
            <w:pPr>
              <w:spacing w:after="0"/>
              <w:rPr>
                <w:sz w:val="23"/>
                <w:szCs w:val="23"/>
                <w:color w:val="auto"/>
              </w:rPr>
            </w:pPr>
          </w:p>
        </w:tc>
        <w:tc>
          <w:tcPr>
            <w:tcW w:w="260" w:type="dxa"/>
            <w:vAlign w:val="bottom"/>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40" w:type="dxa"/>
            <w:vAlign w:val="bottom"/>
            <w:vMerge w:val="restart"/>
            <w:shd w:val="clear" w:color="auto" w:fill="F9F9F9"/>
          </w:tcPr>
          <w:p>
            <w:pPr>
              <w:spacing w:after="0"/>
              <w:rPr>
                <w:sz w:val="20"/>
                <w:szCs w:val="20"/>
                <w:color w:val="auto"/>
              </w:rPr>
            </w:pPr>
            <w:r>
              <w:rPr>
                <w:rFonts w:ascii="Arial" w:cs="Arial" w:eastAsia="Arial" w:hAnsi="Arial"/>
                <w:sz w:val="18"/>
                <w:szCs w:val="18"/>
                <w:b w:val="1"/>
                <w:bCs w:val="1"/>
                <w:color w:val="auto"/>
              </w:rPr>
              <w:t>Assess risks arising from the Company’s compensation plans, programs, policies</w:t>
            </w:r>
          </w:p>
        </w:tc>
        <w:tc>
          <w:tcPr>
            <w:tcW w:w="0" w:type="dxa"/>
            <w:vAlign w:val="bottom"/>
          </w:tcPr>
          <w:p>
            <w:pPr>
              <w:spacing w:after="0"/>
              <w:rPr>
                <w:sz w:val="1"/>
                <w:szCs w:val="1"/>
                <w:color w:val="auto"/>
              </w:rPr>
            </w:pPr>
          </w:p>
        </w:tc>
      </w:tr>
      <w:tr>
        <w:trPr>
          <w:trHeight w:val="27"/>
        </w:trPr>
        <w:tc>
          <w:tcPr>
            <w:tcW w:w="2340" w:type="dxa"/>
            <w:vAlign w:val="bottom"/>
            <w:vMerge w:val="restart"/>
            <w:shd w:val="clear" w:color="auto" w:fill="F9F9F9"/>
          </w:tcPr>
          <w:p>
            <w:pPr>
              <w:ind w:left="20"/>
              <w:spacing w:after="0"/>
              <w:rPr>
                <w:sz w:val="20"/>
                <w:szCs w:val="20"/>
                <w:color w:val="auto"/>
              </w:rPr>
            </w:pPr>
            <w:r>
              <w:rPr>
                <w:rFonts w:ascii="Arial" w:cs="Arial" w:eastAsia="Arial" w:hAnsi="Arial"/>
                <w:sz w:val="18"/>
                <w:szCs w:val="18"/>
                <w:b w:val="1"/>
                <w:bCs w:val="1"/>
                <w:color w:val="auto"/>
              </w:rPr>
              <w:t>Robert E. Switz</w:t>
            </w:r>
          </w:p>
        </w:tc>
        <w:tc>
          <w:tcPr>
            <w:tcW w:w="240" w:type="dxa"/>
            <w:vAlign w:val="bottom"/>
            <w:shd w:val="clear" w:color="auto" w:fill="F9F9F9"/>
          </w:tcPr>
          <w:p>
            <w:pPr>
              <w:spacing w:after="0"/>
              <w:rPr>
                <w:sz w:val="2"/>
                <w:szCs w:val="2"/>
                <w:color w:val="auto"/>
              </w:rPr>
            </w:pPr>
          </w:p>
        </w:tc>
        <w:tc>
          <w:tcPr>
            <w:tcW w:w="260" w:type="dxa"/>
            <w:vAlign w:val="bottom"/>
            <w:vMerge w:val="continue"/>
            <w:shd w:val="clear" w:color="auto" w:fill="F9F9F9"/>
          </w:tcPr>
          <w:p>
            <w:pPr>
              <w:spacing w:after="0"/>
              <w:rPr>
                <w:sz w:val="2"/>
                <w:szCs w:val="2"/>
                <w:color w:val="auto"/>
              </w:rPr>
            </w:pPr>
          </w:p>
        </w:tc>
        <w:tc>
          <w:tcPr>
            <w:tcW w:w="7340" w:type="dxa"/>
            <w:vAlign w:val="bottom"/>
            <w:vMerge w:val="continue"/>
            <w:shd w:val="clear" w:color="auto" w:fill="F9F9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340" w:type="dxa"/>
            <w:vAlign w:val="bottom"/>
            <w:vMerge w:val="continue"/>
            <w:shd w:val="clear" w:color="auto" w:fill="F9F9F9"/>
          </w:tcPr>
          <w:p>
            <w:pPr>
              <w:spacing w:after="0"/>
              <w:rPr>
                <w:sz w:val="19"/>
                <w:szCs w:val="19"/>
                <w:color w:val="auto"/>
              </w:rPr>
            </w:pPr>
          </w:p>
        </w:tc>
        <w:tc>
          <w:tcPr>
            <w:tcW w:w="240" w:type="dxa"/>
            <w:vAlign w:val="bottom"/>
            <w:shd w:val="clear" w:color="auto" w:fill="F9F9F9"/>
          </w:tcPr>
          <w:p>
            <w:pPr>
              <w:spacing w:after="0"/>
              <w:rPr>
                <w:sz w:val="19"/>
                <w:szCs w:val="19"/>
                <w:color w:val="auto"/>
              </w:rPr>
            </w:pPr>
          </w:p>
        </w:tc>
        <w:tc>
          <w:tcPr>
            <w:tcW w:w="260" w:type="dxa"/>
            <w:vAlign w:val="bottom"/>
            <w:shd w:val="clear" w:color="auto" w:fill="F9F9F9"/>
          </w:tcPr>
          <w:p>
            <w:pPr>
              <w:spacing w:after="0"/>
              <w:rPr>
                <w:sz w:val="19"/>
                <w:szCs w:val="19"/>
                <w:color w:val="auto"/>
              </w:rPr>
            </w:pP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and practices.</w:t>
            </w:r>
          </w:p>
        </w:tc>
        <w:tc>
          <w:tcPr>
            <w:tcW w:w="0" w:type="dxa"/>
            <w:vAlign w:val="bottom"/>
          </w:tcPr>
          <w:p>
            <w:pPr>
              <w:spacing w:after="0"/>
              <w:rPr>
                <w:sz w:val="1"/>
                <w:szCs w:val="1"/>
                <w:color w:val="auto"/>
              </w:rPr>
            </w:pPr>
          </w:p>
        </w:tc>
      </w:tr>
      <w:tr>
        <w:trPr>
          <w:trHeight w:val="246"/>
        </w:trPr>
        <w:tc>
          <w:tcPr>
            <w:tcW w:w="234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MaryAnn Wright</w:t>
            </w:r>
          </w:p>
        </w:tc>
        <w:tc>
          <w:tcPr>
            <w:tcW w:w="240" w:type="dxa"/>
            <w:vAlign w:val="bottom"/>
            <w:shd w:val="clear" w:color="auto" w:fill="F9F9F9"/>
          </w:tcPr>
          <w:p>
            <w:pPr>
              <w:spacing w:after="0"/>
              <w:rPr>
                <w:sz w:val="21"/>
                <w:szCs w:val="21"/>
                <w:color w:val="auto"/>
              </w:rPr>
            </w:pPr>
          </w:p>
        </w:tc>
        <w:tc>
          <w:tcPr>
            <w:tcW w:w="260" w:type="dxa"/>
            <w:vAlign w:val="bottom"/>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Administer the Company’s clawback and recoupment policy.</w:t>
            </w:r>
          </w:p>
        </w:tc>
        <w:tc>
          <w:tcPr>
            <w:tcW w:w="0" w:type="dxa"/>
            <w:vAlign w:val="bottom"/>
          </w:tcPr>
          <w:p>
            <w:pPr>
              <w:spacing w:after="0"/>
              <w:rPr>
                <w:sz w:val="1"/>
                <w:szCs w:val="1"/>
                <w:color w:val="auto"/>
              </w:rPr>
            </w:pPr>
          </w:p>
        </w:tc>
      </w:tr>
      <w:tr>
        <w:trPr>
          <w:trHeight w:val="296"/>
        </w:trPr>
        <w:tc>
          <w:tcPr>
            <w:tcW w:w="2340" w:type="dxa"/>
            <w:vAlign w:val="bottom"/>
            <w:shd w:val="clear" w:color="auto" w:fill="F9F9F9"/>
          </w:tcPr>
          <w:p>
            <w:pPr>
              <w:spacing w:after="0"/>
              <w:rPr>
                <w:sz w:val="24"/>
                <w:szCs w:val="24"/>
                <w:color w:val="auto"/>
              </w:rPr>
            </w:pPr>
          </w:p>
        </w:tc>
        <w:tc>
          <w:tcPr>
            <w:tcW w:w="240" w:type="dxa"/>
            <w:vAlign w:val="bottom"/>
            <w:shd w:val="clear" w:color="auto" w:fill="F9F9F9"/>
          </w:tcPr>
          <w:p>
            <w:pPr>
              <w:spacing w:after="0"/>
              <w:rPr>
                <w:sz w:val="24"/>
                <w:szCs w:val="24"/>
                <w:color w:val="auto"/>
              </w:rPr>
            </w:pPr>
          </w:p>
        </w:tc>
        <w:tc>
          <w:tcPr>
            <w:tcW w:w="260" w:type="dxa"/>
            <w:vAlign w:val="bottom"/>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Oversee matters relating to shareholder approval of executive compensation,</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BD03F7"/>
            </w:tcBorders>
            <w:shd w:val="clear" w:color="auto" w:fill="F9F9F9"/>
          </w:tcPr>
          <w:p>
            <w:pPr>
              <w:spacing w:after="0"/>
              <w:rPr>
                <w:sz w:val="19"/>
                <w:szCs w:val="19"/>
                <w:color w:val="auto"/>
              </w:rPr>
            </w:pPr>
          </w:p>
        </w:tc>
        <w:tc>
          <w:tcPr>
            <w:tcW w:w="240" w:type="dxa"/>
            <w:vAlign w:val="bottom"/>
            <w:tcBorders>
              <w:bottom w:val="single" w:sz="8" w:color="BD03F7"/>
            </w:tcBorders>
            <w:shd w:val="clear" w:color="auto" w:fill="F9F9F9"/>
          </w:tcPr>
          <w:p>
            <w:pPr>
              <w:spacing w:after="0"/>
              <w:rPr>
                <w:sz w:val="19"/>
                <w:szCs w:val="19"/>
                <w:color w:val="auto"/>
              </w:rPr>
            </w:pPr>
          </w:p>
        </w:tc>
        <w:tc>
          <w:tcPr>
            <w:tcW w:w="260" w:type="dxa"/>
            <w:vAlign w:val="bottom"/>
            <w:tcBorders>
              <w:bottom w:val="single" w:sz="8" w:color="BD03F7"/>
            </w:tcBorders>
            <w:shd w:val="clear" w:color="auto" w:fill="F9F9F9"/>
          </w:tcPr>
          <w:p>
            <w:pPr>
              <w:spacing w:after="0"/>
              <w:rPr>
                <w:sz w:val="19"/>
                <w:szCs w:val="19"/>
                <w:color w:val="auto"/>
              </w:rPr>
            </w:pPr>
          </w:p>
        </w:tc>
        <w:tc>
          <w:tcPr>
            <w:tcW w:w="7340" w:type="dxa"/>
            <w:vAlign w:val="bottom"/>
            <w:tcBorders>
              <w:bottom w:val="single" w:sz="8" w:color="BD03F7"/>
            </w:tcBorders>
            <w:shd w:val="clear" w:color="auto" w:fill="F9F9F9"/>
          </w:tcPr>
          <w:p>
            <w:pPr>
              <w:spacing w:after="0"/>
              <w:rPr>
                <w:sz w:val="20"/>
                <w:szCs w:val="20"/>
                <w:color w:val="auto"/>
              </w:rPr>
            </w:pPr>
            <w:r>
              <w:rPr>
                <w:rFonts w:ascii="Arial" w:cs="Arial" w:eastAsia="Arial" w:hAnsi="Arial"/>
                <w:sz w:val="18"/>
                <w:szCs w:val="18"/>
                <w:b w:val="1"/>
                <w:bCs w:val="1"/>
                <w:color w:val="auto"/>
              </w:rPr>
              <w:t>including related shareholder proposals.</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Committee</w:t>
      </w:r>
    </w:p>
    <w:p>
      <w:pPr>
        <w:spacing w:after="0" w:line="248"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Ms. McCarthy and Messrs. Gomo, Mehrotra and Swan currently serve, and during Fiscal 2024 served, on the Finance Committee. Mr. Gomo has served as Chair of the Finance Committee since January 2023 and Mr. Swan joined the Finance Committee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144145</wp:posOffset>
            </wp:positionV>
            <wp:extent cx="1486535" cy="1511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86535" cy="1511935"/>
                    </a:xfrm>
                    <a:prstGeom prst="rect">
                      <a:avLst/>
                    </a:prstGeom>
                    <a:noFill/>
                  </pic:spPr>
                </pic:pic>
              </a:graphicData>
            </a:graphic>
          </wp:anchor>
        </w:drawing>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2580" w:type="dxa"/>
            <w:vAlign w:val="bottom"/>
            <w:tcBorders>
              <w:bottom w:val="single" w:sz="8" w:color="BD03F7"/>
            </w:tcBorders>
            <w:shd w:val="clear" w:color="auto" w:fill="F9F9F9"/>
          </w:tcPr>
          <w:p>
            <w:pPr>
              <w:ind w:left="340"/>
              <w:spacing w:after="0"/>
              <w:rPr>
                <w:sz w:val="20"/>
                <w:szCs w:val="20"/>
                <w:color w:val="auto"/>
              </w:rPr>
            </w:pPr>
            <w:r>
              <w:rPr>
                <w:rFonts w:ascii="Arial" w:cs="Arial" w:eastAsia="Arial" w:hAnsi="Arial"/>
                <w:sz w:val="18"/>
                <w:szCs w:val="18"/>
                <w:b w:val="1"/>
                <w:bCs w:val="1"/>
                <w:color w:val="auto"/>
              </w:rPr>
              <w:t>Finance Committee</w:t>
            </w:r>
          </w:p>
        </w:tc>
        <w:tc>
          <w:tcPr>
            <w:tcW w:w="7540" w:type="dxa"/>
            <w:vAlign w:val="bottom"/>
            <w:tcBorders>
              <w:bottom w:val="single" w:sz="8" w:color="BD03F7"/>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r>
      <w:tr>
        <w:trPr>
          <w:trHeight w:val="74"/>
        </w:trPr>
        <w:tc>
          <w:tcPr>
            <w:tcW w:w="2580" w:type="dxa"/>
            <w:vAlign w:val="bottom"/>
          </w:tcPr>
          <w:p>
            <w:pPr>
              <w:spacing w:after="0"/>
              <w:rPr>
                <w:sz w:val="6"/>
                <w:szCs w:val="6"/>
                <w:color w:val="auto"/>
              </w:rPr>
            </w:pPr>
          </w:p>
        </w:tc>
        <w:tc>
          <w:tcPr>
            <w:tcW w:w="7540" w:type="dxa"/>
            <w:vAlign w:val="bottom"/>
            <w:shd w:val="clear" w:color="auto" w:fill="F9F9F9"/>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-59055</wp:posOffset>
            </wp:positionV>
            <wp:extent cx="4946015" cy="13665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46015" cy="1366520"/>
                    </a:xfrm>
                    <a:prstGeom prst="rect">
                      <a:avLst/>
                    </a:prstGeom>
                    <a:noFill/>
                  </pic:spPr>
                </pic:pic>
              </a:graphicData>
            </a:graphic>
          </wp:anchor>
        </w:drawing>
      </w:r>
    </w:p>
    <w:p>
      <w:pPr>
        <w:ind w:left="3160" w:hanging="1480"/>
        <w:spacing w:after="0"/>
        <w:tabs>
          <w:tab w:leader="none" w:pos="3160" w:val="left"/>
        </w:tabs>
        <w:numPr>
          <w:ilvl w:val="0"/>
          <w:numId w:val="41"/>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discharging its oversight with respect to:</w:t>
      </w:r>
    </w:p>
    <w:p>
      <w:pPr>
        <w:spacing w:after="0" w:line="33"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2024</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financial policies and strategies;</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40" w:type="dxa"/>
            <w:vAlign w:val="bottom"/>
          </w:tcPr>
          <w:p>
            <w:pPr>
              <w:ind w:left="1120"/>
              <w:spacing w:after="0"/>
              <w:rPr>
                <w:sz w:val="20"/>
                <w:szCs w:val="20"/>
                <w:color w:val="auto"/>
              </w:rPr>
            </w:pPr>
            <w:r>
              <w:rPr>
                <w:rFonts w:ascii="Arial" w:cs="Arial" w:eastAsia="Arial" w:hAnsi="Arial"/>
                <w:sz w:val="18"/>
                <w:szCs w:val="18"/>
                <w:b w:val="1"/>
                <w:bCs w:val="1"/>
                <w:color w:val="BD03F7"/>
              </w:rPr>
              <w:t>4</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capital structure;</w:t>
            </w:r>
          </w:p>
        </w:tc>
      </w:tr>
      <w:tr>
        <w:trPr>
          <w:trHeight w:val="234"/>
        </w:trPr>
        <w:tc>
          <w:tcPr>
            <w:tcW w:w="2340" w:type="dxa"/>
            <w:vAlign w:val="bottom"/>
            <w:tcBorders>
              <w:bottom w:val="single" w:sz="8" w:color="BD03F7"/>
            </w:tcBorders>
          </w:tcPr>
          <w:p>
            <w:pPr>
              <w:ind w:left="780"/>
              <w:spacing w:after="0"/>
              <w:rPr>
                <w:sz w:val="20"/>
                <w:szCs w:val="20"/>
                <w:color w:val="auto"/>
              </w:rPr>
            </w:pPr>
            <w:r>
              <w:rPr>
                <w:rFonts w:ascii="Arial" w:cs="Arial" w:eastAsia="Arial" w:hAnsi="Arial"/>
                <w:sz w:val="18"/>
                <w:szCs w:val="18"/>
                <w:b w:val="1"/>
                <w:bCs w:val="1"/>
                <w:color w:val="auto"/>
              </w:rPr>
              <w:t>Members</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BD03F7"/>
              </w:rPr>
              <w:t>•</w:t>
            </w:r>
          </w:p>
        </w:tc>
        <w:tc>
          <w:tcPr>
            <w:tcW w:w="730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debt and equity offerings;</w:t>
            </w:r>
          </w:p>
        </w:tc>
      </w:tr>
      <w:tr>
        <w:trPr>
          <w:trHeight w:val="203"/>
        </w:trPr>
        <w:tc>
          <w:tcPr>
            <w:tcW w:w="2340" w:type="dxa"/>
            <w:vAlign w:val="bottom"/>
          </w:tcPr>
          <w:p>
            <w:pPr>
              <w:spacing w:after="0"/>
              <w:rPr>
                <w:sz w:val="17"/>
                <w:szCs w:val="17"/>
                <w:color w:val="auto"/>
              </w:rPr>
            </w:pPr>
          </w:p>
        </w:tc>
        <w:tc>
          <w:tcPr>
            <w:tcW w:w="480" w:type="dxa"/>
            <w:vAlign w:val="bottom"/>
          </w:tcPr>
          <w:p>
            <w:pPr>
              <w:ind w:left="340"/>
              <w:spacing w:after="0" w:line="203" w:lineRule="exact"/>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line="203" w:lineRule="exact"/>
              <w:rPr>
                <w:sz w:val="20"/>
                <w:szCs w:val="20"/>
                <w:color w:val="auto"/>
              </w:rPr>
            </w:pPr>
            <w:r>
              <w:rPr>
                <w:rFonts w:ascii="Arial" w:cs="Arial" w:eastAsia="Arial" w:hAnsi="Arial"/>
                <w:sz w:val="18"/>
                <w:szCs w:val="18"/>
                <w:b w:val="1"/>
                <w:bCs w:val="1"/>
                <w:color w:val="auto"/>
              </w:rPr>
              <w:t>capital return program;</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Steven J. Gomo, Chair</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cash management and investments; and</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Mary Pat McCarthy</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risk management related to hedge and derivative instruments and insurance.</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Sanjay Mehrotra</w:t>
            </w:r>
          </w:p>
        </w:tc>
        <w:tc>
          <w:tcPr>
            <w:tcW w:w="480" w:type="dxa"/>
            <w:vAlign w:val="bottom"/>
          </w:tcPr>
          <w:p>
            <w:pPr>
              <w:spacing w:after="0"/>
              <w:rPr>
                <w:sz w:val="19"/>
                <w:szCs w:val="19"/>
                <w:color w:val="auto"/>
              </w:rPr>
            </w:pPr>
          </w:p>
        </w:tc>
        <w:tc>
          <w:tcPr>
            <w:tcW w:w="7300" w:type="dxa"/>
            <w:vAlign w:val="bottom"/>
            <w:shd w:val="clear" w:color="auto" w:fill="F9F9F9"/>
          </w:tcPr>
          <w:p>
            <w:pPr>
              <w:spacing w:after="0"/>
              <w:rPr>
                <w:sz w:val="19"/>
                <w:szCs w:val="19"/>
                <w:color w:val="auto"/>
              </w:rPr>
            </w:pPr>
          </w:p>
        </w:tc>
      </w:tr>
      <w:tr>
        <w:trPr>
          <w:trHeight w:val="234"/>
        </w:trPr>
        <w:tc>
          <w:tcPr>
            <w:tcW w:w="234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Robert Swan</w:t>
            </w:r>
          </w:p>
        </w:tc>
        <w:tc>
          <w:tcPr>
            <w:tcW w:w="480" w:type="dxa"/>
            <w:vAlign w:val="bottom"/>
            <w:tcBorders>
              <w:bottom w:val="single" w:sz="8" w:color="BD03F7"/>
            </w:tcBorders>
          </w:tcPr>
          <w:p>
            <w:pPr>
              <w:spacing w:after="0"/>
              <w:rPr>
                <w:sz w:val="20"/>
                <w:szCs w:val="20"/>
                <w:color w:val="auto"/>
              </w:rPr>
            </w:pPr>
          </w:p>
        </w:tc>
        <w:tc>
          <w:tcPr>
            <w:tcW w:w="7300" w:type="dxa"/>
            <w:vAlign w:val="bottom"/>
            <w:tcBorders>
              <w:bottom w:val="single" w:sz="8" w:color="BD03F7"/>
            </w:tcBorders>
            <w:shd w:val="clear" w:color="auto" w:fill="F9F9F9"/>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Sustainability Committee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Mses. Dugle and Wright and Messrs. Beyer and Switz currently serve, and during Fiscal 2024 served, on the Governance and Sustainability Committee. Mr. Switz will continue to serve as member of the Governance and Sustainability Committee until his term as a director ends at the Annual Meeting. Ms. Dugle joined the Governance and Sustainability Committee in January 2024, replacing Ms. Haynesworth. Ms. Wright has served as Chair of the Governance and Sustainability Committee since April 2021. The Board has determined that all Governance and Sustainability Committee members are independent under the applicable laws and regulations of the SEC and the Listing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524510</wp:posOffset>
            </wp:positionV>
            <wp:extent cx="6432550" cy="1905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2550" cy="190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Governance and</w:t>
            </w:r>
          </w:p>
        </w:tc>
        <w:tc>
          <w:tcPr>
            <w:tcW w:w="22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8"/>
              </w:rPr>
              <w:t>Primary Responsibilities</w:t>
            </w:r>
          </w:p>
        </w:tc>
        <w:tc>
          <w:tcPr>
            <w:tcW w:w="0" w:type="dxa"/>
            <w:vAlign w:val="bottom"/>
          </w:tcPr>
          <w:p>
            <w:pPr>
              <w:spacing w:after="0"/>
              <w:rPr>
                <w:sz w:val="1"/>
                <w:szCs w:val="1"/>
                <w:color w:val="auto"/>
              </w:rPr>
            </w:pPr>
          </w:p>
        </w:tc>
      </w:tr>
      <w:tr>
        <w:trPr>
          <w:trHeight w:val="254"/>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Sustainability Committee</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ind w:left="3180" w:hanging="1494"/>
        <w:spacing w:after="0"/>
        <w:tabs>
          <w:tab w:leader="none" w:pos="3180" w:val="left"/>
        </w:tabs>
        <w:numPr>
          <w:ilvl w:val="0"/>
          <w:numId w:val="42"/>
        </w:numPr>
        <w:rPr>
          <w:rFonts w:ascii="Arial" w:cs="Arial" w:eastAsia="Arial" w:hAnsi="Arial"/>
          <w:sz w:val="18"/>
          <w:szCs w:val="18"/>
          <w:b w:val="1"/>
          <w:bCs w:val="1"/>
          <w:color w:val="BD03F7"/>
        </w:rPr>
      </w:pPr>
      <w:r>
        <w:rPr>
          <w:rFonts w:ascii="Arial" w:cs="Arial" w:eastAsia="Arial" w:hAnsi="Arial"/>
          <w:sz w:val="18"/>
          <w:szCs w:val="18"/>
          <w:b w:val="1"/>
          <w:bCs w:val="1"/>
          <w:color w:val="auto"/>
        </w:rPr>
        <w:t>Assisting the Board in discharging its duties with respect to:</w:t>
      </w:r>
    </w:p>
    <w:p>
      <w:pPr>
        <w:spacing w:after="0" w:line="35"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2024</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identification and selection of nominees to our Board;</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60" w:type="dxa"/>
            <w:vAlign w:val="bottom"/>
          </w:tcPr>
          <w:p>
            <w:pPr>
              <w:ind w:left="1120"/>
              <w:spacing w:after="0"/>
              <w:rPr>
                <w:sz w:val="20"/>
                <w:szCs w:val="20"/>
                <w:color w:val="auto"/>
              </w:rPr>
            </w:pPr>
            <w:r>
              <w:rPr>
                <w:rFonts w:ascii="Arial" w:cs="Arial" w:eastAsia="Arial" w:hAnsi="Arial"/>
                <w:sz w:val="18"/>
                <w:szCs w:val="18"/>
                <w:b w:val="1"/>
                <w:bCs w:val="1"/>
                <w:color w:val="BD03F7"/>
              </w:rPr>
              <w:t>4</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director compensation;</w:t>
            </w:r>
          </w:p>
        </w:tc>
        <w:tc>
          <w:tcPr>
            <w:tcW w:w="0" w:type="dxa"/>
            <w:vAlign w:val="bottom"/>
          </w:tcPr>
          <w:p>
            <w:pPr>
              <w:spacing w:after="0"/>
              <w:rPr>
                <w:sz w:val="1"/>
                <w:szCs w:val="1"/>
                <w:color w:val="auto"/>
              </w:rPr>
            </w:pPr>
          </w:p>
        </w:tc>
      </w:tr>
      <w:tr>
        <w:trPr>
          <w:trHeight w:val="234"/>
        </w:trPr>
        <w:tc>
          <w:tcPr>
            <w:tcW w:w="2360" w:type="dxa"/>
            <w:vAlign w:val="bottom"/>
            <w:tcBorders>
              <w:bottom w:val="single" w:sz="8" w:color="BD03F7"/>
            </w:tcBorders>
          </w:tcPr>
          <w:p>
            <w:pPr>
              <w:ind w:left="780"/>
              <w:spacing w:after="0"/>
              <w:rPr>
                <w:sz w:val="20"/>
                <w:szCs w:val="20"/>
                <w:color w:val="auto"/>
              </w:rPr>
            </w:pPr>
            <w:r>
              <w:rPr>
                <w:rFonts w:ascii="Arial" w:cs="Arial" w:eastAsia="Arial" w:hAnsi="Arial"/>
                <w:sz w:val="18"/>
                <w:szCs w:val="18"/>
                <w:b w:val="1"/>
                <w:bCs w:val="1"/>
                <w:color w:val="auto"/>
              </w:rPr>
              <w:t>Members</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development and integration of material social and environmental strategies;</w:t>
            </w:r>
          </w:p>
        </w:tc>
        <w:tc>
          <w:tcPr>
            <w:tcW w:w="0" w:type="dxa"/>
            <w:vAlign w:val="bottom"/>
          </w:tcPr>
          <w:p>
            <w:pPr>
              <w:spacing w:after="0"/>
              <w:rPr>
                <w:sz w:val="1"/>
                <w:szCs w:val="1"/>
                <w:color w:val="auto"/>
              </w:rPr>
            </w:pPr>
          </w:p>
        </w:tc>
      </w:tr>
      <w:tr>
        <w:trPr>
          <w:trHeight w:val="289"/>
        </w:trPr>
        <w:tc>
          <w:tcPr>
            <w:tcW w:w="2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MaryAnn Wright, Chair</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our human capital management efforts, including culture, talent development and</w:t>
            </w:r>
          </w:p>
        </w:tc>
        <w:tc>
          <w:tcPr>
            <w:tcW w:w="0" w:type="dxa"/>
            <w:vAlign w:val="bottom"/>
          </w:tcPr>
          <w:p>
            <w:pPr>
              <w:spacing w:after="0"/>
              <w:rPr>
                <w:sz w:val="1"/>
                <w:szCs w:val="1"/>
                <w:color w:val="auto"/>
              </w:rPr>
            </w:pPr>
          </w:p>
        </w:tc>
      </w:tr>
      <w:tr>
        <w:trPr>
          <w:trHeight w:val="224"/>
        </w:trPr>
        <w:tc>
          <w:tcPr>
            <w:tcW w:w="23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retention, and DEI programs and initiatives;</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Richard M. Beyer</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development of our Corporate Governance Guidelines;</w:t>
            </w:r>
          </w:p>
        </w:tc>
        <w:tc>
          <w:tcPr>
            <w:tcW w:w="0" w:type="dxa"/>
            <w:vAlign w:val="bottom"/>
          </w:tcPr>
          <w:p>
            <w:pPr>
              <w:spacing w:after="0"/>
              <w:rPr>
                <w:sz w:val="1"/>
                <w:szCs w:val="1"/>
                <w:color w:val="auto"/>
              </w:rPr>
            </w:pPr>
          </w:p>
        </w:tc>
      </w:tr>
      <w:tr>
        <w:trPr>
          <w:trHeight w:val="246"/>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Lynn A. Dugle</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evaluation of the Board and management; and</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Robert E. Switz</w:t>
            </w:r>
          </w:p>
        </w:tc>
        <w:tc>
          <w:tcPr>
            <w:tcW w:w="48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728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monitoring our lobbying and political activity, including policies and guidelines</w:t>
            </w:r>
          </w:p>
        </w:tc>
        <w:tc>
          <w:tcPr>
            <w:tcW w:w="0" w:type="dxa"/>
            <w:vAlign w:val="bottom"/>
          </w:tcPr>
          <w:p>
            <w:pPr>
              <w:spacing w:after="0"/>
              <w:rPr>
                <w:sz w:val="1"/>
                <w:szCs w:val="1"/>
                <w:color w:val="auto"/>
              </w:rPr>
            </w:pPr>
          </w:p>
        </w:tc>
      </w:tr>
      <w:tr>
        <w:trPr>
          <w:trHeight w:val="281"/>
        </w:trPr>
        <w:tc>
          <w:tcPr>
            <w:tcW w:w="23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728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regarding the Company’s political contributions and activities.</w:t>
            </w:r>
          </w:p>
        </w:tc>
        <w:tc>
          <w:tcPr>
            <w:tcW w:w="0" w:type="dxa"/>
            <w:vAlign w:val="bottom"/>
          </w:tcPr>
          <w:p>
            <w:pPr>
              <w:spacing w:after="0"/>
              <w:rPr>
                <w:sz w:val="1"/>
                <w:szCs w:val="1"/>
                <w:color w:val="auto"/>
              </w:rPr>
            </w:pPr>
          </w:p>
        </w:tc>
      </w:tr>
      <w:tr>
        <w:trPr>
          <w:trHeight w:val="20"/>
        </w:trPr>
        <w:tc>
          <w:tcPr>
            <w:tcW w:w="2360" w:type="dxa"/>
            <w:vAlign w:val="bottom"/>
            <w:shd w:val="clear" w:color="auto" w:fill="BD03F7"/>
          </w:tcPr>
          <w:p>
            <w:pPr>
              <w:spacing w:after="0" w:line="20" w:lineRule="exact"/>
              <w:rPr>
                <w:sz w:val="1"/>
                <w:szCs w:val="1"/>
                <w:color w:val="auto"/>
              </w:rPr>
            </w:pPr>
          </w:p>
        </w:tc>
        <w:tc>
          <w:tcPr>
            <w:tcW w:w="480" w:type="dxa"/>
            <w:vAlign w:val="bottom"/>
            <w:shd w:val="clear" w:color="auto" w:fill="BD03F7"/>
          </w:tcPr>
          <w:p>
            <w:pPr>
              <w:spacing w:after="0" w:line="20" w:lineRule="exact"/>
              <w:rPr>
                <w:sz w:val="1"/>
                <w:szCs w:val="1"/>
                <w:color w:val="auto"/>
              </w:rPr>
            </w:pPr>
          </w:p>
        </w:tc>
        <w:tc>
          <w:tcPr>
            <w:tcW w:w="7280" w:type="dxa"/>
            <w:vAlign w:val="bottom"/>
            <w:shd w:val="clear" w:color="auto" w:fill="BD03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Committee</w:t>
      </w:r>
    </w:p>
    <w:p>
      <w:pPr>
        <w:spacing w:after="0" w:line="248"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Mses. Dugle and Haynesworth and Mr. Beyer currently serve, and during Fiscal 2024 served, on the Security Committee. Ms. Haynesworth has served as Chair of the Security Committee since January 2024. The Board has determined that all Security Committee members are independent under the applicable laws and regulations of the SEC and the Listing Rules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154305</wp:posOffset>
            </wp:positionV>
            <wp:extent cx="6432550" cy="2204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0" cy="220408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900"/>
        <w:spacing w:after="0"/>
        <w:tabs>
          <w:tab w:leader="none" w:pos="3160" w:val="left"/>
        </w:tabs>
        <w:rPr>
          <w:sz w:val="20"/>
          <w:szCs w:val="20"/>
          <w:color w:val="auto"/>
        </w:rPr>
      </w:pPr>
      <w:r>
        <w:rPr>
          <w:rFonts w:ascii="Arial" w:cs="Arial" w:eastAsia="Arial" w:hAnsi="Arial"/>
          <w:sz w:val="18"/>
          <w:szCs w:val="18"/>
          <w:b w:val="1"/>
          <w:bCs w:val="1"/>
          <w:color w:val="auto"/>
        </w:rPr>
        <w:t>Security Committee</w:t>
      </w:r>
      <w:r>
        <w:rPr>
          <w:sz w:val="20"/>
          <w:szCs w:val="20"/>
          <w:color w:val="auto"/>
        </w:rPr>
        <w:tab/>
      </w:r>
      <w:r>
        <w:rPr>
          <w:rFonts w:ascii="Arial" w:cs="Arial" w:eastAsia="Arial" w:hAnsi="Arial"/>
          <w:sz w:val="17"/>
          <w:szCs w:val="17"/>
          <w:b w:val="1"/>
          <w:bCs w:val="1"/>
          <w:color w:val="auto"/>
        </w:rPr>
        <w:t>Primary Responsibilities</w:t>
      </w:r>
    </w:p>
    <w:p>
      <w:pPr>
        <w:spacing w:after="0" w:line="39" w:lineRule="exact"/>
        <w:rPr>
          <w:sz w:val="20"/>
          <w:szCs w:val="20"/>
          <w:color w:val="auto"/>
        </w:rPr>
      </w:pPr>
    </w:p>
    <w:p>
      <w:pPr>
        <w:ind w:left="3180" w:hanging="1494"/>
        <w:spacing w:after="0"/>
        <w:tabs>
          <w:tab w:leader="none" w:pos="3180" w:val="left"/>
        </w:tabs>
        <w:numPr>
          <w:ilvl w:val="0"/>
          <w:numId w:val="43"/>
        </w:numPr>
        <w:rPr>
          <w:rFonts w:ascii="Arial" w:cs="Arial" w:eastAsia="Arial" w:hAnsi="Arial"/>
          <w:sz w:val="18"/>
          <w:szCs w:val="18"/>
          <w:b w:val="1"/>
          <w:bCs w:val="1"/>
          <w:color w:val="BD03F7"/>
        </w:rPr>
      </w:pPr>
      <w:r>
        <w:rPr>
          <w:rFonts w:ascii="Arial" w:cs="Arial" w:eastAsia="Arial" w:hAnsi="Arial"/>
          <w:sz w:val="18"/>
          <w:szCs w:val="18"/>
          <w:b w:val="1"/>
          <w:bCs w:val="1"/>
          <w:color w:val="auto"/>
        </w:rPr>
        <w:t>Assisting the Board with oversight of:</w:t>
      </w:r>
    </w:p>
    <w:p>
      <w:pPr>
        <w:spacing w:after="0" w:line="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Meetings in Fiscal 2024</w:t>
            </w:r>
          </w:p>
        </w:tc>
        <w:tc>
          <w:tcPr>
            <w:tcW w:w="44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w w:val="99"/>
              </w:rPr>
              <w:t>physical security of our facilities and employees as well as enterprise cybersecurity</w:t>
            </w:r>
          </w:p>
        </w:tc>
        <w:tc>
          <w:tcPr>
            <w:tcW w:w="0" w:type="dxa"/>
            <w:vAlign w:val="bottom"/>
          </w:tcPr>
          <w:p>
            <w:pPr>
              <w:spacing w:after="0"/>
              <w:rPr>
                <w:sz w:val="1"/>
                <w:szCs w:val="1"/>
                <w:color w:val="auto"/>
              </w:rPr>
            </w:pPr>
          </w:p>
        </w:tc>
      </w:tr>
      <w:tr>
        <w:trPr>
          <w:trHeight w:val="162"/>
        </w:trPr>
        <w:tc>
          <w:tcPr>
            <w:tcW w:w="2360" w:type="dxa"/>
            <w:vAlign w:val="bottom"/>
            <w:vMerge w:val="restart"/>
          </w:tcPr>
          <w:p>
            <w:pPr>
              <w:jc w:val="center"/>
              <w:spacing w:after="0"/>
              <w:rPr>
                <w:sz w:val="20"/>
                <w:szCs w:val="20"/>
                <w:color w:val="auto"/>
              </w:rPr>
            </w:pPr>
            <w:r>
              <w:rPr>
                <w:rFonts w:ascii="Arial" w:cs="Arial" w:eastAsia="Arial" w:hAnsi="Arial"/>
                <w:sz w:val="18"/>
                <w:szCs w:val="18"/>
                <w:b w:val="1"/>
                <w:bCs w:val="1"/>
                <w:color w:val="BD03F7"/>
                <w:w w:val="99"/>
              </w:rPr>
              <w:t>3</w:t>
            </w:r>
          </w:p>
        </w:tc>
        <w:tc>
          <w:tcPr>
            <w:tcW w:w="440" w:type="dxa"/>
            <w:vAlign w:val="bottom"/>
            <w:vMerge w:val="continue"/>
          </w:tcPr>
          <w:p>
            <w:pPr>
              <w:spacing w:after="0"/>
              <w:rPr>
                <w:sz w:val="14"/>
                <w:szCs w:val="14"/>
                <w:color w:val="auto"/>
              </w:rPr>
            </w:pPr>
          </w:p>
        </w:tc>
        <w:tc>
          <w:tcPr>
            <w:tcW w:w="7200" w:type="dxa"/>
            <w:vAlign w:val="bottom"/>
          </w:tcPr>
          <w:p>
            <w:pPr>
              <w:ind w:left="60"/>
              <w:spacing w:after="0" w:line="163" w:lineRule="exact"/>
              <w:rPr>
                <w:sz w:val="20"/>
                <w:szCs w:val="20"/>
                <w:color w:val="auto"/>
              </w:rPr>
            </w:pPr>
            <w:r>
              <w:rPr>
                <w:rFonts w:ascii="Arial" w:cs="Arial" w:eastAsia="Arial" w:hAnsi="Arial"/>
                <w:sz w:val="18"/>
                <w:szCs w:val="18"/>
                <w:b w:val="1"/>
                <w:bCs w:val="1"/>
                <w:color w:val="auto"/>
              </w:rPr>
              <w:t>and data protection risks associated with our security-related infrastructure and</w:t>
            </w:r>
          </w:p>
        </w:tc>
        <w:tc>
          <w:tcPr>
            <w:tcW w:w="0" w:type="dxa"/>
            <w:vAlign w:val="bottom"/>
          </w:tcPr>
          <w:p>
            <w:pPr>
              <w:spacing w:after="0"/>
              <w:rPr>
                <w:sz w:val="1"/>
                <w:szCs w:val="1"/>
                <w:color w:val="auto"/>
              </w:rPr>
            </w:pPr>
          </w:p>
        </w:tc>
      </w:tr>
      <w:tr>
        <w:trPr>
          <w:trHeight w:val="237"/>
        </w:trPr>
        <w:tc>
          <w:tcPr>
            <w:tcW w:w="23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related operations, including outside partners;</w:t>
            </w:r>
          </w:p>
        </w:tc>
        <w:tc>
          <w:tcPr>
            <w:tcW w:w="0" w:type="dxa"/>
            <w:vAlign w:val="bottom"/>
          </w:tcPr>
          <w:p>
            <w:pPr>
              <w:spacing w:after="0"/>
              <w:rPr>
                <w:sz w:val="1"/>
                <w:szCs w:val="1"/>
                <w:color w:val="auto"/>
              </w:rPr>
            </w:pPr>
          </w:p>
        </w:tc>
      </w:tr>
      <w:tr>
        <w:trPr>
          <w:trHeight w:val="246"/>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Members</w:t>
            </w:r>
          </w:p>
        </w:tc>
        <w:tc>
          <w:tcPr>
            <w:tcW w:w="44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cyber crisis preparedness and security breach and incident response plans;</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BD03F7"/>
            </w:tcBorders>
          </w:tcPr>
          <w:p>
            <w:pPr>
              <w:spacing w:after="0"/>
              <w:rPr>
                <w:sz w:val="24"/>
                <w:szCs w:val="24"/>
                <w:color w:val="auto"/>
              </w:rPr>
            </w:pPr>
          </w:p>
        </w:tc>
        <w:tc>
          <w:tcPr>
            <w:tcW w:w="44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compliance with applicable information security and data protection laws and</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industry standards</w:t>
            </w: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80" w:right="5"/>
        <w:spacing w:after="0" w:line="361" w:lineRule="auto"/>
        <w:rPr>
          <w:sz w:val="20"/>
          <w:szCs w:val="20"/>
          <w:color w:val="auto"/>
        </w:rPr>
      </w:pPr>
      <w:r>
        <w:rPr>
          <w:rFonts w:ascii="Arial" w:cs="Arial" w:eastAsia="Arial" w:hAnsi="Arial"/>
          <w:sz w:val="17"/>
          <w:szCs w:val="17"/>
          <w:b w:val="1"/>
          <w:bCs w:val="1"/>
          <w:color w:val="auto"/>
        </w:rPr>
        <w:t>Linnie M. Haynesworth Richard M. Beyer Lynn A. Dugle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75" w:right="660" w:hanging="175"/>
        <w:spacing w:after="0" w:line="244" w:lineRule="auto"/>
        <w:tabs>
          <w:tab w:leader="none" w:pos="175" w:val="left"/>
        </w:tabs>
        <w:numPr>
          <w:ilvl w:val="0"/>
          <w:numId w:val="44"/>
        </w:numPr>
        <w:rPr>
          <w:rFonts w:ascii="Arial" w:cs="Arial" w:eastAsia="Arial" w:hAnsi="Arial"/>
          <w:sz w:val="18"/>
          <w:szCs w:val="18"/>
          <w:b w:val="1"/>
          <w:bCs w:val="1"/>
          <w:color w:val="BD03F7"/>
        </w:rPr>
      </w:pPr>
      <w:r>
        <w:rPr>
          <w:rFonts w:ascii="Arial" w:cs="Arial" w:eastAsia="Arial" w:hAnsi="Arial"/>
          <w:sz w:val="18"/>
          <w:szCs w:val="18"/>
          <w:b w:val="1"/>
          <w:bCs w:val="1"/>
          <w:color w:val="auto"/>
        </w:rPr>
        <w:t>our physical and cybersecurity strategy, crisis or incident management, as security-related information technology and planning processes;</w:t>
      </w:r>
    </w:p>
    <w:p>
      <w:pPr>
        <w:spacing w:after="0" w:line="76" w:lineRule="exact"/>
        <w:rPr>
          <w:rFonts w:ascii="Arial" w:cs="Arial" w:eastAsia="Arial" w:hAnsi="Arial"/>
          <w:sz w:val="18"/>
          <w:szCs w:val="18"/>
          <w:b w:val="1"/>
          <w:bCs w:val="1"/>
          <w:color w:val="BD03F7"/>
        </w:rPr>
      </w:pPr>
    </w:p>
    <w:p>
      <w:pPr>
        <w:ind w:left="175" w:right="900" w:hanging="175"/>
        <w:spacing w:after="0" w:line="183" w:lineRule="auto"/>
        <w:tabs>
          <w:tab w:leader="none" w:pos="175" w:val="left"/>
        </w:tabs>
        <w:numPr>
          <w:ilvl w:val="0"/>
          <w:numId w:val="44"/>
        </w:numPr>
        <w:rPr>
          <w:rFonts w:ascii="Arial" w:cs="Arial" w:eastAsia="Arial" w:hAnsi="Arial"/>
          <w:sz w:val="34"/>
          <w:szCs w:val="34"/>
          <w:b w:val="1"/>
          <w:bCs w:val="1"/>
          <w:color w:val="BD03F7"/>
          <w:vertAlign w:val="subscript"/>
        </w:rPr>
      </w:pPr>
      <w:r>
        <w:rPr>
          <w:rFonts w:ascii="Arial" w:cs="Arial" w:eastAsia="Arial" w:hAnsi="Arial"/>
          <w:sz w:val="17"/>
          <w:szCs w:val="17"/>
          <w:b w:val="1"/>
          <w:bCs w:val="1"/>
          <w:color w:val="auto"/>
        </w:rPr>
        <w:t>public disclosure relating to security of our employees, facilities, and information technology systems, including privacy, network security and data security; and</w:t>
      </w:r>
    </w:p>
    <w:p>
      <w:pPr>
        <w:spacing w:after="0" w:line="10" w:lineRule="exact"/>
        <w:rPr>
          <w:rFonts w:ascii="Arial" w:cs="Arial" w:eastAsia="Arial" w:hAnsi="Arial"/>
          <w:sz w:val="34"/>
          <w:szCs w:val="34"/>
          <w:b w:val="1"/>
          <w:bCs w:val="1"/>
          <w:color w:val="BD03F7"/>
          <w:vertAlign w:val="subscript"/>
        </w:rPr>
      </w:pPr>
    </w:p>
    <w:p>
      <w:pPr>
        <w:ind w:left="175" w:hanging="175"/>
        <w:spacing w:after="0"/>
        <w:tabs>
          <w:tab w:leader="none" w:pos="175" w:val="left"/>
        </w:tabs>
        <w:numPr>
          <w:ilvl w:val="0"/>
          <w:numId w:val="44"/>
        </w:numPr>
        <w:rPr>
          <w:rFonts w:ascii="Arial" w:cs="Arial" w:eastAsia="Arial" w:hAnsi="Arial"/>
          <w:sz w:val="18"/>
          <w:szCs w:val="18"/>
          <w:b w:val="1"/>
          <w:bCs w:val="1"/>
          <w:color w:val="BD03F7"/>
        </w:rPr>
      </w:pPr>
      <w:r>
        <w:rPr>
          <w:rFonts w:ascii="Arial" w:cs="Arial" w:eastAsia="Arial" w:hAnsi="Arial"/>
          <w:sz w:val="18"/>
          <w:szCs w:val="18"/>
          <w:b w:val="1"/>
          <w:bCs w:val="1"/>
          <w:color w:val="auto"/>
        </w:rPr>
        <w:t>oversight of cybersecurity and data protection risks associated with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34290</wp:posOffset>
            </wp:positionV>
            <wp:extent cx="64325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2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5" w:space="720"/>
            <w:col w:w="7995"/>
          </w:cols>
          <w:pgMar w:left="320" w:top="125"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Sessions</w:t>
      </w:r>
    </w:p>
    <w:p>
      <w:pPr>
        <w:spacing w:after="0" w:line="23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Mr. Switz has been the independent Chair of our Board since February 2012. During Fiscal 2024, as part of his duties as Chair, Mr. Switz chaired Executive Session meetings of our Board. The Board meets in Executive Session regularly and held four meetings in Fiscal 2024. Following the Annual Meeting, Ms. Dugle will chair Executive Session meetings of our Board in her capacity as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24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Shareholders and interested parties wishing to communicate with our Board, or our non-employee directors as a group, may contact our Corporate Secretary at corporatesecretary@micron.com. Communications are reviewed by our Legal and Investor Relations teams and directed to the appropriate member of the Board. Certain items that are unrelated to the duties and responsibilities of the Board will not be forwarded, such as: business solicitation or advertisements; product- or service-related inquiries, junk mail or mass mailings; resumes or other job-related inquiries; spam; and overly hostile, threatening, potentially illegal, or similarly unsuitable communications.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PROCESSES AND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www.micron.com and is also available in print without charge upon request to corporatesecretary@micron.com. Any amendments or waivers of the Code of Business Conduct and Ethics will also be posted on our website as required by applicable rules and regulations of the SEC and the Listing Rules of Nasdaq.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has adopted Corporate Governance Guidelines that address items such as the qualifications and responsibilities of our directors and director candidates, board leadership, certain governance policies and practices, and the Board’s communications with our stakeholders. A copy of our Corporate Governance Guidelines is available at www.micron.com and is also available in print without charge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relationship with our shareholders plays an important part in our long-term success. Our shareholders have regularly shared their insights and perspectives with us over the years through our investor relations program, which involves one-on-one meetings and conferences and roadshows, among other engagements. At our Fiscal 2023 Annual Meeting of Shareholders, our annual shareholder advisory vote on Named Executive Officer compensation, commonly referred to as the “say-on-pay vote,” received the support of 80% of the votes cast. In 2024, we continued our expanded, integrated shareholder engagement effort that included outreach to our shareholders’ investor stewardship and governance teams to continue to solicit feedback on areas of interest from shareholders, including compensation and ESG matters.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35"/>
          <w:szCs w:val="35"/>
          <w:b w:val="1"/>
          <w:bCs w:val="1"/>
          <w:color w:val="auto"/>
        </w:rPr>
        <w:t>Who We Met With</w:t>
      </w: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55%</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Of Shares Outstanding Contacted</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Including Contacting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100%</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Of Our 40 Largest Shareholders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44%</w:t>
      </w:r>
    </w:p>
    <w:p>
      <w:pPr>
        <w:spacing w:after="0" w:line="180" w:lineRule="exact"/>
        <w:rPr>
          <w:sz w:val="20"/>
          <w:szCs w:val="20"/>
          <w:color w:val="auto"/>
        </w:rPr>
      </w:pPr>
    </w:p>
    <w:p>
      <w:pPr>
        <w:ind w:left="300" w:right="1180"/>
        <w:spacing w:after="0" w:line="279" w:lineRule="auto"/>
        <w:rPr>
          <w:sz w:val="20"/>
          <w:szCs w:val="20"/>
          <w:color w:val="auto"/>
        </w:rPr>
      </w:pPr>
      <w:r>
        <w:rPr>
          <w:rFonts w:ascii="Arial" w:cs="Arial" w:eastAsia="Arial" w:hAnsi="Arial"/>
          <w:sz w:val="20"/>
          <w:szCs w:val="20"/>
          <w:color w:val="auto"/>
        </w:rPr>
        <w:t>Of Shares Outstanding Met with Us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Across</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19</w:t>
      </w:r>
    </w:p>
    <w:p>
      <w:pPr>
        <w:ind w:left="300"/>
        <w:spacing w:after="0"/>
        <w:rPr>
          <w:sz w:val="20"/>
          <w:szCs w:val="20"/>
          <w:color w:val="auto"/>
        </w:rPr>
      </w:pPr>
      <w:r>
        <w:rPr>
          <w:rFonts w:ascii="Arial" w:cs="Arial" w:eastAsia="Arial" w:hAnsi="Arial"/>
          <w:sz w:val="22"/>
          <w:szCs w:val="22"/>
          <w:color w:val="auto"/>
        </w:rPr>
        <w:t>Meetings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080"/>
        <w:spacing w:after="0"/>
        <w:tabs>
          <w:tab w:leader="none" w:pos="3960" w:val="left"/>
        </w:tabs>
        <w:rPr>
          <w:sz w:val="20"/>
          <w:szCs w:val="20"/>
          <w:color w:val="auto"/>
        </w:rPr>
      </w:pPr>
      <w:r>
        <w:rPr>
          <w:rFonts w:ascii="Arial" w:cs="Arial" w:eastAsia="Arial" w:hAnsi="Arial"/>
          <w:sz w:val="36"/>
          <w:szCs w:val="36"/>
          <w:b w:val="1"/>
          <w:bCs w:val="1"/>
          <w:color w:val="auto"/>
        </w:rPr>
        <w:t>Micron’s</w:t>
      </w:r>
      <w:r>
        <w:rPr>
          <w:sz w:val="20"/>
          <w:szCs w:val="20"/>
          <w:color w:val="auto"/>
        </w:rPr>
        <w:tab/>
      </w:r>
      <w:r>
        <w:rPr>
          <w:rFonts w:ascii="Arial" w:cs="Arial" w:eastAsia="Arial" w:hAnsi="Arial"/>
          <w:sz w:val="36"/>
          <w:szCs w:val="36"/>
          <w:b w:val="1"/>
          <w:bCs w:val="1"/>
          <w:color w:val="auto"/>
        </w:rPr>
        <w:t>Primary Topics</w:t>
      </w:r>
    </w:p>
    <w:p>
      <w:pPr>
        <w:ind w:left="520"/>
        <w:spacing w:after="0"/>
        <w:tabs>
          <w:tab w:leader="none" w:pos="4520" w:val="left"/>
        </w:tabs>
        <w:rPr>
          <w:sz w:val="20"/>
          <w:szCs w:val="20"/>
          <w:color w:val="auto"/>
        </w:rPr>
      </w:pPr>
      <w:r>
        <w:rPr>
          <w:rFonts w:ascii="Arial" w:cs="Arial" w:eastAsia="Arial" w:hAnsi="Arial"/>
          <w:sz w:val="36"/>
          <w:szCs w:val="36"/>
          <w:b w:val="1"/>
          <w:bCs w:val="1"/>
          <w:color w:val="auto"/>
        </w:rPr>
        <w:t>Outreach Team</w:t>
      </w:r>
      <w:r>
        <w:rPr>
          <w:sz w:val="20"/>
          <w:szCs w:val="20"/>
          <w:color w:val="auto"/>
        </w:rPr>
        <w:tab/>
      </w:r>
      <w:r>
        <w:rPr>
          <w:rFonts w:ascii="Arial" w:cs="Arial" w:eastAsia="Arial" w:hAnsi="Arial"/>
          <w:sz w:val="35"/>
          <w:szCs w:val="35"/>
          <w:b w:val="1"/>
          <w:bCs w:val="1"/>
          <w:color w:val="auto"/>
        </w:rPr>
        <w:t>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3175</wp:posOffset>
            </wp:positionV>
            <wp:extent cx="6953250" cy="42970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53250" cy="4297045"/>
                    </a:xfrm>
                    <a:prstGeom prst="rect">
                      <a:avLst/>
                    </a:prstGeom>
                    <a:noFill/>
                  </pic:spPr>
                </pic:pic>
              </a:graphicData>
            </a:graphic>
          </wp:anchor>
        </w:drawing>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40" w:type="dxa"/>
            <w:vAlign w:val="bottom"/>
            <w:tcBorders>
              <w:left w:val="single" w:sz="8" w:color="auto"/>
            </w:tcBorders>
          </w:tcPr>
          <w:p>
            <w:pPr>
              <w:spacing w:after="0"/>
              <w:rPr>
                <w:sz w:val="23"/>
                <w:szCs w:val="23"/>
                <w:color w:val="auto"/>
              </w:rPr>
            </w:pPr>
          </w:p>
        </w:tc>
        <w:tc>
          <w:tcPr>
            <w:tcW w:w="3160" w:type="dxa"/>
            <w:vAlign w:val="bottom"/>
          </w:tcPr>
          <w:p>
            <w:pPr>
              <w:spacing w:after="0"/>
              <w:rPr>
                <w:sz w:val="23"/>
                <w:szCs w:val="23"/>
                <w:color w:val="auto"/>
              </w:rPr>
            </w:pPr>
          </w:p>
        </w:tc>
        <w:tc>
          <w:tcPr>
            <w:tcW w:w="240" w:type="dxa"/>
            <w:vAlign w:val="bottom"/>
            <w:tcBorders>
              <w:left w:val="single" w:sz="8" w:color="auto"/>
            </w:tcBorders>
          </w:tcPr>
          <w:p>
            <w:pPr>
              <w:spacing w:after="0"/>
              <w:rPr>
                <w:sz w:val="23"/>
                <w:szCs w:val="23"/>
                <w:color w:val="auto"/>
              </w:rPr>
            </w:pP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40" w:type="dxa"/>
            <w:vAlign w:val="bottom"/>
            <w:tcBorders>
              <w:left w:val="single" w:sz="8" w:color="F2F2F2"/>
            </w:tcBorders>
            <w:shd w:val="clear" w:color="auto" w:fill="F2F2F2"/>
          </w:tcPr>
          <w:p>
            <w:pPr>
              <w:spacing w:after="0"/>
              <w:rPr>
                <w:sz w:val="24"/>
                <w:szCs w:val="24"/>
                <w:color w:val="auto"/>
              </w:rPr>
            </w:pPr>
          </w:p>
        </w:tc>
        <w:tc>
          <w:tcPr>
            <w:tcW w:w="3160" w:type="dxa"/>
            <w:vAlign w:val="bottom"/>
            <w:vMerge w:val="restart"/>
            <w:shd w:val="clear" w:color="auto" w:fill="F2F2F2"/>
          </w:tcPr>
          <w:p>
            <w:pPr>
              <w:ind w:left="20"/>
              <w:spacing w:after="0"/>
              <w:rPr>
                <w:sz w:val="20"/>
                <w:szCs w:val="20"/>
                <w:color w:val="auto"/>
              </w:rPr>
            </w:pPr>
            <w:r>
              <w:rPr>
                <w:rFonts w:ascii="Arial" w:cs="Arial" w:eastAsia="Arial" w:hAnsi="Arial"/>
                <w:sz w:val="29"/>
                <w:szCs w:val="29"/>
                <w:b w:val="1"/>
                <w:bCs w:val="1"/>
                <w:color w:val="auto"/>
              </w:rPr>
              <w:t>Chair of the Board</w:t>
            </w:r>
          </w:p>
        </w:tc>
        <w:tc>
          <w:tcPr>
            <w:tcW w:w="240" w:type="dxa"/>
            <w:vAlign w:val="bottom"/>
            <w:tcBorders>
              <w:left w:val="single" w:sz="8" w:color="F2F2F2"/>
            </w:tcBorders>
            <w:shd w:val="clear" w:color="auto" w:fill="F2F2F2"/>
          </w:tcPr>
          <w:p>
            <w:pPr>
              <w:spacing w:after="0"/>
              <w:rPr>
                <w:sz w:val="24"/>
                <w:szCs w:val="24"/>
                <w:color w:val="auto"/>
              </w:rPr>
            </w:pPr>
          </w:p>
        </w:tc>
        <w:tc>
          <w:tcPr>
            <w:tcW w:w="3240" w:type="dxa"/>
            <w:vAlign w:val="bottom"/>
            <w:vMerge w:val="restart"/>
            <w:shd w:val="clear" w:color="auto" w:fill="F2F2F2"/>
          </w:tcPr>
          <w:p>
            <w:pPr>
              <w:ind w:left="20"/>
              <w:spacing w:after="0"/>
              <w:rPr>
                <w:sz w:val="20"/>
                <w:szCs w:val="20"/>
                <w:color w:val="auto"/>
              </w:rPr>
            </w:pPr>
            <w:r>
              <w:rPr>
                <w:rFonts w:ascii="Arial" w:cs="Arial" w:eastAsia="Arial" w:hAnsi="Arial"/>
                <w:sz w:val="25"/>
                <w:szCs w:val="25"/>
                <w:b w:val="1"/>
                <w:bCs w:val="1"/>
                <w:color w:val="auto"/>
              </w:rPr>
              <w:t>Executive Compensation</w:t>
            </w:r>
          </w:p>
        </w:tc>
        <w:tc>
          <w:tcPr>
            <w:tcW w:w="0" w:type="dxa"/>
            <w:vAlign w:val="bottom"/>
          </w:tcPr>
          <w:p>
            <w:pPr>
              <w:spacing w:after="0"/>
              <w:rPr>
                <w:sz w:val="1"/>
                <w:szCs w:val="1"/>
                <w:color w:val="auto"/>
              </w:rPr>
            </w:pPr>
          </w:p>
        </w:tc>
      </w:tr>
      <w:tr>
        <w:trPr>
          <w:trHeight w:val="483"/>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vMerge w:val="continue"/>
            <w:shd w:val="clear" w:color="auto" w:fill="F2F2F2"/>
          </w:tcPr>
          <w:p>
            <w:pPr>
              <w:spacing w:after="0"/>
              <w:rPr>
                <w:sz w:val="24"/>
                <w:szCs w:val="24"/>
                <w:color w:val="auto"/>
              </w:rPr>
            </w:pP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auto"/>
            </w:tcBorders>
            <w:shd w:val="clear" w:color="auto" w:fill="F2F2F2"/>
          </w:tcPr>
          <w:p>
            <w:pPr>
              <w:spacing w:after="0"/>
              <w:rPr>
                <w:sz w:val="5"/>
                <w:szCs w:val="5"/>
                <w:color w:val="auto"/>
              </w:rPr>
            </w:pPr>
          </w:p>
        </w:tc>
        <w:tc>
          <w:tcPr>
            <w:tcW w:w="3160" w:type="dxa"/>
            <w:vAlign w:val="bottom"/>
            <w:shd w:val="clear" w:color="auto" w:fill="F2F2F2"/>
          </w:tcPr>
          <w:p>
            <w:pPr>
              <w:spacing w:after="0"/>
              <w:rPr>
                <w:sz w:val="5"/>
                <w:szCs w:val="5"/>
                <w:color w:val="auto"/>
              </w:rPr>
            </w:pPr>
          </w:p>
        </w:tc>
        <w:tc>
          <w:tcPr>
            <w:tcW w:w="240" w:type="dxa"/>
            <w:vAlign w:val="bottom"/>
            <w:tcBorders>
              <w:left w:val="single" w:sz="8" w:color="auto"/>
            </w:tcBorders>
            <w:shd w:val="clear" w:color="auto" w:fill="F2F2F2"/>
          </w:tcPr>
          <w:p>
            <w:pPr>
              <w:spacing w:after="0"/>
              <w:rPr>
                <w:sz w:val="5"/>
                <w:szCs w:val="5"/>
                <w:color w:val="auto"/>
              </w:rPr>
            </w:pPr>
          </w:p>
        </w:tc>
        <w:tc>
          <w:tcPr>
            <w:tcW w:w="32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shd w:val="clear" w:color="auto" w:fill="F2F2F2"/>
          </w:tcPr>
          <w:p>
            <w:pPr>
              <w:spacing w:after="0"/>
              <w:rPr>
                <w:sz w:val="24"/>
                <w:szCs w:val="24"/>
                <w:color w:val="auto"/>
              </w:rPr>
            </w:pP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Program</w:t>
            </w:r>
          </w:p>
        </w:tc>
        <w:tc>
          <w:tcPr>
            <w:tcW w:w="0" w:type="dxa"/>
            <w:vAlign w:val="bottom"/>
          </w:tcPr>
          <w:p>
            <w:pPr>
              <w:spacing w:after="0"/>
              <w:rPr>
                <w:sz w:val="1"/>
                <w:szCs w:val="1"/>
                <w:color w:val="auto"/>
              </w:rPr>
            </w:pPr>
          </w:p>
        </w:tc>
      </w:tr>
      <w:tr>
        <w:trPr>
          <w:trHeight w:val="538"/>
        </w:trPr>
        <w:tc>
          <w:tcPr>
            <w:tcW w:w="240" w:type="dxa"/>
            <w:vAlign w:val="bottom"/>
            <w:tcBorders>
              <w:left w:val="single" w:sz="8" w:color="auto"/>
              <w:bottom w:val="single" w:sz="8" w:color="F2F2F2"/>
            </w:tcBorders>
            <w:shd w:val="clear" w:color="auto" w:fill="F2F2F2"/>
          </w:tcPr>
          <w:p>
            <w:pPr>
              <w:spacing w:after="0"/>
              <w:rPr>
                <w:sz w:val="24"/>
                <w:szCs w:val="24"/>
                <w:color w:val="auto"/>
              </w:rPr>
            </w:pPr>
          </w:p>
        </w:tc>
        <w:tc>
          <w:tcPr>
            <w:tcW w:w="3160" w:type="dxa"/>
            <w:vAlign w:val="bottom"/>
            <w:tcBorders>
              <w:bottom w:val="single" w:sz="8" w:color="F2F2F2"/>
            </w:tcBorders>
            <w:vMerge w:val="restart"/>
            <w:shd w:val="clear" w:color="auto" w:fill="F2F2F2"/>
          </w:tcPr>
          <w:p>
            <w:pPr>
              <w:ind w:left="20"/>
              <w:spacing w:after="0"/>
              <w:rPr>
                <w:sz w:val="20"/>
                <w:szCs w:val="20"/>
                <w:color w:val="auto"/>
              </w:rPr>
            </w:pPr>
            <w:r>
              <w:rPr>
                <w:rFonts w:ascii="Arial" w:cs="Arial" w:eastAsia="Arial" w:hAnsi="Arial"/>
                <w:sz w:val="29"/>
                <w:szCs w:val="29"/>
                <w:b w:val="1"/>
                <w:bCs w:val="1"/>
                <w:color w:val="auto"/>
              </w:rPr>
              <w:t>People Team</w:t>
            </w:r>
          </w:p>
        </w:tc>
        <w:tc>
          <w:tcPr>
            <w:tcW w:w="240" w:type="dxa"/>
            <w:vAlign w:val="bottom"/>
            <w:tcBorders>
              <w:left w:val="single" w:sz="8" w:color="auto"/>
              <w:bottom w:val="single" w:sz="8" w:color="F2F2F2"/>
            </w:tcBorders>
            <w:shd w:val="clear" w:color="auto" w:fill="F2F2F2"/>
          </w:tcPr>
          <w:p>
            <w:pPr>
              <w:spacing w:after="0"/>
              <w:rPr>
                <w:sz w:val="24"/>
                <w:szCs w:val="24"/>
                <w:color w:val="auto"/>
              </w:rPr>
            </w:pPr>
          </w:p>
        </w:tc>
        <w:tc>
          <w:tcPr>
            <w:tcW w:w="324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0" w:type="dxa"/>
            <w:vAlign w:val="bottom"/>
            <w:tcBorders>
              <w:left w:val="single" w:sz="8" w:color="auto"/>
            </w:tcBorders>
            <w:shd w:val="clear" w:color="auto" w:fill="F2F2F2"/>
          </w:tcPr>
          <w:p>
            <w:pPr>
              <w:spacing w:after="0"/>
              <w:rPr>
                <w:sz w:val="16"/>
                <w:szCs w:val="16"/>
                <w:color w:val="auto"/>
              </w:rPr>
            </w:pPr>
          </w:p>
        </w:tc>
        <w:tc>
          <w:tcPr>
            <w:tcW w:w="3160" w:type="dxa"/>
            <w:vAlign w:val="bottom"/>
            <w:vMerge w:val="continue"/>
            <w:shd w:val="clear" w:color="auto" w:fill="F2F2F2"/>
          </w:tcPr>
          <w:p>
            <w:pPr>
              <w:spacing w:after="0"/>
              <w:rPr>
                <w:sz w:val="16"/>
                <w:szCs w:val="16"/>
                <w:color w:val="auto"/>
              </w:rPr>
            </w:pPr>
          </w:p>
        </w:tc>
        <w:tc>
          <w:tcPr>
            <w:tcW w:w="240" w:type="dxa"/>
            <w:vAlign w:val="bottom"/>
            <w:tcBorders>
              <w:left w:val="single" w:sz="8" w:color="auto"/>
            </w:tcBorders>
            <w:shd w:val="clear" w:color="auto" w:fill="F2F2F2"/>
          </w:tcPr>
          <w:p>
            <w:pPr>
              <w:spacing w:after="0"/>
              <w:rPr>
                <w:sz w:val="16"/>
                <w:szCs w:val="16"/>
                <w:color w:val="auto"/>
              </w:rPr>
            </w:pPr>
          </w:p>
        </w:tc>
        <w:tc>
          <w:tcPr>
            <w:tcW w:w="3240" w:type="dxa"/>
            <w:vAlign w:val="bottom"/>
            <w:vMerge w:val="restart"/>
            <w:shd w:val="clear" w:color="auto" w:fill="F2F2F2"/>
          </w:tcPr>
          <w:p>
            <w:pPr>
              <w:ind w:left="20"/>
              <w:spacing w:after="0"/>
              <w:rPr>
                <w:sz w:val="20"/>
                <w:szCs w:val="20"/>
                <w:color w:val="auto"/>
              </w:rPr>
            </w:pPr>
            <w:r>
              <w:rPr>
                <w:rFonts w:ascii="Arial" w:cs="Arial" w:eastAsia="Arial" w:hAnsi="Arial"/>
                <w:sz w:val="25"/>
                <w:szCs w:val="25"/>
                <w:b w:val="1"/>
                <w:bCs w:val="1"/>
                <w:color w:val="auto"/>
              </w:rPr>
              <w:t>Environmental</w:t>
            </w:r>
          </w:p>
        </w:tc>
        <w:tc>
          <w:tcPr>
            <w:tcW w:w="0" w:type="dxa"/>
            <w:vAlign w:val="bottom"/>
          </w:tcPr>
          <w:p>
            <w:pPr>
              <w:spacing w:after="0"/>
              <w:rPr>
                <w:sz w:val="1"/>
                <w:szCs w:val="1"/>
                <w:color w:val="auto"/>
              </w:rPr>
            </w:pPr>
          </w:p>
        </w:tc>
      </w:tr>
      <w:tr>
        <w:trPr>
          <w:trHeight w:val="795"/>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vMerge w:val="restart"/>
            <w:shd w:val="clear" w:color="auto" w:fill="F2F2F2"/>
          </w:tcPr>
          <w:p>
            <w:pPr>
              <w:ind w:left="20"/>
              <w:spacing w:after="0"/>
              <w:rPr>
                <w:sz w:val="20"/>
                <w:szCs w:val="20"/>
                <w:color w:val="auto"/>
              </w:rPr>
            </w:pPr>
            <w:r>
              <w:rPr>
                <w:rFonts w:ascii="Arial" w:cs="Arial" w:eastAsia="Arial" w:hAnsi="Arial"/>
                <w:sz w:val="29"/>
                <w:szCs w:val="29"/>
                <w:b w:val="1"/>
                <w:bCs w:val="1"/>
                <w:color w:val="auto"/>
              </w:rPr>
              <w:t>Environmental Health</w:t>
            </w: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40" w:type="dxa"/>
            <w:vAlign w:val="bottom"/>
            <w:tcBorders>
              <w:left w:val="single" w:sz="8" w:color="auto"/>
            </w:tcBorders>
            <w:shd w:val="clear" w:color="auto" w:fill="F2F2F2"/>
          </w:tcPr>
          <w:p>
            <w:pPr>
              <w:spacing w:after="0"/>
              <w:rPr>
                <w:sz w:val="21"/>
                <w:szCs w:val="21"/>
                <w:color w:val="auto"/>
              </w:rPr>
            </w:pPr>
          </w:p>
        </w:tc>
        <w:tc>
          <w:tcPr>
            <w:tcW w:w="3160" w:type="dxa"/>
            <w:vAlign w:val="bottom"/>
            <w:vMerge w:val="continue"/>
            <w:shd w:val="clear" w:color="auto" w:fill="F2F2F2"/>
          </w:tcPr>
          <w:p>
            <w:pPr>
              <w:spacing w:after="0"/>
              <w:rPr>
                <w:sz w:val="21"/>
                <w:szCs w:val="21"/>
                <w:color w:val="auto"/>
              </w:rPr>
            </w:pPr>
          </w:p>
        </w:tc>
        <w:tc>
          <w:tcPr>
            <w:tcW w:w="240" w:type="dxa"/>
            <w:vAlign w:val="bottom"/>
            <w:tcBorders>
              <w:left w:val="single" w:sz="8" w:color="auto"/>
            </w:tcBorders>
            <w:shd w:val="clear" w:color="auto" w:fill="F2F2F2"/>
          </w:tcPr>
          <w:p>
            <w:pPr>
              <w:spacing w:after="0"/>
              <w:rPr>
                <w:sz w:val="21"/>
                <w:szCs w:val="21"/>
                <w:color w:val="auto"/>
              </w:rPr>
            </w:pPr>
          </w:p>
        </w:tc>
        <w:tc>
          <w:tcPr>
            <w:tcW w:w="3240" w:type="dxa"/>
            <w:vAlign w:val="bottom"/>
            <w:shd w:val="clear" w:color="auto" w:fill="F2F2F2"/>
          </w:tcPr>
          <w:p>
            <w:pPr>
              <w:ind w:left="20"/>
              <w:spacing w:after="0" w:line="242" w:lineRule="exact"/>
              <w:rPr>
                <w:sz w:val="20"/>
                <w:szCs w:val="20"/>
                <w:color w:val="auto"/>
              </w:rPr>
            </w:pPr>
            <w:r>
              <w:rPr>
                <w:rFonts w:ascii="Arial" w:cs="Arial" w:eastAsia="Arial" w:hAnsi="Arial"/>
                <w:sz w:val="25"/>
                <w:szCs w:val="25"/>
                <w:b w:val="1"/>
                <w:bCs w:val="1"/>
                <w:color w:val="auto"/>
              </w:rPr>
              <w:t>Sustainability, Human</w:t>
            </w:r>
          </w:p>
        </w:tc>
        <w:tc>
          <w:tcPr>
            <w:tcW w:w="0" w:type="dxa"/>
            <w:vAlign w:val="bottom"/>
          </w:tcPr>
          <w:p>
            <w:pPr>
              <w:spacing w:after="0"/>
              <w:rPr>
                <w:sz w:val="1"/>
                <w:szCs w:val="1"/>
                <w:color w:val="auto"/>
              </w:rPr>
            </w:pPr>
          </w:p>
        </w:tc>
      </w:tr>
      <w:tr>
        <w:trPr>
          <w:trHeight w:val="258"/>
        </w:trPr>
        <w:tc>
          <w:tcPr>
            <w:tcW w:w="240" w:type="dxa"/>
            <w:vAlign w:val="bottom"/>
            <w:tcBorders>
              <w:left w:val="single" w:sz="8" w:color="auto"/>
            </w:tcBorders>
            <w:shd w:val="clear" w:color="auto" w:fill="F2F2F2"/>
          </w:tcPr>
          <w:p>
            <w:pPr>
              <w:spacing w:after="0"/>
              <w:rPr>
                <w:sz w:val="22"/>
                <w:szCs w:val="22"/>
                <w:color w:val="auto"/>
              </w:rPr>
            </w:pPr>
          </w:p>
        </w:tc>
        <w:tc>
          <w:tcPr>
            <w:tcW w:w="3160" w:type="dxa"/>
            <w:vAlign w:val="bottom"/>
            <w:shd w:val="clear" w:color="auto" w:fill="F2F2F2"/>
          </w:tcPr>
          <w:p>
            <w:pPr>
              <w:ind w:left="20"/>
              <w:spacing w:after="0" w:line="258" w:lineRule="exact"/>
              <w:rPr>
                <w:sz w:val="20"/>
                <w:szCs w:val="20"/>
                <w:color w:val="auto"/>
              </w:rPr>
            </w:pPr>
            <w:r>
              <w:rPr>
                <w:rFonts w:ascii="Arial" w:cs="Arial" w:eastAsia="Arial" w:hAnsi="Arial"/>
                <w:sz w:val="29"/>
                <w:szCs w:val="29"/>
                <w:b w:val="1"/>
                <w:bCs w:val="1"/>
                <w:color w:val="auto"/>
              </w:rPr>
              <w:t>&amp; Safety</w:t>
            </w:r>
          </w:p>
        </w:tc>
        <w:tc>
          <w:tcPr>
            <w:tcW w:w="240" w:type="dxa"/>
            <w:vAlign w:val="bottom"/>
            <w:tcBorders>
              <w:left w:val="single" w:sz="8" w:color="auto"/>
            </w:tcBorders>
            <w:shd w:val="clear" w:color="auto" w:fill="F2F2F2"/>
          </w:tcPr>
          <w:p>
            <w:pPr>
              <w:spacing w:after="0"/>
              <w:rPr>
                <w:sz w:val="22"/>
                <w:szCs w:val="22"/>
                <w:color w:val="auto"/>
              </w:rPr>
            </w:pPr>
          </w:p>
        </w:tc>
        <w:tc>
          <w:tcPr>
            <w:tcW w:w="3240" w:type="dxa"/>
            <w:vAlign w:val="bottom"/>
            <w:shd w:val="clear" w:color="auto" w:fill="F2F2F2"/>
          </w:tcPr>
          <w:p>
            <w:pPr>
              <w:ind w:left="20"/>
              <w:spacing w:after="0" w:line="258" w:lineRule="exact"/>
              <w:rPr>
                <w:sz w:val="20"/>
                <w:szCs w:val="20"/>
                <w:color w:val="auto"/>
              </w:rPr>
            </w:pPr>
            <w:r>
              <w:rPr>
                <w:rFonts w:ascii="Arial" w:cs="Arial" w:eastAsia="Arial" w:hAnsi="Arial"/>
                <w:sz w:val="25"/>
                <w:szCs w:val="25"/>
                <w:b w:val="1"/>
                <w:bCs w:val="1"/>
                <w:color w:val="auto"/>
              </w:rPr>
              <w:t>Capital and Artificial</w:t>
            </w:r>
          </w:p>
        </w:tc>
        <w:tc>
          <w:tcPr>
            <w:tcW w:w="0" w:type="dxa"/>
            <w:vAlign w:val="bottom"/>
          </w:tcPr>
          <w:p>
            <w:pPr>
              <w:spacing w:after="0"/>
              <w:rPr>
                <w:sz w:val="1"/>
                <w:szCs w:val="1"/>
                <w:color w:val="auto"/>
              </w:rPr>
            </w:pPr>
          </w:p>
        </w:tc>
      </w:tr>
      <w:tr>
        <w:trPr>
          <w:trHeight w:val="347"/>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shd w:val="clear" w:color="auto" w:fill="F2F2F2"/>
          </w:tcPr>
          <w:p>
            <w:pPr>
              <w:spacing w:after="0"/>
              <w:rPr>
                <w:sz w:val="24"/>
                <w:szCs w:val="24"/>
                <w:color w:val="auto"/>
              </w:rPr>
            </w:pP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Intelligence</w:t>
            </w:r>
          </w:p>
        </w:tc>
        <w:tc>
          <w:tcPr>
            <w:tcW w:w="0" w:type="dxa"/>
            <w:vAlign w:val="bottom"/>
          </w:tcPr>
          <w:p>
            <w:pPr>
              <w:spacing w:after="0"/>
              <w:rPr>
                <w:sz w:val="1"/>
                <w:szCs w:val="1"/>
                <w:color w:val="auto"/>
              </w:rPr>
            </w:pPr>
          </w:p>
        </w:tc>
      </w:tr>
      <w:tr>
        <w:trPr>
          <w:trHeight w:val="624"/>
        </w:trPr>
        <w:tc>
          <w:tcPr>
            <w:tcW w:w="240" w:type="dxa"/>
            <w:vAlign w:val="bottom"/>
            <w:tcBorders>
              <w:left w:val="single" w:sz="8" w:color="auto"/>
              <w:bottom w:val="single" w:sz="8" w:color="F2F2F2"/>
            </w:tcBorders>
            <w:shd w:val="clear" w:color="auto" w:fill="F2F2F2"/>
          </w:tcPr>
          <w:p>
            <w:pPr>
              <w:spacing w:after="0"/>
              <w:rPr>
                <w:sz w:val="24"/>
                <w:szCs w:val="24"/>
                <w:color w:val="auto"/>
              </w:rPr>
            </w:pPr>
          </w:p>
        </w:tc>
        <w:tc>
          <w:tcPr>
            <w:tcW w:w="31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9"/>
                <w:szCs w:val="29"/>
                <w:b w:val="1"/>
                <w:bCs w:val="1"/>
                <w:color w:val="auto"/>
              </w:rPr>
              <w:t>Corporate Secretary</w:t>
            </w:r>
          </w:p>
        </w:tc>
        <w:tc>
          <w:tcPr>
            <w:tcW w:w="240" w:type="dxa"/>
            <w:vAlign w:val="bottom"/>
            <w:tcBorders>
              <w:left w:val="single" w:sz="8" w:color="auto"/>
              <w:bottom w:val="single" w:sz="8" w:color="F2F2F2"/>
            </w:tcBorders>
            <w:shd w:val="clear" w:color="auto" w:fill="F2F2F2"/>
          </w:tcPr>
          <w:p>
            <w:pPr>
              <w:spacing w:after="0"/>
              <w:rPr>
                <w:sz w:val="24"/>
                <w:szCs w:val="24"/>
                <w:color w:val="auto"/>
              </w:rPr>
            </w:pPr>
          </w:p>
        </w:tc>
        <w:tc>
          <w:tcPr>
            <w:tcW w:w="324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40" w:type="dxa"/>
            <w:vAlign w:val="bottom"/>
            <w:tcBorders>
              <w:top w:val="single" w:sz="8" w:color="F2F2F2"/>
              <w:left w:val="single" w:sz="8" w:color="auto"/>
            </w:tcBorders>
            <w:shd w:val="clear" w:color="auto" w:fill="F2F2F2"/>
          </w:tcPr>
          <w:p>
            <w:pPr>
              <w:spacing w:after="0"/>
              <w:rPr>
                <w:sz w:val="24"/>
                <w:szCs w:val="24"/>
                <w:color w:val="auto"/>
              </w:rPr>
            </w:pPr>
          </w:p>
        </w:tc>
        <w:tc>
          <w:tcPr>
            <w:tcW w:w="3160" w:type="dxa"/>
            <w:vAlign w:val="bottom"/>
            <w:tcBorders>
              <w:top w:val="single" w:sz="8" w:color="F2F2F2"/>
            </w:tcBorders>
            <w:shd w:val="clear" w:color="auto" w:fill="F2F2F2"/>
          </w:tcPr>
          <w:p>
            <w:pPr>
              <w:ind w:left="20"/>
              <w:spacing w:after="0" w:line="321" w:lineRule="exact"/>
              <w:rPr>
                <w:sz w:val="20"/>
                <w:szCs w:val="20"/>
                <w:color w:val="auto"/>
              </w:rPr>
            </w:pPr>
            <w:r>
              <w:rPr>
                <w:rFonts w:ascii="Arial" w:cs="Arial" w:eastAsia="Arial" w:hAnsi="Arial"/>
                <w:sz w:val="29"/>
                <w:szCs w:val="29"/>
                <w:b w:val="1"/>
                <w:bCs w:val="1"/>
                <w:color w:val="auto"/>
              </w:rPr>
              <w:t>Office</w:t>
            </w:r>
          </w:p>
        </w:tc>
        <w:tc>
          <w:tcPr>
            <w:tcW w:w="240" w:type="dxa"/>
            <w:vAlign w:val="bottom"/>
            <w:tcBorders>
              <w:top w:val="single" w:sz="8" w:color="F2F2F2"/>
              <w:left w:val="single" w:sz="8" w:color="auto"/>
            </w:tcBorders>
            <w:shd w:val="clear" w:color="auto" w:fill="F2F2F2"/>
          </w:tcPr>
          <w:p>
            <w:pPr>
              <w:spacing w:after="0"/>
              <w:rPr>
                <w:sz w:val="24"/>
                <w:szCs w:val="24"/>
                <w:color w:val="auto"/>
              </w:rPr>
            </w:pPr>
          </w:p>
        </w:tc>
        <w:tc>
          <w:tcPr>
            <w:tcW w:w="3240" w:type="dxa"/>
            <w:vAlign w:val="bottom"/>
            <w:tcBorders>
              <w:top w:val="single" w:sz="8" w:color="auto"/>
            </w:tcBorders>
            <w:vMerge w:val="restart"/>
            <w:shd w:val="clear" w:color="auto" w:fill="F2F2F2"/>
          </w:tcPr>
          <w:p>
            <w:pPr>
              <w:ind w:left="20"/>
              <w:spacing w:after="0"/>
              <w:rPr>
                <w:sz w:val="20"/>
                <w:szCs w:val="20"/>
                <w:color w:val="auto"/>
              </w:rPr>
            </w:pPr>
            <w:r>
              <w:rPr>
                <w:rFonts w:ascii="Arial" w:cs="Arial" w:eastAsia="Arial" w:hAnsi="Arial"/>
                <w:sz w:val="25"/>
                <w:szCs w:val="25"/>
                <w:b w:val="1"/>
                <w:bCs w:val="1"/>
                <w:color w:val="auto"/>
              </w:rPr>
              <w:t>Proxy Disclosure</w:t>
            </w:r>
          </w:p>
        </w:tc>
        <w:tc>
          <w:tcPr>
            <w:tcW w:w="0" w:type="dxa"/>
            <w:vAlign w:val="bottom"/>
          </w:tcPr>
          <w:p>
            <w:pPr>
              <w:spacing w:after="0"/>
              <w:rPr>
                <w:sz w:val="1"/>
                <w:szCs w:val="1"/>
                <w:color w:val="auto"/>
              </w:rPr>
            </w:pPr>
          </w:p>
        </w:tc>
      </w:tr>
      <w:tr>
        <w:trPr>
          <w:trHeight w:val="519"/>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shd w:val="clear" w:color="auto" w:fill="F2F2F2"/>
          </w:tcPr>
          <w:p>
            <w:pPr>
              <w:spacing w:after="0"/>
              <w:rPr>
                <w:sz w:val="24"/>
                <w:szCs w:val="24"/>
                <w:color w:val="auto"/>
              </w:rPr>
            </w:pP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vMerge w:val="restart"/>
            <w:shd w:val="clear" w:color="auto" w:fill="F2F2F2"/>
          </w:tcPr>
          <w:p>
            <w:pPr>
              <w:ind w:left="20"/>
              <w:spacing w:after="0"/>
              <w:rPr>
                <w:sz w:val="20"/>
                <w:szCs w:val="20"/>
                <w:color w:val="auto"/>
              </w:rPr>
            </w:pPr>
            <w:r>
              <w:rPr>
                <w:rFonts w:ascii="Arial" w:cs="Arial" w:eastAsia="Arial" w:hAnsi="Arial"/>
                <w:sz w:val="29"/>
                <w:szCs w:val="29"/>
                <w:b w:val="1"/>
                <w:bCs w:val="1"/>
                <w:color w:val="auto"/>
              </w:rPr>
              <w:t>Investor Relations</w:t>
            </w: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Enhancements</w:t>
            </w: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shd w:val="clear" w:color="auto" w:fill="F2F2F2"/>
          </w:tcPr>
          <w:p>
            <w:pPr>
              <w:spacing w:after="0"/>
              <w:rPr>
                <w:sz w:val="14"/>
                <w:szCs w:val="14"/>
                <w:color w:val="auto"/>
              </w:rPr>
            </w:pPr>
          </w:p>
        </w:tc>
        <w:tc>
          <w:tcPr>
            <w:tcW w:w="3160" w:type="dxa"/>
            <w:vAlign w:val="bottom"/>
            <w:vMerge w:val="continue"/>
            <w:shd w:val="clear" w:color="auto" w:fill="F2F2F2"/>
          </w:tcPr>
          <w:p>
            <w:pPr>
              <w:spacing w:after="0"/>
              <w:rPr>
                <w:sz w:val="14"/>
                <w:szCs w:val="14"/>
                <w:color w:val="auto"/>
              </w:rPr>
            </w:pPr>
          </w:p>
        </w:tc>
        <w:tc>
          <w:tcPr>
            <w:tcW w:w="240" w:type="dxa"/>
            <w:vAlign w:val="bottom"/>
            <w:tcBorders>
              <w:left w:val="single" w:sz="8" w:color="auto"/>
            </w:tcBorders>
            <w:shd w:val="clear" w:color="auto" w:fill="F2F2F2"/>
          </w:tcPr>
          <w:p>
            <w:pPr>
              <w:spacing w:after="0"/>
              <w:rPr>
                <w:sz w:val="14"/>
                <w:szCs w:val="14"/>
                <w:color w:val="auto"/>
              </w:rPr>
            </w:pPr>
          </w:p>
        </w:tc>
        <w:tc>
          <w:tcPr>
            <w:tcW w:w="3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40" w:type="dxa"/>
            <w:vAlign w:val="bottom"/>
            <w:tcBorders>
              <w:left w:val="single" w:sz="8" w:color="auto"/>
            </w:tcBorders>
            <w:shd w:val="clear" w:color="auto" w:fill="F2F2F2"/>
          </w:tcPr>
          <w:p>
            <w:pPr>
              <w:spacing w:after="0"/>
              <w:rPr>
                <w:sz w:val="24"/>
                <w:szCs w:val="24"/>
                <w:color w:val="auto"/>
              </w:rPr>
            </w:pPr>
          </w:p>
        </w:tc>
        <w:tc>
          <w:tcPr>
            <w:tcW w:w="3160" w:type="dxa"/>
            <w:vAlign w:val="bottom"/>
            <w:shd w:val="clear" w:color="auto" w:fill="F2F2F2"/>
          </w:tcPr>
          <w:p>
            <w:pPr>
              <w:spacing w:after="0"/>
              <w:rPr>
                <w:sz w:val="24"/>
                <w:szCs w:val="24"/>
                <w:color w:val="auto"/>
              </w:rPr>
            </w:pPr>
          </w:p>
        </w:tc>
        <w:tc>
          <w:tcPr>
            <w:tcW w:w="240" w:type="dxa"/>
            <w:vAlign w:val="bottom"/>
            <w:tcBorders>
              <w:left w:val="single" w:sz="8" w:color="auto"/>
            </w:tcBorders>
            <w:shd w:val="clear" w:color="auto" w:fill="F2F2F2"/>
          </w:tcPr>
          <w:p>
            <w:pPr>
              <w:spacing w:after="0"/>
              <w:rPr>
                <w:sz w:val="24"/>
                <w:szCs w:val="24"/>
                <w:color w:val="auto"/>
              </w:rPr>
            </w:pPr>
          </w:p>
        </w:tc>
        <w:tc>
          <w:tcPr>
            <w:tcW w:w="324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0" w:type="dxa"/>
            <w:vAlign w:val="bottom"/>
            <w:tcBorders>
              <w:left w:val="single" w:sz="8" w:color="F2F2F2"/>
            </w:tcBorders>
            <w:shd w:val="clear" w:color="auto" w:fill="F2F2F2"/>
          </w:tcPr>
          <w:p>
            <w:pPr>
              <w:spacing w:after="0"/>
              <w:rPr>
                <w:sz w:val="23"/>
                <w:szCs w:val="23"/>
                <w:color w:val="auto"/>
              </w:rPr>
            </w:pPr>
          </w:p>
        </w:tc>
        <w:tc>
          <w:tcPr>
            <w:tcW w:w="3160" w:type="dxa"/>
            <w:vAlign w:val="bottom"/>
            <w:shd w:val="clear" w:color="auto" w:fill="F2F2F2"/>
          </w:tcPr>
          <w:p>
            <w:pPr>
              <w:spacing w:after="0"/>
              <w:rPr>
                <w:sz w:val="23"/>
                <w:szCs w:val="23"/>
                <w:color w:val="auto"/>
              </w:rPr>
            </w:pPr>
          </w:p>
        </w:tc>
        <w:tc>
          <w:tcPr>
            <w:tcW w:w="240" w:type="dxa"/>
            <w:vAlign w:val="bottom"/>
            <w:tcBorders>
              <w:left w:val="single" w:sz="8" w:color="F2F2F2"/>
            </w:tcBorders>
            <w:shd w:val="clear" w:color="auto" w:fill="F2F2F2"/>
          </w:tcPr>
          <w:p>
            <w:pPr>
              <w:spacing w:after="0"/>
              <w:rPr>
                <w:sz w:val="23"/>
                <w:szCs w:val="23"/>
                <w:color w:val="auto"/>
              </w:rPr>
            </w:pPr>
          </w:p>
        </w:tc>
        <w:tc>
          <w:tcPr>
            <w:tcW w:w="324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80" w:space="400"/>
            <w:col w:w="7160"/>
          </w:cols>
          <w:pgMar w:left="320" w:top="125" w:right="339" w:bottom="1440" w:gutter="0" w:footer="0" w:header="0"/>
          <w:type w:val="continuous"/>
        </w:sectPr>
      </w:pPr>
    </w:p>
    <w:p>
      <w:pPr>
        <w:spacing w:after="0" w:line="212"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Our discussions with shareholders included senior members of our Legal, People, Sustainability and Investor Relations teams. In addition, our independent Chair of the Board was involved in meetings with holders of 31% of our outstanding shares. The feedback we received during these meetings was shared with our full Board and relevant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conversations with our shareholders covered executive compensation, sustainability and human capital/DEI, business, strategy and global operations and our governance and political practices, including AI governance and the impact of AI on these matters. Such conversations informed enhancements to our practices and disclosures in these areas. Specifically, feedback related to executive compensation was carefully considered in making changes to our Fiscal 2025 compensation program. These changes are outlined in the table below and highlighted in this Proxy Statement in the section entitled, “Compensation Discussion and Analysis—Executive Summary— Compensation Program Changes.”</w:t>
      </w:r>
    </w:p>
    <w:p>
      <w:pPr>
        <w:spacing w:after="0" w:line="249" w:lineRule="exact"/>
        <w:rPr>
          <w:sz w:val="20"/>
          <w:szCs w:val="20"/>
          <w:color w:val="auto"/>
        </w:rPr>
      </w:pPr>
    </w:p>
    <w:p>
      <w:pPr>
        <w:ind w:left="1220"/>
        <w:spacing w:after="0"/>
        <w:tabs>
          <w:tab w:leader="none" w:pos="5860" w:val="left"/>
        </w:tabs>
        <w:rPr>
          <w:sz w:val="20"/>
          <w:szCs w:val="20"/>
          <w:color w:val="auto"/>
        </w:rPr>
      </w:pPr>
      <w:r>
        <w:rPr>
          <w:rFonts w:ascii="Arial" w:cs="Arial" w:eastAsia="Arial" w:hAnsi="Arial"/>
          <w:sz w:val="18"/>
          <w:szCs w:val="18"/>
          <w:b w:val="1"/>
          <w:bCs w:val="1"/>
          <w:color w:val="auto"/>
        </w:rPr>
        <w:t>What We Heard</w:t>
      </w:r>
      <w:r>
        <w:rPr>
          <w:sz w:val="20"/>
          <w:szCs w:val="20"/>
          <w:color w:val="auto"/>
        </w:rPr>
        <w:tab/>
      </w:r>
      <w:r>
        <w:rPr>
          <w:rFonts w:ascii="Arial" w:cs="Arial" w:eastAsia="Arial" w:hAnsi="Arial"/>
          <w:sz w:val="17"/>
          <w:szCs w:val="17"/>
          <w:b w:val="1"/>
          <w:bCs w:val="1"/>
          <w:color w:val="auto"/>
        </w:rPr>
        <w:t>Our Perspective/How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4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2" w:lineRule="exact"/>
        <w:rPr>
          <w:sz w:val="20"/>
          <w:szCs w:val="20"/>
          <w:color w:val="auto"/>
        </w:rPr>
      </w:pPr>
    </w:p>
    <w:p>
      <w:pPr>
        <w:ind w:left="20"/>
        <w:spacing w:after="0" w:line="234" w:lineRule="auto"/>
        <w:rPr>
          <w:sz w:val="20"/>
          <w:szCs w:val="20"/>
          <w:color w:val="auto"/>
        </w:rPr>
      </w:pPr>
      <w:r>
        <w:rPr>
          <w:rFonts w:ascii="Arial" w:cs="Arial" w:eastAsia="Arial" w:hAnsi="Arial"/>
          <w:sz w:val="17"/>
          <w:szCs w:val="17"/>
          <w:color w:val="auto"/>
        </w:rPr>
        <w:t>Allowing shares to be partially vested in year two of your long-term incentive program</w:t>
      </w:r>
    </w:p>
    <w:p>
      <w:pPr>
        <w:ind w:left="20" w:right="160"/>
        <w:spacing w:after="0" w:line="220" w:lineRule="auto"/>
        <w:rPr>
          <w:sz w:val="20"/>
          <w:szCs w:val="20"/>
          <w:color w:val="auto"/>
        </w:rPr>
      </w:pPr>
      <w:r>
        <w:rPr>
          <w:rFonts w:ascii="Arial" w:cs="Arial" w:eastAsia="Arial" w:hAnsi="Arial"/>
          <w:sz w:val="18"/>
          <w:szCs w:val="18"/>
          <w:color w:val="auto"/>
        </w:rPr>
        <w:t>makes the term shorter than three years, which can make management less aligned with long-term shareholder value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lengthened the vesting schedule of our LTI awards beginning with our Fiscal 2025 PRSU grants, such that any shares earned based on attainment of performance goals under</w:t>
      </w:r>
    </w:p>
    <w:p>
      <w:pPr>
        <w:ind w:right="420"/>
        <w:spacing w:after="0" w:line="229" w:lineRule="auto"/>
        <w:rPr>
          <w:sz w:val="20"/>
          <w:szCs w:val="20"/>
          <w:color w:val="auto"/>
        </w:rPr>
      </w:pPr>
      <w:r>
        <w:rPr>
          <w:rFonts w:ascii="Arial" w:cs="Arial" w:eastAsia="Arial" w:hAnsi="Arial"/>
          <w:sz w:val="18"/>
          <w:szCs w:val="18"/>
          <w:color w:val="auto"/>
        </w:rPr>
        <w:t>those PRSUs prior to the conclusion of the three-year performance period will be banked and will cliff vest at the conclusion of the three-year period.</w:t>
      </w:r>
    </w:p>
    <w:p>
      <w:pPr>
        <w:spacing w:after="0" w:line="175" w:lineRule="exact"/>
        <w:rPr>
          <w:sz w:val="20"/>
          <w:szCs w:val="20"/>
          <w:color w:val="auto"/>
        </w:rPr>
      </w:pPr>
    </w:p>
    <w:p>
      <w:pPr>
        <w:sectPr>
          <w:pgSz w:w="11900" w:h="16838" w:orient="portrait"/>
          <w:cols w:equalWidth="0" w:num="2">
            <w:col w:w="3560" w:space="220"/>
            <w:col w:w="7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3680" w:type="dxa"/>
            <w:vAlign w:val="bottom"/>
            <w:tcBorders>
              <w:top w:val="single" w:sz="8" w:color="B6B6B6"/>
            </w:tcBorders>
            <w:shd w:val="clear" w:color="auto" w:fill="F9F9F9"/>
          </w:tcPr>
          <w:p>
            <w:pPr>
              <w:ind w:left="20"/>
              <w:spacing w:after="0" w:line="177" w:lineRule="exact"/>
              <w:rPr>
                <w:sz w:val="20"/>
                <w:szCs w:val="20"/>
                <w:color w:val="auto"/>
              </w:rPr>
            </w:pPr>
            <w:r>
              <w:rPr>
                <w:rFonts w:ascii="Arial" w:cs="Arial" w:eastAsia="Arial" w:hAnsi="Arial"/>
                <w:sz w:val="18"/>
                <w:szCs w:val="18"/>
                <w:color w:val="auto"/>
              </w:rPr>
              <w:t>Add disclosure about the profitability goals in</w:t>
            </w:r>
          </w:p>
        </w:tc>
        <w:tc>
          <w:tcPr>
            <w:tcW w:w="7460" w:type="dxa"/>
            <w:vAlign w:val="bottom"/>
            <w:tcBorders>
              <w:top w:val="single" w:sz="8" w:color="B6B6B6"/>
            </w:tcBorders>
            <w:shd w:val="clear" w:color="auto" w:fill="F9F9F9"/>
          </w:tcPr>
          <w:p>
            <w:pPr>
              <w:ind w:left="100"/>
              <w:spacing w:after="0" w:line="177" w:lineRule="exact"/>
              <w:rPr>
                <w:sz w:val="20"/>
                <w:szCs w:val="20"/>
                <w:color w:val="auto"/>
              </w:rPr>
            </w:pPr>
            <w:r>
              <w:rPr>
                <w:rFonts w:ascii="Arial" w:cs="Arial" w:eastAsia="Arial" w:hAnsi="Arial"/>
                <w:sz w:val="18"/>
                <w:szCs w:val="18"/>
                <w:color w:val="auto"/>
              </w:rPr>
              <w:t>In response to requests for additional transparency around our profitability goals, and as</w:t>
            </w:r>
          </w:p>
        </w:tc>
      </w:tr>
      <w:tr>
        <w:trPr>
          <w:trHeight w:val="183"/>
        </w:trPr>
        <w:tc>
          <w:tcPr>
            <w:tcW w:w="3680" w:type="dxa"/>
            <w:vAlign w:val="bottom"/>
            <w:shd w:val="clear" w:color="auto" w:fill="F9F9F9"/>
          </w:tcPr>
          <w:p>
            <w:pPr>
              <w:ind w:left="20"/>
              <w:spacing w:after="0" w:line="183" w:lineRule="exact"/>
              <w:rPr>
                <w:sz w:val="20"/>
                <w:szCs w:val="20"/>
                <w:color w:val="auto"/>
              </w:rPr>
            </w:pPr>
            <w:r>
              <w:rPr>
                <w:rFonts w:ascii="Arial" w:cs="Arial" w:eastAsia="Arial" w:hAnsi="Arial"/>
                <w:sz w:val="18"/>
                <w:szCs w:val="18"/>
                <w:color w:val="auto"/>
              </w:rPr>
              <w:t>your STI program</w:t>
            </w:r>
          </w:p>
        </w:tc>
        <w:tc>
          <w:tcPr>
            <w:tcW w:w="7460" w:type="dxa"/>
            <w:vAlign w:val="bottom"/>
            <w:shd w:val="clear" w:color="auto" w:fill="F9F9F9"/>
          </w:tcPr>
          <w:p>
            <w:pPr>
              <w:ind w:left="100"/>
              <w:spacing w:after="0" w:line="183" w:lineRule="exact"/>
              <w:rPr>
                <w:sz w:val="20"/>
                <w:szCs w:val="20"/>
                <w:color w:val="auto"/>
              </w:rPr>
            </w:pPr>
            <w:r>
              <w:rPr>
                <w:rFonts w:ascii="Arial" w:cs="Arial" w:eastAsia="Arial" w:hAnsi="Arial"/>
                <w:sz w:val="18"/>
                <w:szCs w:val="18"/>
                <w:color w:val="auto"/>
              </w:rPr>
              <w:t>indicated in our Fiscal 2023 proxy statement, we enhanced our disclosure regarding Fiscal</w:t>
            </w:r>
          </w:p>
        </w:tc>
      </w:tr>
      <w:tr>
        <w:trPr>
          <w:trHeight w:val="180"/>
        </w:trPr>
        <w:tc>
          <w:tcPr>
            <w:tcW w:w="3680" w:type="dxa"/>
            <w:vAlign w:val="bottom"/>
            <w:shd w:val="clear" w:color="auto" w:fill="F9F9F9"/>
          </w:tcPr>
          <w:p>
            <w:pPr>
              <w:spacing w:after="0"/>
              <w:rPr>
                <w:sz w:val="15"/>
                <w:szCs w:val="15"/>
                <w:color w:val="auto"/>
              </w:rPr>
            </w:pPr>
          </w:p>
        </w:tc>
        <w:tc>
          <w:tcPr>
            <w:tcW w:w="7460" w:type="dxa"/>
            <w:vAlign w:val="bottom"/>
            <w:shd w:val="clear" w:color="auto" w:fill="F9F9F9"/>
          </w:tcPr>
          <w:p>
            <w:pPr>
              <w:ind w:left="100"/>
              <w:spacing w:after="0" w:line="181" w:lineRule="exact"/>
              <w:rPr>
                <w:sz w:val="20"/>
                <w:szCs w:val="20"/>
                <w:color w:val="auto"/>
              </w:rPr>
            </w:pPr>
            <w:r>
              <w:rPr>
                <w:rFonts w:ascii="Arial" w:cs="Arial" w:eastAsia="Arial" w:hAnsi="Arial"/>
                <w:sz w:val="18"/>
                <w:szCs w:val="18"/>
                <w:color w:val="auto"/>
              </w:rPr>
              <w:t>2024 STI profitability goals, including the threshold - maximum pay opportunities, and our</w:t>
            </w:r>
          </w:p>
        </w:tc>
      </w:tr>
      <w:tr>
        <w:trPr>
          <w:trHeight w:val="175"/>
        </w:trPr>
        <w:tc>
          <w:tcPr>
            <w:tcW w:w="3680" w:type="dxa"/>
            <w:vAlign w:val="bottom"/>
            <w:shd w:val="clear" w:color="auto" w:fill="F9F9F9"/>
          </w:tcPr>
          <w:p>
            <w:pPr>
              <w:spacing w:after="0"/>
              <w:rPr>
                <w:sz w:val="15"/>
                <w:szCs w:val="15"/>
                <w:color w:val="auto"/>
              </w:rPr>
            </w:pPr>
          </w:p>
        </w:tc>
        <w:tc>
          <w:tcPr>
            <w:tcW w:w="7460" w:type="dxa"/>
            <w:vAlign w:val="bottom"/>
            <w:shd w:val="clear" w:color="auto" w:fill="F9F9F9"/>
          </w:tcPr>
          <w:p>
            <w:pPr>
              <w:ind w:left="100"/>
              <w:spacing w:after="0" w:line="175" w:lineRule="exact"/>
              <w:rPr>
                <w:sz w:val="20"/>
                <w:szCs w:val="20"/>
                <w:color w:val="auto"/>
              </w:rPr>
            </w:pPr>
            <w:r>
              <w:rPr>
                <w:rFonts w:ascii="Arial" w:cs="Arial" w:eastAsia="Arial" w:hAnsi="Arial"/>
                <w:sz w:val="18"/>
                <w:szCs w:val="18"/>
                <w:color w:val="auto"/>
              </w:rPr>
              <w:t>actual performance against the profitability goals. See “Executive Compensation and</w:t>
            </w:r>
          </w:p>
        </w:tc>
      </w:tr>
      <w:tr>
        <w:trPr>
          <w:trHeight w:val="183"/>
        </w:trPr>
        <w:tc>
          <w:tcPr>
            <w:tcW w:w="3680" w:type="dxa"/>
            <w:vAlign w:val="bottom"/>
            <w:shd w:val="clear" w:color="auto" w:fill="F9F9F9"/>
          </w:tcPr>
          <w:p>
            <w:pPr>
              <w:spacing w:after="0"/>
              <w:rPr>
                <w:sz w:val="15"/>
                <w:szCs w:val="15"/>
                <w:color w:val="auto"/>
              </w:rPr>
            </w:pPr>
          </w:p>
        </w:tc>
        <w:tc>
          <w:tcPr>
            <w:tcW w:w="7460" w:type="dxa"/>
            <w:vAlign w:val="bottom"/>
            <w:shd w:val="clear" w:color="auto" w:fill="F9F9F9"/>
          </w:tcPr>
          <w:p>
            <w:pPr>
              <w:ind w:left="100"/>
              <w:spacing w:after="0" w:line="183" w:lineRule="exact"/>
              <w:rPr>
                <w:sz w:val="20"/>
                <w:szCs w:val="20"/>
                <w:color w:val="auto"/>
              </w:rPr>
            </w:pPr>
            <w:r>
              <w:rPr>
                <w:rFonts w:ascii="Arial" w:cs="Arial" w:eastAsia="Arial" w:hAnsi="Arial"/>
                <w:sz w:val="18"/>
                <w:szCs w:val="18"/>
                <w:color w:val="auto"/>
              </w:rPr>
              <w:t>Related Information—Components of our Executive Compensation—Short-Term Incentives</w:t>
            </w:r>
          </w:p>
        </w:tc>
      </w:tr>
      <w:tr>
        <w:trPr>
          <w:trHeight w:val="180"/>
        </w:trPr>
        <w:tc>
          <w:tcPr>
            <w:tcW w:w="3680" w:type="dxa"/>
            <w:vAlign w:val="bottom"/>
            <w:shd w:val="clear" w:color="auto" w:fill="F9F9F9"/>
          </w:tcPr>
          <w:p>
            <w:pPr>
              <w:spacing w:after="0"/>
              <w:rPr>
                <w:sz w:val="15"/>
                <w:szCs w:val="15"/>
                <w:color w:val="auto"/>
              </w:rPr>
            </w:pPr>
          </w:p>
        </w:tc>
        <w:tc>
          <w:tcPr>
            <w:tcW w:w="7460" w:type="dxa"/>
            <w:vAlign w:val="bottom"/>
            <w:shd w:val="clear" w:color="auto" w:fill="F9F9F9"/>
          </w:tcPr>
          <w:p>
            <w:pPr>
              <w:ind w:left="100"/>
              <w:spacing w:after="0" w:line="181" w:lineRule="exact"/>
              <w:rPr>
                <w:sz w:val="20"/>
                <w:szCs w:val="20"/>
                <w:color w:val="auto"/>
              </w:rPr>
            </w:pPr>
            <w:r>
              <w:rPr>
                <w:rFonts w:ascii="Arial" w:cs="Arial" w:eastAsia="Arial" w:hAnsi="Arial"/>
                <w:sz w:val="18"/>
                <w:szCs w:val="18"/>
                <w:color w:val="auto"/>
              </w:rPr>
              <w:t>—Company Profitability and Strategic Performance Goals” in this Proxy Statement for</w:t>
            </w:r>
          </w:p>
        </w:tc>
      </w:tr>
      <w:tr>
        <w:trPr>
          <w:trHeight w:val="229"/>
        </w:trPr>
        <w:tc>
          <w:tcPr>
            <w:tcW w:w="3680" w:type="dxa"/>
            <w:vAlign w:val="bottom"/>
            <w:tcBorders>
              <w:bottom w:val="single" w:sz="8" w:color="B6B6B6"/>
            </w:tcBorders>
            <w:shd w:val="clear" w:color="auto" w:fill="F9F9F9"/>
          </w:tcPr>
          <w:p>
            <w:pPr>
              <w:spacing w:after="0"/>
              <w:rPr>
                <w:sz w:val="19"/>
                <w:szCs w:val="19"/>
                <w:color w:val="auto"/>
              </w:rPr>
            </w:pPr>
          </w:p>
        </w:tc>
        <w:tc>
          <w:tcPr>
            <w:tcW w:w="7460" w:type="dxa"/>
            <w:vAlign w:val="bottom"/>
            <w:tcBorders>
              <w:bottom w:val="single" w:sz="8" w:color="B6B6B6"/>
            </w:tcBorders>
            <w:shd w:val="clear" w:color="auto" w:fill="F9F9F9"/>
          </w:tcPr>
          <w:p>
            <w:pPr>
              <w:ind w:left="100"/>
              <w:spacing w:after="0"/>
              <w:rPr>
                <w:sz w:val="20"/>
                <w:szCs w:val="20"/>
                <w:color w:val="auto"/>
              </w:rPr>
            </w:pPr>
            <w:r>
              <w:rPr>
                <w:rFonts w:ascii="Arial" w:cs="Arial" w:eastAsia="Arial" w:hAnsi="Arial"/>
                <w:sz w:val="18"/>
                <w:szCs w:val="18"/>
                <w:color w:val="auto"/>
              </w:rPr>
              <w:t>discussion of the 2024 STI profitability goals.</w:t>
            </w:r>
          </w:p>
        </w:tc>
      </w:tr>
      <w:tr>
        <w:trPr>
          <w:trHeight w:val="168"/>
        </w:trPr>
        <w:tc>
          <w:tcPr>
            <w:tcW w:w="3680" w:type="dxa"/>
            <w:vAlign w:val="bottom"/>
          </w:tcPr>
          <w:p>
            <w:pPr>
              <w:ind w:left="20"/>
              <w:spacing w:after="0" w:line="169" w:lineRule="exact"/>
              <w:rPr>
                <w:sz w:val="20"/>
                <w:szCs w:val="20"/>
                <w:color w:val="auto"/>
              </w:rPr>
            </w:pPr>
            <w:r>
              <w:rPr>
                <w:rFonts w:ascii="Arial" w:cs="Arial" w:eastAsia="Arial" w:hAnsi="Arial"/>
                <w:sz w:val="18"/>
                <w:szCs w:val="18"/>
                <w:color w:val="auto"/>
              </w:rPr>
              <w:t>Add disclosure about the strategic goals in</w:t>
            </w:r>
          </w:p>
        </w:tc>
        <w:tc>
          <w:tcPr>
            <w:tcW w:w="7460" w:type="dxa"/>
            <w:vAlign w:val="bottom"/>
          </w:tcPr>
          <w:p>
            <w:pPr>
              <w:ind w:left="100"/>
              <w:spacing w:after="0" w:line="169" w:lineRule="exact"/>
              <w:rPr>
                <w:sz w:val="20"/>
                <w:szCs w:val="20"/>
                <w:color w:val="auto"/>
              </w:rPr>
            </w:pPr>
            <w:r>
              <w:rPr>
                <w:rFonts w:ascii="Arial" w:cs="Arial" w:eastAsia="Arial" w:hAnsi="Arial"/>
                <w:sz w:val="18"/>
                <w:szCs w:val="18"/>
                <w:color w:val="auto"/>
                <w:w w:val="99"/>
              </w:rPr>
              <w:t>As requested from shareholders and indicated in our Fiscal 2023 proxy statement, we added</w:t>
            </w: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8"/>
                <w:szCs w:val="18"/>
                <w:color w:val="auto"/>
              </w:rPr>
              <w:t>your STI program</w:t>
            </w:r>
          </w:p>
        </w:tc>
        <w:tc>
          <w:tcPr>
            <w:tcW w:w="7460" w:type="dxa"/>
            <w:vAlign w:val="bottom"/>
          </w:tcPr>
          <w:p>
            <w:pPr>
              <w:ind w:left="100"/>
              <w:spacing w:after="0" w:line="183" w:lineRule="exact"/>
              <w:rPr>
                <w:sz w:val="20"/>
                <w:szCs w:val="20"/>
                <w:color w:val="auto"/>
              </w:rPr>
            </w:pPr>
            <w:r>
              <w:rPr>
                <w:rFonts w:ascii="Arial" w:cs="Arial" w:eastAsia="Arial" w:hAnsi="Arial"/>
                <w:sz w:val="18"/>
                <w:szCs w:val="18"/>
                <w:color w:val="auto"/>
              </w:rPr>
              <w:t>detail regarding our actual performance around our strategic goals. See “Executive</w:t>
            </w:r>
          </w:p>
        </w:tc>
      </w:tr>
      <w:tr>
        <w:trPr>
          <w:trHeight w:val="180"/>
        </w:trPr>
        <w:tc>
          <w:tcPr>
            <w:tcW w:w="3680" w:type="dxa"/>
            <w:vAlign w:val="bottom"/>
          </w:tcPr>
          <w:p>
            <w:pPr>
              <w:spacing w:after="0"/>
              <w:rPr>
                <w:sz w:val="15"/>
                <w:szCs w:val="15"/>
                <w:color w:val="auto"/>
              </w:rPr>
            </w:pPr>
          </w:p>
        </w:tc>
        <w:tc>
          <w:tcPr>
            <w:tcW w:w="7460" w:type="dxa"/>
            <w:vAlign w:val="bottom"/>
          </w:tcPr>
          <w:p>
            <w:pPr>
              <w:ind w:left="100"/>
              <w:spacing w:after="0" w:line="181" w:lineRule="exact"/>
              <w:rPr>
                <w:sz w:val="20"/>
                <w:szCs w:val="20"/>
                <w:color w:val="auto"/>
              </w:rPr>
            </w:pPr>
            <w:r>
              <w:rPr>
                <w:rFonts w:ascii="Arial" w:cs="Arial" w:eastAsia="Arial" w:hAnsi="Arial"/>
                <w:sz w:val="18"/>
                <w:szCs w:val="18"/>
                <w:color w:val="auto"/>
              </w:rPr>
              <w:t>Compensation and Related Information—Components of our Executive Compensation—</w:t>
            </w:r>
          </w:p>
        </w:tc>
      </w:tr>
      <w:tr>
        <w:trPr>
          <w:trHeight w:val="175"/>
        </w:trPr>
        <w:tc>
          <w:tcPr>
            <w:tcW w:w="3680" w:type="dxa"/>
            <w:vAlign w:val="bottom"/>
          </w:tcPr>
          <w:p>
            <w:pPr>
              <w:spacing w:after="0"/>
              <w:rPr>
                <w:sz w:val="15"/>
                <w:szCs w:val="15"/>
                <w:color w:val="auto"/>
              </w:rPr>
            </w:pPr>
          </w:p>
        </w:tc>
        <w:tc>
          <w:tcPr>
            <w:tcW w:w="7460" w:type="dxa"/>
            <w:vAlign w:val="bottom"/>
          </w:tcPr>
          <w:p>
            <w:pPr>
              <w:ind w:left="100"/>
              <w:spacing w:after="0" w:line="175" w:lineRule="exact"/>
              <w:rPr>
                <w:sz w:val="20"/>
                <w:szCs w:val="20"/>
                <w:color w:val="auto"/>
              </w:rPr>
            </w:pPr>
            <w:r>
              <w:rPr>
                <w:rFonts w:ascii="Arial" w:cs="Arial" w:eastAsia="Arial" w:hAnsi="Arial"/>
                <w:sz w:val="18"/>
                <w:szCs w:val="18"/>
                <w:color w:val="auto"/>
              </w:rPr>
              <w:t>Short-Term Incentives—Company Profitability and Strategic Performance Goals” in this</w:t>
            </w:r>
          </w:p>
        </w:tc>
      </w:tr>
      <w:tr>
        <w:trPr>
          <w:trHeight w:val="240"/>
        </w:trPr>
        <w:tc>
          <w:tcPr>
            <w:tcW w:w="3680" w:type="dxa"/>
            <w:vAlign w:val="bottom"/>
            <w:tcBorders>
              <w:bottom w:val="single" w:sz="8" w:color="BD03F7"/>
            </w:tcBorders>
          </w:tcPr>
          <w:p>
            <w:pPr>
              <w:spacing w:after="0"/>
              <w:rPr>
                <w:sz w:val="20"/>
                <w:szCs w:val="20"/>
                <w:color w:val="auto"/>
              </w:rPr>
            </w:pPr>
          </w:p>
        </w:tc>
        <w:tc>
          <w:tcPr>
            <w:tcW w:w="7460" w:type="dxa"/>
            <w:vAlign w:val="bottom"/>
            <w:tcBorders>
              <w:bottom w:val="single" w:sz="8" w:color="BD03F7"/>
            </w:tcBorders>
          </w:tcPr>
          <w:p>
            <w:pPr>
              <w:ind w:left="100"/>
              <w:spacing w:after="0"/>
              <w:rPr>
                <w:sz w:val="20"/>
                <w:szCs w:val="20"/>
                <w:color w:val="auto"/>
              </w:rPr>
            </w:pPr>
            <w:r>
              <w:rPr>
                <w:rFonts w:ascii="Arial" w:cs="Arial" w:eastAsia="Arial" w:hAnsi="Arial"/>
                <w:sz w:val="18"/>
                <w:szCs w:val="18"/>
                <w:color w:val="auto"/>
              </w:rPr>
              <w:t>Proxy Statement for discussion of the 2024 STI strategic goals.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Historically, we had a policy that related person transactions were reviewed by the Board. In October 2024, we adopted a Related Person Transactions policy which delegates authority to the Audit Committee to review and approve related person transactions. Pursuant to the policy, related person transactions are reviewed and approved or ratified quarterly by our Audit Committee in accordance with the terms of the policy. Related persons include our directors and officers, their affiliates, nominees for election as director, certain beneficial owners of 5% or more of any class of our capital stock, and any member of the immediate family of any of the foregoing persons. If a conflict of interest exists between us and the related person, the conflicted director will recuse himself or herself from any discussion or vote of the Audit Committee on the transaction creating the conflict. In reviewing a proposed related person transaction, the Audit Committee considers all the relevant facts and circumstances of the transaction, such as (i) whether the terms of the transaction are fair to the Company and on terms that are no less favorable than terms available to an unaffiliated party in similar circumstances, (ii) the extent of the related person’s in interest in the transaction, (iii) the business reasons for the transaction, (v) whether the transaction would result in an improper conflict of interest, and</w:t>
      </w:r>
    </w:p>
    <w:p>
      <w:pPr>
        <w:spacing w:after="0" w:line="4" w:lineRule="exact"/>
        <w:rPr>
          <w:sz w:val="20"/>
          <w:szCs w:val="20"/>
          <w:color w:val="auto"/>
        </w:rPr>
      </w:pPr>
    </w:p>
    <w:p>
      <w:pPr>
        <w:ind w:right="140" w:firstLine="8"/>
        <w:spacing w:after="0" w:line="264" w:lineRule="auto"/>
        <w:tabs>
          <w:tab w:leader="none" w:pos="2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transaction would impair the ability of any director to serve on the Company’s Board or committees. There were no actual or proposed related person transactions in which a related person had a direct or indirect material interest in Fiscal 2024.</w:t>
      </w:r>
    </w:p>
    <w:p>
      <w:pPr>
        <w:spacing w:after="0" w:line="200" w:lineRule="exact"/>
        <w:rPr>
          <w:sz w:val="20"/>
          <w:szCs w:val="20"/>
          <w:color w:val="auto"/>
        </w:rPr>
      </w:pPr>
    </w:p>
    <w:p>
      <w:pPr>
        <w:spacing w:after="0" w:line="220"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Governance and Sustainability Committee oversees the setting of compensation for our non-employee members of the Board and recommends changes, if any, to the full Board for consideration. Each year, the Governance and Sustainability Committee works with the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Information—Compensation Discussion and Analysis—Determination of the Compensation Peer Group” below.</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DIRECTOR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 and Committee Chair Remuneration</w:t>
      </w:r>
    </w:p>
    <w:p>
      <w:pPr>
        <w:spacing w:after="0" w:line="237"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Non-employee directors were entitled to receive an annual cash retainer of $125,000 in Fiscal 2024, assuming the director serves for the entire year. Pursuant to our 2008 Director’s Compensation Plan, Amended and Restated (the “DCP”), which operates as a sub-plan of the Amended and Restated 2007 Equity Incentive Plan (the “2007 Plan”), non-employee directors may elect to take some or all of their annual cash retainer, shares of common stock, $0.10 par value per share (the “Common Stock”) or deferred rights to receive Common Stock (in</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either case, having an initial value equal to the cash amount foregone) upon termination as a director. Employee directors receive no additional or special remuneration for their service as directors. The amounts earned by the non-employee directors in respect of their service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2024 are set forth below under “Fiscal 2024 Director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the standard cash amounts non-employee directors were and are entitled to receive for their service as committee chair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 for Fiscal 2024 and 2025 (assuming in each case service for the entire year):</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6020" w:type="dxa"/>
            <w:vAlign w:val="bottom"/>
            <w:tcBorders>
              <w:bottom w:val="single" w:sz="8" w:color="BD03F7"/>
            </w:tcBorders>
          </w:tcPr>
          <w:p>
            <w:pPr>
              <w:spacing w:after="0"/>
              <w:rPr>
                <w:sz w:val="22"/>
                <w:szCs w:val="22"/>
                <w:color w:val="auto"/>
              </w:rPr>
            </w:pPr>
          </w:p>
        </w:tc>
        <w:tc>
          <w:tcPr>
            <w:tcW w:w="2500" w:type="dxa"/>
            <w:vAlign w:val="bottom"/>
            <w:tcBorders>
              <w:bottom w:val="single" w:sz="8" w:color="BD03F7"/>
            </w:tcBorders>
          </w:tcPr>
          <w:p>
            <w:pPr>
              <w:spacing w:after="0"/>
              <w:rPr>
                <w:sz w:val="22"/>
                <w:szCs w:val="22"/>
                <w:color w:val="auto"/>
              </w:rPr>
            </w:pPr>
          </w:p>
        </w:tc>
        <w:tc>
          <w:tcPr>
            <w:tcW w:w="1180" w:type="dxa"/>
            <w:vAlign w:val="bottom"/>
            <w:tcBorders>
              <w:bottom w:val="single" w:sz="8" w:color="BD03F7"/>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BD03F7"/>
            </w:tcBorders>
          </w:tcPr>
          <w:p>
            <w:pPr>
              <w:spacing w:after="0"/>
              <w:rPr>
                <w:sz w:val="22"/>
                <w:szCs w:val="22"/>
                <w:color w:val="auto"/>
              </w:rPr>
            </w:pPr>
          </w:p>
        </w:tc>
        <w:tc>
          <w:tcPr>
            <w:tcW w:w="1060" w:type="dxa"/>
            <w:vAlign w:val="bottom"/>
            <w:tcBorders>
              <w:bottom w:val="single" w:sz="8" w:color="BD03F7"/>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63"/>
        </w:trPr>
        <w:tc>
          <w:tcPr>
            <w:tcW w:w="6020" w:type="dxa"/>
            <w:vAlign w:val="bottom"/>
          </w:tcPr>
          <w:p>
            <w:pPr>
              <w:spacing w:after="0"/>
              <w:rPr>
                <w:sz w:val="20"/>
                <w:szCs w:val="20"/>
                <w:color w:val="auto"/>
              </w:rPr>
            </w:pPr>
            <w:r>
              <w:rPr>
                <w:rFonts w:ascii="Arial" w:cs="Arial" w:eastAsia="Arial" w:hAnsi="Arial"/>
                <w:sz w:val="18"/>
                <w:szCs w:val="18"/>
                <w:color w:val="auto"/>
              </w:rPr>
              <w:t>Audit Committee Chair (1)</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37,500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29"/>
        </w:trPr>
        <w:tc>
          <w:tcPr>
            <w:tcW w:w="6020" w:type="dxa"/>
            <w:vAlign w:val="bottom"/>
            <w:shd w:val="clear" w:color="auto" w:fill="F2F2F2"/>
          </w:tcPr>
          <w:p>
            <w:pPr>
              <w:spacing w:after="0"/>
              <w:rPr>
                <w:sz w:val="20"/>
                <w:szCs w:val="20"/>
                <w:color w:val="auto"/>
              </w:rPr>
            </w:pPr>
            <w:r>
              <w:rPr>
                <w:rFonts w:ascii="Arial" w:cs="Arial" w:eastAsia="Arial" w:hAnsi="Arial"/>
                <w:sz w:val="18"/>
                <w:szCs w:val="18"/>
                <w:color w:val="auto"/>
              </w:rPr>
              <w:t>Compensation Committee Chair</w:t>
            </w:r>
          </w:p>
        </w:tc>
        <w:tc>
          <w:tcPr>
            <w:tcW w:w="2500" w:type="dxa"/>
            <w:vAlign w:val="bottom"/>
            <w:shd w:val="clear" w:color="auto" w:fill="F2F2F2"/>
          </w:tcPr>
          <w:p>
            <w:pPr>
              <w:spacing w:after="0"/>
              <w:rPr>
                <w:sz w:val="19"/>
                <w:szCs w:val="19"/>
                <w:color w:val="auto"/>
              </w:rPr>
            </w:pPr>
          </w:p>
        </w:tc>
        <w:tc>
          <w:tcPr>
            <w:tcW w:w="11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Finance Committee Chair</w:t>
            </w:r>
          </w:p>
        </w:tc>
        <w:tc>
          <w:tcPr>
            <w:tcW w:w="25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6020" w:type="dxa"/>
            <w:vAlign w:val="bottom"/>
            <w:shd w:val="clear" w:color="auto" w:fill="F2F2F2"/>
          </w:tcPr>
          <w:p>
            <w:pPr>
              <w:spacing w:after="0"/>
              <w:rPr>
                <w:sz w:val="20"/>
                <w:szCs w:val="20"/>
                <w:color w:val="auto"/>
              </w:rPr>
            </w:pPr>
            <w:r>
              <w:rPr>
                <w:rFonts w:ascii="Arial" w:cs="Arial" w:eastAsia="Arial" w:hAnsi="Arial"/>
                <w:sz w:val="18"/>
                <w:szCs w:val="18"/>
                <w:color w:val="auto"/>
              </w:rPr>
              <w:t>Governance and Sustainability Committee Chair</w:t>
            </w:r>
          </w:p>
        </w:tc>
        <w:tc>
          <w:tcPr>
            <w:tcW w:w="2500" w:type="dxa"/>
            <w:vAlign w:val="bottom"/>
            <w:shd w:val="clear" w:color="auto" w:fill="F2F2F2"/>
          </w:tcPr>
          <w:p>
            <w:pPr>
              <w:spacing w:after="0"/>
              <w:rPr>
                <w:sz w:val="19"/>
                <w:szCs w:val="19"/>
                <w:color w:val="auto"/>
              </w:rPr>
            </w:pPr>
          </w:p>
        </w:tc>
        <w:tc>
          <w:tcPr>
            <w:tcW w:w="11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Security Committee Chair</w:t>
            </w:r>
          </w:p>
        </w:tc>
        <w:tc>
          <w:tcPr>
            <w:tcW w:w="25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602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8"/>
                <w:szCs w:val="18"/>
                <w:color w:val="auto"/>
              </w:rPr>
              <w:t>Chair of the Board (2)</w:t>
            </w:r>
          </w:p>
        </w:tc>
        <w:tc>
          <w:tcPr>
            <w:tcW w:w="2500" w:type="dxa"/>
            <w:vAlign w:val="bottom"/>
            <w:tcBorders>
              <w:bottom w:val="single" w:sz="8" w:color="BD03F7"/>
            </w:tcBorders>
            <w:shd w:val="clear" w:color="auto" w:fill="F2F2F2"/>
          </w:tcPr>
          <w:p>
            <w:pPr>
              <w:spacing w:after="0"/>
              <w:rPr>
                <w:sz w:val="19"/>
                <w:szCs w:val="19"/>
                <w:color w:val="auto"/>
              </w:rPr>
            </w:pPr>
          </w:p>
        </w:tc>
        <w:tc>
          <w:tcPr>
            <w:tcW w:w="1180" w:type="dxa"/>
            <w:vAlign w:val="bottom"/>
            <w:tcBorders>
              <w:bottom w:val="single" w:sz="8" w:color="BD03F7"/>
            </w:tcBorders>
            <w:shd w:val="clear" w:color="auto" w:fill="F2F2F2"/>
          </w:tcPr>
          <w:p>
            <w:pPr>
              <w:jc w:val="right"/>
              <w:ind w:right="30"/>
              <w:spacing w:after="0"/>
              <w:rPr>
                <w:sz w:val="20"/>
                <w:szCs w:val="20"/>
                <w:color w:val="auto"/>
              </w:rPr>
            </w:pPr>
            <w:r>
              <w:rPr>
                <w:rFonts w:ascii="Arial" w:cs="Arial" w:eastAsia="Arial" w:hAnsi="Arial"/>
                <w:sz w:val="18"/>
                <w:szCs w:val="18"/>
                <w:color w:val="auto"/>
              </w:rPr>
              <w:t>150,000</w:t>
            </w:r>
          </w:p>
        </w:tc>
        <w:tc>
          <w:tcPr>
            <w:tcW w:w="420" w:type="dxa"/>
            <w:vAlign w:val="bottom"/>
            <w:tcBorders>
              <w:bottom w:val="single" w:sz="8" w:color="BD03F7"/>
            </w:tcBorders>
            <w:shd w:val="clear" w:color="auto" w:fill="F2F2F2"/>
          </w:tcPr>
          <w:p>
            <w:pPr>
              <w:spacing w:after="0"/>
              <w:rPr>
                <w:sz w:val="19"/>
                <w:szCs w:val="19"/>
                <w:color w:val="auto"/>
              </w:rPr>
            </w:pPr>
          </w:p>
        </w:tc>
        <w:tc>
          <w:tcPr>
            <w:tcW w:w="1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150,000</w:t>
            </w:r>
          </w:p>
        </w:tc>
      </w:tr>
    </w:tbl>
    <w:p>
      <w:pPr>
        <w:spacing w:after="0" w:line="317" w:lineRule="exact"/>
        <w:rPr>
          <w:sz w:val="20"/>
          <w:szCs w:val="20"/>
          <w:color w:val="auto"/>
        </w:rPr>
      </w:pPr>
    </w:p>
    <w:p>
      <w:pPr>
        <w:ind w:left="340" w:right="140" w:hanging="332"/>
        <w:spacing w:after="0" w:line="285"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Fiscal 2025, upon completion of its review and evaluation, the Governance and Sustainability Committee recommended an increase to the compensation of the Audit Committee Chair from $35,000 to $37,500 to the Board, effective January 1, 2025.</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Mehrotra will not receive compensation for his role as Chair of the Board.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amounts shown in the table are in addition to the annual retainer payable to all directors for service on the Board.</w:t>
      </w:r>
    </w:p>
    <w:p>
      <w:pPr>
        <w:spacing w:after="0" w:line="25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or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Non-employee directors receive an equity award each fiscal year. Since Fiscal 2007, the equity award has been exclusively in the form of restricted stock. The restricted stock includes the potential to receive dividend equivalents (at the same rate as for Common Stock generally), which will accumulate and pay out (in cash) only if and when the underlying shares are released. The “targeted value” for the annual non-employee director equity award is established each year by the Board following discussions with the compensation consultant and has been set at $250,000 since Fiscal 2015. The number of shares of restricted stock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these restricted shares awarded in Fiscal 2024 lapse for 100% of such shares on the first anniversary of the date of grant (the “Vesting Period”). Notwithstanding the foregoing, the restrictions will lapse for 100% of such shares in the event a director reaches the mandatory retirement age, if any, or retires from the Board during the Vesting Period having achieved a minimum of three years of service with the Board prior to the effective date of their retirement, or upon a director’s death or disability.</w:t>
      </w:r>
    </w:p>
    <w:p>
      <w:pPr>
        <w:spacing w:after="0" w:line="210"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In October 2023, the DCP was amended to allow non-employee directors to defer receipt of their equity awards granted in Fiscal 2024 and later years. If a director makes a deferral election, shares subject to the director’s deferred equity awards will be delivered (to the extent vested) upon termination of service as a director.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2024 DIRECTOR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960" w:type="dxa"/>
            <w:vAlign w:val="bottom"/>
            <w:gridSpan w:val="2"/>
          </w:tcPr>
          <w:p>
            <w:pPr>
              <w:ind w:left="2200"/>
              <w:spacing w:after="0"/>
              <w:rPr>
                <w:sz w:val="20"/>
                <w:szCs w:val="20"/>
                <w:color w:val="auto"/>
              </w:rPr>
            </w:pPr>
            <w:r>
              <w:rPr>
                <w:rFonts w:ascii="Arial" w:cs="Arial" w:eastAsia="Arial" w:hAnsi="Arial"/>
                <w:sz w:val="18"/>
                <w:szCs w:val="18"/>
                <w:b w:val="1"/>
                <w:bCs w:val="1"/>
                <w:color w:val="auto"/>
              </w:rPr>
              <w:t>Fees Earned or Paid</w:t>
            </w:r>
          </w:p>
        </w:tc>
        <w:tc>
          <w:tcPr>
            <w:tcW w:w="140" w:type="dxa"/>
            <w:vAlign w:val="bottom"/>
          </w:tcPr>
          <w:p>
            <w:pPr>
              <w:spacing w:after="0"/>
              <w:rPr>
                <w:sz w:val="17"/>
                <w:szCs w:val="17"/>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Stock Awards(2)</w:t>
            </w:r>
          </w:p>
        </w:tc>
        <w:tc>
          <w:tcPr>
            <w:tcW w:w="36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BD03F7"/>
            </w:tcBorders>
            <w:vMerge w:val="continue"/>
          </w:tcPr>
          <w:p>
            <w:pPr>
              <w:spacing w:after="0"/>
              <w:rPr>
                <w:sz w:val="20"/>
                <w:szCs w:val="20"/>
                <w:color w:val="auto"/>
              </w:rPr>
            </w:pPr>
          </w:p>
        </w:tc>
        <w:tc>
          <w:tcPr>
            <w:tcW w:w="2480" w:type="dxa"/>
            <w:vAlign w:val="bottom"/>
            <w:tcBorders>
              <w:bottom w:val="single" w:sz="8" w:color="BD03F7"/>
            </w:tcBorders>
          </w:tcPr>
          <w:p>
            <w:pPr>
              <w:spacing w:after="0"/>
              <w:rPr>
                <w:sz w:val="20"/>
                <w:szCs w:val="20"/>
                <w:color w:val="auto"/>
              </w:rPr>
            </w:pPr>
          </w:p>
        </w:tc>
        <w:tc>
          <w:tcPr>
            <w:tcW w:w="1480" w:type="dxa"/>
            <w:vAlign w:val="bottom"/>
            <w:tcBorders>
              <w:bottom w:val="single" w:sz="8" w:color="BD03F7"/>
            </w:tcBorders>
          </w:tcPr>
          <w:p>
            <w:pPr>
              <w:jc w:val="right"/>
              <w:ind w:right="370"/>
              <w:spacing w:after="0"/>
              <w:rPr>
                <w:sz w:val="20"/>
                <w:szCs w:val="20"/>
                <w:color w:val="auto"/>
              </w:rPr>
            </w:pPr>
            <w:r>
              <w:rPr>
                <w:rFonts w:ascii="Arial" w:cs="Arial" w:eastAsia="Arial" w:hAnsi="Arial"/>
                <w:sz w:val="18"/>
                <w:szCs w:val="18"/>
                <w:b w:val="1"/>
                <w:bCs w:val="1"/>
                <w:color w:val="auto"/>
              </w:rPr>
              <w:t>in Cash(1)</w:t>
            </w:r>
          </w:p>
        </w:tc>
        <w:tc>
          <w:tcPr>
            <w:tcW w:w="140" w:type="dxa"/>
            <w:vAlign w:val="bottom"/>
            <w:tcBorders>
              <w:bottom w:val="single" w:sz="8" w:color="BD03F7"/>
            </w:tcBorders>
          </w:tcPr>
          <w:p>
            <w:pPr>
              <w:spacing w:after="0"/>
              <w:rPr>
                <w:sz w:val="20"/>
                <w:szCs w:val="20"/>
                <w:color w:val="auto"/>
              </w:rPr>
            </w:pPr>
          </w:p>
        </w:tc>
        <w:tc>
          <w:tcPr>
            <w:tcW w:w="1580" w:type="dxa"/>
            <w:vAlign w:val="bottom"/>
            <w:tcBorders>
              <w:bottom w:val="single" w:sz="8" w:color="BD03F7"/>
            </w:tcBorders>
            <w:vMerge w:val="continue"/>
          </w:tcPr>
          <w:p>
            <w:pPr>
              <w:spacing w:after="0"/>
              <w:rPr>
                <w:sz w:val="20"/>
                <w:szCs w:val="20"/>
                <w:color w:val="auto"/>
              </w:rPr>
            </w:pPr>
          </w:p>
        </w:tc>
        <w:tc>
          <w:tcPr>
            <w:tcW w:w="360" w:type="dxa"/>
            <w:vAlign w:val="bottom"/>
            <w:tcBorders>
              <w:bottom w:val="single" w:sz="8" w:color="BD03F7"/>
            </w:tcBorders>
          </w:tcPr>
          <w:p>
            <w:pPr>
              <w:spacing w:after="0"/>
              <w:rPr>
                <w:sz w:val="20"/>
                <w:szCs w:val="20"/>
                <w:color w:val="auto"/>
              </w:rPr>
            </w:pPr>
          </w:p>
        </w:tc>
        <w:tc>
          <w:tcPr>
            <w:tcW w:w="1140" w:type="dxa"/>
            <w:vAlign w:val="bottom"/>
            <w:tcBorders>
              <w:bottom w:val="single" w:sz="8" w:color="BD03F7"/>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2480" w:type="dxa"/>
            <w:vAlign w:val="bottom"/>
          </w:tcPr>
          <w:p>
            <w:pPr>
              <w:ind w:left="2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405,054</w:t>
            </w:r>
          </w:p>
        </w:tc>
        <w:tc>
          <w:tcPr>
            <w:tcW w:w="0" w:type="dxa"/>
            <w:vAlign w:val="bottom"/>
          </w:tcPr>
          <w:p>
            <w:pPr>
              <w:spacing w:after="0"/>
              <w:rPr>
                <w:sz w:val="1"/>
                <w:szCs w:val="1"/>
                <w:color w:val="auto"/>
              </w:rPr>
            </w:pPr>
          </w:p>
        </w:tc>
      </w:tr>
      <w:tr>
        <w:trPr>
          <w:trHeight w:val="229"/>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Lynn A. Dugle</w:t>
            </w:r>
          </w:p>
        </w:tc>
        <w:tc>
          <w:tcPr>
            <w:tcW w:w="248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128,333</w:t>
            </w:r>
          </w:p>
        </w:tc>
        <w:tc>
          <w:tcPr>
            <w:tcW w:w="14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378,387</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Steven J. Gomo</w:t>
            </w:r>
          </w:p>
        </w:tc>
        <w:tc>
          <w:tcPr>
            <w:tcW w:w="2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395,054</w:t>
            </w:r>
          </w:p>
        </w:tc>
        <w:tc>
          <w:tcPr>
            <w:tcW w:w="0" w:type="dxa"/>
            <w:vAlign w:val="bottom"/>
          </w:tcPr>
          <w:p>
            <w:pPr>
              <w:spacing w:after="0"/>
              <w:rPr>
                <w:sz w:val="1"/>
                <w:szCs w:val="1"/>
                <w:color w:val="auto"/>
              </w:rPr>
            </w:pPr>
          </w:p>
        </w:tc>
      </w:tr>
      <w:tr>
        <w:trPr>
          <w:trHeight w:val="229"/>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Linnie M. Haynesworth</w:t>
            </w:r>
          </w:p>
        </w:tc>
        <w:tc>
          <w:tcPr>
            <w:tcW w:w="248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141,667</w:t>
            </w:r>
          </w:p>
        </w:tc>
        <w:tc>
          <w:tcPr>
            <w:tcW w:w="14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391,721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2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160,000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410,054</w:t>
            </w:r>
          </w:p>
        </w:tc>
        <w:tc>
          <w:tcPr>
            <w:tcW w:w="0" w:type="dxa"/>
            <w:vAlign w:val="bottom"/>
          </w:tcPr>
          <w:p>
            <w:pPr>
              <w:spacing w:after="0"/>
              <w:rPr>
                <w:sz w:val="1"/>
                <w:szCs w:val="1"/>
                <w:color w:val="auto"/>
              </w:rPr>
            </w:pPr>
          </w:p>
        </w:tc>
      </w:tr>
      <w:tr>
        <w:trPr>
          <w:trHeight w:val="229"/>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Robert Swan</w:t>
            </w:r>
          </w:p>
        </w:tc>
        <w:tc>
          <w:tcPr>
            <w:tcW w:w="248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59,194</w:t>
            </w:r>
          </w:p>
        </w:tc>
        <w:tc>
          <w:tcPr>
            <w:tcW w:w="14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118,218</w:t>
            </w:r>
          </w:p>
        </w:tc>
        <w:tc>
          <w:tcPr>
            <w:tcW w:w="36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177,412</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2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275,000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525,054</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MaryAnn Wright</w:t>
            </w:r>
          </w:p>
        </w:tc>
        <w:tc>
          <w:tcPr>
            <w:tcW w:w="2480" w:type="dxa"/>
            <w:vAlign w:val="bottom"/>
            <w:tcBorders>
              <w:bottom w:val="single" w:sz="8" w:color="BD03F7"/>
            </w:tcBorders>
            <w:shd w:val="clear" w:color="auto" w:fill="F2F2F2"/>
          </w:tcPr>
          <w:p>
            <w:pPr>
              <w:spacing w:after="0"/>
              <w:rPr>
                <w:sz w:val="19"/>
                <w:szCs w:val="19"/>
                <w:color w:val="auto"/>
              </w:rPr>
            </w:pPr>
          </w:p>
        </w:tc>
        <w:tc>
          <w:tcPr>
            <w:tcW w:w="14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Borders>
              <w:bottom w:val="single" w:sz="8" w:color="BD03F7"/>
            </w:tcBorders>
            <w:shd w:val="clear" w:color="auto" w:fill="F2F2F2"/>
          </w:tcPr>
          <w:p>
            <w:pPr>
              <w:spacing w:after="0"/>
              <w:rPr>
                <w:sz w:val="19"/>
                <w:szCs w:val="19"/>
                <w:color w:val="auto"/>
              </w:rPr>
            </w:pPr>
          </w:p>
        </w:tc>
        <w:tc>
          <w:tcPr>
            <w:tcW w:w="15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250,054</w:t>
            </w:r>
          </w:p>
        </w:tc>
        <w:tc>
          <w:tcPr>
            <w:tcW w:w="360" w:type="dxa"/>
            <w:vAlign w:val="bottom"/>
            <w:tcBorders>
              <w:bottom w:val="single" w:sz="8" w:color="BD03F7"/>
            </w:tcBorders>
            <w:shd w:val="clear" w:color="auto" w:fill="F2F2F2"/>
          </w:tcPr>
          <w:p>
            <w:pPr>
              <w:spacing w:after="0"/>
              <w:rPr>
                <w:sz w:val="19"/>
                <w:szCs w:val="19"/>
                <w:color w:val="auto"/>
              </w:rPr>
            </w:pPr>
          </w:p>
        </w:tc>
        <w:tc>
          <w:tcPr>
            <w:tcW w:w="11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395,054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100" w:hanging="332"/>
        <w:spacing w:after="0" w:line="285"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Swan elected to take his annual retainer from April 1, 2024 in the form of shares of Common Stock. The amount earned by Mr. Swan in Fiscal 2024 was comprised of $52,138 (432 shares) of Common Stock and $7,056 of cash.</w:t>
      </w:r>
    </w:p>
    <w:p>
      <w:pPr>
        <w:spacing w:after="0" w:line="167" w:lineRule="exact"/>
        <w:rPr>
          <w:rFonts w:ascii="Arial" w:cs="Arial" w:eastAsia="Arial" w:hAnsi="Arial"/>
          <w:sz w:val="18"/>
          <w:szCs w:val="18"/>
          <w:color w:val="auto"/>
        </w:rPr>
      </w:pPr>
    </w:p>
    <w:p>
      <w:pPr>
        <w:ind w:left="340" w:right="60" w:hanging="332"/>
        <w:spacing w:after="0" w:line="243"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October 13, 2023, each of Messrs. Beyer, Gomo, and Switz, and Mses. Dugle, Haynesworth, McCarthy, and Wright was granted 3,585 shares of restricted stock with a grant date fair value of $250,054 ($69.75 per share). For information on the restrictions associated with these awards, see “—Elements of Director Compensation—Equity Award” above. On March 11, 2024, Mr. Swan was granted 1,211 shares of restricted stock with a grant date fair value of $118,218 ($97.62 per share). The grant date fair values for these stock awards are based on the closing price on the last market trading day prior to the date of grant.</w:t>
      </w:r>
    </w:p>
    <w:p>
      <w:pPr>
        <w:spacing w:after="0" w:line="149" w:lineRule="exact"/>
        <w:rPr>
          <w:rFonts w:ascii="Arial" w:cs="Arial" w:eastAsia="Arial" w:hAnsi="Arial"/>
          <w:sz w:val="18"/>
          <w:szCs w:val="18"/>
          <w:color w:val="auto"/>
        </w:rPr>
      </w:pPr>
    </w:p>
    <w:p>
      <w:pPr>
        <w:ind w:left="340" w:right="80"/>
        <w:spacing w:after="0" w:line="274" w:lineRule="auto"/>
        <w:rPr>
          <w:rFonts w:ascii="Arial" w:cs="Arial" w:eastAsia="Arial" w:hAnsi="Arial"/>
          <w:sz w:val="18"/>
          <w:szCs w:val="18"/>
          <w:color w:val="auto"/>
        </w:rPr>
      </w:pPr>
      <w:r>
        <w:rPr>
          <w:rFonts w:ascii="Arial" w:cs="Arial" w:eastAsia="Arial" w:hAnsi="Arial"/>
          <w:sz w:val="17"/>
          <w:szCs w:val="17"/>
          <w:color w:val="auto"/>
        </w:rPr>
        <w:t>As of August 29, 2024, each of Messrs. Beyer, Gomo, and Switz, and Mses. Dugle, Haynesworth, McCarthy, and Wright had outstanding a grant of 3,585 shares of restricted stock, and Mr. Swan had outstanding a grant of 1,211 shares of restricted stock. For information regarding Mr. Mehrotra’s holding of stock as of August 29, 2024, see “Outstanding Equity Awards at Fiscal 2024 Year-End”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STOCK OWNERSHIP GUIDELINES</w:t>
      </w:r>
    </w:p>
    <w:p>
      <w:pPr>
        <w:spacing w:after="0" w:line="24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established stock ownership guidelines for our non-employee directors. The minimum ownership guideline for directors is to hold shares with a value equal to five times their annual retainer. Directors are given five years to meet the ownership guidelines. The Governance and Sustainability Committee reviews the stock ownership guidelines annually and monitors each person’s progress toward, and continued compliance with, the guidelines. Stock sales restrictions may be imposed upon directors if the stock ownership guidelines are not met. All our directors are in compliance with the guidelines, taking into account the five-year onboarding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page 59 for information on the stock ownership guidelines for our Chief Executive Officer and other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EXECUTIVE COMPENSATION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6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39" w:lineRule="exact"/>
        <w:rPr>
          <w:sz w:val="20"/>
          <w:szCs w:val="20"/>
          <w:color w:val="auto"/>
        </w:rPr>
      </w:pPr>
    </w:p>
    <w:p>
      <w:pPr>
        <w:ind w:left="20" w:right="520"/>
        <w:spacing w:after="0" w:line="296" w:lineRule="auto"/>
        <w:rPr>
          <w:sz w:val="20"/>
          <w:szCs w:val="20"/>
          <w:color w:val="auto"/>
        </w:rPr>
      </w:pPr>
      <w:r>
        <w:rPr>
          <w:rFonts w:ascii="Arial" w:cs="Arial" w:eastAsia="Arial" w:hAnsi="Arial"/>
          <w:sz w:val="36"/>
          <w:szCs w:val="36"/>
          <w:b w:val="1"/>
          <w:bCs w:val="1"/>
          <w:color w:val="auto"/>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64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This proposal enables our shareholders to vote to approve, on an advisory (non-binding) basis, the compensation of our Named Executive Officers. The say-on-pay vote is required by Section 14A of the Exchange Act. We seek your advisory vote and ask that you indicate your support for the compensation of the Named Executive Officers as disclosed in this Proxy Statement in the “—Compensation Discussion and Analysis” section and the related compensation tables beginning on page 36.</w:t>
      </w:r>
    </w:p>
    <w:p>
      <w:pPr>
        <w:spacing w:after="0" w:line="20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At our Fiscal 2023 Annual Meeting of Shareholders, our shareholders voted to have an annual advisory vote on say-on-pay and in accordance with the results of this vote, the Board determined to continue to implement an advisory vote on executive compensation every year until the next required vote on the frequency of shareholder votes on the compensation of executives.</w:t>
      </w:r>
    </w:p>
    <w:p>
      <w:pPr>
        <w:spacing w:after="0" w:line="206"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At our Fiscal 2023 Annual Meeting of Shareholders held in January 2024, 80% of the votes cast on the say-on-pay proposal were voted in favor of the proposal.</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Please read the “—Compensation Discussion and Analysis” section and related compensation tables for information necessary to inform your vote on this proposal.</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380"/>
        <w:spacing w:after="0" w:line="295" w:lineRule="auto"/>
        <w:rPr>
          <w:sz w:val="20"/>
          <w:szCs w:val="20"/>
          <w:color w:val="auto"/>
        </w:rPr>
      </w:pPr>
      <w:r>
        <w:rPr>
          <w:rFonts w:ascii="Arial" w:cs="Arial" w:eastAsia="Arial" w:hAnsi="Arial"/>
          <w:sz w:val="18"/>
          <w:szCs w:val="18"/>
          <w:b w:val="1"/>
          <w:bCs w:val="1"/>
          <w:color w:val="auto"/>
        </w:rPr>
        <w:t>The Board invites you to review carefully the Compensation Discussion and Analysis beginning on page 36 and the tabular and other disclosures on executive compensation beginning on page 65, and cast a vote “FOR” the following resolution:</w:t>
      </w:r>
    </w:p>
    <w:p>
      <w:pPr>
        <w:spacing w:after="0" w:line="166"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96" w:lineRule="exact"/>
        <w:rPr>
          <w:sz w:val="20"/>
          <w:szCs w:val="20"/>
          <w:color w:val="auto"/>
        </w:rPr>
      </w:pPr>
    </w:p>
    <w:p>
      <w:pPr>
        <w:ind w:right="720"/>
        <w:spacing w:after="0" w:line="267"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approve the non-binding advisory vote on the compensation of our Named Executive Officers.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and will not be construed as overruling a decision by our Company or our Board or creating or implying any additional fiduciary duty for our Company or our Board. Furthermore, because this non-binding, advisory resolution primarily relates to the compensation of our Named Executive Officers that has already been paid or contractually committed, there may not be an opportunity for us to revisit these decisions. However, the Board and Compensation Committee value the opinions of our shareholders and will consider the results of the say-on-pay vote and any other feedback from shareholders in their evaluation of our compensation program as they believe to be appropriate.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9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NAMED EXECUTIVE OFFICERS</w:t>
      </w:r>
    </w:p>
    <w:p>
      <w:pPr>
        <w:spacing w:after="0" w:line="17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tbl>
      <w:tblPr>
        <w:tblLayout w:type="fixed"/>
        <w:tblInd w:w="0" w:type="dxa"/>
        <w:tblCellMar>
          <w:top w:w="0" w:type="dxa"/>
          <w:left w:w="0" w:type="dxa"/>
          <w:bottom w:w="0" w:type="dxa"/>
          <w:right w:w="0" w:type="dxa"/>
        </w:tblCellMar>
      </w:tblPr>
      <w:tr>
        <w:trPr>
          <w:trHeight w:val="156"/>
        </w:trPr>
        <w:tc>
          <w:tcPr>
            <w:tcW w:w="2220" w:type="dxa"/>
            <w:vAlign w:val="bottom"/>
            <w:tcBorders>
              <w:top w:val="single" w:sz="8" w:color="BD03F7"/>
            </w:tcBorders>
          </w:tcPr>
          <w:p>
            <w:pPr>
              <w:spacing w:after="0"/>
              <w:rPr>
                <w:sz w:val="13"/>
                <w:szCs w:val="13"/>
                <w:color w:val="auto"/>
              </w:rPr>
            </w:pPr>
          </w:p>
        </w:tc>
        <w:tc>
          <w:tcPr>
            <w:tcW w:w="2260" w:type="dxa"/>
            <w:vAlign w:val="bottom"/>
            <w:tcBorders>
              <w:top w:val="single" w:sz="8" w:color="BD03F7"/>
              <w:right w:val="single" w:sz="8" w:color="929292"/>
            </w:tcBorders>
          </w:tcPr>
          <w:p>
            <w:pPr>
              <w:spacing w:after="0"/>
              <w:rPr>
                <w:sz w:val="13"/>
                <w:szCs w:val="13"/>
                <w:color w:val="auto"/>
              </w:rPr>
            </w:pPr>
          </w:p>
        </w:tc>
        <w:tc>
          <w:tcPr>
            <w:tcW w:w="6740" w:type="dxa"/>
            <w:vAlign w:val="bottom"/>
            <w:tcBorders>
              <w:top w:val="single" w:sz="8" w:color="BD03F7"/>
            </w:tcBorders>
          </w:tcPr>
          <w:p>
            <w:pPr>
              <w:ind w:left="20"/>
              <w:spacing w:after="0" w:line="155" w:lineRule="exact"/>
              <w:rPr>
                <w:sz w:val="20"/>
                <w:szCs w:val="20"/>
                <w:color w:val="auto"/>
              </w:rPr>
            </w:pPr>
            <w:r>
              <w:rPr>
                <w:rFonts w:ascii="Arial" w:cs="Arial" w:eastAsia="Arial" w:hAnsi="Arial"/>
                <w:sz w:val="16"/>
                <w:szCs w:val="16"/>
                <w:color w:val="auto"/>
              </w:rPr>
              <w:t>Mr. Mehrotra, our President and Chief Executive Officer, has earned more than 70 patents</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auto"/>
              </w:rPr>
              <w:t>Sanjay Mehrotra</w:t>
            </w: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during his 40-plus years in the semiconductor industry, several of which were foundational to</w:t>
            </w: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2260" w:type="dxa"/>
            <w:vAlign w:val="bottom"/>
            <w:tcBorders>
              <w:right w:val="single" w:sz="8" w:color="929292"/>
            </w:tcBorders>
            <w:vMerge w:val="continue"/>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enabling high-capacity flash memory. In November 2023, the Semiconductor Industry</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260" w:type="dxa"/>
            <w:vAlign w:val="bottom"/>
            <w:tcBorders>
              <w:bottom w:val="single" w:sz="8" w:color="929292"/>
              <w:right w:val="single" w:sz="8" w:color="929292"/>
            </w:tcBorders>
          </w:tcPr>
          <w:p>
            <w:pPr>
              <w:spacing w:after="0"/>
              <w:rPr>
                <w:sz w:val="7"/>
                <w:szCs w:val="7"/>
                <w:color w:val="auto"/>
              </w:rPr>
            </w:pPr>
          </w:p>
        </w:tc>
        <w:tc>
          <w:tcPr>
            <w:tcW w:w="6740" w:type="dxa"/>
            <w:vAlign w:val="bottom"/>
            <w:vMerge w:val="restart"/>
          </w:tcPr>
          <w:p>
            <w:pPr>
              <w:ind w:left="20"/>
              <w:spacing w:after="0" w:line="136" w:lineRule="exact"/>
              <w:rPr>
                <w:sz w:val="20"/>
                <w:szCs w:val="20"/>
                <w:color w:val="auto"/>
              </w:rPr>
            </w:pPr>
            <w:r>
              <w:rPr>
                <w:rFonts w:ascii="Arial" w:cs="Arial" w:eastAsia="Arial" w:hAnsi="Arial"/>
                <w:sz w:val="15"/>
                <w:szCs w:val="15"/>
                <w:color w:val="auto"/>
              </w:rPr>
              <w:t>Association honored Mr. Mehrotra with the Robert N. Noyce Award, recognizing outstanding</w:t>
            </w:r>
          </w:p>
        </w:tc>
        <w:tc>
          <w:tcPr>
            <w:tcW w:w="0" w:type="dxa"/>
            <w:vAlign w:val="bottom"/>
          </w:tcPr>
          <w:p>
            <w:pPr>
              <w:spacing w:after="0"/>
              <w:rPr>
                <w:sz w:val="1"/>
                <w:szCs w:val="1"/>
                <w:color w:val="auto"/>
              </w:rPr>
            </w:pPr>
          </w:p>
        </w:tc>
      </w:tr>
      <w:tr>
        <w:trPr>
          <w:trHeight w:val="36"/>
        </w:trPr>
        <w:tc>
          <w:tcPr>
            <w:tcW w:w="2220" w:type="dxa"/>
            <w:vAlign w:val="bottom"/>
          </w:tcPr>
          <w:p>
            <w:pPr>
              <w:spacing w:after="0"/>
              <w:rPr>
                <w:sz w:val="3"/>
                <w:szCs w:val="3"/>
                <w:color w:val="auto"/>
              </w:rPr>
            </w:pPr>
          </w:p>
        </w:tc>
        <w:tc>
          <w:tcPr>
            <w:tcW w:w="2260" w:type="dxa"/>
            <w:vAlign w:val="bottom"/>
            <w:tcBorders>
              <w:right w:val="single" w:sz="8" w:color="929292"/>
            </w:tcBorders>
            <w:vMerge w:val="restart"/>
          </w:tcPr>
          <w:p>
            <w:pPr>
              <w:ind w:left="20"/>
              <w:spacing w:after="0" w:line="36" w:lineRule="exact"/>
              <w:rPr>
                <w:sz w:val="20"/>
                <w:szCs w:val="20"/>
                <w:color w:val="auto"/>
              </w:rPr>
            </w:pPr>
            <w:r>
              <w:rPr>
                <w:rFonts w:ascii="Arial" w:cs="Arial" w:eastAsia="Arial" w:hAnsi="Arial"/>
                <w:sz w:val="4"/>
                <w:szCs w:val="4"/>
                <w:color w:val="6D6D6D"/>
              </w:rPr>
              <w:t>President and</w:t>
            </w:r>
          </w:p>
        </w:tc>
        <w:tc>
          <w:tcPr>
            <w:tcW w:w="6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2220" w:type="dxa"/>
            <w:vAlign w:val="bottom"/>
          </w:tcPr>
          <w:p>
            <w:pPr>
              <w:spacing w:after="0" w:line="20" w:lineRule="exact"/>
              <w:rPr>
                <w:sz w:val="1"/>
                <w:szCs w:val="1"/>
                <w:color w:val="auto"/>
              </w:rPr>
            </w:pPr>
          </w:p>
        </w:tc>
        <w:tc>
          <w:tcPr>
            <w:tcW w:w="2260" w:type="dxa"/>
            <w:vAlign w:val="bottom"/>
            <w:tcBorders>
              <w:right w:val="single" w:sz="8" w:color="929292"/>
            </w:tcBorders>
            <w:vMerge w:val="continue"/>
          </w:tcPr>
          <w:p>
            <w:pPr>
              <w:spacing w:after="0" w:line="20" w:lineRule="exact"/>
              <w:rPr>
                <w:sz w:val="1"/>
                <w:szCs w:val="1"/>
                <w:color w:val="auto"/>
              </w:rPr>
            </w:pPr>
          </w:p>
        </w:tc>
        <w:tc>
          <w:tcPr>
            <w:tcW w:w="6740" w:type="dxa"/>
            <w:vAlign w:val="bottom"/>
          </w:tcPr>
          <w:p>
            <w:pPr>
              <w:ind w:left="20"/>
              <w:spacing w:after="0" w:line="1" w:lineRule="exact"/>
              <w:rPr>
                <w:sz w:val="20"/>
                <w:szCs w:val="20"/>
                <w:color w:val="auto"/>
              </w:rPr>
            </w:pPr>
            <w:r>
              <w:rPr>
                <w:rFonts w:ascii="Arial" w:cs="Arial" w:eastAsia="Arial" w:hAnsi="Arial"/>
                <w:sz w:val="1"/>
                <w:szCs w:val="1"/>
                <w:color w:val="auto"/>
              </w:rPr>
              <w:t>inducted into the National Academy of Engineering, one of the profession’s highest</w:t>
            </w:r>
          </w:p>
        </w:tc>
        <w:tc>
          <w:tcPr>
            <w:tcW w:w="0" w:type="dxa"/>
            <w:vAlign w:val="bottom"/>
          </w:tcPr>
          <w:p>
            <w:pPr>
              <w:spacing w:after="0" w:line="20" w:lineRule="exact"/>
              <w:rPr>
                <w:sz w:val="1"/>
                <w:szCs w:val="1"/>
                <w:color w:val="auto"/>
              </w:rPr>
            </w:pPr>
          </w:p>
        </w:tc>
      </w:tr>
      <w:tr>
        <w:trPr>
          <w:trHeight w:val="214"/>
        </w:trPr>
        <w:tc>
          <w:tcPr>
            <w:tcW w:w="2220" w:type="dxa"/>
            <w:vAlign w:val="bottom"/>
          </w:tcPr>
          <w:p>
            <w:pPr>
              <w:spacing w:after="0"/>
              <w:rPr>
                <w:sz w:val="18"/>
                <w:szCs w:val="18"/>
                <w:color w:val="auto"/>
              </w:rPr>
            </w:pPr>
          </w:p>
        </w:tc>
        <w:tc>
          <w:tcPr>
            <w:tcW w:w="2260" w:type="dxa"/>
            <w:vAlign w:val="bottom"/>
            <w:tcBorders>
              <w:right w:val="single" w:sz="8" w:color="929292"/>
            </w:tcBorders>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achievement and leadership in the semiconductor industry. In 2022, Mr. Mehrotra was</w:t>
            </w:r>
          </w:p>
        </w:tc>
        <w:tc>
          <w:tcPr>
            <w:tcW w:w="0" w:type="dxa"/>
            <w:vAlign w:val="bottom"/>
          </w:tcPr>
          <w:p>
            <w:pPr>
              <w:spacing w:after="0"/>
              <w:rPr>
                <w:sz w:val="1"/>
                <w:szCs w:val="1"/>
                <w:color w:val="auto"/>
              </w:rPr>
            </w:pPr>
          </w:p>
        </w:tc>
      </w:tr>
      <w:tr>
        <w:trPr>
          <w:trHeight w:val="295"/>
        </w:trPr>
        <w:tc>
          <w:tcPr>
            <w:tcW w:w="2220" w:type="dxa"/>
            <w:vAlign w:val="bottom"/>
          </w:tcPr>
          <w:p>
            <w:pPr>
              <w:spacing w:after="0"/>
              <w:rPr>
                <w:sz w:val="24"/>
                <w:szCs w:val="24"/>
                <w:color w:val="auto"/>
              </w:rPr>
            </w:pPr>
          </w:p>
        </w:tc>
        <w:tc>
          <w:tcPr>
            <w:tcW w:w="2260" w:type="dxa"/>
            <w:vAlign w:val="bottom"/>
            <w:tcBorders>
              <w:right w:val="single" w:sz="8" w:color="929292"/>
            </w:tcBorders>
          </w:tcPr>
          <w:p>
            <w:pPr>
              <w:ind w:left="20"/>
              <w:spacing w:after="0" w:line="295" w:lineRule="exact"/>
              <w:rPr>
                <w:sz w:val="20"/>
                <w:szCs w:val="20"/>
                <w:color w:val="auto"/>
              </w:rPr>
            </w:pPr>
            <w:r>
              <w:rPr>
                <w:rFonts w:ascii="Arial" w:cs="Arial" w:eastAsia="Arial" w:hAnsi="Arial"/>
                <w:sz w:val="29"/>
                <w:szCs w:val="29"/>
                <w:color w:val="6D6D6D"/>
              </w:rPr>
              <w:t>Chief Executive</w:t>
            </w:r>
          </w:p>
        </w:tc>
        <w:tc>
          <w:tcPr>
            <w:tcW w:w="6740" w:type="dxa"/>
            <w:vAlign w:val="bottom"/>
          </w:tcPr>
          <w:p>
            <w:pPr>
              <w:ind w:left="20"/>
              <w:spacing w:after="0"/>
              <w:rPr>
                <w:sz w:val="20"/>
                <w:szCs w:val="20"/>
                <w:color w:val="auto"/>
              </w:rPr>
            </w:pPr>
            <w:r>
              <w:rPr>
                <w:rFonts w:ascii="Arial" w:cs="Arial" w:eastAsia="Arial" w:hAnsi="Arial"/>
                <w:sz w:val="16"/>
                <w:szCs w:val="16"/>
                <w:color w:val="auto"/>
              </w:rPr>
              <w:t>distinctions. He was awarded honorary doctorates from Boise State University and the</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2260" w:type="dxa"/>
            <w:vAlign w:val="bottom"/>
            <w:tcBorders>
              <w:right w:val="single" w:sz="8" w:color="929292"/>
            </w:tcBorders>
            <w:vMerge w:val="restart"/>
          </w:tcPr>
          <w:p>
            <w:pPr>
              <w:ind w:left="20"/>
              <w:spacing w:after="0" w:line="283" w:lineRule="exact"/>
              <w:rPr>
                <w:sz w:val="20"/>
                <w:szCs w:val="20"/>
                <w:color w:val="auto"/>
              </w:rPr>
            </w:pPr>
            <w:r>
              <w:rPr>
                <w:rFonts w:ascii="Arial" w:cs="Arial" w:eastAsia="Arial" w:hAnsi="Arial"/>
                <w:sz w:val="29"/>
                <w:szCs w:val="29"/>
                <w:color w:val="6D6D6D"/>
              </w:rPr>
              <w:t>Officer</w:t>
            </w:r>
          </w:p>
        </w:tc>
        <w:tc>
          <w:tcPr>
            <w:tcW w:w="6740" w:type="dxa"/>
            <w:vAlign w:val="bottom"/>
          </w:tcPr>
          <w:p>
            <w:pPr>
              <w:ind w:left="20"/>
              <w:spacing w:after="0" w:line="121" w:lineRule="exact"/>
              <w:rPr>
                <w:sz w:val="20"/>
                <w:szCs w:val="20"/>
                <w:color w:val="auto"/>
              </w:rPr>
            </w:pPr>
            <w:r>
              <w:rPr>
                <w:rFonts w:ascii="Arial" w:cs="Arial" w:eastAsia="Arial" w:hAnsi="Arial"/>
                <w:sz w:val="14"/>
                <w:szCs w:val="14"/>
                <w:color w:val="auto"/>
              </w:rPr>
              <w:t>Rochester Institute of Technology in recognition of his industry leadership. In addition, he</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received the Malaysian Order of Loyal Defender of the State medal in 2021, and the 2019</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Flash Memory Summit Lifetime Achievement Award for co-founding SanDisk, advancing the</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architecture that enabled the industry and market for flash memory, and for his leadership of</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Micron. Sanjay currently serves on the board of directors of CDW Corporation and the</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BD03F7"/>
            </w:tcBorders>
          </w:tcPr>
          <w:p>
            <w:pPr>
              <w:spacing w:after="0"/>
              <w:rPr>
                <w:sz w:val="18"/>
                <w:szCs w:val="18"/>
                <w:color w:val="auto"/>
              </w:rPr>
            </w:pPr>
          </w:p>
        </w:tc>
        <w:tc>
          <w:tcPr>
            <w:tcW w:w="2260" w:type="dxa"/>
            <w:vAlign w:val="bottom"/>
            <w:tcBorders>
              <w:bottom w:val="single" w:sz="8" w:color="BD03F7"/>
              <w:right w:val="single" w:sz="8" w:color="929292"/>
            </w:tcBorders>
          </w:tcPr>
          <w:p>
            <w:pPr>
              <w:spacing w:after="0"/>
              <w:rPr>
                <w:sz w:val="18"/>
                <w:szCs w:val="18"/>
                <w:color w:val="auto"/>
              </w:rPr>
            </w:pPr>
          </w:p>
        </w:tc>
        <w:tc>
          <w:tcPr>
            <w:tcW w:w="674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Semiconductor Industry Association.</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2260" w:type="dxa"/>
            <w:vAlign w:val="bottom"/>
            <w:tcBorders>
              <w:right w:val="single" w:sz="8" w:color="929292"/>
            </w:tcBorders>
            <w:vMerge w:val="restart"/>
          </w:tcPr>
          <w:p>
            <w:pPr>
              <w:ind w:left="20"/>
              <w:spacing w:after="0" w:line="317" w:lineRule="exact"/>
              <w:rPr>
                <w:sz w:val="20"/>
                <w:szCs w:val="20"/>
                <w:color w:val="auto"/>
              </w:rPr>
            </w:pPr>
            <w:r>
              <w:rPr>
                <w:rFonts w:ascii="Arial" w:cs="Arial" w:eastAsia="Arial" w:hAnsi="Arial"/>
                <w:sz w:val="29"/>
                <w:szCs w:val="29"/>
                <w:color w:val="auto"/>
              </w:rPr>
              <w:t>Mark Murphy</w:t>
            </w:r>
          </w:p>
        </w:tc>
        <w:tc>
          <w:tcPr>
            <w:tcW w:w="6740" w:type="dxa"/>
            <w:vAlign w:val="bottom"/>
          </w:tcPr>
          <w:p>
            <w:pPr>
              <w:ind w:left="20"/>
              <w:spacing w:after="0" w:line="155" w:lineRule="exact"/>
              <w:rPr>
                <w:sz w:val="20"/>
                <w:szCs w:val="20"/>
                <w:color w:val="auto"/>
              </w:rPr>
            </w:pPr>
            <w:r>
              <w:rPr>
                <w:rFonts w:ascii="Arial" w:cs="Arial" w:eastAsia="Arial" w:hAnsi="Arial"/>
                <w:sz w:val="16"/>
                <w:szCs w:val="16"/>
                <w:color w:val="auto"/>
              </w:rPr>
              <w:t>Mr. Murphy, our Executive Vice President and Chief Financial Officer, has more than 25 years</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of experience in executive leadership and finance roles, primarily for businesses in</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2260" w:type="dxa"/>
            <w:vAlign w:val="bottom"/>
            <w:tcBorders>
              <w:bottom w:val="single" w:sz="8" w:color="929292"/>
              <w:right w:val="single" w:sz="8" w:color="929292"/>
            </w:tcBorders>
          </w:tcPr>
          <w:p>
            <w:pPr>
              <w:spacing w:after="0"/>
              <w:rPr>
                <w:sz w:val="4"/>
                <w:szCs w:val="4"/>
                <w:color w:val="auto"/>
              </w:rPr>
            </w:pPr>
          </w:p>
        </w:tc>
        <w:tc>
          <w:tcPr>
            <w:tcW w:w="6740" w:type="dxa"/>
            <w:vAlign w:val="bottom"/>
            <w:vMerge w:val="restart"/>
          </w:tcPr>
          <w:p>
            <w:pPr>
              <w:ind w:left="20"/>
              <w:spacing w:after="0" w:line="161" w:lineRule="exact"/>
              <w:rPr>
                <w:sz w:val="20"/>
                <w:szCs w:val="20"/>
                <w:color w:val="auto"/>
              </w:rPr>
            </w:pPr>
            <w:r>
              <w:rPr>
                <w:rFonts w:ascii="Arial" w:cs="Arial" w:eastAsia="Arial" w:hAnsi="Arial"/>
                <w:sz w:val="16"/>
                <w:szCs w:val="16"/>
                <w:color w:val="auto"/>
              </w:rPr>
              <w:t>semiconductor materials, semiconductor capital equipment, and semiconductor fabrication</w:t>
            </w: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2260" w:type="dxa"/>
            <w:vAlign w:val="bottom"/>
            <w:tcBorders>
              <w:right w:val="single" w:sz="8" w:color="929292"/>
            </w:tcBorders>
            <w:vMerge w:val="restart"/>
          </w:tcPr>
          <w:p>
            <w:pPr>
              <w:ind w:left="20"/>
              <w:spacing w:after="0" w:line="249" w:lineRule="exact"/>
              <w:rPr>
                <w:sz w:val="20"/>
                <w:szCs w:val="20"/>
                <w:color w:val="auto"/>
              </w:rPr>
            </w:pPr>
            <w:r>
              <w:rPr>
                <w:rFonts w:ascii="Arial" w:cs="Arial" w:eastAsia="Arial" w:hAnsi="Arial"/>
                <w:sz w:val="28"/>
                <w:szCs w:val="28"/>
                <w:color w:val="6D6D6D"/>
              </w:rPr>
              <w:t>Executive Vice</w:t>
            </w: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and assembly and test. He has successfully led large-scale finance organizations through</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260" w:type="dxa"/>
            <w:vAlign w:val="bottom"/>
            <w:tcBorders>
              <w:right w:val="single" w:sz="8" w:color="929292"/>
            </w:tcBorders>
            <w:vMerge w:val="restart"/>
          </w:tcPr>
          <w:p>
            <w:pPr>
              <w:ind w:left="20"/>
              <w:spacing w:after="0" w:line="295" w:lineRule="exact"/>
              <w:rPr>
                <w:sz w:val="20"/>
                <w:szCs w:val="20"/>
                <w:color w:val="auto"/>
              </w:rPr>
            </w:pPr>
            <w:r>
              <w:rPr>
                <w:rFonts w:ascii="Arial" w:cs="Arial" w:eastAsia="Arial" w:hAnsi="Arial"/>
                <w:sz w:val="29"/>
                <w:szCs w:val="29"/>
                <w:color w:val="6D6D6D"/>
              </w:rPr>
              <w:t>President and</w:t>
            </w:r>
          </w:p>
        </w:tc>
        <w:tc>
          <w:tcPr>
            <w:tcW w:w="6740" w:type="dxa"/>
            <w:vAlign w:val="bottom"/>
          </w:tcPr>
          <w:p>
            <w:pPr>
              <w:ind w:left="20"/>
              <w:spacing w:after="0"/>
              <w:rPr>
                <w:sz w:val="20"/>
                <w:szCs w:val="20"/>
                <w:color w:val="auto"/>
              </w:rPr>
            </w:pPr>
            <w:r>
              <w:rPr>
                <w:rFonts w:ascii="Arial" w:cs="Arial" w:eastAsia="Arial" w:hAnsi="Arial"/>
                <w:sz w:val="16"/>
                <w:szCs w:val="16"/>
                <w:color w:val="auto"/>
              </w:rPr>
              <w:t>industry cycles. He is a veteran of the U.S. Marine Corps.</w:t>
            </w:r>
          </w:p>
        </w:tc>
        <w:tc>
          <w:tcPr>
            <w:tcW w:w="0" w:type="dxa"/>
            <w:vAlign w:val="bottom"/>
          </w:tcPr>
          <w:p>
            <w:pPr>
              <w:spacing w:after="0"/>
              <w:rPr>
                <w:sz w:val="1"/>
                <w:szCs w:val="1"/>
                <w:color w:val="auto"/>
              </w:rPr>
            </w:pPr>
          </w:p>
        </w:tc>
      </w:tr>
      <w:tr>
        <w:trPr>
          <w:trHeight w:val="82"/>
        </w:trPr>
        <w:tc>
          <w:tcPr>
            <w:tcW w:w="2220" w:type="dxa"/>
            <w:vAlign w:val="bottom"/>
          </w:tcPr>
          <w:p>
            <w:pPr>
              <w:spacing w:after="0"/>
              <w:rPr>
                <w:sz w:val="7"/>
                <w:szCs w:val="7"/>
                <w:color w:val="auto"/>
              </w:rPr>
            </w:pPr>
          </w:p>
        </w:tc>
        <w:tc>
          <w:tcPr>
            <w:tcW w:w="2260" w:type="dxa"/>
            <w:vAlign w:val="bottom"/>
            <w:tcBorders>
              <w:right w:val="single" w:sz="8" w:color="929292"/>
            </w:tcBorders>
            <w:vMerge w:val="continue"/>
          </w:tcPr>
          <w:p>
            <w:pPr>
              <w:spacing w:after="0"/>
              <w:rPr>
                <w:sz w:val="7"/>
                <w:szCs w:val="7"/>
                <w:color w:val="auto"/>
              </w:rPr>
            </w:pPr>
          </w:p>
        </w:tc>
        <w:tc>
          <w:tcPr>
            <w:tcW w:w="6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220" w:type="dxa"/>
            <w:vAlign w:val="bottom"/>
          </w:tcPr>
          <w:p>
            <w:pPr>
              <w:spacing w:after="0"/>
              <w:rPr>
                <w:sz w:val="24"/>
                <w:szCs w:val="24"/>
                <w:color w:val="auto"/>
              </w:rPr>
            </w:pPr>
          </w:p>
        </w:tc>
        <w:tc>
          <w:tcPr>
            <w:tcW w:w="2260" w:type="dxa"/>
            <w:vAlign w:val="bottom"/>
            <w:tcBorders>
              <w:right w:val="single" w:sz="8" w:color="929292"/>
            </w:tcBorders>
          </w:tcPr>
          <w:p>
            <w:pPr>
              <w:ind w:left="20"/>
              <w:spacing w:after="0" w:line="283" w:lineRule="exact"/>
              <w:rPr>
                <w:sz w:val="20"/>
                <w:szCs w:val="20"/>
                <w:color w:val="auto"/>
              </w:rPr>
            </w:pPr>
            <w:r>
              <w:rPr>
                <w:rFonts w:ascii="Arial" w:cs="Arial" w:eastAsia="Arial" w:hAnsi="Arial"/>
                <w:sz w:val="29"/>
                <w:szCs w:val="29"/>
                <w:color w:val="6D6D6D"/>
              </w:rPr>
              <w:t>Chief Financial</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220" w:type="dxa"/>
            <w:vAlign w:val="bottom"/>
          </w:tcPr>
          <w:p>
            <w:pPr>
              <w:spacing w:after="0"/>
              <w:rPr>
                <w:sz w:val="24"/>
                <w:szCs w:val="24"/>
                <w:color w:val="auto"/>
              </w:rPr>
            </w:pPr>
          </w:p>
        </w:tc>
        <w:tc>
          <w:tcPr>
            <w:tcW w:w="2260" w:type="dxa"/>
            <w:vAlign w:val="bottom"/>
            <w:tcBorders>
              <w:right w:val="single" w:sz="8" w:color="929292"/>
            </w:tcBorders>
          </w:tcPr>
          <w:p>
            <w:pPr>
              <w:ind w:left="20"/>
              <w:spacing w:after="0"/>
              <w:rPr>
                <w:sz w:val="20"/>
                <w:szCs w:val="20"/>
                <w:color w:val="auto"/>
              </w:rPr>
            </w:pPr>
            <w:r>
              <w:rPr>
                <w:rFonts w:ascii="Arial" w:cs="Arial" w:eastAsia="Arial" w:hAnsi="Arial"/>
                <w:sz w:val="29"/>
                <w:szCs w:val="29"/>
                <w:color w:val="6D6D6D"/>
              </w:rPr>
              <w:t>Officer</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220" w:type="dxa"/>
            <w:vAlign w:val="bottom"/>
            <w:tcBorders>
              <w:bottom w:val="single" w:sz="8" w:color="BD03F7"/>
            </w:tcBorders>
          </w:tcPr>
          <w:p>
            <w:pPr>
              <w:spacing w:after="0"/>
              <w:rPr>
                <w:sz w:val="24"/>
                <w:szCs w:val="24"/>
                <w:color w:val="auto"/>
              </w:rPr>
            </w:pPr>
          </w:p>
        </w:tc>
        <w:tc>
          <w:tcPr>
            <w:tcW w:w="2260" w:type="dxa"/>
            <w:vAlign w:val="bottom"/>
            <w:tcBorders>
              <w:bottom w:val="single" w:sz="8" w:color="BD03F7"/>
              <w:right w:val="single" w:sz="8" w:color="929292"/>
            </w:tcBorders>
          </w:tcPr>
          <w:p>
            <w:pPr>
              <w:spacing w:after="0"/>
              <w:rPr>
                <w:sz w:val="24"/>
                <w:szCs w:val="24"/>
                <w:color w:val="auto"/>
              </w:rPr>
            </w:pPr>
          </w:p>
        </w:tc>
        <w:tc>
          <w:tcPr>
            <w:tcW w:w="6740" w:type="dxa"/>
            <w:vAlign w:val="bottom"/>
            <w:tcBorders>
              <w:bottom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15"/>
                <w:szCs w:val="15"/>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auto"/>
              </w:rPr>
              <w:t>Manish Bhatia</w:t>
            </w:r>
          </w:p>
        </w:tc>
        <w:tc>
          <w:tcPr>
            <w:tcW w:w="6740" w:type="dxa"/>
            <w:vAlign w:val="bottom"/>
          </w:tcPr>
          <w:p>
            <w:pPr>
              <w:ind w:left="20"/>
              <w:spacing w:after="0" w:line="181" w:lineRule="exact"/>
              <w:rPr>
                <w:sz w:val="20"/>
                <w:szCs w:val="20"/>
                <w:color w:val="auto"/>
              </w:rPr>
            </w:pPr>
            <w:r>
              <w:rPr>
                <w:rFonts w:ascii="Arial" w:cs="Arial" w:eastAsia="Arial" w:hAnsi="Arial"/>
                <w:sz w:val="16"/>
                <w:szCs w:val="16"/>
                <w:color w:val="auto"/>
              </w:rPr>
              <w:t>Mr. Bhatia, our Executive Vice President of Global Operations, is responsible for leading fab</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260" w:type="dxa"/>
            <w:vAlign w:val="bottom"/>
            <w:tcBorders>
              <w:bottom w:val="single" w:sz="8" w:color="929292"/>
              <w:right w:val="single" w:sz="8" w:color="929292"/>
            </w:tcBorders>
            <w:vMerge w:val="continue"/>
          </w:tcPr>
          <w:p>
            <w:pPr>
              <w:spacing w:after="0"/>
              <w:rPr>
                <w:sz w:val="16"/>
                <w:szCs w:val="16"/>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and assembly/test manufacturing, packaging and test development, quality, supply chain,</w:t>
            </w:r>
          </w:p>
        </w:tc>
        <w:tc>
          <w:tcPr>
            <w:tcW w:w="0" w:type="dxa"/>
            <w:vAlign w:val="bottom"/>
          </w:tcPr>
          <w:p>
            <w:pPr>
              <w:spacing w:after="0"/>
              <w:rPr>
                <w:sz w:val="1"/>
                <w:szCs w:val="1"/>
                <w:color w:val="auto"/>
              </w:rPr>
            </w:pPr>
          </w:p>
        </w:tc>
      </w:tr>
      <w:tr>
        <w:trPr>
          <w:trHeight w:val="154"/>
        </w:trPr>
        <w:tc>
          <w:tcPr>
            <w:tcW w:w="2220" w:type="dxa"/>
            <w:vAlign w:val="bottom"/>
          </w:tcPr>
          <w:p>
            <w:pPr>
              <w:spacing w:after="0"/>
              <w:rPr>
                <w:sz w:val="13"/>
                <w:szCs w:val="13"/>
                <w:color w:val="auto"/>
              </w:rPr>
            </w:pPr>
          </w:p>
        </w:tc>
        <w:tc>
          <w:tcPr>
            <w:tcW w:w="2260" w:type="dxa"/>
            <w:vAlign w:val="bottom"/>
            <w:tcBorders>
              <w:right w:val="single" w:sz="8" w:color="929292"/>
            </w:tcBorders>
            <w:vMerge w:val="restart"/>
          </w:tcPr>
          <w:p>
            <w:pPr>
              <w:ind w:left="20"/>
              <w:spacing w:after="0" w:line="316" w:lineRule="exact"/>
              <w:rPr>
                <w:sz w:val="20"/>
                <w:szCs w:val="20"/>
                <w:color w:val="auto"/>
              </w:rPr>
            </w:pPr>
            <w:r>
              <w:rPr>
                <w:rFonts w:ascii="Arial" w:cs="Arial" w:eastAsia="Arial" w:hAnsi="Arial"/>
                <w:sz w:val="29"/>
                <w:szCs w:val="29"/>
                <w:color w:val="6D6D6D"/>
              </w:rPr>
              <w:t>Executive Vice</w:t>
            </w:r>
          </w:p>
        </w:tc>
        <w:tc>
          <w:tcPr>
            <w:tcW w:w="6740" w:type="dxa"/>
            <w:vAlign w:val="bottom"/>
          </w:tcPr>
          <w:p>
            <w:pPr>
              <w:ind w:left="20"/>
              <w:spacing w:after="0" w:line="155" w:lineRule="exact"/>
              <w:rPr>
                <w:sz w:val="20"/>
                <w:szCs w:val="20"/>
                <w:color w:val="auto"/>
              </w:rPr>
            </w:pPr>
            <w:r>
              <w:rPr>
                <w:rFonts w:ascii="Arial" w:cs="Arial" w:eastAsia="Arial" w:hAnsi="Arial"/>
                <w:sz w:val="16"/>
                <w:szCs w:val="16"/>
                <w:color w:val="auto"/>
              </w:rPr>
              <w:t>procurement, government and public affairs, information technology, and smart manufacturing</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rPr>
              <w:t>and artificial intelligence functions for the Company. He has more than 25 years of</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2260" w:type="dxa"/>
            <w:vAlign w:val="bottom"/>
            <w:tcBorders>
              <w:right w:val="single" w:sz="8" w:color="929292"/>
            </w:tcBorders>
          </w:tcPr>
          <w:p>
            <w:pPr>
              <w:ind w:left="20"/>
              <w:spacing w:after="0" w:line="228" w:lineRule="exact"/>
              <w:rPr>
                <w:sz w:val="20"/>
                <w:szCs w:val="20"/>
                <w:color w:val="auto"/>
              </w:rPr>
            </w:pPr>
            <w:r>
              <w:rPr>
                <w:rFonts w:ascii="Arial" w:cs="Arial" w:eastAsia="Arial" w:hAnsi="Arial"/>
                <w:sz w:val="26"/>
                <w:szCs w:val="26"/>
                <w:color w:val="6D6D6D"/>
              </w:rPr>
              <w:t>President,</w:t>
            </w:r>
          </w:p>
        </w:tc>
        <w:tc>
          <w:tcPr>
            <w:tcW w:w="6740" w:type="dxa"/>
            <w:vAlign w:val="bottom"/>
          </w:tcPr>
          <w:p>
            <w:pPr>
              <w:ind w:left="20"/>
              <w:spacing w:after="0"/>
              <w:rPr>
                <w:sz w:val="20"/>
                <w:szCs w:val="20"/>
                <w:color w:val="auto"/>
              </w:rPr>
            </w:pPr>
            <w:r>
              <w:rPr>
                <w:rFonts w:ascii="Arial" w:cs="Arial" w:eastAsia="Arial" w:hAnsi="Arial"/>
                <w:sz w:val="16"/>
                <w:szCs w:val="16"/>
                <w:color w:val="auto"/>
              </w:rPr>
              <w:t>engineering and operations leadership experience with a proven track record of driving</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2260" w:type="dxa"/>
            <w:vAlign w:val="bottom"/>
            <w:tcBorders>
              <w:right w:val="single" w:sz="8" w:color="929292"/>
            </w:tcBorders>
            <w:vMerge w:val="restart"/>
          </w:tcPr>
          <w:p>
            <w:pPr>
              <w:ind w:left="20"/>
              <w:spacing w:after="0" w:line="309" w:lineRule="exact"/>
              <w:rPr>
                <w:sz w:val="20"/>
                <w:szCs w:val="20"/>
                <w:color w:val="auto"/>
              </w:rPr>
            </w:pPr>
            <w:r>
              <w:rPr>
                <w:rFonts w:ascii="Arial" w:cs="Arial" w:eastAsia="Arial" w:hAnsi="Arial"/>
                <w:sz w:val="29"/>
                <w:szCs w:val="29"/>
                <w:color w:val="6D6D6D"/>
              </w:rPr>
              <w:t>Global</w:t>
            </w:r>
          </w:p>
        </w:tc>
        <w:tc>
          <w:tcPr>
            <w:tcW w:w="6740" w:type="dxa"/>
            <w:vAlign w:val="bottom"/>
          </w:tcPr>
          <w:p>
            <w:pPr>
              <w:ind w:left="20"/>
              <w:spacing w:after="0" w:line="148" w:lineRule="exact"/>
              <w:rPr>
                <w:sz w:val="20"/>
                <w:szCs w:val="20"/>
                <w:color w:val="auto"/>
              </w:rPr>
            </w:pPr>
            <w:r>
              <w:rPr>
                <w:rFonts w:ascii="Arial" w:cs="Arial" w:eastAsia="Arial" w:hAnsi="Arial"/>
                <w:sz w:val="16"/>
                <w:szCs w:val="16"/>
                <w:color w:val="auto"/>
              </w:rPr>
              <w:t>semiconductor manufacturing excellence with best-in-class supply chain and quality</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380"/>
        </w:trPr>
        <w:tc>
          <w:tcPr>
            <w:tcW w:w="2220" w:type="dxa"/>
            <w:vAlign w:val="bottom"/>
          </w:tcPr>
          <w:p>
            <w:pPr>
              <w:spacing w:after="0"/>
              <w:rPr>
                <w:sz w:val="24"/>
                <w:szCs w:val="24"/>
                <w:color w:val="auto"/>
              </w:rPr>
            </w:pPr>
          </w:p>
        </w:tc>
        <w:tc>
          <w:tcPr>
            <w:tcW w:w="2260" w:type="dxa"/>
            <w:vAlign w:val="bottom"/>
            <w:tcBorders>
              <w:right w:val="single" w:sz="8" w:color="929292"/>
            </w:tcBorders>
          </w:tcPr>
          <w:p>
            <w:pPr>
              <w:ind w:left="20"/>
              <w:spacing w:after="0"/>
              <w:rPr>
                <w:sz w:val="20"/>
                <w:szCs w:val="20"/>
                <w:color w:val="auto"/>
              </w:rPr>
            </w:pPr>
            <w:r>
              <w:rPr>
                <w:rFonts w:ascii="Arial" w:cs="Arial" w:eastAsia="Arial" w:hAnsi="Arial"/>
                <w:sz w:val="29"/>
                <w:szCs w:val="29"/>
                <w:color w:val="6D6D6D"/>
              </w:rPr>
              <w:t>Operations</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220" w:type="dxa"/>
            <w:vAlign w:val="bottom"/>
          </w:tcPr>
          <w:p>
            <w:pPr>
              <w:spacing w:after="0"/>
              <w:rPr>
                <w:sz w:val="23"/>
                <w:szCs w:val="23"/>
                <w:color w:val="auto"/>
              </w:rPr>
            </w:pPr>
          </w:p>
        </w:tc>
        <w:tc>
          <w:tcPr>
            <w:tcW w:w="2260" w:type="dxa"/>
            <w:vAlign w:val="bottom"/>
            <w:tcBorders>
              <w:right w:val="single" w:sz="8" w:color="929292"/>
            </w:tcBorders>
          </w:tcPr>
          <w:p>
            <w:pPr>
              <w:spacing w:after="0"/>
              <w:rPr>
                <w:sz w:val="23"/>
                <w:szCs w:val="23"/>
                <w:color w:val="auto"/>
              </w:rPr>
            </w:pPr>
          </w:p>
        </w:tc>
        <w:tc>
          <w:tcPr>
            <w:tcW w:w="6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2220" w:type="dxa"/>
            <w:vAlign w:val="bottom"/>
            <w:shd w:val="clear" w:color="auto" w:fill="BD03F7"/>
          </w:tcPr>
          <w:p>
            <w:pPr>
              <w:spacing w:after="0"/>
              <w:rPr>
                <w:sz w:val="2"/>
                <w:szCs w:val="2"/>
                <w:color w:val="auto"/>
              </w:rPr>
            </w:pPr>
          </w:p>
        </w:tc>
        <w:tc>
          <w:tcPr>
            <w:tcW w:w="2260" w:type="dxa"/>
            <w:vAlign w:val="bottom"/>
            <w:tcBorders>
              <w:right w:val="single" w:sz="8" w:color="929292"/>
            </w:tcBorders>
            <w:shd w:val="clear" w:color="auto" w:fill="BD03F7"/>
          </w:tcPr>
          <w:p>
            <w:pPr>
              <w:ind w:left="20"/>
              <w:spacing w:after="0" w:line="29" w:lineRule="exact"/>
              <w:rPr>
                <w:sz w:val="20"/>
                <w:szCs w:val="20"/>
                <w:color w:val="auto"/>
              </w:rPr>
            </w:pPr>
            <w:r>
              <w:rPr>
                <w:rFonts w:ascii="Arial" w:cs="Arial" w:eastAsia="Arial" w:hAnsi="Arial"/>
                <w:sz w:val="3"/>
                <w:szCs w:val="3"/>
                <w:color w:val="auto"/>
              </w:rPr>
              <w:t>Scott DeBoer</w:t>
            </w:r>
          </w:p>
        </w:tc>
        <w:tc>
          <w:tcPr>
            <w:tcW w:w="6740" w:type="dxa"/>
            <w:vAlign w:val="bottom"/>
            <w:shd w:val="clear" w:color="auto" w:fill="BD03F7"/>
          </w:tcPr>
          <w:p>
            <w:pPr>
              <w:ind w:left="20"/>
              <w:spacing w:after="0" w:line="29" w:lineRule="exact"/>
              <w:rPr>
                <w:sz w:val="20"/>
                <w:szCs w:val="20"/>
                <w:color w:val="auto"/>
              </w:rPr>
            </w:pPr>
            <w:r>
              <w:rPr>
                <w:rFonts w:ascii="Arial" w:cs="Arial" w:eastAsia="Arial" w:hAnsi="Arial"/>
                <w:sz w:val="3"/>
                <w:szCs w:val="3"/>
                <w:color w:val="auto"/>
              </w:rPr>
              <w:t>three decades of experience at Micron. He leads the global teams responsible for delivering</w:t>
            </w:r>
          </w:p>
        </w:tc>
        <w:tc>
          <w:tcPr>
            <w:tcW w:w="0" w:type="dxa"/>
            <w:vAlign w:val="bottom"/>
          </w:tcPr>
          <w:p>
            <w:pPr>
              <w:spacing w:after="0" w:line="20" w:lineRule="exact"/>
              <w:rPr>
                <w:sz w:val="1"/>
                <w:szCs w:val="1"/>
                <w:color w:val="auto"/>
              </w:rPr>
            </w:pPr>
          </w:p>
        </w:tc>
      </w:tr>
      <w:tr>
        <w:trPr>
          <w:trHeight w:val="214"/>
        </w:trPr>
        <w:tc>
          <w:tcPr>
            <w:tcW w:w="2220" w:type="dxa"/>
            <w:vAlign w:val="bottom"/>
          </w:tcPr>
          <w:p>
            <w:pPr>
              <w:spacing w:after="0"/>
              <w:rPr>
                <w:sz w:val="18"/>
                <w:szCs w:val="18"/>
                <w:color w:val="auto"/>
              </w:rPr>
            </w:pPr>
          </w:p>
        </w:tc>
        <w:tc>
          <w:tcPr>
            <w:tcW w:w="2260" w:type="dxa"/>
            <w:vAlign w:val="bottom"/>
            <w:tcBorders>
              <w:right w:val="single" w:sz="8" w:color="929292"/>
            </w:tcBorders>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Dr. DeBoer, our Executive Vice President, Chief Technology and Products Officer, has nearly</w:t>
            </w:r>
          </w:p>
        </w:tc>
        <w:tc>
          <w:tcPr>
            <w:tcW w:w="0" w:type="dxa"/>
            <w:vAlign w:val="bottom"/>
          </w:tcPr>
          <w:p>
            <w:pPr>
              <w:spacing w:after="0"/>
              <w:rPr>
                <w:sz w:val="1"/>
                <w:szCs w:val="1"/>
                <w:color w:val="auto"/>
              </w:rPr>
            </w:pPr>
          </w:p>
        </w:tc>
      </w:tr>
      <w:tr>
        <w:trPr>
          <w:trHeight w:val="107"/>
        </w:trPr>
        <w:tc>
          <w:tcPr>
            <w:tcW w:w="2220" w:type="dxa"/>
            <w:vAlign w:val="bottom"/>
          </w:tcPr>
          <w:p>
            <w:pPr>
              <w:spacing w:after="0"/>
              <w:rPr>
                <w:sz w:val="9"/>
                <w:szCs w:val="9"/>
                <w:color w:val="auto"/>
              </w:rPr>
            </w:pPr>
          </w:p>
        </w:tc>
        <w:tc>
          <w:tcPr>
            <w:tcW w:w="2260" w:type="dxa"/>
            <w:vAlign w:val="bottom"/>
            <w:tcBorders>
              <w:bottom w:val="single" w:sz="8" w:color="929292"/>
              <w:right w:val="single" w:sz="8" w:color="929292"/>
            </w:tcBorders>
          </w:tcPr>
          <w:p>
            <w:pPr>
              <w:spacing w:after="0"/>
              <w:rPr>
                <w:sz w:val="9"/>
                <w:szCs w:val="9"/>
                <w:color w:val="auto"/>
              </w:rPr>
            </w:pPr>
          </w:p>
        </w:tc>
        <w:tc>
          <w:tcPr>
            <w:tcW w:w="6740" w:type="dxa"/>
            <w:vAlign w:val="bottom"/>
            <w:vMerge w:val="restart"/>
          </w:tcPr>
          <w:p>
            <w:pPr>
              <w:ind w:left="20"/>
              <w:spacing w:after="0"/>
              <w:rPr>
                <w:sz w:val="20"/>
                <w:szCs w:val="20"/>
                <w:color w:val="auto"/>
              </w:rPr>
            </w:pPr>
            <w:r>
              <w:rPr>
                <w:rFonts w:ascii="Arial" w:cs="Arial" w:eastAsia="Arial" w:hAnsi="Arial"/>
                <w:sz w:val="16"/>
                <w:szCs w:val="16"/>
                <w:color w:val="auto"/>
              </w:rPr>
              <w:t>core semiconductor technology leadership and enabling industry-leading memory product</w:t>
            </w: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2260" w:type="dxa"/>
            <w:vAlign w:val="bottom"/>
            <w:tcBorders>
              <w:right w:val="single" w:sz="8" w:color="929292"/>
            </w:tcBorders>
            <w:vMerge w:val="restart"/>
          </w:tcPr>
          <w:p>
            <w:pPr>
              <w:ind w:left="20"/>
              <w:spacing w:after="0" w:line="290" w:lineRule="exact"/>
              <w:rPr>
                <w:sz w:val="20"/>
                <w:szCs w:val="20"/>
                <w:color w:val="auto"/>
              </w:rPr>
            </w:pPr>
            <w:r>
              <w:rPr>
                <w:rFonts w:ascii="Arial" w:cs="Arial" w:eastAsia="Arial" w:hAnsi="Arial"/>
                <w:sz w:val="29"/>
                <w:szCs w:val="29"/>
                <w:color w:val="6D6D6D"/>
              </w:rPr>
              <w:t>Executive Vice</w:t>
            </w:r>
          </w:p>
        </w:tc>
        <w:tc>
          <w:tcPr>
            <w:tcW w:w="6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1" w:lineRule="exact"/>
              <w:rPr>
                <w:sz w:val="20"/>
                <w:szCs w:val="20"/>
                <w:color w:val="auto"/>
              </w:rPr>
            </w:pPr>
            <w:r>
              <w:rPr>
                <w:rFonts w:ascii="Arial" w:cs="Arial" w:eastAsia="Arial" w:hAnsi="Arial"/>
                <w:sz w:val="16"/>
                <w:szCs w:val="16"/>
                <w:color w:val="auto"/>
              </w:rPr>
              <w:t>solutions for Micron’s diverse customer base. Dr. DeBoer has earned more than 120 patents,</w:t>
            </w:r>
          </w:p>
        </w:tc>
        <w:tc>
          <w:tcPr>
            <w:tcW w:w="0" w:type="dxa"/>
            <w:vAlign w:val="bottom"/>
          </w:tcPr>
          <w:p>
            <w:pPr>
              <w:spacing w:after="0"/>
              <w:rPr>
                <w:sz w:val="1"/>
                <w:szCs w:val="1"/>
                <w:color w:val="auto"/>
              </w:rPr>
            </w:pPr>
          </w:p>
        </w:tc>
      </w:tr>
      <w:tr>
        <w:trPr>
          <w:trHeight w:val="15"/>
        </w:trPr>
        <w:tc>
          <w:tcPr>
            <w:tcW w:w="2220" w:type="dxa"/>
            <w:vAlign w:val="bottom"/>
          </w:tcPr>
          <w:p>
            <w:pPr>
              <w:spacing w:after="0" w:line="20" w:lineRule="exact"/>
              <w:rPr>
                <w:sz w:val="1"/>
                <w:szCs w:val="1"/>
                <w:color w:val="auto"/>
              </w:rPr>
            </w:pPr>
          </w:p>
        </w:tc>
        <w:tc>
          <w:tcPr>
            <w:tcW w:w="2260" w:type="dxa"/>
            <w:vAlign w:val="bottom"/>
            <w:tcBorders>
              <w:right w:val="single" w:sz="8" w:color="929292"/>
            </w:tcBorders>
          </w:tcPr>
          <w:p>
            <w:pPr>
              <w:ind w:left="20"/>
              <w:spacing w:after="0"/>
              <w:rPr>
                <w:sz w:val="20"/>
                <w:szCs w:val="20"/>
                <w:color w:val="auto"/>
              </w:rPr>
            </w:pPr>
            <w:r>
              <w:rPr>
                <w:rFonts w:ascii="Arial" w:cs="Arial" w:eastAsia="Arial" w:hAnsi="Arial"/>
                <w:sz w:val="1"/>
                <w:szCs w:val="1"/>
                <w:color w:val="6D6D6D"/>
              </w:rPr>
              <w:t>President, Chief</w:t>
            </w:r>
          </w:p>
        </w:tc>
        <w:tc>
          <w:tcPr>
            <w:tcW w:w="6740" w:type="dxa"/>
            <w:vAlign w:val="bottom"/>
          </w:tcPr>
          <w:p>
            <w:pPr>
              <w:ind w:left="20"/>
              <w:spacing w:after="0"/>
              <w:rPr>
                <w:sz w:val="20"/>
                <w:szCs w:val="20"/>
                <w:color w:val="auto"/>
              </w:rPr>
            </w:pPr>
            <w:r>
              <w:rPr>
                <w:rFonts w:ascii="Arial" w:cs="Arial" w:eastAsia="Arial" w:hAnsi="Arial"/>
                <w:sz w:val="1"/>
                <w:szCs w:val="1"/>
                <w:color w:val="auto"/>
              </w:rPr>
              <w:t>DeBoer currently serves as the Chair of the Industrial Advisory Committee for the U. S.</w:t>
            </w:r>
          </w:p>
        </w:tc>
        <w:tc>
          <w:tcPr>
            <w:tcW w:w="0" w:type="dxa"/>
            <w:vAlign w:val="bottom"/>
          </w:tcPr>
          <w:p>
            <w:pPr>
              <w:spacing w:after="0" w:line="20" w:lineRule="exact"/>
              <w:rPr>
                <w:sz w:val="1"/>
                <w:szCs w:val="1"/>
                <w:color w:val="auto"/>
              </w:rPr>
            </w:pPr>
          </w:p>
        </w:tc>
      </w:tr>
      <w:tr>
        <w:trPr>
          <w:trHeight w:val="214"/>
        </w:trPr>
        <w:tc>
          <w:tcPr>
            <w:tcW w:w="2220" w:type="dxa"/>
            <w:vAlign w:val="bottom"/>
          </w:tcPr>
          <w:p>
            <w:pPr>
              <w:spacing w:after="0"/>
              <w:rPr>
                <w:sz w:val="18"/>
                <w:szCs w:val="18"/>
                <w:color w:val="auto"/>
              </w:rPr>
            </w:pPr>
          </w:p>
        </w:tc>
        <w:tc>
          <w:tcPr>
            <w:tcW w:w="2260" w:type="dxa"/>
            <w:vAlign w:val="bottom"/>
            <w:tcBorders>
              <w:right w:val="single" w:sz="8" w:color="929292"/>
            </w:tcBorders>
            <w:vMerge w:val="restart"/>
          </w:tcPr>
          <w:p>
            <w:pPr>
              <w:ind w:left="20"/>
              <w:spacing w:after="0" w:line="323" w:lineRule="exact"/>
              <w:rPr>
                <w:sz w:val="20"/>
                <w:szCs w:val="20"/>
                <w:color w:val="auto"/>
              </w:rPr>
            </w:pPr>
            <w:r>
              <w:rPr>
                <w:rFonts w:ascii="Arial" w:cs="Arial" w:eastAsia="Arial" w:hAnsi="Arial"/>
                <w:sz w:val="29"/>
                <w:szCs w:val="29"/>
                <w:color w:val="6D6D6D"/>
              </w:rPr>
              <w:t>Technology and</w:t>
            </w:r>
          </w:p>
        </w:tc>
        <w:tc>
          <w:tcPr>
            <w:tcW w:w="6740" w:type="dxa"/>
            <w:vAlign w:val="bottom"/>
          </w:tcPr>
          <w:p>
            <w:pPr>
              <w:ind w:left="20"/>
              <w:spacing w:after="0"/>
              <w:rPr>
                <w:sz w:val="20"/>
                <w:szCs w:val="20"/>
                <w:color w:val="auto"/>
              </w:rPr>
            </w:pPr>
            <w:r>
              <w:rPr>
                <w:rFonts w:ascii="Arial" w:cs="Arial" w:eastAsia="Arial" w:hAnsi="Arial"/>
                <w:sz w:val="16"/>
                <w:szCs w:val="16"/>
                <w:color w:val="auto"/>
              </w:rPr>
              <w:t>many of which are instrumental in today’s DRAM processes and process integration. Dr.</w:t>
            </w:r>
          </w:p>
        </w:tc>
        <w:tc>
          <w:tcPr>
            <w:tcW w:w="0" w:type="dxa"/>
            <w:vAlign w:val="bottom"/>
          </w:tcPr>
          <w:p>
            <w:pPr>
              <w:spacing w:after="0"/>
              <w:rPr>
                <w:sz w:val="1"/>
                <w:szCs w:val="1"/>
                <w:color w:val="auto"/>
              </w:rPr>
            </w:pPr>
          </w:p>
        </w:tc>
      </w:tr>
      <w:tr>
        <w:trPr>
          <w:trHeight w:val="109"/>
        </w:trPr>
        <w:tc>
          <w:tcPr>
            <w:tcW w:w="2220" w:type="dxa"/>
            <w:vAlign w:val="bottom"/>
          </w:tcPr>
          <w:p>
            <w:pPr>
              <w:spacing w:after="0"/>
              <w:rPr>
                <w:sz w:val="9"/>
                <w:szCs w:val="9"/>
                <w:color w:val="auto"/>
              </w:rPr>
            </w:pPr>
          </w:p>
        </w:tc>
        <w:tc>
          <w:tcPr>
            <w:tcW w:w="2260" w:type="dxa"/>
            <w:vAlign w:val="bottom"/>
            <w:tcBorders>
              <w:right w:val="single" w:sz="8" w:color="929292"/>
            </w:tcBorders>
            <w:vMerge w:val="continue"/>
          </w:tcPr>
          <w:p>
            <w:pPr>
              <w:spacing w:after="0"/>
              <w:rPr>
                <w:sz w:val="9"/>
                <w:szCs w:val="9"/>
                <w:color w:val="auto"/>
              </w:rPr>
            </w:pPr>
          </w:p>
        </w:tc>
        <w:tc>
          <w:tcPr>
            <w:tcW w:w="6740" w:type="dxa"/>
            <w:vAlign w:val="bottom"/>
          </w:tcPr>
          <w:p>
            <w:pPr>
              <w:ind w:left="20"/>
              <w:spacing w:after="0" w:line="109" w:lineRule="exact"/>
              <w:rPr>
                <w:sz w:val="20"/>
                <w:szCs w:val="20"/>
                <w:color w:val="auto"/>
              </w:rPr>
            </w:pPr>
            <w:r>
              <w:rPr>
                <w:rFonts w:ascii="Arial" w:cs="Arial" w:eastAsia="Arial" w:hAnsi="Arial"/>
                <w:sz w:val="12"/>
                <w:szCs w:val="12"/>
                <w:color w:val="auto"/>
              </w:rPr>
              <w:t>Alliance, Semiconductor Research Corp. (SRC), and Idaho Business for Education, as well as</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6D6D6D"/>
              </w:rPr>
              <w:t>Products Officer</w:t>
            </w:r>
          </w:p>
        </w:tc>
        <w:tc>
          <w:tcPr>
            <w:tcW w:w="6740" w:type="dxa"/>
            <w:vAlign w:val="bottom"/>
          </w:tcPr>
          <w:p>
            <w:pPr>
              <w:ind w:left="20"/>
              <w:spacing w:after="0"/>
              <w:rPr>
                <w:sz w:val="20"/>
                <w:szCs w:val="20"/>
                <w:color w:val="auto"/>
              </w:rPr>
            </w:pPr>
            <w:r>
              <w:rPr>
                <w:rFonts w:ascii="Arial" w:cs="Arial" w:eastAsia="Arial" w:hAnsi="Arial"/>
                <w:sz w:val="16"/>
                <w:szCs w:val="16"/>
                <w:color w:val="auto"/>
              </w:rPr>
              <w:t>Department of Commerce. He also serves on the board of directors of Global Semiconductor</w:t>
            </w:r>
          </w:p>
        </w:tc>
        <w:tc>
          <w:tcPr>
            <w:tcW w:w="0" w:type="dxa"/>
            <w:vAlign w:val="bottom"/>
          </w:tcPr>
          <w:p>
            <w:pPr>
              <w:spacing w:after="0"/>
              <w:rPr>
                <w:sz w:val="1"/>
                <w:szCs w:val="1"/>
                <w:color w:val="auto"/>
              </w:rPr>
            </w:pPr>
          </w:p>
        </w:tc>
      </w:tr>
      <w:tr>
        <w:trPr>
          <w:trHeight w:val="360"/>
        </w:trPr>
        <w:tc>
          <w:tcPr>
            <w:tcW w:w="2220" w:type="dxa"/>
            <w:vAlign w:val="bottom"/>
          </w:tcPr>
          <w:p>
            <w:pPr>
              <w:spacing w:after="0"/>
              <w:rPr>
                <w:sz w:val="24"/>
                <w:szCs w:val="24"/>
                <w:color w:val="auto"/>
              </w:rPr>
            </w:pPr>
          </w:p>
        </w:tc>
        <w:tc>
          <w:tcPr>
            <w:tcW w:w="2260" w:type="dxa"/>
            <w:vAlign w:val="bottom"/>
            <w:tcBorders>
              <w:right w:val="single" w:sz="8" w:color="929292"/>
            </w:tcBorders>
            <w:vMerge w:val="continue"/>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on the governing council of SRC’s JUMP and nCORE long-term research initiatives.</w:t>
            </w:r>
          </w:p>
        </w:tc>
        <w:tc>
          <w:tcPr>
            <w:tcW w:w="0" w:type="dxa"/>
            <w:vAlign w:val="bottom"/>
          </w:tcPr>
          <w:p>
            <w:pPr>
              <w:spacing w:after="0"/>
              <w:rPr>
                <w:sz w:val="1"/>
                <w:szCs w:val="1"/>
                <w:color w:val="auto"/>
              </w:rPr>
            </w:pPr>
          </w:p>
        </w:tc>
      </w:tr>
      <w:tr>
        <w:trPr>
          <w:trHeight w:val="392"/>
        </w:trPr>
        <w:tc>
          <w:tcPr>
            <w:tcW w:w="2220" w:type="dxa"/>
            <w:vAlign w:val="bottom"/>
            <w:tcBorders>
              <w:bottom w:val="single" w:sz="8" w:color="BD03F7"/>
            </w:tcBorders>
          </w:tcPr>
          <w:p>
            <w:pPr>
              <w:spacing w:after="0"/>
              <w:rPr>
                <w:sz w:val="24"/>
                <w:szCs w:val="24"/>
                <w:color w:val="auto"/>
              </w:rPr>
            </w:pPr>
          </w:p>
        </w:tc>
        <w:tc>
          <w:tcPr>
            <w:tcW w:w="2260" w:type="dxa"/>
            <w:vAlign w:val="bottom"/>
            <w:tcBorders>
              <w:bottom w:val="single" w:sz="8" w:color="BD03F7"/>
              <w:right w:val="single" w:sz="8" w:color="929292"/>
            </w:tcBorders>
          </w:tcPr>
          <w:p>
            <w:pPr>
              <w:spacing w:after="0"/>
              <w:rPr>
                <w:sz w:val="24"/>
                <w:szCs w:val="24"/>
                <w:color w:val="auto"/>
              </w:rPr>
            </w:pPr>
          </w:p>
        </w:tc>
        <w:tc>
          <w:tcPr>
            <w:tcW w:w="6740" w:type="dxa"/>
            <w:vAlign w:val="bottom"/>
            <w:tcBorders>
              <w:bottom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15"/>
                <w:szCs w:val="15"/>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auto"/>
              </w:rPr>
              <w:t>Sumit Sadana</w:t>
            </w:r>
          </w:p>
        </w:tc>
        <w:tc>
          <w:tcPr>
            <w:tcW w:w="6740" w:type="dxa"/>
            <w:vAlign w:val="bottom"/>
          </w:tcPr>
          <w:p>
            <w:pPr>
              <w:ind w:left="20"/>
              <w:spacing w:after="0" w:line="181" w:lineRule="exact"/>
              <w:rPr>
                <w:sz w:val="20"/>
                <w:szCs w:val="20"/>
                <w:color w:val="auto"/>
              </w:rPr>
            </w:pPr>
            <w:r>
              <w:rPr>
                <w:rFonts w:ascii="Arial" w:cs="Arial" w:eastAsia="Arial" w:hAnsi="Arial"/>
                <w:sz w:val="16"/>
                <w:szCs w:val="16"/>
                <w:color w:val="auto"/>
              </w:rPr>
              <w:t>Mr. Sadana, our Executive Vice President and Chief Business Officer, has more than 30</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Borders>
              <w:right w:val="single" w:sz="8" w:color="929292"/>
            </w:tcBorders>
            <w:vMerge w:val="continue"/>
          </w:tcPr>
          <w:p>
            <w:pPr>
              <w:spacing w:after="0"/>
              <w:rPr>
                <w:sz w:val="15"/>
                <w:szCs w:val="15"/>
                <w:color w:val="auto"/>
              </w:rPr>
            </w:pPr>
          </w:p>
        </w:tc>
        <w:tc>
          <w:tcPr>
            <w:tcW w:w="6740" w:type="dxa"/>
            <w:vAlign w:val="bottom"/>
          </w:tcPr>
          <w:p>
            <w:pPr>
              <w:ind w:left="20"/>
              <w:spacing w:after="0" w:line="175" w:lineRule="exact"/>
              <w:rPr>
                <w:sz w:val="20"/>
                <w:szCs w:val="20"/>
                <w:color w:val="auto"/>
              </w:rPr>
            </w:pPr>
            <w:r>
              <w:rPr>
                <w:rFonts w:ascii="Arial" w:cs="Arial" w:eastAsia="Arial" w:hAnsi="Arial"/>
                <w:sz w:val="16"/>
                <w:szCs w:val="16"/>
                <w:color w:val="auto"/>
              </w:rPr>
              <w:t>years of technology industry experience. He is responsible for the Company’s P&amp;L and leads</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260" w:type="dxa"/>
            <w:vAlign w:val="bottom"/>
            <w:tcBorders>
              <w:bottom w:val="single" w:sz="8" w:color="929292"/>
              <w:right w:val="single" w:sz="8" w:color="929292"/>
            </w:tcBorders>
          </w:tcPr>
          <w:p>
            <w:pPr>
              <w:spacing w:after="0"/>
              <w:rPr>
                <w:sz w:val="7"/>
                <w:szCs w:val="7"/>
                <w:color w:val="auto"/>
              </w:rPr>
            </w:pPr>
          </w:p>
        </w:tc>
        <w:tc>
          <w:tcPr>
            <w:tcW w:w="6740" w:type="dxa"/>
            <w:vAlign w:val="bottom"/>
            <w:vMerge w:val="restart"/>
          </w:tcPr>
          <w:p>
            <w:pPr>
              <w:ind w:left="20"/>
              <w:spacing w:after="0"/>
              <w:rPr>
                <w:sz w:val="20"/>
                <w:szCs w:val="20"/>
                <w:color w:val="auto"/>
              </w:rPr>
            </w:pPr>
            <w:r>
              <w:rPr>
                <w:rFonts w:ascii="Arial" w:cs="Arial" w:eastAsia="Arial" w:hAnsi="Arial"/>
                <w:sz w:val="16"/>
                <w:szCs w:val="16"/>
                <w:color w:val="auto"/>
              </w:rPr>
              <w:t>all the Company’s business units, strategy and corporate business development, global</w:t>
            </w: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2260" w:type="dxa"/>
            <w:vAlign w:val="bottom"/>
            <w:tcBorders>
              <w:right w:val="single" w:sz="8" w:color="929292"/>
            </w:tcBorders>
            <w:vMerge w:val="restart"/>
          </w:tcPr>
          <w:p>
            <w:pPr>
              <w:ind w:left="20"/>
              <w:spacing w:after="0" w:line="258" w:lineRule="exact"/>
              <w:rPr>
                <w:sz w:val="20"/>
                <w:szCs w:val="20"/>
                <w:color w:val="auto"/>
              </w:rPr>
            </w:pPr>
            <w:r>
              <w:rPr>
                <w:rFonts w:ascii="Arial" w:cs="Arial" w:eastAsia="Arial" w:hAnsi="Arial"/>
                <w:sz w:val="29"/>
                <w:szCs w:val="29"/>
                <w:color w:val="6D6D6D"/>
              </w:rPr>
              <w:t>Executive Vice</w:t>
            </w: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71" w:lineRule="exact"/>
              <w:rPr>
                <w:sz w:val="20"/>
                <w:szCs w:val="20"/>
                <w:color w:val="auto"/>
              </w:rPr>
            </w:pPr>
            <w:r>
              <w:rPr>
                <w:rFonts w:ascii="Arial" w:cs="Arial" w:eastAsia="Arial" w:hAnsi="Arial"/>
                <w:sz w:val="16"/>
                <w:szCs w:val="16"/>
                <w:color w:val="auto"/>
              </w:rPr>
              <w:t>communications and marketing, as well as Micron Ventures, the Company’s venture capital</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6D6D6D"/>
              </w:rPr>
              <w:t>President and</w:t>
            </w:r>
          </w:p>
        </w:tc>
        <w:tc>
          <w:tcPr>
            <w:tcW w:w="6740" w:type="dxa"/>
            <w:vAlign w:val="bottom"/>
          </w:tcPr>
          <w:p>
            <w:pPr>
              <w:ind w:left="20"/>
              <w:spacing w:after="0"/>
              <w:rPr>
                <w:sz w:val="20"/>
                <w:szCs w:val="20"/>
                <w:color w:val="auto"/>
              </w:rPr>
            </w:pPr>
            <w:r>
              <w:rPr>
                <w:rFonts w:ascii="Arial" w:cs="Arial" w:eastAsia="Arial" w:hAnsi="Arial"/>
                <w:sz w:val="16"/>
                <w:szCs w:val="16"/>
                <w:color w:val="auto"/>
              </w:rPr>
              <w:t>investment arm. Through his career, Mr. Sadana has held engineering and business roles</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2260" w:type="dxa"/>
            <w:vAlign w:val="bottom"/>
            <w:tcBorders>
              <w:right w:val="single" w:sz="8" w:color="929292"/>
            </w:tcBorders>
            <w:vMerge w:val="continue"/>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rPr>
              <w:t>ranging from chip design, software development, operations management, strategy</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2260" w:type="dxa"/>
            <w:vAlign w:val="bottom"/>
            <w:tcBorders>
              <w:right w:val="single" w:sz="8" w:color="929292"/>
            </w:tcBorders>
          </w:tcPr>
          <w:p>
            <w:pPr>
              <w:ind w:left="20"/>
              <w:spacing w:after="0" w:line="203" w:lineRule="exact"/>
              <w:rPr>
                <w:sz w:val="20"/>
                <w:szCs w:val="20"/>
                <w:color w:val="auto"/>
              </w:rPr>
            </w:pPr>
            <w:r>
              <w:rPr>
                <w:rFonts w:ascii="Arial" w:cs="Arial" w:eastAsia="Arial" w:hAnsi="Arial"/>
                <w:sz w:val="23"/>
                <w:szCs w:val="23"/>
                <w:color w:val="6D6D6D"/>
              </w:rPr>
              <w:t>Chief Business</w:t>
            </w:r>
          </w:p>
        </w:tc>
        <w:tc>
          <w:tcPr>
            <w:tcW w:w="6740" w:type="dxa"/>
            <w:vAlign w:val="bottom"/>
          </w:tcPr>
          <w:p>
            <w:pPr>
              <w:ind w:left="20"/>
              <w:spacing w:after="0"/>
              <w:rPr>
                <w:sz w:val="20"/>
                <w:szCs w:val="20"/>
                <w:color w:val="auto"/>
              </w:rPr>
            </w:pPr>
            <w:r>
              <w:rPr>
                <w:rFonts w:ascii="Arial" w:cs="Arial" w:eastAsia="Arial" w:hAnsi="Arial"/>
                <w:sz w:val="16"/>
                <w:szCs w:val="16"/>
                <w:color w:val="auto"/>
              </w:rPr>
              <w:t>development and intellectual property licensing to executive positions such as Chief</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226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9"/>
                <w:szCs w:val="29"/>
                <w:color w:val="6D6D6D"/>
              </w:rPr>
              <w:t>Officer</w:t>
            </w:r>
          </w:p>
        </w:tc>
        <w:tc>
          <w:tcPr>
            <w:tcW w:w="6740" w:type="dxa"/>
            <w:vAlign w:val="bottom"/>
          </w:tcPr>
          <w:p>
            <w:pPr>
              <w:ind w:left="20"/>
              <w:spacing w:after="0" w:line="172" w:lineRule="exact"/>
              <w:rPr>
                <w:sz w:val="20"/>
                <w:szCs w:val="20"/>
                <w:color w:val="auto"/>
              </w:rPr>
            </w:pPr>
            <w:r>
              <w:rPr>
                <w:rFonts w:ascii="Arial" w:cs="Arial" w:eastAsia="Arial" w:hAnsi="Arial"/>
                <w:sz w:val="16"/>
                <w:szCs w:val="16"/>
                <w:color w:val="auto"/>
              </w:rPr>
              <w:t>Technology Officer, Chief Financial Officer and General Manager. He has overseen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Borders>
              <w:right w:val="single" w:sz="8" w:color="929292"/>
            </w:tcBorders>
            <w:vMerge w:val="continue"/>
          </w:tcPr>
          <w:p>
            <w:pPr>
              <w:spacing w:after="0"/>
              <w:rPr>
                <w:sz w:val="15"/>
                <w:szCs w:val="15"/>
                <w:color w:val="auto"/>
              </w:rPr>
            </w:pPr>
          </w:p>
        </w:tc>
        <w:tc>
          <w:tcPr>
            <w:tcW w:w="6740" w:type="dxa"/>
            <w:vAlign w:val="bottom"/>
          </w:tcPr>
          <w:p>
            <w:pPr>
              <w:ind w:left="20"/>
              <w:spacing w:after="0" w:line="175" w:lineRule="exact"/>
              <w:rPr>
                <w:sz w:val="20"/>
                <w:szCs w:val="20"/>
                <w:color w:val="auto"/>
              </w:rPr>
            </w:pPr>
            <w:r>
              <w:rPr>
                <w:rFonts w:ascii="Arial" w:cs="Arial" w:eastAsia="Arial" w:hAnsi="Arial"/>
                <w:sz w:val="16"/>
                <w:szCs w:val="16"/>
                <w:color w:val="auto"/>
              </w:rPr>
              <w:t>approximately $40 billion of M&amp;A deals. Additionally, he has served on the board of directors</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2260" w:type="dxa"/>
            <w:vAlign w:val="bottom"/>
            <w:tcBorders>
              <w:right w:val="single" w:sz="8" w:color="929292"/>
            </w:tcBorders>
          </w:tcPr>
          <w:p>
            <w:pPr>
              <w:spacing w:after="0"/>
              <w:rPr>
                <w:sz w:val="16"/>
                <w:szCs w:val="16"/>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of Silicon Labs, an industry leader in IoT, since 2015 and was appointed lead independent</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BD03F7"/>
            </w:tcBorders>
          </w:tcPr>
          <w:p>
            <w:pPr>
              <w:spacing w:after="0"/>
              <w:rPr>
                <w:sz w:val="19"/>
                <w:szCs w:val="19"/>
                <w:color w:val="auto"/>
              </w:rPr>
            </w:pPr>
          </w:p>
        </w:tc>
        <w:tc>
          <w:tcPr>
            <w:tcW w:w="2260" w:type="dxa"/>
            <w:vAlign w:val="bottom"/>
            <w:tcBorders>
              <w:bottom w:val="single" w:sz="8" w:color="BD03F7"/>
              <w:right w:val="single" w:sz="8" w:color="929292"/>
            </w:tcBorders>
          </w:tcPr>
          <w:p>
            <w:pPr>
              <w:spacing w:after="0"/>
              <w:rPr>
                <w:sz w:val="19"/>
                <w:szCs w:val="19"/>
                <w:color w:val="auto"/>
              </w:rPr>
            </w:pPr>
          </w:p>
        </w:tc>
        <w:tc>
          <w:tcPr>
            <w:tcW w:w="674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director in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-6269355</wp:posOffset>
            </wp:positionV>
            <wp:extent cx="1050925" cy="61931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50925" cy="61931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discussion and elsewhere in this Proxy Statement, the foregoing individuals are referred to as our Named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Focus on Top Talent</w:t>
      </w:r>
    </w:p>
    <w:p>
      <w:pPr>
        <w:spacing w:after="0" w:line="241"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The Compensation Committee places a strong emphasis on developing, motivating, retaining, and attracting top talent. Such talent is key to the execution of our business strategy and the growth of our business.</w:t>
      </w:r>
    </w:p>
    <w:p>
      <w:pPr>
        <w:spacing w:after="0" w:line="181" w:lineRule="exact"/>
        <w:rPr>
          <w:sz w:val="20"/>
          <w:szCs w:val="20"/>
          <w:color w:val="auto"/>
        </w:rPr>
      </w:pPr>
    </w:p>
    <w:p>
      <w:pPr>
        <w:ind w:right="900"/>
        <w:spacing w:after="0" w:line="285" w:lineRule="auto"/>
        <w:rPr>
          <w:sz w:val="20"/>
          <w:szCs w:val="20"/>
          <w:color w:val="auto"/>
        </w:rPr>
      </w:pPr>
      <w:r>
        <w:rPr>
          <w:rFonts w:ascii="Arial" w:cs="Arial" w:eastAsia="Arial" w:hAnsi="Arial"/>
          <w:sz w:val="18"/>
          <w:szCs w:val="18"/>
          <w:color w:val="auto"/>
        </w:rPr>
        <w:t>As highlighted above, our Named Executive Officers have been recognized by business, higher education and community-focused organizations for their exceptional leadership, knowledge and contributions to the semiconductor industry.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AND BUSINESS HIGHLIGHTS</w:t>
      </w:r>
    </w:p>
    <w:p>
      <w:pPr>
        <w:spacing w:after="0" w:line="22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Fiscal 2024, the Micron team delivered over 60% revenue growth and expanded gross margins by 30 percentage points. The Micron team delivered the following financial results in Fiscal 2024:</w:t>
      </w:r>
    </w:p>
    <w:p>
      <w:pPr>
        <w:spacing w:after="0" w:line="35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Fiscal 2024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-64770</wp:posOffset>
            </wp:positionV>
            <wp:extent cx="6398260" cy="2639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98260" cy="263969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930" w:type="dxa"/>
        <w:tblCellMar>
          <w:top w:w="0" w:type="dxa"/>
          <w:left w:w="0" w:type="dxa"/>
          <w:bottom w:w="0" w:type="dxa"/>
          <w:right w:w="0" w:type="dxa"/>
        </w:tblCellMar>
      </w:tblPr>
      <w:tr>
        <w:trPr>
          <w:trHeight w:val="108"/>
        </w:trPr>
        <w:tc>
          <w:tcPr>
            <w:tcW w:w="1860" w:type="dxa"/>
            <w:vAlign w:val="bottom"/>
            <w:tcBorders>
              <w:left w:val="single" w:sz="8" w:color="BD03F7"/>
            </w:tcBorders>
            <w:shd w:val="clear" w:color="auto" w:fill="F9F9F9"/>
          </w:tcPr>
          <w:p>
            <w:pPr>
              <w:spacing w:after="0"/>
              <w:rPr>
                <w:sz w:val="9"/>
                <w:szCs w:val="9"/>
                <w:color w:val="auto"/>
              </w:rPr>
            </w:pPr>
          </w:p>
        </w:tc>
        <w:tc>
          <w:tcPr>
            <w:tcW w:w="2860" w:type="dxa"/>
            <w:vAlign w:val="bottom"/>
            <w:vMerge w:val="restart"/>
            <w:shd w:val="clear" w:color="auto" w:fill="F9F9F9"/>
          </w:tcPr>
          <w:p>
            <w:pPr>
              <w:ind w:left="60"/>
              <w:spacing w:after="0"/>
              <w:rPr>
                <w:sz w:val="20"/>
                <w:szCs w:val="20"/>
                <w:color w:val="auto"/>
              </w:rPr>
            </w:pPr>
            <w:r>
              <w:rPr>
                <w:rFonts w:ascii="Arial" w:cs="Arial" w:eastAsia="Arial" w:hAnsi="Arial"/>
                <w:sz w:val="22"/>
                <w:szCs w:val="22"/>
                <w:b w:val="1"/>
                <w:bCs w:val="1"/>
                <w:color w:val="auto"/>
              </w:rPr>
              <w:t>Revenue</w:t>
            </w:r>
          </w:p>
        </w:tc>
        <w:tc>
          <w:tcPr>
            <w:tcW w:w="260" w:type="dxa"/>
            <w:vAlign w:val="bottom"/>
            <w:tcBorders>
              <w:right w:val="single" w:sz="8" w:color="F9F9F9"/>
            </w:tcBorders>
          </w:tcPr>
          <w:p>
            <w:pPr>
              <w:spacing w:after="0"/>
              <w:rPr>
                <w:sz w:val="9"/>
                <w:szCs w:val="9"/>
                <w:color w:val="auto"/>
              </w:rPr>
            </w:pPr>
          </w:p>
        </w:tc>
        <w:tc>
          <w:tcPr>
            <w:tcW w:w="4420" w:type="dxa"/>
            <w:vAlign w:val="bottom"/>
            <w:gridSpan w:val="2"/>
            <w:vMerge w:val="restart"/>
            <w:shd w:val="clear" w:color="auto" w:fill="F9F9F9"/>
          </w:tcPr>
          <w:p>
            <w:pPr>
              <w:jc w:val="center"/>
              <w:spacing w:after="0"/>
              <w:rPr>
                <w:sz w:val="20"/>
                <w:szCs w:val="20"/>
                <w:color w:val="auto"/>
              </w:rPr>
            </w:pPr>
            <w:r>
              <w:rPr>
                <w:rFonts w:ascii="Arial" w:cs="Arial" w:eastAsia="Arial" w:hAnsi="Arial"/>
                <w:sz w:val="22"/>
                <w:szCs w:val="22"/>
                <w:b w:val="1"/>
                <w:bCs w:val="1"/>
                <w:color w:val="auto"/>
                <w:w w:val="97"/>
              </w:rPr>
              <w:t>GAAP Net Income (Loss)</w:t>
            </w:r>
          </w:p>
        </w:tc>
        <w:tc>
          <w:tcPr>
            <w:tcW w:w="0" w:type="dxa"/>
            <w:vAlign w:val="bottom"/>
          </w:tcPr>
          <w:p>
            <w:pPr>
              <w:spacing w:after="0"/>
              <w:rPr>
                <w:sz w:val="1"/>
                <w:szCs w:val="1"/>
                <w:color w:val="auto"/>
              </w:rPr>
            </w:pPr>
          </w:p>
        </w:tc>
      </w:tr>
      <w:tr>
        <w:trPr>
          <w:trHeight w:val="269"/>
        </w:trPr>
        <w:tc>
          <w:tcPr>
            <w:tcW w:w="1860" w:type="dxa"/>
            <w:vAlign w:val="bottom"/>
            <w:tcBorders>
              <w:left w:val="single" w:sz="8" w:color="BD03F7"/>
            </w:tcBorders>
            <w:shd w:val="clear" w:color="auto" w:fill="F9F9F9"/>
          </w:tcPr>
          <w:p>
            <w:pPr>
              <w:spacing w:after="0"/>
              <w:rPr>
                <w:sz w:val="23"/>
                <w:szCs w:val="23"/>
                <w:color w:val="auto"/>
              </w:rPr>
            </w:pPr>
          </w:p>
        </w:tc>
        <w:tc>
          <w:tcPr>
            <w:tcW w:w="2860" w:type="dxa"/>
            <w:vAlign w:val="bottom"/>
            <w:vMerge w:val="continue"/>
            <w:shd w:val="clear" w:color="auto" w:fill="F9F9F9"/>
          </w:tcPr>
          <w:p>
            <w:pPr>
              <w:spacing w:after="0"/>
              <w:rPr>
                <w:sz w:val="23"/>
                <w:szCs w:val="23"/>
                <w:color w:val="auto"/>
              </w:rPr>
            </w:pPr>
          </w:p>
        </w:tc>
        <w:tc>
          <w:tcPr>
            <w:tcW w:w="260" w:type="dxa"/>
            <w:vAlign w:val="bottom"/>
            <w:tcBorders>
              <w:right w:val="single" w:sz="8" w:color="BD03F7"/>
            </w:tcBorders>
          </w:tcPr>
          <w:p>
            <w:pPr>
              <w:spacing w:after="0"/>
              <w:rPr>
                <w:sz w:val="23"/>
                <w:szCs w:val="23"/>
                <w:color w:val="auto"/>
              </w:rPr>
            </w:pPr>
          </w:p>
        </w:tc>
        <w:tc>
          <w:tcPr>
            <w:tcW w:w="4420" w:type="dxa"/>
            <w:vAlign w:val="bottom"/>
            <w:gridSpan w:val="2"/>
            <w:vMerge w:val="continue"/>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538"/>
        </w:trPr>
        <w:tc>
          <w:tcPr>
            <w:tcW w:w="1860" w:type="dxa"/>
            <w:vAlign w:val="bottom"/>
            <w:tcBorders>
              <w:left w:val="single" w:sz="8" w:color="BD03F7"/>
            </w:tcBorders>
            <w:shd w:val="clear" w:color="auto" w:fill="F9F9F9"/>
          </w:tcPr>
          <w:p>
            <w:pPr>
              <w:jc w:val="right"/>
              <w:spacing w:after="0"/>
              <w:rPr>
                <w:sz w:val="20"/>
                <w:szCs w:val="20"/>
                <w:color w:val="auto"/>
              </w:rPr>
            </w:pPr>
            <w:r>
              <w:rPr>
                <w:rFonts w:ascii="Arial" w:cs="Arial" w:eastAsia="Arial" w:hAnsi="Arial"/>
                <w:sz w:val="22"/>
                <w:szCs w:val="22"/>
                <w:b w:val="1"/>
                <w:bCs w:val="1"/>
                <w:color w:val="auto"/>
              </w:rPr>
              <w:t>$25.1 billion</w:t>
            </w:r>
          </w:p>
        </w:tc>
        <w:tc>
          <w:tcPr>
            <w:tcW w:w="2860" w:type="dxa"/>
            <w:vAlign w:val="bottom"/>
            <w:shd w:val="clear" w:color="auto" w:fill="F9F9F9"/>
          </w:tcPr>
          <w:p>
            <w:pPr>
              <w:ind w:left="1180"/>
              <w:spacing w:after="0"/>
              <w:rPr>
                <w:sz w:val="20"/>
                <w:szCs w:val="20"/>
                <w:color w:val="auto"/>
              </w:rPr>
            </w:pPr>
            <w:r>
              <w:rPr>
                <w:rFonts w:ascii="Arial" w:cs="Arial" w:eastAsia="Arial" w:hAnsi="Arial"/>
                <w:sz w:val="22"/>
                <w:szCs w:val="22"/>
                <w:b w:val="1"/>
                <w:bCs w:val="1"/>
                <w:color w:val="auto"/>
              </w:rPr>
              <w:t>Fiscal 2024</w:t>
            </w:r>
          </w:p>
        </w:tc>
        <w:tc>
          <w:tcPr>
            <w:tcW w:w="260" w:type="dxa"/>
            <w:vAlign w:val="bottom"/>
            <w:tcBorders>
              <w:right w:val="single" w:sz="8" w:color="BD03F7"/>
            </w:tcBorders>
          </w:tcPr>
          <w:p>
            <w:pPr>
              <w:spacing w:after="0"/>
              <w:rPr>
                <w:sz w:val="24"/>
                <w:szCs w:val="24"/>
                <w:color w:val="auto"/>
              </w:rPr>
            </w:pPr>
          </w:p>
        </w:tc>
        <w:tc>
          <w:tcPr>
            <w:tcW w:w="2200" w:type="dxa"/>
            <w:vAlign w:val="bottom"/>
            <w:shd w:val="clear" w:color="auto" w:fill="F9F9F9"/>
          </w:tcPr>
          <w:p>
            <w:pPr>
              <w:ind w:left="540"/>
              <w:spacing w:after="0"/>
              <w:rPr>
                <w:sz w:val="20"/>
                <w:szCs w:val="20"/>
                <w:color w:val="auto"/>
              </w:rPr>
            </w:pPr>
            <w:r>
              <w:rPr>
                <w:rFonts w:ascii="Arial" w:cs="Arial" w:eastAsia="Arial" w:hAnsi="Arial"/>
                <w:sz w:val="22"/>
                <w:szCs w:val="22"/>
                <w:b w:val="1"/>
                <w:bCs w:val="1"/>
                <w:color w:val="auto"/>
              </w:rPr>
              <w:t>$0.8 billion</w:t>
            </w:r>
          </w:p>
        </w:tc>
        <w:tc>
          <w:tcPr>
            <w:tcW w:w="2220" w:type="dxa"/>
            <w:vAlign w:val="bottom"/>
            <w:shd w:val="clear" w:color="auto" w:fill="F9F9F9"/>
          </w:tcPr>
          <w:p>
            <w:pPr>
              <w:ind w:left="540"/>
              <w:spacing w:after="0"/>
              <w:rPr>
                <w:sz w:val="20"/>
                <w:szCs w:val="20"/>
                <w:color w:val="auto"/>
              </w:rPr>
            </w:pPr>
            <w:r>
              <w:rPr>
                <w:rFonts w:ascii="Arial" w:cs="Arial" w:eastAsia="Arial" w:hAnsi="Arial"/>
                <w:sz w:val="22"/>
                <w:szCs w:val="22"/>
                <w:b w:val="1"/>
                <w:bCs w:val="1"/>
                <w:color w:val="auto"/>
              </w:rPr>
              <w:t>Fiscal 2024</w:t>
            </w:r>
          </w:p>
        </w:tc>
        <w:tc>
          <w:tcPr>
            <w:tcW w:w="0" w:type="dxa"/>
            <w:vAlign w:val="bottom"/>
          </w:tcPr>
          <w:p>
            <w:pPr>
              <w:spacing w:after="0"/>
              <w:rPr>
                <w:sz w:val="1"/>
                <w:szCs w:val="1"/>
                <w:color w:val="auto"/>
              </w:rPr>
            </w:pPr>
          </w:p>
        </w:tc>
      </w:tr>
      <w:tr>
        <w:trPr>
          <w:trHeight w:val="283"/>
        </w:trPr>
        <w:tc>
          <w:tcPr>
            <w:tcW w:w="1860" w:type="dxa"/>
            <w:vAlign w:val="bottom"/>
            <w:tcBorders>
              <w:left w:val="single" w:sz="8" w:color="BD03F7"/>
            </w:tcBorders>
            <w:shd w:val="clear" w:color="auto" w:fill="F9F9F9"/>
          </w:tcPr>
          <w:p>
            <w:pPr>
              <w:jc w:val="right"/>
              <w:spacing w:after="0"/>
              <w:rPr>
                <w:sz w:val="20"/>
                <w:szCs w:val="20"/>
                <w:color w:val="auto"/>
              </w:rPr>
            </w:pPr>
            <w:r>
              <w:rPr>
                <w:rFonts w:ascii="Arial" w:cs="Arial" w:eastAsia="Arial" w:hAnsi="Arial"/>
                <w:sz w:val="22"/>
                <w:szCs w:val="22"/>
                <w:color w:val="auto"/>
              </w:rPr>
              <w:t>$15.5 billion</w:t>
            </w:r>
          </w:p>
        </w:tc>
        <w:tc>
          <w:tcPr>
            <w:tcW w:w="2860" w:type="dxa"/>
            <w:vAlign w:val="bottom"/>
            <w:shd w:val="clear" w:color="auto" w:fill="F9F9F9"/>
          </w:tcPr>
          <w:p>
            <w:pPr>
              <w:ind w:left="1200"/>
              <w:spacing w:after="0"/>
              <w:rPr>
                <w:sz w:val="20"/>
                <w:szCs w:val="20"/>
                <w:color w:val="auto"/>
              </w:rPr>
            </w:pPr>
            <w:r>
              <w:rPr>
                <w:rFonts w:ascii="Arial" w:cs="Arial" w:eastAsia="Arial" w:hAnsi="Arial"/>
                <w:sz w:val="22"/>
                <w:szCs w:val="22"/>
                <w:color w:val="auto"/>
              </w:rPr>
              <w:t>Fiscal 2023</w:t>
            </w:r>
          </w:p>
        </w:tc>
        <w:tc>
          <w:tcPr>
            <w:tcW w:w="260" w:type="dxa"/>
            <w:vAlign w:val="bottom"/>
            <w:tcBorders>
              <w:right w:val="single" w:sz="8" w:color="BD03F7"/>
            </w:tcBorders>
          </w:tcPr>
          <w:p>
            <w:pPr>
              <w:spacing w:after="0"/>
              <w:rPr>
                <w:sz w:val="24"/>
                <w:szCs w:val="24"/>
                <w:color w:val="auto"/>
              </w:rPr>
            </w:pPr>
          </w:p>
        </w:tc>
        <w:tc>
          <w:tcPr>
            <w:tcW w:w="2200" w:type="dxa"/>
            <w:vAlign w:val="bottom"/>
            <w:shd w:val="clear" w:color="auto" w:fill="F9F9F9"/>
          </w:tcPr>
          <w:p>
            <w:pPr>
              <w:ind w:left="520"/>
              <w:spacing w:after="0"/>
              <w:rPr>
                <w:sz w:val="20"/>
                <w:szCs w:val="20"/>
                <w:color w:val="auto"/>
              </w:rPr>
            </w:pPr>
            <w:r>
              <w:rPr>
                <w:rFonts w:ascii="Arial" w:cs="Arial" w:eastAsia="Arial" w:hAnsi="Arial"/>
                <w:sz w:val="22"/>
                <w:szCs w:val="22"/>
                <w:color w:val="auto"/>
              </w:rPr>
              <w:t>$(5.8) billion</w:t>
            </w:r>
          </w:p>
        </w:tc>
        <w:tc>
          <w:tcPr>
            <w:tcW w:w="2220" w:type="dxa"/>
            <w:vAlign w:val="bottom"/>
            <w:shd w:val="clear" w:color="auto" w:fill="F9F9F9"/>
          </w:tcPr>
          <w:p>
            <w:pPr>
              <w:ind w:left="560"/>
              <w:spacing w:after="0"/>
              <w:rPr>
                <w:sz w:val="20"/>
                <w:szCs w:val="20"/>
                <w:color w:val="auto"/>
              </w:rPr>
            </w:pPr>
            <w:r>
              <w:rPr>
                <w:rFonts w:ascii="Arial" w:cs="Arial" w:eastAsia="Arial" w:hAnsi="Arial"/>
                <w:sz w:val="22"/>
                <w:szCs w:val="22"/>
                <w:color w:val="auto"/>
              </w:rPr>
              <w:t>Fiscal 2023</w:t>
            </w:r>
          </w:p>
        </w:tc>
        <w:tc>
          <w:tcPr>
            <w:tcW w:w="0" w:type="dxa"/>
            <w:vAlign w:val="bottom"/>
          </w:tcPr>
          <w:p>
            <w:pPr>
              <w:spacing w:after="0"/>
              <w:rPr>
                <w:sz w:val="1"/>
                <w:szCs w:val="1"/>
                <w:color w:val="auto"/>
              </w:rPr>
            </w:pPr>
          </w:p>
        </w:tc>
      </w:tr>
      <w:tr>
        <w:trPr>
          <w:trHeight w:val="255"/>
        </w:trPr>
        <w:tc>
          <w:tcPr>
            <w:tcW w:w="1860" w:type="dxa"/>
            <w:vAlign w:val="bottom"/>
            <w:tcBorders>
              <w:left w:val="single" w:sz="8" w:color="BD03F7"/>
              <w:bottom w:val="single" w:sz="8" w:color="BD03F7"/>
            </w:tcBorders>
            <w:shd w:val="clear" w:color="auto" w:fill="F9F9F9"/>
          </w:tcPr>
          <w:p>
            <w:pPr>
              <w:spacing w:after="0"/>
              <w:rPr>
                <w:sz w:val="22"/>
                <w:szCs w:val="22"/>
                <w:color w:val="auto"/>
              </w:rPr>
            </w:pPr>
          </w:p>
        </w:tc>
        <w:tc>
          <w:tcPr>
            <w:tcW w:w="2860" w:type="dxa"/>
            <w:vAlign w:val="bottom"/>
            <w:tcBorders>
              <w:bottom w:val="single" w:sz="8" w:color="BD03F7"/>
            </w:tcBorders>
            <w:shd w:val="clear" w:color="auto" w:fill="F9F9F9"/>
          </w:tcPr>
          <w:p>
            <w:pPr>
              <w:spacing w:after="0"/>
              <w:rPr>
                <w:sz w:val="22"/>
                <w:szCs w:val="22"/>
                <w:color w:val="auto"/>
              </w:rPr>
            </w:pPr>
          </w:p>
        </w:tc>
        <w:tc>
          <w:tcPr>
            <w:tcW w:w="260" w:type="dxa"/>
            <w:vAlign w:val="bottom"/>
            <w:tcBorders>
              <w:right w:val="single" w:sz="8" w:color="BD03F7"/>
            </w:tcBorders>
          </w:tcPr>
          <w:p>
            <w:pPr>
              <w:spacing w:after="0"/>
              <w:rPr>
                <w:sz w:val="22"/>
                <w:szCs w:val="22"/>
                <w:color w:val="auto"/>
              </w:rPr>
            </w:pPr>
          </w:p>
        </w:tc>
        <w:tc>
          <w:tcPr>
            <w:tcW w:w="2200" w:type="dxa"/>
            <w:vAlign w:val="bottom"/>
            <w:tcBorders>
              <w:bottom w:val="single" w:sz="8" w:color="BD03F7"/>
            </w:tcBorders>
            <w:shd w:val="clear" w:color="auto" w:fill="F9F9F9"/>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8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tcBorders>
              <w:left w:val="single" w:sz="8" w:color="BD03F7"/>
            </w:tcBorders>
            <w:gridSpan w:val="2"/>
            <w:vMerge w:val="restart"/>
            <w:shd w:val="clear" w:color="auto" w:fill="F9F9F9"/>
          </w:tcPr>
          <w:p>
            <w:pPr>
              <w:ind w:left="280"/>
              <w:spacing w:after="0"/>
              <w:rPr>
                <w:sz w:val="20"/>
                <w:szCs w:val="20"/>
                <w:color w:val="auto"/>
              </w:rPr>
            </w:pPr>
            <w:r>
              <w:rPr>
                <w:rFonts w:ascii="Arial" w:cs="Arial" w:eastAsia="Arial" w:hAnsi="Arial"/>
                <w:sz w:val="22"/>
                <w:szCs w:val="22"/>
                <w:b w:val="1"/>
                <w:bCs w:val="1"/>
                <w:color w:val="auto"/>
              </w:rPr>
              <w:t>GAAP Diluted Earnings (Loss) Per Share</w:t>
            </w:r>
          </w:p>
        </w:tc>
        <w:tc>
          <w:tcPr>
            <w:tcW w:w="260" w:type="dxa"/>
            <w:vAlign w:val="bottom"/>
            <w:tcBorders>
              <w:right w:val="single" w:sz="8" w:color="BD03F7"/>
            </w:tcBorders>
          </w:tcPr>
          <w:p>
            <w:pPr>
              <w:spacing w:after="0"/>
              <w:rPr>
                <w:sz w:val="22"/>
                <w:szCs w:val="22"/>
                <w:color w:val="auto"/>
              </w:rPr>
            </w:pPr>
          </w:p>
        </w:tc>
        <w:tc>
          <w:tcPr>
            <w:tcW w:w="4420" w:type="dxa"/>
            <w:vAlign w:val="bottom"/>
            <w:gridSpan w:val="2"/>
            <w:shd w:val="clear" w:color="auto" w:fill="F9F9F9"/>
          </w:tcPr>
          <w:p>
            <w:pPr>
              <w:jc w:val="center"/>
              <w:spacing w:after="0"/>
              <w:rPr>
                <w:sz w:val="20"/>
                <w:szCs w:val="20"/>
                <w:color w:val="auto"/>
              </w:rPr>
            </w:pPr>
            <w:r>
              <w:rPr>
                <w:rFonts w:ascii="Arial" w:cs="Arial" w:eastAsia="Arial" w:hAnsi="Arial"/>
                <w:sz w:val="22"/>
                <w:szCs w:val="22"/>
                <w:b w:val="1"/>
                <w:bCs w:val="1"/>
                <w:color w:val="auto"/>
                <w:w w:val="98"/>
              </w:rPr>
              <w:t>Cash, Marketable Investments and</w:t>
            </w:r>
          </w:p>
        </w:tc>
        <w:tc>
          <w:tcPr>
            <w:tcW w:w="0" w:type="dxa"/>
            <w:vAlign w:val="bottom"/>
          </w:tcPr>
          <w:p>
            <w:pPr>
              <w:spacing w:after="0"/>
              <w:rPr>
                <w:sz w:val="1"/>
                <w:szCs w:val="1"/>
                <w:color w:val="auto"/>
              </w:rPr>
            </w:pPr>
          </w:p>
        </w:tc>
      </w:tr>
      <w:tr>
        <w:trPr>
          <w:trHeight w:val="161"/>
        </w:trPr>
        <w:tc>
          <w:tcPr>
            <w:tcW w:w="4720" w:type="dxa"/>
            <w:vAlign w:val="bottom"/>
            <w:tcBorders>
              <w:left w:val="single" w:sz="8" w:color="BD03F7"/>
            </w:tcBorders>
            <w:gridSpan w:val="2"/>
            <w:vMerge w:val="continue"/>
            <w:shd w:val="clear" w:color="auto" w:fill="F9F9F9"/>
          </w:tcPr>
          <w:p>
            <w:pPr>
              <w:spacing w:after="0"/>
              <w:rPr>
                <w:sz w:val="13"/>
                <w:szCs w:val="13"/>
                <w:color w:val="auto"/>
              </w:rPr>
            </w:pPr>
          </w:p>
        </w:tc>
        <w:tc>
          <w:tcPr>
            <w:tcW w:w="260" w:type="dxa"/>
            <w:vAlign w:val="bottom"/>
            <w:tcBorders>
              <w:right w:val="single" w:sz="8" w:color="BD03F7"/>
            </w:tcBorders>
          </w:tcPr>
          <w:p>
            <w:pPr>
              <w:spacing w:after="0"/>
              <w:rPr>
                <w:sz w:val="13"/>
                <w:szCs w:val="13"/>
                <w:color w:val="auto"/>
              </w:rPr>
            </w:pPr>
          </w:p>
        </w:tc>
        <w:tc>
          <w:tcPr>
            <w:tcW w:w="4420" w:type="dxa"/>
            <w:vAlign w:val="bottom"/>
            <w:gridSpan w:val="2"/>
            <w:vMerge w:val="restart"/>
            <w:shd w:val="clear" w:color="auto" w:fill="F9F9F9"/>
          </w:tcPr>
          <w:p>
            <w:pPr>
              <w:jc w:val="center"/>
              <w:spacing w:after="0"/>
              <w:rPr>
                <w:sz w:val="20"/>
                <w:szCs w:val="20"/>
                <w:color w:val="auto"/>
              </w:rPr>
            </w:pPr>
            <w:r>
              <w:rPr>
                <w:rFonts w:ascii="Arial" w:cs="Arial" w:eastAsia="Arial" w:hAnsi="Arial"/>
                <w:sz w:val="22"/>
                <w:szCs w:val="22"/>
                <w:b w:val="1"/>
                <w:bCs w:val="1"/>
                <w:color w:val="auto"/>
                <w:w w:val="97"/>
              </w:rPr>
              <w:t>Restricted Cash</w:t>
            </w:r>
          </w:p>
        </w:tc>
        <w:tc>
          <w:tcPr>
            <w:tcW w:w="0" w:type="dxa"/>
            <w:vAlign w:val="bottom"/>
          </w:tcPr>
          <w:p>
            <w:pPr>
              <w:spacing w:after="0"/>
              <w:rPr>
                <w:sz w:val="1"/>
                <w:szCs w:val="1"/>
                <w:color w:val="auto"/>
              </w:rPr>
            </w:pPr>
          </w:p>
        </w:tc>
      </w:tr>
      <w:tr>
        <w:trPr>
          <w:trHeight w:val="122"/>
        </w:trPr>
        <w:tc>
          <w:tcPr>
            <w:tcW w:w="1860" w:type="dxa"/>
            <w:vAlign w:val="bottom"/>
            <w:tcBorders>
              <w:left w:val="single" w:sz="8" w:color="BD03F7"/>
            </w:tcBorders>
            <w:shd w:val="clear" w:color="auto" w:fill="F9F9F9"/>
          </w:tcPr>
          <w:p>
            <w:pPr>
              <w:spacing w:after="0"/>
              <w:rPr>
                <w:sz w:val="10"/>
                <w:szCs w:val="10"/>
                <w:color w:val="auto"/>
              </w:rPr>
            </w:pPr>
          </w:p>
        </w:tc>
        <w:tc>
          <w:tcPr>
            <w:tcW w:w="2860" w:type="dxa"/>
            <w:vAlign w:val="bottom"/>
            <w:shd w:val="clear" w:color="auto" w:fill="F9F9F9"/>
          </w:tcPr>
          <w:p>
            <w:pPr>
              <w:spacing w:after="0"/>
              <w:rPr>
                <w:sz w:val="10"/>
                <w:szCs w:val="10"/>
                <w:color w:val="auto"/>
              </w:rPr>
            </w:pPr>
          </w:p>
        </w:tc>
        <w:tc>
          <w:tcPr>
            <w:tcW w:w="260" w:type="dxa"/>
            <w:vAlign w:val="bottom"/>
            <w:tcBorders>
              <w:right w:val="single" w:sz="8" w:color="BD03F7"/>
            </w:tcBorders>
          </w:tcPr>
          <w:p>
            <w:pPr>
              <w:spacing w:after="0"/>
              <w:rPr>
                <w:sz w:val="10"/>
                <w:szCs w:val="10"/>
                <w:color w:val="auto"/>
              </w:rPr>
            </w:pPr>
          </w:p>
        </w:tc>
        <w:tc>
          <w:tcPr>
            <w:tcW w:w="4420" w:type="dxa"/>
            <w:vAlign w:val="bottom"/>
            <w:gridSpan w:val="2"/>
            <w:vMerge w:val="continue"/>
            <w:shd w:val="clear" w:color="auto" w:fill="F9F9F9"/>
          </w:tcPr>
          <w:p>
            <w:pPr>
              <w:spacing w:after="0"/>
              <w:rPr>
                <w:sz w:val="10"/>
                <w:szCs w:val="10"/>
                <w:color w:val="auto"/>
              </w:rPr>
            </w:pPr>
          </w:p>
        </w:tc>
        <w:tc>
          <w:tcPr>
            <w:tcW w:w="0" w:type="dxa"/>
            <w:vAlign w:val="bottom"/>
          </w:tcPr>
          <w:p>
            <w:pPr>
              <w:spacing w:after="0"/>
              <w:rPr>
                <w:sz w:val="1"/>
                <w:szCs w:val="1"/>
                <w:color w:val="auto"/>
              </w:rPr>
            </w:pPr>
          </w:p>
        </w:tc>
      </w:tr>
      <w:tr>
        <w:trPr>
          <w:trHeight w:val="538"/>
        </w:trPr>
        <w:tc>
          <w:tcPr>
            <w:tcW w:w="1860" w:type="dxa"/>
            <w:vAlign w:val="bottom"/>
            <w:tcBorders>
              <w:left w:val="single" w:sz="8" w:color="BD03F7"/>
            </w:tcBorders>
            <w:shd w:val="clear" w:color="auto" w:fill="F9F9F9"/>
          </w:tcPr>
          <w:p>
            <w:pPr>
              <w:jc w:val="right"/>
              <w:ind w:right="292"/>
              <w:spacing w:after="0"/>
              <w:rPr>
                <w:sz w:val="20"/>
                <w:szCs w:val="20"/>
                <w:color w:val="auto"/>
              </w:rPr>
            </w:pPr>
            <w:r>
              <w:rPr>
                <w:rFonts w:ascii="Arial" w:cs="Arial" w:eastAsia="Arial" w:hAnsi="Arial"/>
                <w:sz w:val="22"/>
                <w:szCs w:val="22"/>
                <w:b w:val="1"/>
                <w:bCs w:val="1"/>
                <w:color w:val="auto"/>
              </w:rPr>
              <w:t>$0.70</w:t>
            </w:r>
          </w:p>
        </w:tc>
        <w:tc>
          <w:tcPr>
            <w:tcW w:w="2860" w:type="dxa"/>
            <w:vAlign w:val="bottom"/>
            <w:shd w:val="clear" w:color="auto" w:fill="F9F9F9"/>
          </w:tcPr>
          <w:p>
            <w:pPr>
              <w:ind w:left="1180"/>
              <w:spacing w:after="0"/>
              <w:rPr>
                <w:sz w:val="20"/>
                <w:szCs w:val="20"/>
                <w:color w:val="auto"/>
              </w:rPr>
            </w:pPr>
            <w:r>
              <w:rPr>
                <w:rFonts w:ascii="Arial" w:cs="Arial" w:eastAsia="Arial" w:hAnsi="Arial"/>
                <w:sz w:val="22"/>
                <w:szCs w:val="22"/>
                <w:b w:val="1"/>
                <w:bCs w:val="1"/>
                <w:color w:val="auto"/>
              </w:rPr>
              <w:t>Fiscal 2024</w:t>
            </w:r>
          </w:p>
        </w:tc>
        <w:tc>
          <w:tcPr>
            <w:tcW w:w="260" w:type="dxa"/>
            <w:vAlign w:val="bottom"/>
            <w:tcBorders>
              <w:right w:val="single" w:sz="8" w:color="BD03F7"/>
            </w:tcBorders>
          </w:tcPr>
          <w:p>
            <w:pPr>
              <w:spacing w:after="0"/>
              <w:rPr>
                <w:sz w:val="24"/>
                <w:szCs w:val="24"/>
                <w:color w:val="auto"/>
              </w:rPr>
            </w:pPr>
          </w:p>
        </w:tc>
        <w:tc>
          <w:tcPr>
            <w:tcW w:w="2200" w:type="dxa"/>
            <w:vAlign w:val="bottom"/>
            <w:shd w:val="clear" w:color="auto" w:fill="F9F9F9"/>
          </w:tcPr>
          <w:p>
            <w:pPr>
              <w:ind w:left="540"/>
              <w:spacing w:after="0"/>
              <w:rPr>
                <w:sz w:val="20"/>
                <w:szCs w:val="20"/>
                <w:color w:val="auto"/>
              </w:rPr>
            </w:pPr>
            <w:r>
              <w:rPr>
                <w:rFonts w:ascii="Arial" w:cs="Arial" w:eastAsia="Arial" w:hAnsi="Arial"/>
                <w:sz w:val="22"/>
                <w:szCs w:val="22"/>
                <w:b w:val="1"/>
                <w:bCs w:val="1"/>
                <w:color w:val="auto"/>
              </w:rPr>
              <w:t>$9.2 billion</w:t>
            </w:r>
          </w:p>
        </w:tc>
        <w:tc>
          <w:tcPr>
            <w:tcW w:w="2220" w:type="dxa"/>
            <w:vAlign w:val="bottom"/>
            <w:shd w:val="clear" w:color="auto" w:fill="F9F9F9"/>
          </w:tcPr>
          <w:p>
            <w:pPr>
              <w:ind w:left="540"/>
              <w:spacing w:after="0"/>
              <w:rPr>
                <w:sz w:val="20"/>
                <w:szCs w:val="20"/>
                <w:color w:val="auto"/>
              </w:rPr>
            </w:pPr>
            <w:r>
              <w:rPr>
                <w:rFonts w:ascii="Arial" w:cs="Arial" w:eastAsia="Arial" w:hAnsi="Arial"/>
                <w:sz w:val="22"/>
                <w:szCs w:val="22"/>
                <w:b w:val="1"/>
                <w:bCs w:val="1"/>
                <w:color w:val="auto"/>
              </w:rPr>
              <w:t>Fiscal 2024</w:t>
            </w:r>
          </w:p>
        </w:tc>
        <w:tc>
          <w:tcPr>
            <w:tcW w:w="0" w:type="dxa"/>
            <w:vAlign w:val="bottom"/>
          </w:tcPr>
          <w:p>
            <w:pPr>
              <w:spacing w:after="0"/>
              <w:rPr>
                <w:sz w:val="1"/>
                <w:szCs w:val="1"/>
                <w:color w:val="auto"/>
              </w:rPr>
            </w:pPr>
          </w:p>
        </w:tc>
      </w:tr>
      <w:tr>
        <w:trPr>
          <w:trHeight w:val="283"/>
        </w:trPr>
        <w:tc>
          <w:tcPr>
            <w:tcW w:w="1860" w:type="dxa"/>
            <w:vAlign w:val="bottom"/>
            <w:tcBorders>
              <w:left w:val="single" w:sz="8" w:color="BD03F7"/>
            </w:tcBorders>
            <w:shd w:val="clear" w:color="auto" w:fill="F9F9F9"/>
          </w:tcPr>
          <w:p>
            <w:pPr>
              <w:jc w:val="right"/>
              <w:ind w:right="212"/>
              <w:spacing w:after="0"/>
              <w:rPr>
                <w:sz w:val="20"/>
                <w:szCs w:val="20"/>
                <w:color w:val="auto"/>
              </w:rPr>
            </w:pPr>
            <w:r>
              <w:rPr>
                <w:rFonts w:ascii="Arial" w:cs="Arial" w:eastAsia="Arial" w:hAnsi="Arial"/>
                <w:sz w:val="22"/>
                <w:szCs w:val="22"/>
                <w:color w:val="auto"/>
              </w:rPr>
              <w:t>$(5.34)</w:t>
            </w:r>
          </w:p>
        </w:tc>
        <w:tc>
          <w:tcPr>
            <w:tcW w:w="2860" w:type="dxa"/>
            <w:vAlign w:val="bottom"/>
            <w:shd w:val="clear" w:color="auto" w:fill="F9F9F9"/>
          </w:tcPr>
          <w:p>
            <w:pPr>
              <w:ind w:left="1200"/>
              <w:spacing w:after="0"/>
              <w:rPr>
                <w:sz w:val="20"/>
                <w:szCs w:val="20"/>
                <w:color w:val="auto"/>
              </w:rPr>
            </w:pPr>
            <w:r>
              <w:rPr>
                <w:rFonts w:ascii="Arial" w:cs="Arial" w:eastAsia="Arial" w:hAnsi="Arial"/>
                <w:sz w:val="22"/>
                <w:szCs w:val="22"/>
                <w:color w:val="auto"/>
              </w:rPr>
              <w:t>Fiscal 2023</w:t>
            </w:r>
          </w:p>
        </w:tc>
        <w:tc>
          <w:tcPr>
            <w:tcW w:w="260" w:type="dxa"/>
            <w:vAlign w:val="bottom"/>
            <w:tcBorders>
              <w:right w:val="single" w:sz="8" w:color="BD03F7"/>
            </w:tcBorders>
          </w:tcPr>
          <w:p>
            <w:pPr>
              <w:spacing w:after="0"/>
              <w:rPr>
                <w:sz w:val="24"/>
                <w:szCs w:val="24"/>
                <w:color w:val="auto"/>
              </w:rPr>
            </w:pPr>
          </w:p>
        </w:tc>
        <w:tc>
          <w:tcPr>
            <w:tcW w:w="2200" w:type="dxa"/>
            <w:vAlign w:val="bottom"/>
            <w:shd w:val="clear" w:color="auto" w:fill="F9F9F9"/>
          </w:tcPr>
          <w:p>
            <w:pPr>
              <w:ind w:left="520"/>
              <w:spacing w:after="0"/>
              <w:rPr>
                <w:sz w:val="20"/>
                <w:szCs w:val="20"/>
                <w:color w:val="auto"/>
              </w:rPr>
            </w:pPr>
            <w:r>
              <w:rPr>
                <w:rFonts w:ascii="Arial" w:cs="Arial" w:eastAsia="Arial" w:hAnsi="Arial"/>
                <w:sz w:val="22"/>
                <w:szCs w:val="22"/>
                <w:color w:val="auto"/>
              </w:rPr>
              <w:t>$10.5 billion</w:t>
            </w:r>
          </w:p>
        </w:tc>
        <w:tc>
          <w:tcPr>
            <w:tcW w:w="2220" w:type="dxa"/>
            <w:vAlign w:val="bottom"/>
            <w:shd w:val="clear" w:color="auto" w:fill="F9F9F9"/>
          </w:tcPr>
          <w:p>
            <w:pPr>
              <w:ind w:left="560"/>
              <w:spacing w:after="0"/>
              <w:rPr>
                <w:sz w:val="20"/>
                <w:szCs w:val="20"/>
                <w:color w:val="auto"/>
              </w:rPr>
            </w:pPr>
            <w:r>
              <w:rPr>
                <w:rFonts w:ascii="Arial" w:cs="Arial" w:eastAsia="Arial" w:hAnsi="Arial"/>
                <w:sz w:val="22"/>
                <w:szCs w:val="22"/>
                <w:color w:val="auto"/>
              </w:rPr>
              <w:t>Fiscal 2023</w:t>
            </w:r>
          </w:p>
        </w:tc>
        <w:tc>
          <w:tcPr>
            <w:tcW w:w="0" w:type="dxa"/>
            <w:vAlign w:val="bottom"/>
          </w:tcPr>
          <w:p>
            <w:pPr>
              <w:spacing w:after="0"/>
              <w:rPr>
                <w:sz w:val="1"/>
                <w:szCs w:val="1"/>
                <w:color w:val="auto"/>
              </w:rPr>
            </w:pPr>
          </w:p>
        </w:tc>
      </w:tr>
      <w:tr>
        <w:trPr>
          <w:trHeight w:val="255"/>
        </w:trPr>
        <w:tc>
          <w:tcPr>
            <w:tcW w:w="1860" w:type="dxa"/>
            <w:vAlign w:val="bottom"/>
            <w:tcBorders>
              <w:left w:val="single" w:sz="8" w:color="BD03F7"/>
              <w:bottom w:val="single" w:sz="8" w:color="BD03F7"/>
            </w:tcBorders>
            <w:shd w:val="clear" w:color="auto" w:fill="F9F9F9"/>
          </w:tcPr>
          <w:p>
            <w:pPr>
              <w:spacing w:after="0"/>
              <w:rPr>
                <w:sz w:val="22"/>
                <w:szCs w:val="22"/>
                <w:color w:val="auto"/>
              </w:rPr>
            </w:pPr>
          </w:p>
        </w:tc>
        <w:tc>
          <w:tcPr>
            <w:tcW w:w="2860" w:type="dxa"/>
            <w:vAlign w:val="bottom"/>
            <w:tcBorders>
              <w:bottom w:val="single" w:sz="8" w:color="BD03F7"/>
            </w:tcBorders>
            <w:shd w:val="clear" w:color="auto" w:fill="F9F9F9"/>
          </w:tcPr>
          <w:p>
            <w:pPr>
              <w:spacing w:after="0"/>
              <w:rPr>
                <w:sz w:val="22"/>
                <w:szCs w:val="22"/>
                <w:color w:val="auto"/>
              </w:rPr>
            </w:pPr>
          </w:p>
        </w:tc>
        <w:tc>
          <w:tcPr>
            <w:tcW w:w="260" w:type="dxa"/>
            <w:vAlign w:val="bottom"/>
            <w:tcBorders>
              <w:right w:val="single" w:sz="8" w:color="BD03F7"/>
            </w:tcBorders>
          </w:tcPr>
          <w:p>
            <w:pPr>
              <w:spacing w:after="0"/>
              <w:rPr>
                <w:sz w:val="22"/>
                <w:szCs w:val="22"/>
                <w:color w:val="auto"/>
              </w:rPr>
            </w:pPr>
          </w:p>
        </w:tc>
        <w:tc>
          <w:tcPr>
            <w:tcW w:w="2200" w:type="dxa"/>
            <w:vAlign w:val="bottom"/>
            <w:tcBorders>
              <w:bottom w:val="single" w:sz="8" w:color="BD03F7"/>
            </w:tcBorders>
            <w:shd w:val="clear" w:color="auto" w:fill="F9F9F9"/>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Micron entered Fiscal 2025 in an exceptionally strong position, with leadership in 1β (1-beta) DRAM, G8 and G9 NAND process technology, and leadership in products across its end markets,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524510</wp:posOffset>
            </wp:positionV>
            <wp:extent cx="7064375" cy="2050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64375" cy="2050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line="401" w:lineRule="exact"/>
        <w:rPr>
          <w:sz w:val="20"/>
          <w:szCs w:val="20"/>
          <w:color w:val="auto"/>
        </w:rPr>
      </w:pPr>
      <w:r>
        <w:rPr>
          <w:rFonts w:ascii="MS PGothic" w:cs="MS PGothic" w:eastAsia="MS PGothic" w:hAnsi="MS PGothic"/>
          <w:sz w:val="40"/>
          <w:szCs w:val="40"/>
          <w:color w:val="BD03F7"/>
        </w:rPr>
        <w:t>☑</w:t>
      </w:r>
    </w:p>
    <w:p>
      <w:pPr>
        <w:spacing w:after="0" w:line="268" w:lineRule="exact"/>
        <w:rPr>
          <w:sz w:val="20"/>
          <w:szCs w:val="20"/>
          <w:color w:val="auto"/>
        </w:rPr>
      </w:pPr>
    </w:p>
    <w:p>
      <w:pPr>
        <w:ind w:left="380"/>
        <w:spacing w:after="0" w:line="401" w:lineRule="exact"/>
        <w:rPr>
          <w:sz w:val="20"/>
          <w:szCs w:val="20"/>
          <w:color w:val="auto"/>
        </w:rPr>
      </w:pPr>
      <w:r>
        <w:rPr>
          <w:rFonts w:ascii="MS PGothic" w:cs="MS PGothic" w:eastAsia="MS PGothic" w:hAnsi="MS PGothic"/>
          <w:sz w:val="40"/>
          <w:szCs w:val="40"/>
          <w:color w:val="BD03F7"/>
        </w:rPr>
        <w:t>☑</w:t>
      </w:r>
    </w:p>
    <w:p>
      <w:pPr>
        <w:spacing w:after="0" w:line="138" w:lineRule="exact"/>
        <w:rPr>
          <w:sz w:val="20"/>
          <w:szCs w:val="20"/>
          <w:color w:val="auto"/>
        </w:rPr>
      </w:pPr>
    </w:p>
    <w:p>
      <w:pPr>
        <w:ind w:left="380"/>
        <w:spacing w:after="0" w:line="401" w:lineRule="exact"/>
        <w:rPr>
          <w:sz w:val="20"/>
          <w:szCs w:val="20"/>
          <w:color w:val="auto"/>
        </w:rPr>
      </w:pPr>
      <w:r>
        <w:rPr>
          <w:rFonts w:ascii="MS PGothic" w:cs="MS PGothic" w:eastAsia="MS PGothic" w:hAnsi="MS PGothic"/>
          <w:sz w:val="40"/>
          <w:szCs w:val="40"/>
          <w:color w:val="BD03F7"/>
        </w:rPr>
        <w:t>☑</w:t>
      </w:r>
    </w:p>
    <w:p>
      <w:pPr>
        <w:spacing w:after="0" w:line="138" w:lineRule="exact"/>
        <w:rPr>
          <w:sz w:val="20"/>
          <w:szCs w:val="20"/>
          <w:color w:val="auto"/>
        </w:rPr>
      </w:pPr>
    </w:p>
    <w:p>
      <w:pPr>
        <w:ind w:left="380"/>
        <w:spacing w:after="0" w:line="401" w:lineRule="exact"/>
        <w:rPr>
          <w:sz w:val="20"/>
          <w:szCs w:val="20"/>
          <w:color w:val="auto"/>
        </w:rPr>
      </w:pPr>
      <w:r>
        <w:rPr>
          <w:rFonts w:ascii="MS PGothic" w:cs="MS PGothic" w:eastAsia="MS PGothic" w:hAnsi="MS PGothic"/>
          <w:sz w:val="40"/>
          <w:szCs w:val="40"/>
          <w:color w:val="BD03F7"/>
        </w:rPr>
        <w:t>☑</w:t>
      </w:r>
    </w:p>
    <w:p>
      <w:pPr>
        <w:spacing w:after="0" w:line="138" w:lineRule="exact"/>
        <w:rPr>
          <w:sz w:val="20"/>
          <w:szCs w:val="20"/>
          <w:color w:val="auto"/>
        </w:rPr>
      </w:pPr>
    </w:p>
    <w:p>
      <w:pPr>
        <w:ind w:left="380"/>
        <w:spacing w:after="0" w:line="401" w:lineRule="exact"/>
        <w:rPr>
          <w:sz w:val="20"/>
          <w:szCs w:val="20"/>
          <w:color w:val="auto"/>
        </w:rPr>
      </w:pPr>
      <w:r>
        <w:rPr>
          <w:rFonts w:ascii="MS PGothic" w:cs="MS PGothic" w:eastAsia="MS PGothic" w:hAnsi="MS PGothic"/>
          <w:sz w:val="40"/>
          <w:szCs w:val="40"/>
          <w:color w:val="BD03F7"/>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Delivered on expected HBM volumes and achieved our objective of several hundred million of dollars in revenue from HBM in Fiscal 2024. Company on track to ship multiple billions of HBM revenue in Fiscal 2025.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First in industry to ship ninth-generation (G9) TLC NAND in SSDs.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First to production of 200+ layer QLC NAND in Client and Data Center.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First to validate and ship 128BG DDR5 32Gb server DRAM for memory-intensive Gen AI applications.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Achieved record high NAND revenue in Storage Business Unit. Achieved record high automotive revenue.</w:t>
      </w:r>
    </w:p>
    <w:p>
      <w:pPr>
        <w:spacing w:after="0" w:line="294" w:lineRule="exact"/>
        <w:rPr>
          <w:sz w:val="20"/>
          <w:szCs w:val="20"/>
          <w:color w:val="auto"/>
        </w:rPr>
      </w:pPr>
    </w:p>
    <w:p>
      <w:pPr>
        <w:sectPr>
          <w:pgSz w:w="11900" w:h="16838" w:orient="portrait"/>
          <w:cols w:equalWidth="0" w:num="2">
            <w:col w:w="780" w:space="340"/>
            <w:col w:w="10120"/>
          </w:cols>
          <w:pgMar w:left="320" w:top="125"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following chart shows our one- and three-year relative total shareholder return data through the last trading day of Fiscal 2024 as compared to the S&amp;P 500 Composite Index, the Philadelphia Semiconductor Index (“SOX”) and the median of our Compensation Peer Group</w:t>
      </w:r>
    </w:p>
    <w:p>
      <w:pPr>
        <w:spacing w:after="0" w:line="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as identified in “Compensation-Setting Process and the Determination of Compensation Levels—Determination of the Compensation Peer Group”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791835" cy="3468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1835" cy="346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HIGHLIGHTS</w:t>
      </w:r>
    </w:p>
    <w:p>
      <w:pPr>
        <w:spacing w:after="0" w:line="227"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Our compensation program is designed so that executives’ and shareholders’ interests will be strongly aligned. The majority of each Named Executive Officer’s compensation is at risk and a substantial portion vests based on achievement of objective performance goals.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graphic illustrates the amount and mix of pay opportunities (at target) for our Named Executive Officers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791835" cy="3442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91835" cy="344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The pay mix, based on target amounts established in October 2023, for our Chief Executive Officer and other Named Executive Officers (on average) for Fiscal 2024, as shown below, was heavily weighted towards variable, at-risk compensation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791835" cy="2066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9183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2024 COMPENSATION PROGRAM CHANGES</w:t>
      </w:r>
    </w:p>
    <w:p>
      <w:pPr>
        <w:spacing w:after="0" w:line="2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 conducting extensive shareholder outreach and carefully considering the feedback we received following our Fiscal 2023 Annual Meeting of Shareholders, we made several changes to our long-term incentive (“LTI”) plan for Fiscal 2024. The changes summarized below further the pay-for-performance orientation of our program and increase the alignment of our executives’ incentives with shareholders’ interests. We have also enhanced our disclosures to provide additional detail regarding our Short-term Incentive (“STI”) goals and related results. Throughout the Executive Compensation and Related Information section of this Proxy Statement, we refer to total shareholder return as “TSR” and relative TSR as “rTSR.”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Enhancements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22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22"/>
                <w:szCs w:val="22"/>
                <w:b w:val="1"/>
                <w:bCs w:val="1"/>
                <w:color w:val="auto"/>
                <w:w w:val="98"/>
              </w:rPr>
              <w:t>Fiscal 2023</w:t>
            </w:r>
          </w:p>
        </w:tc>
        <w:tc>
          <w:tcPr>
            <w:tcW w:w="6660" w:type="dxa"/>
            <w:vAlign w:val="bottom"/>
            <w:tcBorders>
              <w:bottom w:val="single" w:sz="8" w:color="BD03F7"/>
            </w:tcBorders>
          </w:tcPr>
          <w:p>
            <w:pPr>
              <w:spacing w:after="0"/>
              <w:rPr>
                <w:sz w:val="23"/>
                <w:szCs w:val="23"/>
                <w:color w:val="auto"/>
              </w:rPr>
            </w:pPr>
          </w:p>
        </w:tc>
        <w:tc>
          <w:tcPr>
            <w:tcW w:w="222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22"/>
                <w:szCs w:val="22"/>
                <w:b w:val="1"/>
                <w:bCs w:val="1"/>
                <w:color w:val="auto"/>
                <w:w w:val="98"/>
              </w:rPr>
              <w:t>Fiscal 2024</w:t>
            </w:r>
          </w:p>
        </w:tc>
        <w:tc>
          <w:tcPr>
            <w:tcW w:w="0" w:type="dxa"/>
            <w:vAlign w:val="bottom"/>
          </w:tcPr>
          <w:p>
            <w:pPr>
              <w:spacing w:after="0"/>
              <w:rPr>
                <w:sz w:val="1"/>
                <w:szCs w:val="1"/>
                <w:color w:val="auto"/>
              </w:rPr>
            </w:pPr>
          </w:p>
        </w:tc>
      </w:tr>
      <w:tr>
        <w:trPr>
          <w:trHeight w:val="261"/>
        </w:trPr>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7"/>
              </w:rPr>
              <w:t>50/50</w:t>
            </w:r>
          </w:p>
        </w:tc>
        <w:tc>
          <w:tcPr>
            <w:tcW w:w="6660" w:type="dxa"/>
            <w:vAlign w:val="bottom"/>
          </w:tcPr>
          <w:p>
            <w:pPr>
              <w:jc w:val="center"/>
              <w:spacing w:after="0"/>
              <w:rPr>
                <w:sz w:val="20"/>
                <w:szCs w:val="20"/>
                <w:color w:val="auto"/>
              </w:rPr>
            </w:pPr>
            <w:r>
              <w:rPr>
                <w:rFonts w:ascii="Arial" w:cs="Arial" w:eastAsia="Arial" w:hAnsi="Arial"/>
                <w:sz w:val="18"/>
                <w:szCs w:val="18"/>
                <w:b w:val="1"/>
                <w:bCs w:val="1"/>
                <w:color w:val="auto"/>
                <w:w w:val="99"/>
              </w:rPr>
              <w:t>Enhanced PRSU Emphasis for CEO</w:t>
            </w: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7"/>
              </w:rPr>
              <w:t>65/35</w:t>
            </w:r>
          </w:p>
        </w:tc>
        <w:tc>
          <w:tcPr>
            <w:tcW w:w="0" w:type="dxa"/>
            <w:vAlign w:val="bottom"/>
          </w:tcPr>
          <w:p>
            <w:pPr>
              <w:spacing w:after="0"/>
              <w:rPr>
                <w:sz w:val="1"/>
                <w:szCs w:val="1"/>
                <w:color w:val="auto"/>
              </w:rPr>
            </w:pPr>
          </w:p>
        </w:tc>
      </w:tr>
      <w:tr>
        <w:trPr>
          <w:trHeight w:val="113"/>
        </w:trPr>
        <w:tc>
          <w:tcPr>
            <w:tcW w:w="2220" w:type="dxa"/>
            <w:vAlign w:val="bottom"/>
            <w:vMerge w:val="continue"/>
            <w:shd w:val="clear" w:color="auto" w:fill="F2F2F2"/>
          </w:tcPr>
          <w:p>
            <w:pPr>
              <w:spacing w:after="0"/>
              <w:rPr>
                <w:sz w:val="9"/>
                <w:szCs w:val="9"/>
                <w:color w:val="auto"/>
              </w:rPr>
            </w:pPr>
          </w:p>
        </w:tc>
        <w:tc>
          <w:tcPr>
            <w:tcW w:w="6660" w:type="dxa"/>
            <w:vAlign w:val="bottom"/>
            <w:vMerge w:val="restart"/>
          </w:tcPr>
          <w:p>
            <w:pPr>
              <w:jc w:val="center"/>
              <w:spacing w:after="0"/>
              <w:rPr>
                <w:sz w:val="20"/>
                <w:szCs w:val="20"/>
                <w:color w:val="auto"/>
              </w:rPr>
            </w:pPr>
            <w:r>
              <w:rPr>
                <w:rFonts w:ascii="Arial" w:cs="Arial" w:eastAsia="Arial" w:hAnsi="Arial"/>
                <w:sz w:val="18"/>
                <w:szCs w:val="18"/>
                <w:color w:val="auto"/>
                <w:w w:val="99"/>
              </w:rPr>
              <w:t>(PRSU/RSU Mix)</w:t>
            </w:r>
          </w:p>
        </w:tc>
        <w:tc>
          <w:tcPr>
            <w:tcW w:w="2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F2F2F2"/>
          </w:tcPr>
          <w:p>
            <w:pPr>
              <w:spacing w:after="0"/>
              <w:rPr>
                <w:sz w:val="12"/>
                <w:szCs w:val="12"/>
                <w:color w:val="auto"/>
              </w:rPr>
            </w:pPr>
          </w:p>
        </w:tc>
        <w:tc>
          <w:tcPr>
            <w:tcW w:w="6660" w:type="dxa"/>
            <w:vAlign w:val="bottom"/>
            <w:vMerge w:val="continue"/>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50th percentile</w:t>
            </w:r>
          </w:p>
        </w:tc>
        <w:tc>
          <w:tcPr>
            <w:tcW w:w="6660" w:type="dxa"/>
            <w:vAlign w:val="bottom"/>
          </w:tcPr>
          <w:p>
            <w:pPr>
              <w:jc w:val="center"/>
              <w:spacing w:after="0"/>
              <w:rPr>
                <w:sz w:val="20"/>
                <w:szCs w:val="20"/>
                <w:color w:val="auto"/>
              </w:rPr>
            </w:pPr>
            <w:r>
              <w:rPr>
                <w:rFonts w:ascii="Arial" w:cs="Arial" w:eastAsia="Arial" w:hAnsi="Arial"/>
                <w:sz w:val="18"/>
                <w:szCs w:val="18"/>
                <w:b w:val="1"/>
                <w:bCs w:val="1"/>
                <w:color w:val="auto"/>
                <w:w w:val="99"/>
              </w:rPr>
              <w:t>Increased PRSU rTSR Goal Target</w:t>
            </w: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55th percentile</w:t>
            </w:r>
          </w:p>
        </w:tc>
        <w:tc>
          <w:tcPr>
            <w:tcW w:w="0" w:type="dxa"/>
            <w:vAlign w:val="bottom"/>
          </w:tcPr>
          <w:p>
            <w:pPr>
              <w:spacing w:after="0"/>
              <w:rPr>
                <w:sz w:val="1"/>
                <w:szCs w:val="1"/>
                <w:color w:val="auto"/>
              </w:rPr>
            </w:pPr>
          </w:p>
        </w:tc>
      </w:tr>
      <w:tr>
        <w:trPr>
          <w:trHeight w:val="113"/>
        </w:trPr>
        <w:tc>
          <w:tcPr>
            <w:tcW w:w="2220" w:type="dxa"/>
            <w:vAlign w:val="bottom"/>
            <w:vMerge w:val="continue"/>
            <w:shd w:val="clear" w:color="auto" w:fill="F2F2F2"/>
          </w:tcPr>
          <w:p>
            <w:pPr>
              <w:spacing w:after="0"/>
              <w:rPr>
                <w:sz w:val="9"/>
                <w:szCs w:val="9"/>
                <w:color w:val="auto"/>
              </w:rPr>
            </w:pPr>
          </w:p>
        </w:tc>
        <w:tc>
          <w:tcPr>
            <w:tcW w:w="6660" w:type="dxa"/>
            <w:vAlign w:val="bottom"/>
            <w:vMerge w:val="restart"/>
          </w:tcPr>
          <w:p>
            <w:pPr>
              <w:jc w:val="center"/>
              <w:spacing w:after="0"/>
              <w:rPr>
                <w:sz w:val="20"/>
                <w:szCs w:val="20"/>
                <w:color w:val="auto"/>
              </w:rPr>
            </w:pPr>
            <w:r>
              <w:rPr>
                <w:rFonts w:ascii="Arial" w:cs="Arial" w:eastAsia="Arial" w:hAnsi="Arial"/>
                <w:sz w:val="18"/>
                <w:szCs w:val="18"/>
                <w:color w:val="auto"/>
                <w:w w:val="99"/>
              </w:rPr>
              <w:t>PHLX Semiconductor Sector Index</w:t>
            </w:r>
          </w:p>
        </w:tc>
        <w:tc>
          <w:tcPr>
            <w:tcW w:w="2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F2F2F2"/>
          </w:tcPr>
          <w:p>
            <w:pPr>
              <w:spacing w:after="0"/>
              <w:rPr>
                <w:sz w:val="12"/>
                <w:szCs w:val="12"/>
                <w:color w:val="auto"/>
              </w:rPr>
            </w:pPr>
          </w:p>
        </w:tc>
        <w:tc>
          <w:tcPr>
            <w:tcW w:w="6660" w:type="dxa"/>
            <w:vAlign w:val="bottom"/>
            <w:vMerge w:val="continue"/>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rPr>
              <w:t>25 ppts</w:t>
            </w:r>
          </w:p>
        </w:tc>
        <w:tc>
          <w:tcPr>
            <w:tcW w:w="6660" w:type="dxa"/>
            <w:vAlign w:val="bottom"/>
          </w:tcPr>
          <w:p>
            <w:pPr>
              <w:jc w:val="center"/>
              <w:spacing w:after="0"/>
              <w:rPr>
                <w:sz w:val="20"/>
                <w:szCs w:val="20"/>
                <w:color w:val="auto"/>
              </w:rPr>
            </w:pPr>
            <w:r>
              <w:rPr>
                <w:rFonts w:ascii="Arial" w:cs="Arial" w:eastAsia="Arial" w:hAnsi="Arial"/>
                <w:sz w:val="18"/>
                <w:szCs w:val="18"/>
                <w:b w:val="1"/>
                <w:bCs w:val="1"/>
                <w:color w:val="auto"/>
                <w:w w:val="99"/>
              </w:rPr>
              <w:t>Strengthened Outperformance Needed to Achieve rTSR Max Payout</w:t>
            </w: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rPr>
              <w:t>50 ppts</w:t>
            </w:r>
          </w:p>
        </w:tc>
        <w:tc>
          <w:tcPr>
            <w:tcW w:w="0" w:type="dxa"/>
            <w:vAlign w:val="bottom"/>
          </w:tcPr>
          <w:p>
            <w:pPr>
              <w:spacing w:after="0"/>
              <w:rPr>
                <w:sz w:val="1"/>
                <w:szCs w:val="1"/>
                <w:color w:val="auto"/>
              </w:rPr>
            </w:pPr>
          </w:p>
        </w:tc>
      </w:tr>
      <w:tr>
        <w:trPr>
          <w:trHeight w:val="113"/>
        </w:trPr>
        <w:tc>
          <w:tcPr>
            <w:tcW w:w="2220" w:type="dxa"/>
            <w:vAlign w:val="bottom"/>
            <w:vMerge w:val="continue"/>
            <w:shd w:val="clear" w:color="auto" w:fill="F2F2F2"/>
          </w:tcPr>
          <w:p>
            <w:pPr>
              <w:spacing w:after="0"/>
              <w:rPr>
                <w:sz w:val="9"/>
                <w:szCs w:val="9"/>
                <w:color w:val="auto"/>
              </w:rPr>
            </w:pPr>
          </w:p>
        </w:tc>
        <w:tc>
          <w:tcPr>
            <w:tcW w:w="6660" w:type="dxa"/>
            <w:vAlign w:val="bottom"/>
            <w:vMerge w:val="restart"/>
          </w:tcPr>
          <w:p>
            <w:pPr>
              <w:jc w:val="center"/>
              <w:spacing w:after="0"/>
              <w:rPr>
                <w:sz w:val="20"/>
                <w:szCs w:val="20"/>
                <w:color w:val="auto"/>
              </w:rPr>
            </w:pPr>
            <w:r>
              <w:rPr>
                <w:rFonts w:ascii="Arial" w:cs="Arial" w:eastAsia="Arial" w:hAnsi="Arial"/>
                <w:sz w:val="18"/>
                <w:szCs w:val="18"/>
                <w:color w:val="auto"/>
                <w:w w:val="99"/>
              </w:rPr>
              <w:t>While maintaining rTSR Max Payout Amount</w:t>
            </w:r>
          </w:p>
        </w:tc>
        <w:tc>
          <w:tcPr>
            <w:tcW w:w="2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F2F2F2"/>
          </w:tcPr>
          <w:p>
            <w:pPr>
              <w:spacing w:after="0"/>
              <w:rPr>
                <w:sz w:val="12"/>
                <w:szCs w:val="12"/>
                <w:color w:val="auto"/>
              </w:rPr>
            </w:pPr>
          </w:p>
        </w:tc>
        <w:tc>
          <w:tcPr>
            <w:tcW w:w="6660" w:type="dxa"/>
            <w:vAlign w:val="bottom"/>
            <w:vMerge w:val="continue"/>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8"/>
              </w:rPr>
              <w:t>No cap</w:t>
            </w:r>
          </w:p>
        </w:tc>
        <w:tc>
          <w:tcPr>
            <w:tcW w:w="6660" w:type="dxa"/>
            <w:vAlign w:val="bottom"/>
          </w:tcPr>
          <w:p>
            <w:pPr>
              <w:jc w:val="center"/>
              <w:spacing w:after="0"/>
              <w:rPr>
                <w:sz w:val="20"/>
                <w:szCs w:val="20"/>
                <w:color w:val="auto"/>
              </w:rPr>
            </w:pPr>
            <w:r>
              <w:rPr>
                <w:rFonts w:ascii="Arial" w:cs="Arial" w:eastAsia="Arial" w:hAnsi="Arial"/>
                <w:sz w:val="18"/>
                <w:szCs w:val="18"/>
                <w:b w:val="1"/>
                <w:bCs w:val="1"/>
                <w:color w:val="auto"/>
                <w:w w:val="99"/>
              </w:rPr>
              <w:t>Added Payout Cap</w:t>
            </w:r>
          </w:p>
        </w:tc>
        <w:tc>
          <w:tcPr>
            <w:tcW w:w="2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Cannot exceed target if</w:t>
            </w:r>
          </w:p>
        </w:tc>
        <w:tc>
          <w:tcPr>
            <w:tcW w:w="0" w:type="dxa"/>
            <w:vAlign w:val="bottom"/>
          </w:tcPr>
          <w:p>
            <w:pPr>
              <w:spacing w:after="0"/>
              <w:rPr>
                <w:sz w:val="1"/>
                <w:szCs w:val="1"/>
                <w:color w:val="auto"/>
              </w:rPr>
            </w:pPr>
          </w:p>
        </w:tc>
      </w:tr>
      <w:tr>
        <w:trPr>
          <w:trHeight w:val="144"/>
        </w:trPr>
        <w:tc>
          <w:tcPr>
            <w:tcW w:w="2220" w:type="dxa"/>
            <w:vAlign w:val="bottom"/>
            <w:vMerge w:val="continue"/>
            <w:shd w:val="clear" w:color="auto" w:fill="F2F2F2"/>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8"/>
                <w:szCs w:val="18"/>
                <w:color w:val="auto"/>
                <w:w w:val="98"/>
              </w:rPr>
              <w:t>if absolute TSR is negative</w:t>
            </w: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absolute TSR is negative</w:t>
            </w:r>
          </w:p>
        </w:tc>
        <w:tc>
          <w:tcPr>
            <w:tcW w:w="0" w:type="dxa"/>
            <w:vAlign w:val="bottom"/>
          </w:tcPr>
          <w:p>
            <w:pPr>
              <w:spacing w:after="0"/>
              <w:rPr>
                <w:sz w:val="1"/>
                <w:szCs w:val="1"/>
                <w:color w:val="auto"/>
              </w:rPr>
            </w:pPr>
          </w:p>
        </w:tc>
      </w:tr>
      <w:tr>
        <w:trPr>
          <w:trHeight w:val="144"/>
        </w:trPr>
        <w:tc>
          <w:tcPr>
            <w:tcW w:w="2220" w:type="dxa"/>
            <w:vAlign w:val="bottom"/>
            <w:shd w:val="clear" w:color="auto" w:fill="F2F2F2"/>
          </w:tcPr>
          <w:p>
            <w:pPr>
              <w:spacing w:after="0"/>
              <w:rPr>
                <w:sz w:val="12"/>
                <w:szCs w:val="12"/>
                <w:color w:val="auto"/>
              </w:rPr>
            </w:pPr>
          </w:p>
        </w:tc>
        <w:tc>
          <w:tcPr>
            <w:tcW w:w="6660" w:type="dxa"/>
            <w:vAlign w:val="bottom"/>
            <w:vMerge w:val="continue"/>
          </w:tcPr>
          <w:p>
            <w:pPr>
              <w:spacing w:after="0"/>
              <w:rPr>
                <w:sz w:val="12"/>
                <w:szCs w:val="12"/>
                <w:color w:val="auto"/>
              </w:rPr>
            </w:pPr>
          </w:p>
        </w:tc>
        <w:tc>
          <w:tcPr>
            <w:tcW w:w="222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072630" cy="33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7263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-353695</wp:posOffset>
            </wp:positionV>
            <wp:extent cx="7072630" cy="336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7263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7072630" cy="33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7263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-1036955</wp:posOffset>
            </wp:positionV>
            <wp:extent cx="7072630" cy="336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72630" cy="33655"/>
                    </a:xfrm>
                    <a:prstGeom prst="rect">
                      <a:avLst/>
                    </a:prstGeom>
                    <a:noFill/>
                  </pic:spPr>
                </pic:pic>
              </a:graphicData>
            </a:graphic>
          </wp:anchor>
        </w:drawing>
      </w:r>
    </w:p>
    <w:p>
      <w:pPr>
        <w:spacing w:after="0" w:line="31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our engagements with shareholders subsequent to our Fiscal 2023 Annual Meeting of Shareholders informed our determination to lengthen the vesting schedule of our long-term incentive awards beginning with our Fiscal 2025 PRSU grants, such that any shares earned based on attainment of performance goals under those PRSUs prior to the conclusion of the three-year performance period will be banked and will cliff vest at the conclusion of the three-year period.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800"/>
        <w:spacing w:after="0" w:line="285" w:lineRule="auto"/>
        <w:rPr>
          <w:sz w:val="20"/>
          <w:szCs w:val="20"/>
          <w:color w:val="auto"/>
        </w:rPr>
      </w:pPr>
      <w:r>
        <w:rPr>
          <w:rFonts w:ascii="Arial" w:cs="Arial" w:eastAsia="Arial" w:hAnsi="Arial"/>
          <w:sz w:val="18"/>
          <w:szCs w:val="18"/>
          <w:color w:val="auto"/>
        </w:rPr>
        <w:t>We strive to maintain sound executive compensation practices and policies, which include adherence to the following compensation principles.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955" cy="4091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4091940"/>
                    </a:xfrm>
                    <a:prstGeom prst="rect">
                      <a:avLst/>
                    </a:prstGeom>
                    <a:noFill/>
                  </pic:spPr>
                </pic:pic>
              </a:graphicData>
            </a:graphic>
          </wp:anchor>
        </w:drawing>
      </w:r>
    </w:p>
    <w:p>
      <w:pPr>
        <w:spacing w:after="0" w:line="319"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What We Do</w:t>
      </w:r>
    </w:p>
    <w:p>
      <w:pPr>
        <w:spacing w:after="0" w:line="111" w:lineRule="exact"/>
        <w:rPr>
          <w:sz w:val="20"/>
          <w:szCs w:val="20"/>
          <w:color w:val="auto"/>
        </w:rPr>
      </w:pPr>
    </w:p>
    <w:p>
      <w:pPr>
        <w:ind w:left="900" w:right="240" w:hanging="323"/>
        <w:spacing w:after="0" w:line="233" w:lineRule="auto"/>
        <w:tabs>
          <w:tab w:leader="none" w:pos="89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Pay for performance by requiring that a substantial portion of our executive officers’ target total direct compensation be earned based on performance goals</w:t>
      </w:r>
    </w:p>
    <w:p>
      <w:pPr>
        <w:spacing w:after="0" w:line="244" w:lineRule="exact"/>
        <w:rPr>
          <w:rFonts w:ascii="Arial" w:cs="Arial" w:eastAsia="Arial" w:hAnsi="Arial"/>
          <w:sz w:val="16"/>
          <w:szCs w:val="16"/>
          <w:color w:val="BD03F7"/>
        </w:rPr>
      </w:pPr>
    </w:p>
    <w:p>
      <w:pPr>
        <w:jc w:val="both"/>
        <w:ind w:left="900" w:right="380" w:hanging="323"/>
        <w:spacing w:after="0" w:line="233" w:lineRule="auto"/>
        <w:tabs>
          <w:tab w:leader="none" w:pos="89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Link our compensation program to our long-term corporate growth strategy and key drivers of sustainable shareholder value creation</w:t>
      </w:r>
    </w:p>
    <w:p>
      <w:pPr>
        <w:spacing w:after="0" w:line="244" w:lineRule="exact"/>
        <w:rPr>
          <w:rFonts w:ascii="Arial" w:cs="Arial" w:eastAsia="Arial" w:hAnsi="Arial"/>
          <w:sz w:val="16"/>
          <w:szCs w:val="16"/>
          <w:color w:val="BD03F7"/>
        </w:rPr>
      </w:pPr>
    </w:p>
    <w:p>
      <w:pPr>
        <w:ind w:left="900" w:hanging="323"/>
        <w:spacing w:after="0" w:line="227" w:lineRule="auto"/>
        <w:tabs>
          <w:tab w:leader="none" w:pos="89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Use a mix of objective performance measures, cash-and equity-based components, and short- and long-term incentive opportunities that hold our executive officers accountable for executing on our short- and long-term strategies</w:t>
      </w:r>
    </w:p>
    <w:p>
      <w:pPr>
        <w:spacing w:after="0" w:line="245" w:lineRule="exact"/>
        <w:rPr>
          <w:rFonts w:ascii="Arial" w:cs="Arial" w:eastAsia="Arial" w:hAnsi="Arial"/>
          <w:sz w:val="16"/>
          <w:szCs w:val="16"/>
          <w:color w:val="BD03F7"/>
        </w:rPr>
      </w:pPr>
    </w:p>
    <w:p>
      <w:pPr>
        <w:ind w:left="900" w:right="200" w:hanging="323"/>
        <w:spacing w:after="0" w:line="227" w:lineRule="auto"/>
        <w:tabs>
          <w:tab w:leader="none" w:pos="89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Engage an independent compensation consultant to evaluate and advise the Compensation Committee on our executive compensation program design and pay decisions for our executive officers</w:t>
      </w:r>
    </w:p>
    <w:p>
      <w:pPr>
        <w:spacing w:after="0" w:line="245" w:lineRule="exact"/>
        <w:rPr>
          <w:rFonts w:ascii="Arial" w:cs="Arial" w:eastAsia="Arial" w:hAnsi="Arial"/>
          <w:sz w:val="16"/>
          <w:szCs w:val="16"/>
          <w:color w:val="BD03F7"/>
        </w:rPr>
      </w:pPr>
    </w:p>
    <w:p>
      <w:pPr>
        <w:ind w:left="880" w:hanging="303"/>
        <w:spacing w:after="0"/>
        <w:tabs>
          <w:tab w:leader="none" w:pos="88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Cap maximum payout levels under our incentive plans</w:t>
      </w:r>
    </w:p>
    <w:p>
      <w:pPr>
        <w:spacing w:after="0" w:line="273" w:lineRule="exact"/>
        <w:rPr>
          <w:rFonts w:ascii="Arial" w:cs="Arial" w:eastAsia="Arial" w:hAnsi="Arial"/>
          <w:sz w:val="16"/>
          <w:szCs w:val="16"/>
          <w:color w:val="BD03F7"/>
        </w:rPr>
      </w:pPr>
    </w:p>
    <w:p>
      <w:pPr>
        <w:ind w:left="900" w:right="180" w:hanging="323"/>
        <w:spacing w:after="0" w:line="227" w:lineRule="auto"/>
        <w:tabs>
          <w:tab w:leader="none" w:pos="890" w:val="left"/>
        </w:tabs>
        <w:numPr>
          <w:ilvl w:val="0"/>
          <w:numId w:val="48"/>
        </w:numPr>
        <w:rPr>
          <w:rFonts w:ascii="Arial" w:cs="Arial" w:eastAsia="Arial" w:hAnsi="Arial"/>
          <w:sz w:val="16"/>
          <w:szCs w:val="16"/>
          <w:color w:val="BD03F7"/>
        </w:rPr>
      </w:pPr>
      <w:r>
        <w:rPr>
          <w:rFonts w:ascii="Arial" w:cs="Arial" w:eastAsia="Arial" w:hAnsi="Arial"/>
          <w:sz w:val="16"/>
          <w:szCs w:val="16"/>
          <w:color w:val="auto"/>
        </w:rPr>
        <w:t>Maintain a compensation recoupment ("clawback”) policy that provides for recoupment of incentive compensation paid to current and former executive officers in the event of an accounting restatement due to material noncompliance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1"/>
        <w:spacing w:after="0"/>
        <w:rPr>
          <w:sz w:val="20"/>
          <w:szCs w:val="20"/>
          <w:color w:val="auto"/>
        </w:rPr>
      </w:pPr>
      <w:r>
        <w:rPr>
          <w:rFonts w:ascii="Arial" w:cs="Arial" w:eastAsia="Arial" w:hAnsi="Arial"/>
          <w:sz w:val="22"/>
          <w:szCs w:val="22"/>
          <w:b w:val="1"/>
          <w:bCs w:val="1"/>
          <w:color w:val="auto"/>
        </w:rPr>
        <w:t>What We Don’t Do</w:t>
      </w:r>
    </w:p>
    <w:p>
      <w:pPr>
        <w:spacing w:after="0" w:line="111" w:lineRule="exact"/>
        <w:rPr>
          <w:sz w:val="20"/>
          <w:szCs w:val="20"/>
          <w:color w:val="auto"/>
        </w:rPr>
      </w:pPr>
    </w:p>
    <w:p>
      <w:pPr>
        <w:ind w:left="321" w:right="580" w:hanging="321"/>
        <w:spacing w:after="0" w:line="233" w:lineRule="auto"/>
        <w:tabs>
          <w:tab w:leader="none" w:pos="31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special retirement benefits other than participation in our broad-based retirement plans on the same basis as other employees</w:t>
      </w:r>
    </w:p>
    <w:p>
      <w:pPr>
        <w:spacing w:after="0" w:line="244" w:lineRule="exact"/>
        <w:rPr>
          <w:rFonts w:ascii="Arial" w:cs="Arial" w:eastAsia="Arial" w:hAnsi="Arial"/>
          <w:sz w:val="16"/>
          <w:szCs w:val="16"/>
          <w:color w:val="BD03F7"/>
        </w:rPr>
      </w:pPr>
    </w:p>
    <w:p>
      <w:pPr>
        <w:ind w:left="321" w:hanging="321"/>
        <w:spacing w:after="0"/>
        <w:tabs>
          <w:tab w:leader="none" w:pos="32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golden parachute tax gross-ups</w:t>
      </w:r>
    </w:p>
    <w:p>
      <w:pPr>
        <w:spacing w:after="0" w:line="200" w:lineRule="exact"/>
        <w:rPr>
          <w:rFonts w:ascii="Arial" w:cs="Arial" w:eastAsia="Arial" w:hAnsi="Arial"/>
          <w:sz w:val="16"/>
          <w:szCs w:val="16"/>
          <w:color w:val="BD03F7"/>
        </w:rPr>
      </w:pPr>
    </w:p>
    <w:p>
      <w:pPr>
        <w:spacing w:after="0" w:line="396" w:lineRule="exact"/>
        <w:rPr>
          <w:rFonts w:ascii="Arial" w:cs="Arial" w:eastAsia="Arial" w:hAnsi="Arial"/>
          <w:sz w:val="16"/>
          <w:szCs w:val="16"/>
          <w:color w:val="BD03F7"/>
        </w:rPr>
      </w:pPr>
    </w:p>
    <w:p>
      <w:pPr>
        <w:ind w:left="321" w:right="340" w:hanging="321"/>
        <w:spacing w:after="0" w:line="249" w:lineRule="auto"/>
        <w:tabs>
          <w:tab w:leader="none" w:pos="31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repricing of options or stock appreciation rights without prior shareholder approval</w:t>
      </w:r>
    </w:p>
    <w:p>
      <w:pPr>
        <w:spacing w:after="0" w:line="200" w:lineRule="exact"/>
        <w:rPr>
          <w:rFonts w:ascii="Arial" w:cs="Arial" w:eastAsia="Arial" w:hAnsi="Arial"/>
          <w:sz w:val="16"/>
          <w:szCs w:val="16"/>
          <w:color w:val="BD03F7"/>
        </w:rPr>
      </w:pPr>
    </w:p>
    <w:p>
      <w:pPr>
        <w:spacing w:after="0" w:line="359" w:lineRule="exact"/>
        <w:rPr>
          <w:rFonts w:ascii="Arial" w:cs="Arial" w:eastAsia="Arial" w:hAnsi="Arial"/>
          <w:sz w:val="16"/>
          <w:szCs w:val="16"/>
          <w:color w:val="BD03F7"/>
        </w:rPr>
      </w:pPr>
    </w:p>
    <w:p>
      <w:pPr>
        <w:ind w:left="321" w:right="540" w:hanging="321"/>
        <w:spacing w:after="0" w:line="249" w:lineRule="auto"/>
        <w:tabs>
          <w:tab w:leader="none" w:pos="31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“single-trigger” vesting for equity awards upon Change in Control</w:t>
      </w:r>
    </w:p>
    <w:p>
      <w:pPr>
        <w:spacing w:after="0" w:line="200" w:lineRule="exact"/>
        <w:rPr>
          <w:rFonts w:ascii="Arial" w:cs="Arial" w:eastAsia="Arial" w:hAnsi="Arial"/>
          <w:sz w:val="16"/>
          <w:szCs w:val="16"/>
          <w:color w:val="BD03F7"/>
        </w:rPr>
      </w:pPr>
    </w:p>
    <w:p>
      <w:pPr>
        <w:spacing w:after="0" w:line="359" w:lineRule="exact"/>
        <w:rPr>
          <w:rFonts w:ascii="Arial" w:cs="Arial" w:eastAsia="Arial" w:hAnsi="Arial"/>
          <w:sz w:val="16"/>
          <w:szCs w:val="16"/>
          <w:color w:val="BD03F7"/>
        </w:rPr>
      </w:pPr>
    </w:p>
    <w:p>
      <w:pPr>
        <w:ind w:left="321" w:hanging="321"/>
        <w:spacing w:after="0"/>
        <w:tabs>
          <w:tab w:leader="none" w:pos="32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insider pledging or hedging activities involving our stock</w:t>
      </w:r>
    </w:p>
    <w:p>
      <w:pPr>
        <w:spacing w:after="0" w:line="200" w:lineRule="exact"/>
        <w:rPr>
          <w:rFonts w:ascii="Arial" w:cs="Arial" w:eastAsia="Arial" w:hAnsi="Arial"/>
          <w:sz w:val="16"/>
          <w:szCs w:val="16"/>
          <w:color w:val="BD03F7"/>
        </w:rPr>
      </w:pPr>
    </w:p>
    <w:p>
      <w:pPr>
        <w:spacing w:after="0" w:line="200" w:lineRule="exact"/>
        <w:rPr>
          <w:rFonts w:ascii="Arial" w:cs="Arial" w:eastAsia="Arial" w:hAnsi="Arial"/>
          <w:sz w:val="16"/>
          <w:szCs w:val="16"/>
          <w:color w:val="BD03F7"/>
        </w:rPr>
      </w:pPr>
    </w:p>
    <w:p>
      <w:pPr>
        <w:spacing w:after="0" w:line="236" w:lineRule="exact"/>
        <w:rPr>
          <w:rFonts w:ascii="Arial" w:cs="Arial" w:eastAsia="Arial" w:hAnsi="Arial"/>
          <w:sz w:val="16"/>
          <w:szCs w:val="16"/>
          <w:color w:val="BD03F7"/>
        </w:rPr>
      </w:pPr>
    </w:p>
    <w:p>
      <w:pPr>
        <w:ind w:left="321" w:hanging="321"/>
        <w:spacing w:after="0"/>
        <w:tabs>
          <w:tab w:leader="none" w:pos="321" w:val="left"/>
        </w:tabs>
        <w:numPr>
          <w:ilvl w:val="0"/>
          <w:numId w:val="49"/>
        </w:numPr>
        <w:rPr>
          <w:rFonts w:ascii="Arial" w:cs="Arial" w:eastAsia="Arial" w:hAnsi="Arial"/>
          <w:sz w:val="16"/>
          <w:szCs w:val="16"/>
          <w:color w:val="BD03F7"/>
        </w:rPr>
      </w:pPr>
      <w:r>
        <w:rPr>
          <w:rFonts w:ascii="Arial" w:cs="Arial" w:eastAsia="Arial" w:hAnsi="Arial"/>
          <w:sz w:val="16"/>
          <w:szCs w:val="16"/>
          <w:color w:val="auto"/>
        </w:rPr>
        <w:t>No excessive perquisites</w:t>
      </w:r>
    </w:p>
    <w:p>
      <w:pPr>
        <w:spacing w:after="0" w:line="348" w:lineRule="exact"/>
        <w:rPr>
          <w:sz w:val="20"/>
          <w:szCs w:val="20"/>
          <w:color w:val="auto"/>
        </w:rPr>
      </w:pPr>
    </w:p>
    <w:p>
      <w:pPr>
        <w:sectPr>
          <w:pgSz w:w="11900" w:h="16838" w:orient="portrait"/>
          <w:cols w:equalWidth="0" w:num="2">
            <w:col w:w="5460" w:space="619"/>
            <w:col w:w="5161"/>
          </w:cols>
          <w:pgMar w:left="320" w:top="125" w:right="339" w:bottom="1440" w:gutter="0" w:footer="0" w:header="0"/>
          <w:type w:val="continuous"/>
        </w:sectPr>
      </w:pPr>
    </w:p>
    <w:p>
      <w:pPr>
        <w:spacing w:after="0" w:line="46" w:lineRule="exact"/>
        <w:rPr>
          <w:sz w:val="20"/>
          <w:szCs w:val="20"/>
          <w:color w:val="auto"/>
        </w:rPr>
      </w:pPr>
    </w:p>
    <w:p>
      <w:pPr>
        <w:ind w:left="880" w:hanging="303"/>
        <w:spacing w:after="0"/>
        <w:tabs>
          <w:tab w:leader="none" w:pos="880" w:val="left"/>
        </w:tabs>
        <w:numPr>
          <w:ilvl w:val="0"/>
          <w:numId w:val="50"/>
        </w:numPr>
        <w:rPr>
          <w:rFonts w:ascii="Arial" w:cs="Arial" w:eastAsia="Arial" w:hAnsi="Arial"/>
          <w:sz w:val="16"/>
          <w:szCs w:val="16"/>
          <w:color w:val="BD03F7"/>
        </w:rPr>
      </w:pPr>
      <w:r>
        <w:rPr>
          <w:rFonts w:ascii="Arial" w:cs="Arial" w:eastAsia="Arial" w:hAnsi="Arial"/>
          <w:sz w:val="16"/>
          <w:szCs w:val="16"/>
          <w:color w:val="auto"/>
        </w:rPr>
        <w:t>Maintain executive stock ownership guidelines</w:t>
      </w:r>
    </w:p>
    <w:p>
      <w:pPr>
        <w:spacing w:after="0" w:line="273"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color w:val="BD03F7"/>
        </w:rPr>
        <w:t>■</w:t>
      </w:r>
      <w:r>
        <w:rPr>
          <w:rFonts w:ascii="Arial" w:cs="Arial" w:eastAsia="Arial" w:hAnsi="Arial"/>
          <w:sz w:val="16"/>
          <w:szCs w:val="16"/>
          <w:color w:val="auto"/>
        </w:rPr>
        <w:tab/>
        <w:t>Incorporate robust shareholder engagement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PAY-FOR-PERFORMANCE PHILOSOPHY</w:t>
      </w:r>
    </w:p>
    <w:p>
      <w:pPr>
        <w:spacing w:after="0" w:line="24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significant portion of each executive officer’s target total direct compensation is “at risk” and linked to the accomplishment of specific financial and operational performance goals that we expect will lead to increased long-term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Program Design Aligns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810" cy="37414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5810" cy="3741420"/>
                    </a:xfrm>
                    <a:prstGeom prst="rect">
                      <a:avLst/>
                    </a:prstGeom>
                    <a:noFill/>
                  </pic:spPr>
                </pic:pic>
              </a:graphicData>
            </a:graphic>
          </wp:anchor>
        </w:drawing>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248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00" w:type="dxa"/>
            <w:vAlign w:val="bottom"/>
            <w:shd w:val="clear" w:color="auto" w:fill="F9F9F9"/>
          </w:tcPr>
          <w:p>
            <w:pPr>
              <w:spacing w:after="0"/>
              <w:rPr>
                <w:sz w:val="21"/>
                <w:szCs w:val="21"/>
                <w:color w:val="auto"/>
              </w:rPr>
            </w:pPr>
          </w:p>
        </w:tc>
        <w:tc>
          <w:tcPr>
            <w:tcW w:w="260" w:type="dxa"/>
            <w:vAlign w:val="bottom"/>
            <w:shd w:val="clear" w:color="auto" w:fill="F9F9F9"/>
          </w:tcPr>
          <w:p>
            <w:pPr>
              <w:spacing w:after="0"/>
              <w:rPr>
                <w:sz w:val="21"/>
                <w:szCs w:val="21"/>
                <w:color w:val="auto"/>
              </w:rPr>
            </w:pPr>
          </w:p>
        </w:tc>
        <w:tc>
          <w:tcPr>
            <w:tcW w:w="250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b w:val="1"/>
                <w:bCs w:val="1"/>
                <w:color w:val="BD03F7"/>
              </w:rPr>
              <w:t>Performance-Based Pay</w:t>
            </w:r>
          </w:p>
        </w:tc>
        <w:tc>
          <w:tcPr>
            <w:tcW w:w="240" w:type="dxa"/>
            <w:vAlign w:val="bottom"/>
            <w:shd w:val="clear" w:color="auto" w:fill="F9F9F9"/>
          </w:tcPr>
          <w:p>
            <w:pPr>
              <w:spacing w:after="0"/>
              <w:rPr>
                <w:sz w:val="15"/>
                <w:szCs w:val="15"/>
                <w:color w:val="auto"/>
              </w:rPr>
            </w:pPr>
          </w:p>
        </w:tc>
        <w:tc>
          <w:tcPr>
            <w:tcW w:w="250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b w:val="1"/>
                <w:bCs w:val="1"/>
                <w:color w:val="BD03F7"/>
              </w:rPr>
              <w:t>Significant LTI</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75" w:lineRule="exact"/>
              <w:rPr>
                <w:sz w:val="20"/>
                <w:szCs w:val="20"/>
                <w:color w:val="auto"/>
              </w:rPr>
            </w:pPr>
            <w:r>
              <w:rPr>
                <w:rFonts w:ascii="Arial" w:cs="Arial" w:eastAsia="Arial" w:hAnsi="Arial"/>
                <w:sz w:val="18"/>
                <w:szCs w:val="18"/>
                <w:b w:val="1"/>
                <w:bCs w:val="1"/>
                <w:color w:val="BD03F7"/>
              </w:rPr>
              <w:t>Shareholder Value Creation</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b w:val="1"/>
                <w:bCs w:val="1"/>
                <w:color w:val="BD03F7"/>
              </w:rPr>
              <w:t>Variable Pay</w:t>
            </w:r>
          </w:p>
        </w:tc>
        <w:tc>
          <w:tcPr>
            <w:tcW w:w="0" w:type="dxa"/>
            <w:vAlign w:val="bottom"/>
          </w:tcPr>
          <w:p>
            <w:pPr>
              <w:spacing w:after="0"/>
              <w:rPr>
                <w:sz w:val="1"/>
                <w:szCs w:val="1"/>
                <w:color w:val="auto"/>
              </w:rPr>
            </w:pPr>
          </w:p>
        </w:tc>
      </w:tr>
      <w:tr>
        <w:trPr>
          <w:trHeight w:val="242"/>
        </w:trPr>
        <w:tc>
          <w:tcPr>
            <w:tcW w:w="2480" w:type="dxa"/>
            <w:vAlign w:val="bottom"/>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BD03F7"/>
              </w:rPr>
              <w:t>Awards</w:t>
            </w:r>
          </w:p>
        </w:tc>
        <w:tc>
          <w:tcPr>
            <w:tcW w:w="260" w:type="dxa"/>
            <w:vAlign w:val="bottom"/>
            <w:shd w:val="clear" w:color="auto" w:fill="F9F9F9"/>
          </w:tcPr>
          <w:p>
            <w:pPr>
              <w:spacing w:after="0"/>
              <w:rPr>
                <w:sz w:val="21"/>
                <w:szCs w:val="21"/>
                <w:color w:val="auto"/>
              </w:rPr>
            </w:pPr>
          </w:p>
        </w:tc>
        <w:tc>
          <w:tcPr>
            <w:tcW w:w="250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480" w:type="dxa"/>
            <w:vAlign w:val="bottom"/>
            <w:vMerge w:val="restart"/>
          </w:tcPr>
          <w:p>
            <w:pPr>
              <w:ind w:left="20"/>
              <w:spacing w:after="0"/>
              <w:rPr>
                <w:sz w:val="20"/>
                <w:szCs w:val="20"/>
                <w:color w:val="auto"/>
              </w:rPr>
            </w:pPr>
            <w:r>
              <w:rPr>
                <w:rFonts w:ascii="Arial" w:cs="Arial" w:eastAsia="Arial" w:hAnsi="Arial"/>
                <w:sz w:val="18"/>
                <w:szCs w:val="18"/>
                <w:color w:val="auto"/>
              </w:rPr>
              <w:t>A substantial majority of the</w:t>
            </w:r>
          </w:p>
        </w:tc>
        <w:tc>
          <w:tcPr>
            <w:tcW w:w="240" w:type="dxa"/>
            <w:vAlign w:val="bottom"/>
          </w:tcPr>
          <w:p>
            <w:pPr>
              <w:spacing w:after="0"/>
              <w:rPr>
                <w:sz w:val="14"/>
                <w:szCs w:val="14"/>
                <w:color w:val="auto"/>
              </w:rPr>
            </w:pPr>
          </w:p>
        </w:tc>
        <w:tc>
          <w:tcPr>
            <w:tcW w:w="2500" w:type="dxa"/>
            <w:vAlign w:val="bottom"/>
            <w:shd w:val="clear" w:color="auto" w:fill="F9F9F9"/>
          </w:tcPr>
          <w:p>
            <w:pPr>
              <w:spacing w:after="0"/>
              <w:rPr>
                <w:sz w:val="14"/>
                <w:szCs w:val="14"/>
                <w:color w:val="auto"/>
              </w:rPr>
            </w:pPr>
          </w:p>
        </w:tc>
        <w:tc>
          <w:tcPr>
            <w:tcW w:w="260" w:type="dxa"/>
            <w:vAlign w:val="bottom"/>
            <w:shd w:val="clear" w:color="auto" w:fill="F9F9F9"/>
          </w:tcPr>
          <w:p>
            <w:pPr>
              <w:spacing w:after="0"/>
              <w:rPr>
                <w:sz w:val="14"/>
                <w:szCs w:val="14"/>
                <w:color w:val="auto"/>
              </w:rPr>
            </w:pPr>
          </w:p>
        </w:tc>
        <w:tc>
          <w:tcPr>
            <w:tcW w:w="2500" w:type="dxa"/>
            <w:vAlign w:val="bottom"/>
            <w:vMerge w:val="restart"/>
            <w:shd w:val="clear" w:color="auto" w:fill="F9F9F9"/>
          </w:tcPr>
          <w:p>
            <w:pPr>
              <w:spacing w:after="0"/>
              <w:rPr>
                <w:sz w:val="20"/>
                <w:szCs w:val="20"/>
                <w:color w:val="auto"/>
              </w:rPr>
            </w:pPr>
            <w:r>
              <w:rPr>
                <w:rFonts w:ascii="Arial" w:cs="Arial" w:eastAsia="Arial" w:hAnsi="Arial"/>
                <w:sz w:val="18"/>
                <w:szCs w:val="18"/>
                <w:color w:val="auto"/>
              </w:rPr>
              <w:t>Incentive awards require</w:t>
            </w:r>
          </w:p>
        </w:tc>
        <w:tc>
          <w:tcPr>
            <w:tcW w:w="240" w:type="dxa"/>
            <w:vAlign w:val="bottom"/>
            <w:shd w:val="clear" w:color="auto" w:fill="F9F9F9"/>
          </w:tcPr>
          <w:p>
            <w:pPr>
              <w:spacing w:after="0"/>
              <w:rPr>
                <w:sz w:val="14"/>
                <w:szCs w:val="14"/>
                <w:color w:val="auto"/>
              </w:rPr>
            </w:pPr>
          </w:p>
        </w:tc>
        <w:tc>
          <w:tcPr>
            <w:tcW w:w="2760" w:type="dxa"/>
            <w:vAlign w:val="bottom"/>
            <w:vMerge w:val="restart"/>
            <w:shd w:val="clear" w:color="auto" w:fill="F9F9F9"/>
          </w:tcPr>
          <w:p>
            <w:pPr>
              <w:ind w:left="20"/>
              <w:spacing w:after="0"/>
              <w:rPr>
                <w:sz w:val="20"/>
                <w:szCs w:val="20"/>
                <w:color w:val="auto"/>
              </w:rPr>
            </w:pPr>
            <w:r>
              <w:rPr>
                <w:rFonts w:ascii="Arial" w:cs="Arial" w:eastAsia="Arial" w:hAnsi="Arial"/>
                <w:sz w:val="18"/>
                <w:szCs w:val="18"/>
                <w:color w:val="auto"/>
              </w:rPr>
              <w:t>Actual, realized compensation</w:t>
            </w: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Performance-based equity</w:t>
            </w:r>
          </w:p>
        </w:tc>
        <w:tc>
          <w:tcPr>
            <w:tcW w:w="260" w:type="dxa"/>
            <w:vAlign w:val="bottom"/>
            <w:shd w:val="clear" w:color="auto" w:fill="F9F9F9"/>
          </w:tcPr>
          <w:p>
            <w:pPr>
              <w:spacing w:after="0"/>
              <w:rPr>
                <w:sz w:val="15"/>
                <w:szCs w:val="15"/>
                <w:color w:val="auto"/>
              </w:rPr>
            </w:pPr>
          </w:p>
        </w:tc>
        <w:tc>
          <w:tcPr>
            <w:tcW w:w="2500" w:type="dxa"/>
            <w:vAlign w:val="bottom"/>
            <w:vMerge w:val="continue"/>
            <w:shd w:val="clear" w:color="auto" w:fill="F9F9F9"/>
          </w:tcPr>
          <w:p>
            <w:pPr>
              <w:spacing w:after="0"/>
              <w:rPr>
                <w:sz w:val="15"/>
                <w:szCs w:val="15"/>
                <w:color w:val="auto"/>
              </w:rPr>
            </w:pPr>
          </w:p>
        </w:tc>
        <w:tc>
          <w:tcPr>
            <w:tcW w:w="240" w:type="dxa"/>
            <w:vAlign w:val="bottom"/>
            <w:shd w:val="clear" w:color="auto" w:fill="F9F9F9"/>
          </w:tcPr>
          <w:p>
            <w:pPr>
              <w:spacing w:after="0"/>
              <w:rPr>
                <w:sz w:val="15"/>
                <w:szCs w:val="15"/>
                <w:color w:val="auto"/>
              </w:rPr>
            </w:pPr>
          </w:p>
        </w:tc>
        <w:tc>
          <w:tcPr>
            <w:tcW w:w="2760" w:type="dxa"/>
            <w:vAlign w:val="bottom"/>
            <w:vMerge w:val="continue"/>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3" w:lineRule="exact"/>
              <w:rPr>
                <w:sz w:val="20"/>
                <w:szCs w:val="20"/>
                <w:color w:val="auto"/>
              </w:rPr>
            </w:pPr>
            <w:r>
              <w:rPr>
                <w:rFonts w:ascii="Arial" w:cs="Arial" w:eastAsia="Arial" w:hAnsi="Arial"/>
                <w:sz w:val="18"/>
                <w:szCs w:val="18"/>
                <w:color w:val="auto"/>
              </w:rPr>
              <w:t>compensation available for</w:t>
            </w:r>
          </w:p>
        </w:tc>
        <w:tc>
          <w:tcPr>
            <w:tcW w:w="240" w:type="dxa"/>
            <w:vAlign w:val="bottom"/>
          </w:tcPr>
          <w:p>
            <w:pPr>
              <w:spacing w:after="0"/>
              <w:rPr>
                <w:sz w:val="15"/>
                <w:szCs w:val="15"/>
                <w:color w:val="auto"/>
              </w:rPr>
            </w:pPr>
          </w:p>
        </w:tc>
        <w:tc>
          <w:tcPr>
            <w:tcW w:w="2500" w:type="dxa"/>
            <w:vAlign w:val="bottom"/>
          </w:tcPr>
          <w:p>
            <w:pPr>
              <w:ind w:left="20"/>
              <w:spacing w:after="0" w:line="183" w:lineRule="exact"/>
              <w:rPr>
                <w:sz w:val="20"/>
                <w:szCs w:val="20"/>
                <w:color w:val="auto"/>
              </w:rPr>
            </w:pPr>
            <w:r>
              <w:rPr>
                <w:rFonts w:ascii="Arial" w:cs="Arial" w:eastAsia="Arial" w:hAnsi="Arial"/>
                <w:sz w:val="18"/>
                <w:szCs w:val="18"/>
                <w:color w:val="auto"/>
              </w:rPr>
              <w:t>awards, measured by internal</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83" w:lineRule="exact"/>
              <w:rPr>
                <w:sz w:val="20"/>
                <w:szCs w:val="20"/>
                <w:color w:val="auto"/>
              </w:rPr>
            </w:pPr>
            <w:r>
              <w:rPr>
                <w:rFonts w:ascii="Arial" w:cs="Arial" w:eastAsia="Arial" w:hAnsi="Arial"/>
                <w:sz w:val="18"/>
                <w:szCs w:val="18"/>
                <w:color w:val="auto"/>
              </w:rPr>
              <w:t>achievement of critical</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83" w:lineRule="exact"/>
              <w:rPr>
                <w:sz w:val="20"/>
                <w:szCs w:val="20"/>
                <w:color w:val="auto"/>
              </w:rPr>
            </w:pPr>
            <w:r>
              <w:rPr>
                <w:rFonts w:ascii="Arial" w:cs="Arial" w:eastAsia="Arial" w:hAnsi="Arial"/>
                <w:sz w:val="18"/>
                <w:szCs w:val="18"/>
                <w:color w:val="auto"/>
              </w:rPr>
              <w:t>is designed to fluctuate with</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line="181" w:lineRule="exact"/>
              <w:rPr>
                <w:sz w:val="20"/>
                <w:szCs w:val="20"/>
                <w:color w:val="auto"/>
              </w:rPr>
            </w:pPr>
            <w:r>
              <w:rPr>
                <w:rFonts w:ascii="Arial" w:cs="Arial" w:eastAsia="Arial" w:hAnsi="Arial"/>
                <w:sz w:val="18"/>
                <w:szCs w:val="18"/>
                <w:color w:val="auto"/>
              </w:rPr>
              <w:t>executives is performance-</w:t>
            </w:r>
          </w:p>
        </w:tc>
        <w:tc>
          <w:tcPr>
            <w:tcW w:w="240" w:type="dxa"/>
            <w:vAlign w:val="bottom"/>
          </w:tcPr>
          <w:p>
            <w:pPr>
              <w:spacing w:after="0"/>
              <w:rPr>
                <w:sz w:val="15"/>
                <w:szCs w:val="15"/>
                <w:color w:val="auto"/>
              </w:rPr>
            </w:pPr>
          </w:p>
        </w:tc>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and external metrics intended</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81" w:lineRule="exact"/>
              <w:rPr>
                <w:sz w:val="20"/>
                <w:szCs w:val="20"/>
                <w:color w:val="auto"/>
              </w:rPr>
            </w:pPr>
            <w:r>
              <w:rPr>
                <w:rFonts w:ascii="Arial" w:cs="Arial" w:eastAsia="Arial" w:hAnsi="Arial"/>
                <w:sz w:val="18"/>
                <w:szCs w:val="18"/>
                <w:color w:val="auto"/>
              </w:rPr>
              <w:t>financial and operational goals</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81" w:lineRule="exact"/>
              <w:rPr>
                <w:sz w:val="20"/>
                <w:szCs w:val="20"/>
                <w:color w:val="auto"/>
              </w:rPr>
            </w:pPr>
            <w:r>
              <w:rPr>
                <w:rFonts w:ascii="Arial" w:cs="Arial" w:eastAsia="Arial" w:hAnsi="Arial"/>
                <w:sz w:val="18"/>
                <w:szCs w:val="18"/>
                <w:color w:val="auto"/>
              </w:rPr>
              <w:t>changes in shareholder value</w:t>
            </w: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color w:val="auto"/>
              </w:rPr>
              <w:t>based and delivered in the</w:t>
            </w: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to drive shareholder value,</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75" w:lineRule="exact"/>
              <w:rPr>
                <w:sz w:val="20"/>
                <w:szCs w:val="20"/>
                <w:color w:val="auto"/>
              </w:rPr>
            </w:pPr>
            <w:r>
              <w:rPr>
                <w:rFonts w:ascii="Arial" w:cs="Arial" w:eastAsia="Arial" w:hAnsi="Arial"/>
                <w:sz w:val="18"/>
                <w:szCs w:val="18"/>
                <w:color w:val="auto"/>
              </w:rPr>
              <w:t>and are measured against</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color w:val="auto"/>
              </w:rPr>
              <w:t>over time.</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3" w:lineRule="exact"/>
              <w:rPr>
                <w:sz w:val="20"/>
                <w:szCs w:val="20"/>
                <w:color w:val="auto"/>
              </w:rPr>
            </w:pPr>
            <w:r>
              <w:rPr>
                <w:rFonts w:ascii="Arial" w:cs="Arial" w:eastAsia="Arial" w:hAnsi="Arial"/>
                <w:sz w:val="18"/>
                <w:szCs w:val="18"/>
                <w:color w:val="auto"/>
              </w:rPr>
              <w:t>form of equity awards in order</w:t>
            </w:r>
          </w:p>
        </w:tc>
        <w:tc>
          <w:tcPr>
            <w:tcW w:w="240" w:type="dxa"/>
            <w:vAlign w:val="bottom"/>
          </w:tcPr>
          <w:p>
            <w:pPr>
              <w:spacing w:after="0"/>
              <w:rPr>
                <w:sz w:val="15"/>
                <w:szCs w:val="15"/>
                <w:color w:val="auto"/>
              </w:rPr>
            </w:pPr>
          </w:p>
        </w:tc>
        <w:tc>
          <w:tcPr>
            <w:tcW w:w="2500" w:type="dxa"/>
            <w:vAlign w:val="bottom"/>
          </w:tcPr>
          <w:p>
            <w:pPr>
              <w:ind w:left="20"/>
              <w:spacing w:after="0" w:line="183" w:lineRule="exact"/>
              <w:rPr>
                <w:sz w:val="20"/>
                <w:szCs w:val="20"/>
                <w:color w:val="auto"/>
              </w:rPr>
            </w:pPr>
            <w:r>
              <w:rPr>
                <w:rFonts w:ascii="Arial" w:cs="Arial" w:eastAsia="Arial" w:hAnsi="Arial"/>
                <w:sz w:val="18"/>
                <w:szCs w:val="18"/>
                <w:color w:val="auto"/>
              </w:rPr>
              <w:t>comprise a significant portion</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83" w:lineRule="exact"/>
              <w:rPr>
                <w:sz w:val="20"/>
                <w:szCs w:val="20"/>
                <w:color w:val="auto"/>
              </w:rPr>
            </w:pPr>
            <w:r>
              <w:rPr>
                <w:rFonts w:ascii="Arial" w:cs="Arial" w:eastAsia="Arial" w:hAnsi="Arial"/>
                <w:sz w:val="18"/>
                <w:szCs w:val="18"/>
                <w:color w:val="auto"/>
              </w:rPr>
              <w:t>objective metrics that we</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line="181" w:lineRule="exact"/>
              <w:rPr>
                <w:sz w:val="20"/>
                <w:szCs w:val="20"/>
                <w:color w:val="auto"/>
              </w:rPr>
            </w:pPr>
            <w:r>
              <w:rPr>
                <w:rFonts w:ascii="Arial" w:cs="Arial" w:eastAsia="Arial" w:hAnsi="Arial"/>
                <w:sz w:val="18"/>
                <w:szCs w:val="18"/>
                <w:color w:val="auto"/>
              </w:rPr>
              <w:t>to more closely align</w:t>
            </w:r>
          </w:p>
        </w:tc>
        <w:tc>
          <w:tcPr>
            <w:tcW w:w="240" w:type="dxa"/>
            <w:vAlign w:val="bottom"/>
          </w:tcPr>
          <w:p>
            <w:pPr>
              <w:spacing w:after="0"/>
              <w:rPr>
                <w:sz w:val="15"/>
                <w:szCs w:val="15"/>
                <w:color w:val="auto"/>
              </w:rPr>
            </w:pPr>
          </w:p>
        </w:tc>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of our long-term incentive</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81" w:lineRule="exact"/>
              <w:rPr>
                <w:sz w:val="20"/>
                <w:szCs w:val="20"/>
                <w:color w:val="auto"/>
              </w:rPr>
            </w:pPr>
            <w:r>
              <w:rPr>
                <w:rFonts w:ascii="Arial" w:cs="Arial" w:eastAsia="Arial" w:hAnsi="Arial"/>
                <w:sz w:val="18"/>
                <w:szCs w:val="18"/>
                <w:color w:val="auto"/>
              </w:rPr>
              <w:t>believe result in the creation of</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color w:val="auto"/>
              </w:rPr>
              <w:t>management and shareholder</w:t>
            </w: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compensation opportunities.</w:t>
            </w:r>
          </w:p>
        </w:tc>
        <w:tc>
          <w:tcPr>
            <w:tcW w:w="260" w:type="dxa"/>
            <w:vAlign w:val="bottom"/>
            <w:shd w:val="clear" w:color="auto" w:fill="F9F9F9"/>
          </w:tcPr>
          <w:p>
            <w:pPr>
              <w:spacing w:after="0"/>
              <w:rPr>
                <w:sz w:val="15"/>
                <w:szCs w:val="15"/>
                <w:color w:val="auto"/>
              </w:rPr>
            </w:pPr>
          </w:p>
        </w:tc>
        <w:tc>
          <w:tcPr>
            <w:tcW w:w="2500" w:type="dxa"/>
            <w:vAlign w:val="bottom"/>
            <w:shd w:val="clear" w:color="auto" w:fill="F9F9F9"/>
          </w:tcPr>
          <w:p>
            <w:pPr>
              <w:spacing w:after="0" w:line="175" w:lineRule="exact"/>
              <w:rPr>
                <w:sz w:val="20"/>
                <w:szCs w:val="20"/>
                <w:color w:val="auto"/>
              </w:rPr>
            </w:pPr>
            <w:r>
              <w:rPr>
                <w:rFonts w:ascii="Arial" w:cs="Arial" w:eastAsia="Arial" w:hAnsi="Arial"/>
                <w:sz w:val="18"/>
                <w:szCs w:val="18"/>
                <w:color w:val="auto"/>
              </w:rPr>
              <w:t>sustainable value for our</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shd w:val="clear" w:color="auto" w:fill="F9F9F9"/>
          </w:tcPr>
          <w:p>
            <w:pPr>
              <w:spacing w:after="0"/>
              <w:rPr>
                <w:sz w:val="21"/>
                <w:szCs w:val="21"/>
                <w:color w:val="auto"/>
              </w:rPr>
            </w:pPr>
          </w:p>
        </w:tc>
        <w:tc>
          <w:tcPr>
            <w:tcW w:w="2500" w:type="dxa"/>
            <w:vAlign w:val="bottom"/>
            <w:shd w:val="clear" w:color="auto" w:fill="F9F9F9"/>
          </w:tcPr>
          <w:p>
            <w:pPr>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00" w:type="dxa"/>
            <w:vAlign w:val="bottom"/>
            <w:shd w:val="clear" w:color="auto" w:fill="F9F9F9"/>
          </w:tcPr>
          <w:p>
            <w:pPr>
              <w:spacing w:after="0"/>
              <w:rPr>
                <w:sz w:val="23"/>
                <w:szCs w:val="23"/>
                <w:color w:val="auto"/>
              </w:rPr>
            </w:pPr>
          </w:p>
        </w:tc>
        <w:tc>
          <w:tcPr>
            <w:tcW w:w="240" w:type="dxa"/>
            <w:vAlign w:val="bottom"/>
            <w:shd w:val="clear" w:color="auto" w:fill="F9F9F9"/>
          </w:tcPr>
          <w:p>
            <w:pPr>
              <w:spacing w:after="0"/>
              <w:rPr>
                <w:sz w:val="23"/>
                <w:szCs w:val="23"/>
                <w:color w:val="auto"/>
              </w:rPr>
            </w:pPr>
          </w:p>
        </w:tc>
        <w:tc>
          <w:tcPr>
            <w:tcW w:w="2760" w:type="dxa"/>
            <w:vAlign w:val="bottom"/>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BD03F7"/>
              </w:rPr>
              <w:t>Market-Based</w:t>
            </w:r>
          </w:p>
        </w:tc>
        <w:tc>
          <w:tcPr>
            <w:tcW w:w="240" w:type="dxa"/>
            <w:vAlign w:val="bottom"/>
          </w:tcPr>
          <w:p>
            <w:pPr>
              <w:spacing w:after="0"/>
              <w:rPr>
                <w:sz w:val="23"/>
                <w:szCs w:val="23"/>
                <w:color w:val="auto"/>
              </w:rPr>
            </w:pPr>
          </w:p>
        </w:tc>
        <w:tc>
          <w:tcPr>
            <w:tcW w:w="2500" w:type="dxa"/>
            <w:vAlign w:val="bottom"/>
            <w:vMerge w:val="restart"/>
          </w:tcPr>
          <w:p>
            <w:pPr>
              <w:ind w:left="20"/>
              <w:spacing w:after="0"/>
              <w:rPr>
                <w:sz w:val="20"/>
                <w:szCs w:val="20"/>
                <w:color w:val="auto"/>
              </w:rPr>
            </w:pPr>
            <w:r>
              <w:rPr>
                <w:rFonts w:ascii="Arial" w:cs="Arial" w:eastAsia="Arial" w:hAnsi="Arial"/>
                <w:sz w:val="18"/>
                <w:szCs w:val="18"/>
                <w:b w:val="1"/>
                <w:bCs w:val="1"/>
                <w:color w:val="BD03F7"/>
              </w:rPr>
              <w:t>Annual Review</w:t>
            </w:r>
          </w:p>
        </w:tc>
        <w:tc>
          <w:tcPr>
            <w:tcW w:w="260" w:type="dxa"/>
            <w:vAlign w:val="bottom"/>
          </w:tcPr>
          <w:p>
            <w:pPr>
              <w:spacing w:after="0"/>
              <w:rPr>
                <w:sz w:val="23"/>
                <w:szCs w:val="23"/>
                <w:color w:val="auto"/>
              </w:rPr>
            </w:pPr>
          </w:p>
        </w:tc>
        <w:tc>
          <w:tcPr>
            <w:tcW w:w="2500" w:type="dxa"/>
            <w:vAlign w:val="bottom"/>
            <w:vMerge w:val="restart"/>
          </w:tcPr>
          <w:p>
            <w:pPr>
              <w:spacing w:after="0"/>
              <w:rPr>
                <w:sz w:val="20"/>
                <w:szCs w:val="20"/>
                <w:color w:val="auto"/>
              </w:rPr>
            </w:pPr>
            <w:r>
              <w:rPr>
                <w:rFonts w:ascii="Arial" w:cs="Arial" w:eastAsia="Arial" w:hAnsi="Arial"/>
                <w:sz w:val="18"/>
                <w:szCs w:val="18"/>
                <w:b w:val="1"/>
                <w:bCs w:val="1"/>
                <w:color w:val="BD03F7"/>
              </w:rPr>
              <w:t>Factors for Individual</w:t>
            </w:r>
          </w:p>
        </w:tc>
        <w:tc>
          <w:tcPr>
            <w:tcW w:w="240" w:type="dxa"/>
            <w:vAlign w:val="bottom"/>
            <w:shd w:val="clear" w:color="auto" w:fill="F9F9F9"/>
          </w:tcPr>
          <w:p>
            <w:pPr>
              <w:spacing w:after="0"/>
              <w:rPr>
                <w:sz w:val="23"/>
                <w:szCs w:val="23"/>
                <w:color w:val="auto"/>
              </w:rPr>
            </w:pPr>
          </w:p>
        </w:tc>
        <w:tc>
          <w:tcPr>
            <w:tcW w:w="2760" w:type="dxa"/>
            <w:vAlign w:val="bottom"/>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Arial" w:cs="Arial" w:eastAsia="Arial" w:hAnsi="Arial"/>
                <w:sz w:val="18"/>
                <w:szCs w:val="18"/>
                <w:b w:val="1"/>
                <w:bCs w:val="1"/>
                <w:color w:val="BD03F7"/>
              </w:rPr>
              <w:t>Assessment</w:t>
            </w:r>
          </w:p>
        </w:tc>
        <w:tc>
          <w:tcPr>
            <w:tcW w:w="240" w:type="dxa"/>
            <w:vAlign w:val="bottom"/>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 w:lineRule="exact"/>
        <w:rPr>
          <w:sz w:val="20"/>
          <w:szCs w:val="20"/>
          <w:color w:val="auto"/>
        </w:rPr>
      </w:pPr>
    </w:p>
    <w:p>
      <w:pPr>
        <w:jc w:val="both"/>
        <w:ind w:left="260"/>
        <w:spacing w:after="0" w:line="234" w:lineRule="auto"/>
        <w:rPr>
          <w:sz w:val="20"/>
          <w:szCs w:val="20"/>
          <w:color w:val="auto"/>
        </w:rPr>
      </w:pPr>
      <w:r>
        <w:rPr>
          <w:rFonts w:ascii="Arial" w:cs="Arial" w:eastAsia="Arial" w:hAnsi="Arial"/>
          <w:sz w:val="17"/>
          <w:szCs w:val="17"/>
          <w:color w:val="auto"/>
        </w:rPr>
        <w:t>We refer to market data when setting compensation targets,</w:t>
      </w:r>
    </w:p>
    <w:p>
      <w:pPr>
        <w:ind w:left="260" w:right="320"/>
        <w:spacing w:after="0" w:line="220" w:lineRule="auto"/>
        <w:rPr>
          <w:sz w:val="20"/>
          <w:szCs w:val="20"/>
          <w:color w:val="auto"/>
        </w:rPr>
      </w:pPr>
      <w:r>
        <w:rPr>
          <w:rFonts w:ascii="Arial" w:cs="Arial" w:eastAsia="Arial" w:hAnsi="Arial"/>
          <w:sz w:val="17"/>
          <w:szCs w:val="17"/>
          <w:color w:val="auto"/>
        </w:rPr>
        <w:t>adjusted based on factors such as the individual’s position and experience,</w:t>
      </w:r>
    </w:p>
    <w:p>
      <w:pPr>
        <w:spacing w:after="0" w:line="1" w:lineRule="exact"/>
        <w:rPr>
          <w:sz w:val="20"/>
          <w:szCs w:val="20"/>
          <w:color w:val="auto"/>
        </w:rPr>
      </w:pPr>
    </w:p>
    <w:p>
      <w:pPr>
        <w:ind w:left="260" w:right="120"/>
        <w:spacing w:after="0" w:line="220" w:lineRule="auto"/>
        <w:rPr>
          <w:sz w:val="20"/>
          <w:szCs w:val="20"/>
          <w:color w:val="auto"/>
        </w:rPr>
      </w:pPr>
      <w:r>
        <w:rPr>
          <w:rFonts w:ascii="Arial" w:cs="Arial" w:eastAsia="Arial" w:hAnsi="Arial"/>
          <w:sz w:val="17"/>
          <w:szCs w:val="17"/>
          <w:color w:val="auto"/>
        </w:rPr>
        <w:t>contributions and technical expertise, importance to our leadership succession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and business factors.</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7"/>
          <w:szCs w:val="17"/>
          <w:color w:val="auto"/>
        </w:rPr>
        <w:t>The Compensation Committee reviews our pay-for-</w:t>
      </w:r>
    </w:p>
    <w:p>
      <w:pPr>
        <w:spacing w:after="0" w:line="220" w:lineRule="auto"/>
        <w:rPr>
          <w:sz w:val="20"/>
          <w:szCs w:val="20"/>
          <w:color w:val="auto"/>
        </w:rPr>
      </w:pPr>
      <w:r>
        <w:rPr>
          <w:rFonts w:ascii="Arial" w:cs="Arial" w:eastAsia="Arial" w:hAnsi="Arial"/>
          <w:sz w:val="17"/>
          <w:szCs w:val="17"/>
          <w:color w:val="auto"/>
        </w:rPr>
        <w:t>performance compensation arrangements annually, with input from our CEO and advice</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from the Compensation Committee’s independent compensation consultant, and</w:t>
      </w:r>
    </w:p>
    <w:p>
      <w:pPr>
        <w:spacing w:after="0" w:line="1" w:lineRule="exact"/>
        <w:rPr>
          <w:sz w:val="20"/>
          <w:szCs w:val="20"/>
          <w:color w:val="auto"/>
        </w:rPr>
      </w:pPr>
    </w:p>
    <w:p>
      <w:pPr>
        <w:ind w:right="240"/>
        <w:spacing w:after="0" w:line="220" w:lineRule="auto"/>
        <w:rPr>
          <w:sz w:val="20"/>
          <w:szCs w:val="20"/>
          <w:color w:val="auto"/>
        </w:rPr>
      </w:pPr>
      <w:r>
        <w:rPr>
          <w:rFonts w:ascii="Arial" w:cs="Arial" w:eastAsia="Arial" w:hAnsi="Arial"/>
          <w:sz w:val="18"/>
          <w:szCs w:val="18"/>
          <w:color w:val="auto"/>
        </w:rPr>
        <w:t>takes into account feedback we receive from our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Assessment of individual</w:t>
      </w:r>
    </w:p>
    <w:p>
      <w:pPr>
        <w:spacing w:after="0" w:line="218" w:lineRule="auto"/>
        <w:rPr>
          <w:sz w:val="20"/>
          <w:szCs w:val="20"/>
          <w:color w:val="auto"/>
        </w:rPr>
      </w:pPr>
      <w:r>
        <w:rPr>
          <w:rFonts w:ascii="Arial" w:cs="Arial" w:eastAsia="Arial" w:hAnsi="Arial"/>
          <w:sz w:val="18"/>
          <w:szCs w:val="18"/>
          <w:color w:val="auto"/>
        </w:rPr>
        <w:t>performance is based on</w:t>
      </w:r>
    </w:p>
    <w:p>
      <w:pPr>
        <w:spacing w:after="0" w:line="203" w:lineRule="auto"/>
        <w:rPr>
          <w:sz w:val="20"/>
          <w:szCs w:val="20"/>
          <w:color w:val="auto"/>
        </w:rPr>
      </w:pPr>
      <w:r>
        <w:rPr>
          <w:rFonts w:ascii="Arial" w:cs="Arial" w:eastAsia="Arial" w:hAnsi="Arial"/>
          <w:sz w:val="18"/>
          <w:szCs w:val="18"/>
          <w:color w:val="auto"/>
        </w:rPr>
        <w:t>numerous factors, including:</w:t>
      </w:r>
    </w:p>
    <w:p>
      <w:pPr>
        <w:spacing w:after="0" w:line="202" w:lineRule="auto"/>
        <w:rPr>
          <w:sz w:val="20"/>
          <w:szCs w:val="20"/>
          <w:color w:val="auto"/>
        </w:rPr>
      </w:pPr>
      <w:r>
        <w:rPr>
          <w:rFonts w:ascii="Arial" w:cs="Arial" w:eastAsia="Arial" w:hAnsi="Arial"/>
          <w:sz w:val="18"/>
          <w:szCs w:val="18"/>
          <w:color w:val="auto"/>
        </w:rPr>
        <w:t>contribution to business results</w:t>
      </w:r>
    </w:p>
    <w:p>
      <w:pPr>
        <w:spacing w:after="0" w:line="219" w:lineRule="auto"/>
        <w:rPr>
          <w:sz w:val="20"/>
          <w:szCs w:val="20"/>
          <w:color w:val="auto"/>
        </w:rPr>
      </w:pPr>
      <w:r>
        <w:rPr>
          <w:rFonts w:ascii="Arial" w:cs="Arial" w:eastAsia="Arial" w:hAnsi="Arial"/>
          <w:sz w:val="18"/>
          <w:szCs w:val="18"/>
          <w:color w:val="auto"/>
        </w:rPr>
        <w:t>and Company performance;</w:t>
      </w:r>
    </w:p>
    <w:p>
      <w:pPr>
        <w:spacing w:after="0" w:line="203" w:lineRule="auto"/>
        <w:rPr>
          <w:sz w:val="20"/>
          <w:szCs w:val="20"/>
          <w:color w:val="auto"/>
        </w:rPr>
      </w:pPr>
      <w:r>
        <w:rPr>
          <w:rFonts w:ascii="Arial" w:cs="Arial" w:eastAsia="Arial" w:hAnsi="Arial"/>
          <w:sz w:val="18"/>
          <w:szCs w:val="18"/>
          <w:color w:val="auto"/>
        </w:rPr>
        <w:t>completion of objectives;</w:t>
      </w:r>
    </w:p>
    <w:p>
      <w:pPr>
        <w:spacing w:after="0" w:line="202" w:lineRule="auto"/>
        <w:rPr>
          <w:sz w:val="20"/>
          <w:szCs w:val="20"/>
          <w:color w:val="auto"/>
        </w:rPr>
      </w:pPr>
      <w:r>
        <w:rPr>
          <w:rFonts w:ascii="Arial" w:cs="Arial" w:eastAsia="Arial" w:hAnsi="Arial"/>
          <w:sz w:val="18"/>
          <w:szCs w:val="18"/>
          <w:color w:val="auto"/>
        </w:rPr>
        <w:t>behavior consistent with the</w:t>
      </w:r>
    </w:p>
    <w:p>
      <w:pPr>
        <w:spacing w:after="0" w:line="219" w:lineRule="auto"/>
        <w:rPr>
          <w:sz w:val="20"/>
          <w:szCs w:val="20"/>
          <w:color w:val="auto"/>
        </w:rPr>
      </w:pPr>
      <w:r>
        <w:rPr>
          <w:rFonts w:ascii="Arial" w:cs="Arial" w:eastAsia="Arial" w:hAnsi="Arial"/>
          <w:sz w:val="18"/>
          <w:szCs w:val="18"/>
          <w:color w:val="auto"/>
        </w:rPr>
        <w:t>highest standard of integrity,</w:t>
      </w:r>
    </w:p>
    <w:p>
      <w:pPr>
        <w:spacing w:after="0" w:line="203" w:lineRule="auto"/>
        <w:rPr>
          <w:sz w:val="20"/>
          <w:szCs w:val="20"/>
          <w:color w:val="auto"/>
        </w:rPr>
      </w:pPr>
      <w:r>
        <w:rPr>
          <w:rFonts w:ascii="Arial" w:cs="Arial" w:eastAsia="Arial" w:hAnsi="Arial"/>
          <w:sz w:val="18"/>
          <w:szCs w:val="18"/>
          <w:color w:val="auto"/>
        </w:rPr>
        <w:t>ethics and Company values;</w:t>
      </w:r>
    </w:p>
    <w:p>
      <w:pPr>
        <w:spacing w:after="0" w:line="202" w:lineRule="auto"/>
        <w:rPr>
          <w:sz w:val="20"/>
          <w:szCs w:val="20"/>
          <w:color w:val="auto"/>
        </w:rPr>
      </w:pPr>
      <w:r>
        <w:rPr>
          <w:rFonts w:ascii="Arial" w:cs="Arial" w:eastAsia="Arial" w:hAnsi="Arial"/>
          <w:sz w:val="18"/>
          <w:szCs w:val="18"/>
          <w:color w:val="auto"/>
        </w:rPr>
        <w:t>and commitment to</w:t>
      </w:r>
    </w:p>
    <w:p>
      <w:pPr>
        <w:spacing w:after="0" w:line="219" w:lineRule="auto"/>
        <w:rPr>
          <w:sz w:val="20"/>
          <w:szCs w:val="20"/>
          <w:color w:val="auto"/>
        </w:rPr>
      </w:pPr>
      <w:r>
        <w:rPr>
          <w:rFonts w:ascii="Arial" w:cs="Arial" w:eastAsia="Arial" w:hAnsi="Arial"/>
          <w:sz w:val="18"/>
          <w:szCs w:val="18"/>
          <w:color w:val="auto"/>
        </w:rPr>
        <w:t>sustainability and DEI</w:t>
      </w:r>
    </w:p>
    <w:p>
      <w:pPr>
        <w:spacing w:after="0"/>
        <w:rPr>
          <w:sz w:val="20"/>
          <w:szCs w:val="20"/>
          <w:color w:val="auto"/>
        </w:rPr>
      </w:pPr>
      <w:r>
        <w:rPr>
          <w:rFonts w:ascii="Arial" w:cs="Arial" w:eastAsia="Arial" w:hAnsi="Arial"/>
          <w:sz w:val="18"/>
          <w:szCs w:val="18"/>
          <w:color w:val="auto"/>
        </w:rPr>
        <w:t>programs and initiatives.</w:t>
      </w:r>
    </w:p>
    <w:p>
      <w:pPr>
        <w:spacing w:after="0" w:line="200" w:lineRule="exact"/>
        <w:rPr>
          <w:sz w:val="20"/>
          <w:szCs w:val="20"/>
          <w:color w:val="auto"/>
        </w:rPr>
      </w:pPr>
    </w:p>
    <w:p>
      <w:pPr>
        <w:sectPr>
          <w:pgSz w:w="11900" w:h="16838" w:orient="portrait"/>
          <w:cols w:equalWidth="0" w:num="3">
            <w:col w:w="2620" w:space="360"/>
            <w:col w:w="2460" w:space="280"/>
            <w:col w:w="5520"/>
          </w:cols>
          <w:pgMar w:left="320" w:top="125"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20" w:right="600"/>
        <w:spacing w:after="0" w:line="295" w:lineRule="auto"/>
        <w:rPr>
          <w:sz w:val="20"/>
          <w:szCs w:val="20"/>
          <w:color w:val="auto"/>
        </w:rPr>
      </w:pPr>
      <w:r>
        <w:rPr>
          <w:rFonts w:ascii="Arial" w:cs="Arial" w:eastAsia="Arial" w:hAnsi="Arial"/>
          <w:sz w:val="32"/>
          <w:szCs w:val="32"/>
          <w:b w:val="1"/>
          <w:bCs w:val="1"/>
          <w:color w:val="auto"/>
        </w:rPr>
        <w:t>COMPENSATION-SETTING PROCESS AND THE DETERMINATION OF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9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TARGETING “REASONABLE” AND “COMPETITIVE” PAY</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believe that offering a compensation package that is both “reasonable” and “competitive” with what our executives could otherwise obtain in the market—especially from companies within our Compensation Peer Group—enables us to attract, motivate, reward, and retain qualified individuals who can help us meet our overall objective of increasing shareholder value. The Compensation Committee determines what would be reasonable and competitive compensation based upon an analysis of peer market data (as outlined below in “—Use of Compensation Peer Group Data”), the recommendations of its compensation consultant, and our historical experience.</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Compensation Committee generally views the peer market data median as reasonable. However, because the semiconductor industry is highly volatile, the market data (and the median) may change dramatically from year to year, as performance varies, compensation practices change, executives retire, less experienced and lower-paid executives are hired, survey participants change or the quality of available compensation data shifts. As such,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also considers additional factors in establishing each individual’s target compensation, including:</w:t>
      </w:r>
    </w:p>
    <w:p>
      <w:pPr>
        <w:spacing w:after="0" w:line="291" w:lineRule="exact"/>
        <w:rPr>
          <w:sz w:val="20"/>
          <w:szCs w:val="20"/>
          <w:color w:val="auto"/>
        </w:rPr>
      </w:pPr>
    </w:p>
    <w:p>
      <w:pPr>
        <w:ind w:left="660" w:right="100" w:hanging="330"/>
        <w:spacing w:after="0" w:line="236" w:lineRule="auto"/>
        <w:tabs>
          <w:tab w:leader="none" w:pos="654" w:val="left"/>
        </w:tabs>
        <w:numPr>
          <w:ilvl w:val="0"/>
          <w:numId w:val="51"/>
        </w:numPr>
        <w:rPr>
          <w:rFonts w:ascii="Arial" w:cs="Arial" w:eastAsia="Arial" w:hAnsi="Arial"/>
          <w:sz w:val="22"/>
          <w:szCs w:val="22"/>
          <w:color w:val="BD03F7"/>
        </w:rPr>
      </w:pPr>
      <w:r>
        <w:rPr>
          <w:rFonts w:ascii="Arial" w:cs="Arial" w:eastAsia="Arial" w:hAnsi="Arial"/>
          <w:sz w:val="18"/>
          <w:szCs w:val="18"/>
          <w:color w:val="auto"/>
        </w:rPr>
        <w:t>the executive’s position, level of responsibility, tenure, and experience—both in absolute terms and as compared to our other officers and the executive’s counterparts within the Compensation Peer Group;</w:t>
      </w:r>
    </w:p>
    <w:p>
      <w:pPr>
        <w:spacing w:after="0" w:line="246" w:lineRule="exact"/>
        <w:rPr>
          <w:rFonts w:ascii="Arial" w:cs="Arial" w:eastAsia="Arial" w:hAnsi="Arial"/>
          <w:sz w:val="22"/>
          <w:szCs w:val="22"/>
          <w:color w:val="BD03F7"/>
        </w:rPr>
      </w:pPr>
    </w:p>
    <w:p>
      <w:pPr>
        <w:ind w:left="640" w:hanging="310"/>
        <w:spacing w:after="0"/>
        <w:tabs>
          <w:tab w:leader="none" w:pos="640" w:val="left"/>
        </w:tabs>
        <w:numPr>
          <w:ilvl w:val="0"/>
          <w:numId w:val="51"/>
        </w:numPr>
        <w:rPr>
          <w:rFonts w:ascii="Arial" w:cs="Arial" w:eastAsia="Arial" w:hAnsi="Arial"/>
          <w:sz w:val="22"/>
          <w:szCs w:val="22"/>
          <w:color w:val="BD03F7"/>
        </w:rPr>
      </w:pPr>
      <w:r>
        <w:rPr>
          <w:rFonts w:ascii="Arial" w:cs="Arial" w:eastAsia="Arial" w:hAnsi="Arial"/>
          <w:sz w:val="18"/>
          <w:szCs w:val="18"/>
          <w:color w:val="auto"/>
        </w:rPr>
        <w:t>the executive’s past and anticipated contributions and technical expertise;</w:t>
      </w:r>
    </w:p>
    <w:p>
      <w:pPr>
        <w:spacing w:after="0" w:line="244" w:lineRule="exact"/>
        <w:rPr>
          <w:rFonts w:ascii="Arial" w:cs="Arial" w:eastAsia="Arial" w:hAnsi="Arial"/>
          <w:sz w:val="22"/>
          <w:szCs w:val="22"/>
          <w:color w:val="BD03F7"/>
        </w:rPr>
      </w:pPr>
    </w:p>
    <w:p>
      <w:pPr>
        <w:ind w:left="640" w:hanging="310"/>
        <w:spacing w:after="0"/>
        <w:tabs>
          <w:tab w:leader="none" w:pos="640" w:val="left"/>
        </w:tabs>
        <w:numPr>
          <w:ilvl w:val="0"/>
          <w:numId w:val="51"/>
        </w:numPr>
        <w:rPr>
          <w:rFonts w:ascii="Arial" w:cs="Arial" w:eastAsia="Arial" w:hAnsi="Arial"/>
          <w:sz w:val="22"/>
          <w:szCs w:val="22"/>
          <w:color w:val="BD03F7"/>
        </w:rPr>
      </w:pPr>
      <w:r>
        <w:rPr>
          <w:rFonts w:ascii="Arial" w:cs="Arial" w:eastAsia="Arial" w:hAnsi="Arial"/>
          <w:sz w:val="18"/>
          <w:szCs w:val="18"/>
          <w:color w:val="auto"/>
        </w:rPr>
        <w:t>the executive’s importance to our leadership succession plans;</w:t>
      </w:r>
    </w:p>
    <w:p>
      <w:pPr>
        <w:spacing w:after="0" w:line="258" w:lineRule="exact"/>
        <w:rPr>
          <w:rFonts w:ascii="Arial" w:cs="Arial" w:eastAsia="Arial" w:hAnsi="Arial"/>
          <w:sz w:val="22"/>
          <w:szCs w:val="22"/>
          <w:color w:val="BD03F7"/>
        </w:rPr>
      </w:pPr>
    </w:p>
    <w:p>
      <w:pPr>
        <w:ind w:left="640" w:hanging="310"/>
        <w:spacing w:after="0"/>
        <w:tabs>
          <w:tab w:leader="none" w:pos="640" w:val="left"/>
        </w:tabs>
        <w:numPr>
          <w:ilvl w:val="0"/>
          <w:numId w:val="51"/>
        </w:numPr>
        <w:rPr>
          <w:rFonts w:ascii="Arial" w:cs="Arial" w:eastAsia="Arial" w:hAnsi="Arial"/>
          <w:sz w:val="22"/>
          <w:szCs w:val="22"/>
          <w:color w:val="BD03F7"/>
        </w:rPr>
      </w:pPr>
      <w:r>
        <w:rPr>
          <w:rFonts w:ascii="Arial" w:cs="Arial" w:eastAsia="Arial" w:hAnsi="Arial"/>
          <w:sz w:val="18"/>
          <w:szCs w:val="18"/>
          <w:color w:val="auto"/>
        </w:rPr>
        <w:t>recent Company performance and projections for future periods;</w:t>
      </w:r>
    </w:p>
    <w:p>
      <w:pPr>
        <w:spacing w:after="0" w:line="244" w:lineRule="exact"/>
        <w:rPr>
          <w:rFonts w:ascii="Arial" w:cs="Arial" w:eastAsia="Arial" w:hAnsi="Arial"/>
          <w:sz w:val="22"/>
          <w:szCs w:val="22"/>
          <w:color w:val="BD03F7"/>
        </w:rPr>
      </w:pPr>
    </w:p>
    <w:p>
      <w:pPr>
        <w:ind w:left="640" w:hanging="310"/>
        <w:spacing w:after="0"/>
        <w:tabs>
          <w:tab w:leader="none" w:pos="640" w:val="left"/>
        </w:tabs>
        <w:numPr>
          <w:ilvl w:val="0"/>
          <w:numId w:val="51"/>
        </w:numPr>
        <w:rPr>
          <w:rFonts w:ascii="Arial" w:cs="Arial" w:eastAsia="Arial" w:hAnsi="Arial"/>
          <w:sz w:val="22"/>
          <w:szCs w:val="22"/>
          <w:color w:val="BD03F7"/>
        </w:rPr>
      </w:pPr>
      <w:r>
        <w:rPr>
          <w:rFonts w:ascii="Arial" w:cs="Arial" w:eastAsia="Arial" w:hAnsi="Arial"/>
          <w:sz w:val="18"/>
          <w:szCs w:val="18"/>
          <w:color w:val="auto"/>
        </w:rPr>
        <w:t>applicable business unit performance; and</w:t>
      </w:r>
    </w:p>
    <w:p>
      <w:pPr>
        <w:spacing w:after="0" w:line="244" w:lineRule="exact"/>
        <w:rPr>
          <w:rFonts w:ascii="Arial" w:cs="Arial" w:eastAsia="Arial" w:hAnsi="Arial"/>
          <w:sz w:val="22"/>
          <w:szCs w:val="22"/>
          <w:color w:val="BD03F7"/>
        </w:rPr>
      </w:pPr>
    </w:p>
    <w:p>
      <w:pPr>
        <w:ind w:left="640" w:hanging="310"/>
        <w:spacing w:after="0"/>
        <w:tabs>
          <w:tab w:leader="none" w:pos="640" w:val="left"/>
        </w:tabs>
        <w:numPr>
          <w:ilvl w:val="0"/>
          <w:numId w:val="51"/>
        </w:numPr>
        <w:rPr>
          <w:rFonts w:ascii="Times New Roman" w:cs="Times New Roman" w:eastAsia="Times New Roman" w:hAnsi="Times New Roman"/>
          <w:sz w:val="22"/>
          <w:szCs w:val="22"/>
          <w:color w:val="BD03F7"/>
        </w:rPr>
      </w:pPr>
      <w:r>
        <w:rPr>
          <w:rFonts w:ascii="Arial" w:cs="Arial" w:eastAsia="Arial" w:hAnsi="Arial"/>
          <w:sz w:val="18"/>
          <w:szCs w:val="18"/>
          <w:color w:val="auto"/>
        </w:rPr>
        <w:t>our strategic business plan.</w:t>
      </w:r>
    </w:p>
    <w:p>
      <w:pPr>
        <w:spacing w:after="0" w:line="21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Compensation Committee believes, including based on advice from its compensation consultant, that a reasonable and competitive executive compensation package will address practices with respect to each of the three most common elements of direct compensation: base salary, short-term incentive (cash bonus), and long-term incentive (typically equity). We do not have a rigid formula for dividing target total direct compensation among these three elements, but strongly believe that a significant portion of compensation should be variable and incentive-based, consistent with our pay philosophy.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OVERSIGHT OF THE EXECUTIVE COMPENSATION PROGRAM</w:t>
      </w:r>
    </w:p>
    <w:p>
      <w:pPr>
        <w:spacing w:after="0" w:line="24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to determine compensation in the context of our pay-for-performance philosophy. The Compensation Committee reviews and approves the goals and objectives used to determine executive compensation, evaluates performance considering such goals and objectives, and determines and approves compensation levels based on that evaluation. The Compensation Committee works closely with our Chief Executive Officer to establish performance goals that further our strategic objectives and to set compensation for the Company’s other officers.</w:t>
      </w:r>
    </w:p>
    <w:p>
      <w:pPr>
        <w:spacing w:after="0" w:line="209"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The Compensation Committee sets compensation levels at the beginning of each fiscal year. A complete description of the Compensation Committee’s responsibilities is provided in the Compensation Committee’s charter.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ENGAGEMENT OF COMPENSATION CONSULTANT</w:t>
      </w:r>
    </w:p>
    <w:p>
      <w:pPr>
        <w:spacing w:after="0" w:line="254" w:lineRule="exact"/>
        <w:rPr>
          <w:sz w:val="20"/>
          <w:szCs w:val="20"/>
          <w:color w:val="auto"/>
        </w:rPr>
      </w:pPr>
    </w:p>
    <w:p>
      <w:pPr>
        <w:jc w:val="both"/>
        <w:ind w:right="100"/>
        <w:spacing w:after="0" w:line="290" w:lineRule="auto"/>
        <w:rPr>
          <w:sz w:val="20"/>
          <w:szCs w:val="20"/>
          <w:color w:val="auto"/>
        </w:rPr>
      </w:pPr>
      <w:r>
        <w:rPr>
          <w:rFonts w:ascii="Arial" w:cs="Arial" w:eastAsia="Arial" w:hAnsi="Arial"/>
          <w:sz w:val="17"/>
          <w:szCs w:val="17"/>
          <w:color w:val="auto"/>
        </w:rPr>
        <w:t>The Compensation Committee annually engages a compensation consultant to provide a comprehensive review of executive compensation matters and meets with the compensation consultant at least quarterly. The compensation consultant provides the Compensation Committee with information regarding cash and non-cash compensation elements for our executive officers and historical and trend payment data.</w:t>
      </w:r>
    </w:p>
    <w:p>
      <w:pPr>
        <w:spacing w:after="0" w:line="17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has established procedures intended to keep its independent compensation consultant’s advice objective and free of influence from our management. These procedures include: a direct reporting relationship to the Compensation Committee; a provision in the engagement letter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2024, the specific activities undertaken by the compensation consultant for the Compensation Committee included:</w:t>
      </w:r>
    </w:p>
    <w:p>
      <w:pPr>
        <w:spacing w:after="0" w:line="195" w:lineRule="exact"/>
        <w:rPr>
          <w:sz w:val="20"/>
          <w:szCs w:val="20"/>
          <w:color w:val="auto"/>
        </w:rPr>
      </w:pPr>
    </w:p>
    <w:p>
      <w:pPr>
        <w:ind w:left="640" w:hanging="310"/>
        <w:spacing w:after="0"/>
        <w:tabs>
          <w:tab w:leader="none" w:pos="640" w:val="left"/>
        </w:tabs>
        <w:numPr>
          <w:ilvl w:val="0"/>
          <w:numId w:val="52"/>
        </w:numPr>
        <w:rPr>
          <w:rFonts w:ascii="Arial" w:cs="Arial" w:eastAsia="Arial" w:hAnsi="Arial"/>
          <w:sz w:val="18"/>
          <w:szCs w:val="18"/>
          <w:color w:val="BD03F7"/>
        </w:rPr>
      </w:pPr>
      <w:r>
        <w:rPr>
          <w:rFonts w:ascii="Arial" w:cs="Arial" w:eastAsia="Arial" w:hAnsi="Arial"/>
          <w:sz w:val="18"/>
          <w:szCs w:val="18"/>
          <w:color w:val="auto"/>
        </w:rPr>
        <w:t>review the Compensation Peer Group and recommend any changes to its members;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evaluate target total direct compensation and its components for our executive officers;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evaluate our historical “pay-for-performance” relationship;</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review the metrics and targets associated with the annual short-term incentives and long-term incentive compensation plans;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review the proposed equity awards to be granted to our executive officers, along with vesting recommendations;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assist with a risk assessment of our compensation policies and practices;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Times New Roman" w:cs="Times New Roman" w:eastAsia="Times New Roman" w:hAnsi="Times New Roman"/>
          <w:sz w:val="18"/>
          <w:szCs w:val="18"/>
          <w:color w:val="BD03F7"/>
        </w:rPr>
      </w:pPr>
      <w:r>
        <w:rPr>
          <w:rFonts w:ascii="Arial" w:cs="Arial" w:eastAsia="Arial" w:hAnsi="Arial"/>
          <w:sz w:val="18"/>
          <w:szCs w:val="18"/>
          <w:color w:val="auto"/>
        </w:rPr>
        <w:t>review stock ownership guideline practices;</w:t>
      </w:r>
    </w:p>
    <w:p>
      <w:pPr>
        <w:spacing w:after="0" w:line="236" w:lineRule="exact"/>
        <w:rPr>
          <w:rFonts w:ascii="Times New Roman" w:cs="Times New Roman" w:eastAsia="Times New Roman" w:hAnsi="Times New Roman"/>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review a draft of the Compensation Discussion and Analysis section of our definitive proxy statement; and</w:t>
      </w:r>
    </w:p>
    <w:p>
      <w:pPr>
        <w:spacing w:after="0" w:line="223" w:lineRule="exact"/>
        <w:rPr>
          <w:rFonts w:ascii="Arial" w:cs="Arial" w:eastAsia="Arial" w:hAnsi="Arial"/>
          <w:sz w:val="18"/>
          <w:szCs w:val="18"/>
          <w:color w:val="BD03F7"/>
        </w:rPr>
      </w:pPr>
    </w:p>
    <w:p>
      <w:pPr>
        <w:ind w:left="640" w:hanging="310"/>
        <w:spacing w:after="0"/>
        <w:tabs>
          <w:tab w:leader="none" w:pos="640" w:val="left"/>
        </w:tabs>
        <w:numPr>
          <w:ilvl w:val="0"/>
          <w:numId w:val="53"/>
        </w:numPr>
        <w:rPr>
          <w:rFonts w:ascii="Arial" w:cs="Arial" w:eastAsia="Arial" w:hAnsi="Arial"/>
          <w:sz w:val="18"/>
          <w:szCs w:val="18"/>
          <w:color w:val="BD03F7"/>
        </w:rPr>
      </w:pPr>
      <w:r>
        <w:rPr>
          <w:rFonts w:ascii="Arial" w:cs="Arial" w:eastAsia="Arial" w:hAnsi="Arial"/>
          <w:sz w:val="18"/>
          <w:szCs w:val="18"/>
          <w:color w:val="auto"/>
        </w:rPr>
        <w:t>attend the Compensation Committee meetings in which executive compensation matters are discussed.</w:t>
      </w:r>
    </w:p>
    <w:p>
      <w:pPr>
        <w:spacing w:after="0" w:line="25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Compensia, Inc. (“Compensia") was the Compensation Committee’s independent compensation consultant in Fiscal 2024. Compensia did not provide any services for the Company other than consulting work related to executive compensation for the Compensation Committee and non-employee director compensation for the Governance and Sustainability Committee.</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Compensation Committee considered Compensia’s independence in light of SEC rules and Nasdaq Listing Rules. The Compensation Committee received a letter from Compensia addressing its independence, including the following factors: (i) other services provided to the Company by them; (ii) fees paid by the Company as a percentage of their total annual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Compensia or the individual consultants involved in the engagement. The Compensation Committee concluded that there were no conflicts of interest with Compensia.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THE COMPENSATION PEER GROUP</w:t>
      </w:r>
    </w:p>
    <w:p>
      <w:pPr>
        <w:spacing w:after="0" w:line="2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Compensation Committee, with the support of Compensia, reviews and approves our Compensation Peer Group annually to ensure that it reflects industry or economic changes and core selection criteria. Our current criteria include comparable revenue and market capitalization size; industry, with a focus on semiconductor companies and other broad technology industry companies that are market leaders in their space; and whether a company competes with Micron for executive talent or has a similar business strategy.</w:t>
      </w:r>
    </w:p>
    <w:p>
      <w:pPr>
        <w:spacing w:after="0" w:line="2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Compensation Peer Group for Fiscal 2024 was composed of the following 16 companies. In consultation with Compensia, the Compensation Committee reviewed and approved the Compensation Peer Group for Fiscal 2024. Only one change was made in our peer proxy group for Fiscal 2024. The Committee determined to replace VMware due to their then-impending acquisition close in early 2023, with Analog Devices, balancing out some larger peers on a revenue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5791835" cy="4305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9183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COMPENSATION PEER GROUP DATA</w:t>
      </w:r>
    </w:p>
    <w:p>
      <w:pPr>
        <w:spacing w:after="0" w:line="24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Compensia gathers data from the proxy statements publicly filed by the members of our Compensation Peer Group and, for certain roles, from published compensation surveys. Compensation survey data may vary from year to year. For Fiscal 2024, Compensia used the Radford Global Technology Survey. The relevant survey and Compensation Peer Group data for Fiscal 2024 are collectively referred to throughout this Compensation Discussion and Analysis as market data.</w:t>
      </w: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Compensia endeavors to collect data based on job descriptions so the Compensation Committee can match positions held by our executives with positions in our Compensation Peer Group. If the Compensation Committee cannot match positions to a reasonable number of companies within the Compensation Peer Group, it will match the rank of the person involved. For example, our third-highest paid executive officer could be compared to the third-highest paid executive officer at each company within the Compensation Peer Group.</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COMPENSATION-SETTING PROCESS</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Based on its review of the most recent available market data, Compensia identifies the values for the 25th, 50th, and 75th percentile with respect to each position or rank, and then compares our compensation data—both as to the elements and the amounts to be paid or potential value to be delivered—with those findings and reports to the Chief Executive Officer and the Compensation Committee. The Chief Executive Officer works with Compensia by providing our financial data for the most recent fiscal year and reviewing our strategic business plan and projected financial results for the current fiscal year. For all Named Executive Officers other than himself, the Chief Executive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480"/>
        <w:spacing w:after="0" w:line="267" w:lineRule="auto"/>
        <w:rPr>
          <w:sz w:val="20"/>
          <w:szCs w:val="20"/>
          <w:color w:val="auto"/>
        </w:rPr>
      </w:pPr>
      <w:r>
        <w:rPr>
          <w:rFonts w:ascii="Arial" w:cs="Arial" w:eastAsia="Arial" w:hAnsi="Arial"/>
          <w:sz w:val="18"/>
          <w:szCs w:val="18"/>
          <w:color w:val="auto"/>
        </w:rPr>
        <w:t>Officer makes suggestions as to base salary, recommends a potential set of Company-wide and/or business unit metrics and short-term targets for the current fiscal year, and offers suggestions as to long-term incentive compensation. The Chief Executive Officer makes no recommendations as to his own level of compensation.</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reviews the market data, discusses it with the Chief Executive Officer and with Compensia, discusses individual executive officer performance based on input from the Chief Executive Officer and, without the Chief Executive Officer present, discusses the Chief Executive Officer’s performance for the recently completed fiscal year, anticipated performance for the current year and the other factors outlined above, as relevant. Following these deliberations, the Compensation Committee exercises its business judgment to certify the payment of performance-based compensation and approves the compensation for the current fiscal year, including the performance metrics and targets.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COMPONENTS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October 2023, the Compensation Committee set compensation levels and performance goals for Fiscal 2024 based on a review of financial results, projections, individual contributions, strategic objectives, market data, and market conditions. The table below reflects target total direct compensation and illustrates our executive compensation program emphasis on longer-term and performance-based variable award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108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Borders>
              <w:bottom w:val="single" w:sz="8" w:color="BD03F7"/>
            </w:tcBorders>
            <w:gridSpan w:val="2"/>
          </w:tcPr>
          <w:p>
            <w:pPr>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1050"/>
        </w:trPr>
        <w:tc>
          <w:tcPr>
            <w:tcW w:w="2540" w:type="dxa"/>
            <w:vAlign w:val="bottom"/>
            <w:tcBorders>
              <w:bottom w:val="single" w:sz="8" w:color="BD03F7"/>
            </w:tcBorders>
          </w:tcPr>
          <w:p>
            <w:pPr>
              <w:ind w:left="40"/>
              <w:spacing w:after="0"/>
              <w:rPr>
                <w:sz w:val="20"/>
                <w:szCs w:val="20"/>
                <w:color w:val="auto"/>
              </w:rPr>
            </w:pPr>
            <w:r>
              <w:rPr>
                <w:rFonts w:ascii="Arial" w:cs="Arial" w:eastAsia="Arial" w:hAnsi="Arial"/>
                <w:sz w:val="18"/>
                <w:szCs w:val="18"/>
                <w:b w:val="1"/>
                <w:bCs w:val="1"/>
                <w:color w:val="auto"/>
              </w:rPr>
              <w:t>Compensation Component</w:t>
            </w:r>
          </w:p>
        </w:tc>
        <w:tc>
          <w:tcPr>
            <w:tcW w:w="2380" w:type="dxa"/>
            <w:vAlign w:val="bottom"/>
            <w:tcBorders>
              <w:bottom w:val="single" w:sz="8" w:color="BD03F7"/>
            </w:tcBorders>
          </w:tcPr>
          <w:p>
            <w:pPr>
              <w:ind w:left="200"/>
              <w:spacing w:after="0"/>
              <w:rPr>
                <w:sz w:val="20"/>
                <w:szCs w:val="20"/>
                <w:color w:val="auto"/>
              </w:rPr>
            </w:pPr>
            <w:r>
              <w:rPr>
                <w:rFonts w:ascii="Arial" w:cs="Arial" w:eastAsia="Arial" w:hAnsi="Arial"/>
                <w:sz w:val="18"/>
                <w:szCs w:val="18"/>
                <w:b w:val="1"/>
                <w:bCs w:val="1"/>
                <w:color w:val="auto"/>
              </w:rPr>
              <w:t>Characteristics</w:t>
            </w:r>
          </w:p>
        </w:tc>
        <w:tc>
          <w:tcPr>
            <w:tcW w:w="244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Purpose</w:t>
            </w:r>
          </w:p>
        </w:tc>
        <w:tc>
          <w:tcPr>
            <w:tcW w:w="2700" w:type="dxa"/>
            <w:vAlign w:val="bottom"/>
            <w:tcBorders>
              <w:bottom w:val="single" w:sz="8" w:color="BD03F7"/>
            </w:tcBorders>
            <w:gridSpan w:val="2"/>
          </w:tcPr>
          <w:p>
            <w:pPr>
              <w:ind w:left="20"/>
              <w:spacing w:after="0"/>
              <w:rPr>
                <w:sz w:val="20"/>
                <w:szCs w:val="20"/>
                <w:color w:val="auto"/>
              </w:rPr>
            </w:pPr>
            <w:r>
              <w:rPr>
                <w:rFonts w:ascii="Arial" w:cs="Arial" w:eastAsia="Arial" w:hAnsi="Arial"/>
                <w:sz w:val="18"/>
                <w:szCs w:val="18"/>
                <w:b w:val="1"/>
                <w:bCs w:val="1"/>
                <w:color w:val="auto"/>
              </w:rPr>
              <w:t>Determining Factors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Compensates executives for</w:t>
            </w:r>
          </w:p>
        </w:tc>
        <w:tc>
          <w:tcPr>
            <w:tcW w:w="2800" w:type="dxa"/>
            <w:vAlign w:val="bottom"/>
            <w:gridSpan w:val="3"/>
            <w:vMerge w:val="restart"/>
          </w:tcPr>
          <w:p>
            <w:pPr>
              <w:ind w:left="20"/>
              <w:spacing w:after="0"/>
              <w:rPr>
                <w:sz w:val="20"/>
                <w:szCs w:val="20"/>
                <w:color w:val="auto"/>
              </w:rPr>
            </w:pPr>
            <w:r>
              <w:rPr>
                <w:rFonts w:ascii="Arial" w:cs="Arial" w:eastAsia="Arial" w:hAnsi="Arial"/>
                <w:sz w:val="16"/>
                <w:szCs w:val="16"/>
                <w:color w:val="auto"/>
              </w:rPr>
              <w:t>Market data informs baseline</w:t>
            </w:r>
          </w:p>
        </w:tc>
        <w:tc>
          <w:tcPr>
            <w:tcW w:w="0" w:type="dxa"/>
            <w:vAlign w:val="bottom"/>
          </w:tcPr>
          <w:p>
            <w:pPr>
              <w:spacing w:after="0"/>
              <w:rPr>
                <w:sz w:val="1"/>
                <w:szCs w:val="1"/>
                <w:color w:val="auto"/>
              </w:rPr>
            </w:pPr>
          </w:p>
        </w:tc>
      </w:tr>
      <w:tr>
        <w:trPr>
          <w:trHeight w:val="161"/>
        </w:trPr>
        <w:tc>
          <w:tcPr>
            <w:tcW w:w="2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Base Salary</w:t>
            </w:r>
          </w:p>
        </w:tc>
        <w:tc>
          <w:tcPr>
            <w:tcW w:w="2380" w:type="dxa"/>
            <w:vAlign w:val="bottom"/>
          </w:tcPr>
          <w:p>
            <w:pPr>
              <w:spacing w:after="0"/>
              <w:rPr>
                <w:sz w:val="14"/>
                <w:szCs w:val="14"/>
                <w:color w:val="auto"/>
              </w:rPr>
            </w:pPr>
          </w:p>
        </w:tc>
        <w:tc>
          <w:tcPr>
            <w:tcW w:w="2440" w:type="dxa"/>
            <w:vAlign w:val="bottom"/>
          </w:tcPr>
          <w:p>
            <w:pPr>
              <w:ind w:left="20"/>
              <w:spacing w:after="0" w:line="161" w:lineRule="exact"/>
              <w:rPr>
                <w:sz w:val="20"/>
                <w:szCs w:val="20"/>
                <w:color w:val="auto"/>
              </w:rPr>
            </w:pPr>
            <w:r>
              <w:rPr>
                <w:rFonts w:ascii="Arial" w:cs="Arial" w:eastAsia="Arial" w:hAnsi="Arial"/>
                <w:sz w:val="16"/>
                <w:szCs w:val="16"/>
                <w:color w:val="auto"/>
              </w:rPr>
              <w:t>performing day-to-day job</w:t>
            </w:r>
          </w:p>
        </w:tc>
        <w:tc>
          <w:tcPr>
            <w:tcW w:w="2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540" w:type="dxa"/>
            <w:vAlign w:val="bottom"/>
            <w:vMerge w:val="continue"/>
          </w:tcPr>
          <w:p>
            <w:pPr>
              <w:spacing w:after="0"/>
              <w:rPr>
                <w:sz w:val="22"/>
                <w:szCs w:val="22"/>
                <w:color w:val="auto"/>
              </w:rPr>
            </w:pPr>
          </w:p>
        </w:tc>
        <w:tc>
          <w:tcPr>
            <w:tcW w:w="2380" w:type="dxa"/>
            <w:vAlign w:val="bottom"/>
          </w:tcPr>
          <w:p>
            <w:pPr>
              <w:spacing w:after="0"/>
              <w:rPr>
                <w:sz w:val="22"/>
                <w:szCs w:val="22"/>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responsibilities</w:t>
            </w:r>
          </w:p>
        </w:tc>
        <w:tc>
          <w:tcPr>
            <w:tcW w:w="1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44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2540" w:type="dxa"/>
            <w:vAlign w:val="bottom"/>
          </w:tcPr>
          <w:p>
            <w:pPr>
              <w:spacing w:after="0"/>
              <w:rPr>
                <w:sz w:val="24"/>
                <w:szCs w:val="24"/>
                <w:color w:val="auto"/>
              </w:rPr>
            </w:pPr>
          </w:p>
        </w:tc>
        <w:tc>
          <w:tcPr>
            <w:tcW w:w="2380" w:type="dxa"/>
            <w:vAlign w:val="bottom"/>
          </w:tcPr>
          <w:p>
            <w:pPr>
              <w:ind w:left="200"/>
              <w:spacing w:after="0"/>
              <w:rPr>
                <w:sz w:val="20"/>
                <w:szCs w:val="20"/>
                <w:color w:val="auto"/>
              </w:rPr>
            </w:pPr>
            <w:r>
              <w:rPr>
                <w:rFonts w:ascii="Arial" w:cs="Arial" w:eastAsia="Arial" w:hAnsi="Arial"/>
                <w:sz w:val="16"/>
                <w:szCs w:val="16"/>
                <w:color w:val="auto"/>
              </w:rPr>
              <w:t>Fixed Compensation</w:t>
            </w:r>
          </w:p>
        </w:tc>
        <w:tc>
          <w:tcPr>
            <w:tcW w:w="2440" w:type="dxa"/>
            <w:vAlign w:val="bottom"/>
          </w:tcPr>
          <w:p>
            <w:pPr>
              <w:ind w:left="20"/>
              <w:spacing w:after="0"/>
              <w:rPr>
                <w:sz w:val="20"/>
                <w:szCs w:val="20"/>
                <w:color w:val="auto"/>
              </w:rPr>
            </w:pPr>
            <w:r>
              <w:rPr>
                <w:rFonts w:ascii="Arial" w:cs="Arial" w:eastAsia="Arial" w:hAnsi="Arial"/>
                <w:sz w:val="16"/>
                <w:szCs w:val="16"/>
                <w:color w:val="auto"/>
              </w:rPr>
              <w:t>Attracts, develops, and retains</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highly-qualified executive talent</w:t>
            </w:r>
          </w:p>
        </w:tc>
        <w:tc>
          <w:tcPr>
            <w:tcW w:w="2800" w:type="dxa"/>
            <w:vAlign w:val="bottom"/>
            <w:gridSpan w:val="3"/>
            <w:vMerge w:val="restart"/>
          </w:tcPr>
          <w:p>
            <w:pPr>
              <w:ind w:left="20"/>
              <w:spacing w:after="0"/>
              <w:rPr>
                <w:sz w:val="20"/>
                <w:szCs w:val="20"/>
                <w:color w:val="auto"/>
              </w:rPr>
            </w:pPr>
            <w:r>
              <w:rPr>
                <w:rFonts w:ascii="Arial" w:cs="Arial" w:eastAsia="Arial" w:hAnsi="Arial"/>
                <w:sz w:val="16"/>
                <w:szCs w:val="16"/>
                <w:color w:val="auto"/>
              </w:rPr>
              <w:t>Adjusted for executive’s</w:t>
            </w: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contributions, experience and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40" w:type="dxa"/>
            <w:vAlign w:val="bottom"/>
            <w:tcBorders>
              <w:bottom w:val="single" w:sz="8" w:color="DBDBDB"/>
            </w:tcBorders>
          </w:tcPr>
          <w:p>
            <w:pPr>
              <w:spacing w:after="0"/>
              <w:rPr>
                <w:sz w:val="2"/>
                <w:szCs w:val="2"/>
                <w:color w:val="auto"/>
              </w:rPr>
            </w:pPr>
          </w:p>
        </w:tc>
        <w:tc>
          <w:tcPr>
            <w:tcW w:w="2800" w:type="dxa"/>
            <w:vAlign w:val="bottom"/>
            <w:gridSpan w:val="3"/>
            <w:vMerge w:val="restart"/>
          </w:tcPr>
          <w:p>
            <w:pPr>
              <w:ind w:left="2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auto"/>
              </w:rPr>
              <w:t>Maintains stable management</w:t>
            </w:r>
          </w:p>
        </w:tc>
        <w:tc>
          <w:tcPr>
            <w:tcW w:w="2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team</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-1715770</wp:posOffset>
            </wp:positionV>
            <wp:extent cx="7056120" cy="8961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56120" cy="8961120"/>
                    </a:xfrm>
                    <a:prstGeom prst="rect">
                      <a:avLst/>
                    </a:prstGeom>
                    <a:noFill/>
                  </pic:spPr>
                </pic:pic>
              </a:graphicData>
            </a:graphic>
          </wp:anchor>
        </w:drawing>
      </w:r>
    </w:p>
    <w:p>
      <w:pPr>
        <w:sectPr>
          <w:pgSz w:w="11900" w:h="16838" w:orient="portrait"/>
          <w:cols w:equalWidth="0" w:num="1">
            <w:col w:w="11240"/>
          </w:cols>
          <w:pgMar w:left="320" w:top="117" w:right="339" w:bottom="1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Variable, performance-based</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cash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Provides performance-based,</w:t>
      </w:r>
    </w:p>
    <w:p>
      <w:pPr>
        <w:spacing w:after="0" w:line="210" w:lineRule="auto"/>
        <w:rPr>
          <w:sz w:val="20"/>
          <w:szCs w:val="20"/>
          <w:color w:val="auto"/>
        </w:rPr>
      </w:pPr>
      <w:r>
        <w:rPr>
          <w:rFonts w:ascii="Arial" w:cs="Arial" w:eastAsia="Arial" w:hAnsi="Arial"/>
          <w:sz w:val="16"/>
          <w:szCs w:val="16"/>
          <w:color w:val="auto"/>
        </w:rPr>
        <w:t>incentive cash awards for</w:t>
      </w:r>
    </w:p>
    <w:p>
      <w:pPr>
        <w:spacing w:after="0" w:line="211" w:lineRule="auto"/>
        <w:tabs>
          <w:tab w:leader="none" w:pos="2420" w:val="left"/>
        </w:tabs>
        <w:rPr>
          <w:sz w:val="20"/>
          <w:szCs w:val="20"/>
          <w:color w:val="auto"/>
        </w:rPr>
      </w:pPr>
      <w:r>
        <w:rPr>
          <w:rFonts w:ascii="Arial" w:cs="Arial" w:eastAsia="Arial" w:hAnsi="Arial"/>
          <w:sz w:val="16"/>
          <w:szCs w:val="16"/>
          <w:color w:val="auto"/>
        </w:rPr>
        <w:t>outstanding performance at the</w:t>
        <w:tab/>
        <w:t>Market data informs baseline</w:t>
      </w:r>
    </w:p>
    <w:p>
      <w:pPr>
        <w:spacing w:after="0" w:line="210" w:lineRule="auto"/>
        <w:rPr>
          <w:sz w:val="20"/>
          <w:szCs w:val="20"/>
          <w:color w:val="auto"/>
        </w:rPr>
      </w:pPr>
      <w:r>
        <w:rPr>
          <w:rFonts w:ascii="Arial" w:cs="Arial" w:eastAsia="Arial" w:hAnsi="Arial"/>
          <w:sz w:val="16"/>
          <w:szCs w:val="16"/>
          <w:color w:val="auto"/>
        </w:rPr>
        <w:t>individual, business-unit and/or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Company-wide level</w:t>
      </w:r>
    </w:p>
    <w:p>
      <w:pPr>
        <w:spacing w:after="0" w:line="145" w:lineRule="exact"/>
        <w:rPr>
          <w:sz w:val="20"/>
          <w:szCs w:val="20"/>
          <w:color w:val="auto"/>
        </w:rPr>
      </w:pPr>
    </w:p>
    <w:p>
      <w:pPr>
        <w:sectPr>
          <w:pgSz w:w="11900" w:h="16838" w:orient="portrait"/>
          <w:cols w:equalWidth="0" w:num="2">
            <w:col w:w="5880" w:space="140"/>
            <w:col w:w="5220"/>
          </w:cols>
          <w:pgMar w:left="320" w:top="117" w:right="339" w:bottom="166" w:gutter="0" w:footer="0" w:header="0"/>
          <w:type w:val="continuous"/>
        </w:sectPr>
      </w:pPr>
    </w:p>
    <w:p>
      <w:pPr>
        <w:ind w:left="1120"/>
        <w:spacing w:after="0"/>
        <w:rPr>
          <w:sz w:val="20"/>
          <w:szCs w:val="20"/>
          <w:color w:val="auto"/>
        </w:rPr>
      </w:pPr>
      <w:r>
        <w:rPr>
          <w:rFonts w:ascii="Arial" w:cs="Arial" w:eastAsia="Arial" w:hAnsi="Arial"/>
          <w:sz w:val="18"/>
          <w:szCs w:val="18"/>
          <w:b w:val="1"/>
          <w:bCs w:val="1"/>
          <w:color w:val="auto"/>
        </w:rPr>
        <w:t>Short Term Incentive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153670</wp:posOffset>
            </wp:positionV>
            <wp:extent cx="1306830" cy="965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000000"/>
                        </a:clrFrom>
                        <a:clrTo>
                          <a:srgbClr val="000000">
                            <a:alpha val="0"/>
                          </a:srgbClr>
                        </a:clrTo>
                      </a:clrChange>
                      <a:extLst>
                        <a:ext uri="{28A0092B-C50C-407E-A947-70E740481C1C}"/>
                      </a:extLst>
                    </a:blip>
                    <a:srcRect/>
                    <a:stretch>
                      <a:fillRect/>
                    </a:stretch>
                  </pic:blipFill>
                  <pic:spPr bwMode="auto">
                    <a:xfrm>
                      <a:off x="0" y="0"/>
                      <a:ext cx="1306830" cy="96520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153670</wp:posOffset>
            </wp:positionV>
            <wp:extent cx="1306830" cy="965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6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20"/>
        <w:spacing w:after="0" w:line="233" w:lineRule="auto"/>
        <w:rPr>
          <w:sz w:val="20"/>
          <w:szCs w:val="20"/>
          <w:color w:val="auto"/>
        </w:rPr>
      </w:pPr>
      <w:r>
        <w:rPr>
          <w:rFonts w:ascii="Arial" w:cs="Arial" w:eastAsia="Arial" w:hAnsi="Arial"/>
          <w:sz w:val="16"/>
          <w:szCs w:val="16"/>
          <w:color w:val="auto"/>
        </w:rPr>
        <w:t>Target payout is tied to a percentage of executive’s base salary</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180"/>
        <w:spacing w:after="0" w:line="233" w:lineRule="auto"/>
        <w:rPr>
          <w:sz w:val="20"/>
          <w:szCs w:val="20"/>
          <w:color w:val="auto"/>
        </w:rPr>
      </w:pPr>
      <w:r>
        <w:rPr>
          <w:rFonts w:ascii="Arial" w:cs="Arial" w:eastAsia="Arial" w:hAnsi="Arial"/>
          <w:sz w:val="16"/>
          <w:szCs w:val="16"/>
          <w:color w:val="auto"/>
        </w:rPr>
        <w:t>Encourages accountability by rewarding achievement of specific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1546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6225" cy="8255"/>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-441960</wp:posOffset>
            </wp:positionV>
            <wp:extent cx="4655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558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440"/>
        <w:spacing w:after="0" w:line="227" w:lineRule="auto"/>
        <w:rPr>
          <w:sz w:val="20"/>
          <w:szCs w:val="20"/>
          <w:color w:val="auto"/>
        </w:rPr>
      </w:pPr>
      <w:r>
        <w:rPr>
          <w:rFonts w:ascii="Arial" w:cs="Arial" w:eastAsia="Arial" w:hAnsi="Arial"/>
          <w:sz w:val="16"/>
          <w:szCs w:val="16"/>
          <w:color w:val="auto"/>
        </w:rPr>
        <w:t>Focuses executives on achievement of near-term financial and operational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15462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Promotes long-term Company success and drives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147320</wp:posOffset>
            </wp:positionV>
            <wp:extent cx="63639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63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80"/>
        <w:spacing w:after="0" w:line="221" w:lineRule="auto"/>
        <w:rPr>
          <w:sz w:val="20"/>
          <w:szCs w:val="20"/>
          <w:color w:val="auto"/>
        </w:rPr>
      </w:pPr>
      <w:r>
        <w:rPr>
          <w:rFonts w:ascii="Arial" w:cs="Arial" w:eastAsia="Arial" w:hAnsi="Arial"/>
          <w:sz w:val="16"/>
          <w:szCs w:val="16"/>
          <w:color w:val="auto"/>
        </w:rPr>
        <w:t>Annual, pre-determined goals set by the Compensation Committee</w:t>
      </w:r>
    </w:p>
    <w:p>
      <w:pPr>
        <w:ind w:left="640" w:hanging="317"/>
        <w:spacing w:after="0" w:line="210"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Profitability targets</w:t>
      </w:r>
    </w:p>
    <w:p>
      <w:pPr>
        <w:ind w:left="640" w:right="480" w:hanging="317"/>
        <w:spacing w:after="0" w:line="210" w:lineRule="auto"/>
        <w:tabs>
          <w:tab w:leader="none" w:pos="6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Achievement of certain technology, product, business and cost and efficiency goals</w:t>
      </w:r>
    </w:p>
    <w:p>
      <w:pPr>
        <w:spacing w:after="0" w:line="1" w:lineRule="exact"/>
        <w:rPr>
          <w:rFonts w:ascii="Arial" w:cs="Arial" w:eastAsia="Arial" w:hAnsi="Arial"/>
          <w:sz w:val="16"/>
          <w:szCs w:val="16"/>
          <w:color w:val="auto"/>
        </w:rPr>
      </w:pPr>
    </w:p>
    <w:p>
      <w:pPr>
        <w:ind w:left="640" w:right="240" w:hanging="317"/>
        <w:spacing w:after="0" w:line="222" w:lineRule="auto"/>
        <w:tabs>
          <w:tab w:leader="none" w:pos="6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 goals including customer, sustainability, and diversity, equality, and inclusion</w:t>
      </w:r>
    </w:p>
    <w:p>
      <w:pPr>
        <w:spacing w:after="0" w:line="1330" w:lineRule="exact"/>
        <w:rPr>
          <w:sz w:val="20"/>
          <w:szCs w:val="20"/>
          <w:color w:val="auto"/>
        </w:rPr>
      </w:pPr>
    </w:p>
    <w:p>
      <w:pPr>
        <w:sectPr>
          <w:pgSz w:w="11900" w:h="16838" w:orient="portrait"/>
          <w:cols w:equalWidth="0" w:num="3">
            <w:col w:w="5640" w:space="380"/>
            <w:col w:w="2280" w:space="160"/>
            <w:col w:w="2780"/>
          </w:cols>
          <w:pgMar w:left="320" w:top="117" w:right="339" w:bottom="166" w:gutter="0" w:footer="0" w:header="0"/>
          <w:type w:val="continuous"/>
        </w:sectPr>
      </w:pP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Variable, performance-based</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equity compensation</w:t>
            </w:r>
          </w:p>
        </w:tc>
        <w:tc>
          <w:tcPr>
            <w:tcW w:w="0" w:type="dxa"/>
            <w:vAlign w:val="bottom"/>
          </w:tcPr>
          <w:p>
            <w:pPr>
              <w:spacing w:after="0"/>
              <w:rPr>
                <w:sz w:val="1"/>
                <w:szCs w:val="1"/>
                <w:color w:val="auto"/>
              </w:rPr>
            </w:pPr>
          </w:p>
        </w:tc>
      </w:tr>
      <w:tr>
        <w:trPr>
          <w:trHeight w:val="203"/>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Performance-Based RSUs</w:t>
            </w:r>
          </w:p>
        </w:tc>
        <w:tc>
          <w:tcPr>
            <w:tcW w:w="220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680" w:type="dxa"/>
            <w:vAlign w:val="bottom"/>
            <w:vMerge w:val="continue"/>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Three-year performance</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370"/>
        </w:trPr>
        <w:tc>
          <w:tcPr>
            <w:tcW w:w="268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Measured at end of second</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and third year for operational</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goals and each day beginning</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on first day of second year for</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financial goal</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2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8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50% of total PRSUs earned</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vest at end of second year</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and remaining and/or</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incremental PRSUs earned</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vest at end of third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-2356485</wp:posOffset>
            </wp:positionV>
            <wp:extent cx="1665605" cy="3963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65605" cy="396367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-2356485</wp:posOffset>
            </wp:positionV>
            <wp:extent cx="1665605" cy="3963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65605" cy="3963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Creates direct, specific alignment Market data informs baseline</w:t>
      </w:r>
    </w:p>
    <w:tbl>
      <w:tblPr>
        <w:tblLayout w:type="fixed"/>
        <w:tblInd w:w="0" w:type="dxa"/>
        <w:tblCellMar>
          <w:top w:w="0" w:type="dxa"/>
          <w:left w:w="0" w:type="dxa"/>
          <w:bottom w:w="0" w:type="dxa"/>
          <w:right w:w="0" w:type="dxa"/>
        </w:tblCellMar>
      </w:tblPr>
      <w:tr>
        <w:trPr>
          <w:trHeight w:val="146"/>
        </w:trPr>
        <w:tc>
          <w:tcPr>
            <w:tcW w:w="2340" w:type="dxa"/>
            <w:vAlign w:val="bottom"/>
          </w:tcPr>
          <w:p>
            <w:pPr>
              <w:spacing w:after="0" w:line="146" w:lineRule="exact"/>
              <w:rPr>
                <w:sz w:val="20"/>
                <w:szCs w:val="20"/>
                <w:color w:val="auto"/>
              </w:rPr>
            </w:pPr>
            <w:r>
              <w:rPr>
                <w:rFonts w:ascii="Arial" w:cs="Arial" w:eastAsia="Arial" w:hAnsi="Arial"/>
                <w:sz w:val="16"/>
                <w:szCs w:val="16"/>
                <w:color w:val="auto"/>
              </w:rPr>
              <w:t>with shareholders’ interests by</w:t>
            </w:r>
          </w:p>
        </w:tc>
        <w:tc>
          <w:tcPr>
            <w:tcW w:w="2720" w:type="dxa"/>
            <w:vAlign w:val="bottom"/>
            <w:gridSpan w:val="2"/>
          </w:tcPr>
          <w:p>
            <w:pPr>
              <w:ind w:left="100"/>
              <w:spacing w:after="0" w:line="146" w:lineRule="exact"/>
              <w:rPr>
                <w:sz w:val="20"/>
                <w:szCs w:val="20"/>
                <w:color w:val="auto"/>
              </w:rPr>
            </w:pPr>
            <w:r>
              <w:rPr>
                <w:rFonts w:ascii="Arial" w:cs="Arial" w:eastAsia="Arial" w:hAnsi="Arial"/>
                <w:sz w:val="16"/>
                <w:szCs w:val="16"/>
                <w:color w:val="auto"/>
              </w:rPr>
              <w:t>goals set by the Compensation</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line="161" w:lineRule="exact"/>
              <w:rPr>
                <w:sz w:val="20"/>
                <w:szCs w:val="20"/>
                <w:color w:val="auto"/>
              </w:rPr>
            </w:pPr>
            <w:r>
              <w:rPr>
                <w:rFonts w:ascii="Arial" w:cs="Arial" w:eastAsia="Arial" w:hAnsi="Arial"/>
                <w:sz w:val="16"/>
                <w:szCs w:val="16"/>
                <w:color w:val="auto"/>
              </w:rPr>
              <w:t>focusing executives on long-term Committee:</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Arial" w:cs="Arial" w:eastAsia="Arial" w:hAnsi="Arial"/>
                <w:sz w:val="16"/>
                <w:szCs w:val="16"/>
                <w:color w:val="auto"/>
              </w:rPr>
              <w:t>value creation through the</w:t>
            </w:r>
          </w:p>
        </w:tc>
        <w:tc>
          <w:tcPr>
            <w:tcW w:w="620" w:type="dxa"/>
            <w:vAlign w:val="bottom"/>
          </w:tcPr>
          <w:p>
            <w:pPr>
              <w:ind w:left="420"/>
              <w:spacing w:after="0" w:line="161" w:lineRule="exact"/>
              <w:rPr>
                <w:sz w:val="20"/>
                <w:szCs w:val="20"/>
                <w:color w:val="auto"/>
              </w:rPr>
            </w:pPr>
            <w:r>
              <w:rPr>
                <w:rFonts w:ascii="Arial" w:cs="Arial" w:eastAsia="Arial" w:hAnsi="Arial"/>
                <w:sz w:val="16"/>
                <w:szCs w:val="16"/>
                <w:color w:val="auto"/>
              </w:rPr>
              <w:t>•</w:t>
            </w: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HBM3E+ bits shipped or</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Arial" w:cs="Arial" w:eastAsia="Arial" w:hAnsi="Arial"/>
                <w:sz w:val="16"/>
                <w:szCs w:val="16"/>
                <w:color w:val="auto"/>
              </w:rPr>
              <w:t>achievement of key operational</w:t>
            </w:r>
          </w:p>
        </w:tc>
        <w:tc>
          <w:tcPr>
            <w:tcW w:w="62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market share</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Arial" w:cs="Arial" w:eastAsia="Arial" w:hAnsi="Arial"/>
                <w:sz w:val="16"/>
                <w:szCs w:val="16"/>
                <w:color w:val="auto"/>
              </w:rPr>
              <w:t>milestones and stock price</w:t>
            </w:r>
          </w:p>
        </w:tc>
        <w:tc>
          <w:tcPr>
            <w:tcW w:w="620" w:type="dxa"/>
            <w:vAlign w:val="bottom"/>
            <w:vMerge w:val="continue"/>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Revenue from high-growth</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Arial" w:cs="Arial" w:eastAsia="Arial" w:hAnsi="Arial"/>
                <w:sz w:val="16"/>
                <w:szCs w:val="16"/>
                <w:color w:val="auto"/>
              </w:rPr>
              <w:t>performance</w:t>
            </w:r>
          </w:p>
        </w:tc>
        <w:tc>
          <w:tcPr>
            <w:tcW w:w="62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segments</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TSR relative to the</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semiconductor sector</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Additional stretch</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performance conditions for</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operational awards, subject</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ind w:left="120"/>
              <w:spacing w:after="0" w:line="161" w:lineRule="exact"/>
              <w:rPr>
                <w:sz w:val="20"/>
                <w:szCs w:val="20"/>
                <w:color w:val="auto"/>
              </w:rPr>
            </w:pPr>
            <w:r>
              <w:rPr>
                <w:rFonts w:ascii="Arial" w:cs="Arial" w:eastAsia="Arial" w:hAnsi="Arial"/>
                <w:sz w:val="16"/>
                <w:szCs w:val="16"/>
                <w:color w:val="auto"/>
              </w:rPr>
              <w:t>to the aggregate 200% limit</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6"/>
                <w:szCs w:val="16"/>
                <w:color w:val="auto"/>
              </w:rPr>
              <w:t>described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1051560</wp:posOffset>
            </wp:positionV>
            <wp:extent cx="63639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63970" cy="8255"/>
                    </a:xfrm>
                    <a:prstGeom prst="rect">
                      <a:avLst/>
                    </a:prstGeom>
                    <a:noFill/>
                  </pic:spPr>
                </pic:pic>
              </a:graphicData>
            </a:graphic>
          </wp:anchor>
        </w:drawing>
      </w:r>
    </w:p>
    <w:p>
      <w:pPr>
        <w:spacing w:after="0" w:line="1693" w:lineRule="exact"/>
        <w:rPr>
          <w:sz w:val="20"/>
          <w:szCs w:val="20"/>
          <w:color w:val="auto"/>
        </w:rPr>
      </w:pPr>
    </w:p>
    <w:p>
      <w:pPr>
        <w:sectPr>
          <w:pgSz w:w="11900" w:h="16838" w:orient="portrait"/>
          <w:cols w:equalWidth="0" w:num="2">
            <w:col w:w="6000" w:space="20"/>
            <w:col w:w="5220"/>
          </w:cols>
          <w:pgMar w:left="320" w:top="117" w:right="339" w:bottom="166" w:gutter="0" w:footer="0" w:header="0"/>
          <w:type w:val="continuous"/>
        </w:sectPr>
      </w:pP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Time-Based RSAs</w:t>
            </w:r>
          </w:p>
        </w:tc>
        <w:tc>
          <w:tcPr>
            <w:tcW w:w="2160" w:type="dxa"/>
            <w:vAlign w:val="bottom"/>
            <w:vMerge w:val="restart"/>
          </w:tcPr>
          <w:p>
            <w:pPr>
              <w:ind w:left="20"/>
              <w:spacing w:after="0"/>
              <w:rPr>
                <w:sz w:val="20"/>
                <w:szCs w:val="20"/>
                <w:color w:val="auto"/>
              </w:rPr>
            </w:pPr>
            <w:r>
              <w:rPr>
                <w:rFonts w:ascii="Arial" w:cs="Arial" w:eastAsia="Arial" w:hAnsi="Arial"/>
                <w:sz w:val="16"/>
                <w:szCs w:val="16"/>
                <w:color w:val="auto"/>
              </w:rPr>
              <w:t>Variable, performance-based</w:t>
            </w:r>
          </w:p>
        </w:tc>
        <w:tc>
          <w:tcPr>
            <w:tcW w:w="2480" w:type="dxa"/>
            <w:vAlign w:val="bottom"/>
          </w:tcPr>
          <w:p>
            <w:pPr>
              <w:ind w:left="60"/>
              <w:spacing w:after="0"/>
              <w:rPr>
                <w:sz w:val="20"/>
                <w:szCs w:val="20"/>
                <w:color w:val="auto"/>
              </w:rPr>
            </w:pPr>
            <w:r>
              <w:rPr>
                <w:rFonts w:ascii="Arial" w:cs="Arial" w:eastAsia="Arial" w:hAnsi="Arial"/>
                <w:sz w:val="16"/>
                <w:szCs w:val="16"/>
                <w:color w:val="auto"/>
              </w:rPr>
              <w:t>Provides alignment with</w:t>
            </w:r>
          </w:p>
        </w:tc>
        <w:tc>
          <w:tcPr>
            <w:tcW w:w="2100" w:type="dxa"/>
            <w:vAlign w:val="bottom"/>
            <w:vMerge w:val="restart"/>
          </w:tcPr>
          <w:p>
            <w:pPr>
              <w:ind w:left="20"/>
              <w:spacing w:after="0"/>
              <w:rPr>
                <w:sz w:val="20"/>
                <w:szCs w:val="20"/>
                <w:color w:val="auto"/>
              </w:rPr>
            </w:pPr>
            <w:r>
              <w:rPr>
                <w:rFonts w:ascii="Arial" w:cs="Arial" w:eastAsia="Arial" w:hAnsi="Arial"/>
                <w:sz w:val="16"/>
                <w:szCs w:val="16"/>
                <w:color w:val="auto"/>
              </w:rPr>
              <w:t>Market data informs baseline</w:t>
            </w:r>
          </w:p>
        </w:tc>
        <w:tc>
          <w:tcPr>
            <w:tcW w:w="0" w:type="dxa"/>
            <w:vAlign w:val="bottom"/>
          </w:tcPr>
          <w:p>
            <w:pPr>
              <w:spacing w:after="0"/>
              <w:rPr>
                <w:sz w:val="1"/>
                <w:szCs w:val="1"/>
                <w:color w:val="auto"/>
              </w:rPr>
            </w:pPr>
          </w:p>
        </w:tc>
      </w:tr>
      <w:tr>
        <w:trPr>
          <w:trHeight w:val="161"/>
        </w:trPr>
        <w:tc>
          <w:tcPr>
            <w:tcW w:w="268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shareholders’ interests by</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160" w:type="dxa"/>
            <w:vAlign w:val="bottom"/>
          </w:tcPr>
          <w:p>
            <w:pPr>
              <w:ind w:left="20"/>
              <w:spacing w:after="0" w:line="161" w:lineRule="exact"/>
              <w:rPr>
                <w:sz w:val="20"/>
                <w:szCs w:val="20"/>
                <w:color w:val="auto"/>
              </w:rPr>
            </w:pPr>
            <w:r>
              <w:rPr>
                <w:rFonts w:ascii="Arial" w:cs="Arial" w:eastAsia="Arial" w:hAnsi="Arial"/>
                <w:sz w:val="16"/>
                <w:szCs w:val="16"/>
                <w:color w:val="auto"/>
              </w:rPr>
              <w:t>equity compensation</w:t>
            </w:r>
          </w:p>
        </w:tc>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focusing executives on long-term</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value creation</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160" w:type="dxa"/>
            <w:vAlign w:val="bottom"/>
            <w:tcBorders>
              <w:bottom w:val="single" w:sz="8" w:color="DBDBDB"/>
            </w:tcBorders>
          </w:tcPr>
          <w:p>
            <w:pPr>
              <w:spacing w:after="0"/>
              <w:rPr>
                <w:sz w:val="18"/>
                <w:szCs w:val="18"/>
                <w:color w:val="auto"/>
              </w:rPr>
            </w:pPr>
          </w:p>
        </w:tc>
        <w:tc>
          <w:tcPr>
            <w:tcW w:w="2480" w:type="dxa"/>
            <w:vAlign w:val="bottom"/>
            <w:tcBorders>
              <w:bottom w:val="single" w:sz="8" w:color="DBDBDB"/>
            </w:tcBorders>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-229870</wp:posOffset>
            </wp:positionV>
            <wp:extent cx="1306830" cy="9823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000000"/>
                        </a:clrFrom>
                        <a:clrTo>
                          <a:srgbClr val="000000">
                            <a:alpha val="0"/>
                          </a:srgbClr>
                        </a:clrTo>
                      </a:clrChange>
                      <a:extLst>
                        <a:ext uri="{28A0092B-C50C-407E-A947-70E740481C1C}"/>
                      </a:extLst>
                    </a:blip>
                    <a:srcRect/>
                    <a:stretch>
                      <a:fillRect/>
                    </a:stretch>
                  </pic:blipFill>
                  <pic:spPr bwMode="auto">
                    <a:xfrm>
                      <a:off x="0" y="0"/>
                      <a:ext cx="1306830" cy="98234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-229870</wp:posOffset>
            </wp:positionV>
            <wp:extent cx="1306830" cy="9823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8234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3820"/>
        <w:spacing w:after="0"/>
        <w:tabs>
          <w:tab w:leader="none" w:pos="8440" w:val="left"/>
        </w:tabs>
        <w:rPr>
          <w:sz w:val="20"/>
          <w:szCs w:val="20"/>
          <w:color w:val="auto"/>
        </w:rPr>
      </w:pPr>
      <w:r>
        <w:rPr>
          <w:rFonts w:ascii="Arial" w:cs="Arial" w:eastAsia="Arial" w:hAnsi="Arial"/>
          <w:sz w:val="16"/>
          <w:szCs w:val="16"/>
          <w:color w:val="auto"/>
        </w:rPr>
        <w:t>Vests ratably over three years Provides retention value</w:t>
      </w:r>
      <w:r>
        <w:rPr>
          <w:sz w:val="20"/>
          <w:szCs w:val="20"/>
          <w:color w:val="auto"/>
        </w:rPr>
        <w:tab/>
      </w:r>
      <w:r>
        <w:rPr>
          <w:rFonts w:ascii="Arial" w:cs="Arial" w:eastAsia="Arial" w:hAnsi="Arial"/>
          <w:sz w:val="15"/>
          <w:szCs w:val="15"/>
          <w:color w:val="auto"/>
        </w:rPr>
        <w:t>Value based 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404495</wp:posOffset>
            </wp:positionV>
            <wp:extent cx="63639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63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 Percentages may not total 100% due to rounding.</w:t>
      </w:r>
    </w:p>
    <w:p>
      <w:pPr>
        <w:sectPr>
          <w:pgSz w:w="11900" w:h="16838" w:orient="portrait"/>
          <w:cols w:equalWidth="0" w:num="1">
            <w:col w:w="11240"/>
          </w:cols>
          <w:pgMar w:left="320" w:top="117" w:right="339" w:bottom="166" w:gutter="0" w:footer="0" w:header="0"/>
          <w:type w:val="continuous"/>
        </w:sectPr>
      </w:pPr>
    </w:p>
    <w:bookmarkStart w:id="52" w:name="page53"/>
    <w:bookmarkEnd w:id="52"/>
    <w:p>
      <w:pPr>
        <w:ind w:left="8660"/>
        <w:spacing w:after="0"/>
        <w:rPr>
          <w:sz w:val="20"/>
          <w:szCs w:val="20"/>
          <w:color w:val="auto"/>
        </w:rPr>
      </w:pPr>
      <w:r>
        <w:rPr>
          <w:sz w:val="1"/>
          <w:szCs w:val="1"/>
          <w:color w:val="auto"/>
        </w:rPr>
        <w:drawing>
          <wp:inline distT="0" distB="0" distL="0" distR="0">
            <wp:extent cx="777240" cy="1625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105410</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Increases in target compensation levels for Fiscal 2024 resulted from increases to salaries and percent target opportunities for all Named Executive Officers other than Mr. Mehrotra. These increases were incremental relative to initial target Fiscal 2023 levels, but appear more significant in the compensation tables that follow this discussion when contrasted with the impact that suspension of the STI program for Fiscal 2023 in February 2023 and the temporary reduction in base salary levels for all Named Executive Officers for the second half of Fiscal 2023 had on Fiscal 2023 amounts earned. In addition, the Company’s actual performance relative to the Fiscal 2024 STI goals increased the actual total cash compensation levels for all Named Executive Officers for Fiscal 2024 relative to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SALARIES</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2023, the Compensation Committee reviewed and determined to adjust base salary levels for all executives other than Mr. Mehrotra. Due to challenging business conditions in Fiscal 2023, Mr. Mehrotra’s salary was temporarily reduced by 20% and all other Named Executive Officers’ salaries were reduced by 15% from February 2023 through the end of Fiscal 2023. Based on the Company’s performance in the second half of Fiscal 2023, individual executive performance and the assessment of compensation levels relative to market, salaries were increased, on average, 9% from the approved pre-reduction Fiscal 2023 levels, excluding Mr. Mehrotra. These were the first increases for these executives since the fiscal year ended September 1, 2022 (“Fiscal 2022”) and were intended to improve the competitive positioning relative to the market.</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Fiscal 2023</w:t>
            </w:r>
          </w:p>
        </w:tc>
        <w:tc>
          <w:tcPr>
            <w:tcW w:w="240" w:type="dxa"/>
            <w:vAlign w:val="bottom"/>
          </w:tcPr>
          <w:p>
            <w:pPr>
              <w:spacing w:after="0"/>
              <w:rPr>
                <w:sz w:val="17"/>
                <w:szCs w:val="17"/>
                <w:color w:val="auto"/>
              </w:rPr>
            </w:pPr>
          </w:p>
        </w:tc>
        <w:tc>
          <w:tcPr>
            <w:tcW w:w="16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Fiscal 2024</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0" w:type="dxa"/>
            <w:vAlign w:val="bottom"/>
          </w:tcPr>
          <w:p>
            <w:pPr>
              <w:spacing w:after="0"/>
              <w:rPr>
                <w:sz w:val="1"/>
                <w:szCs w:val="1"/>
                <w:color w:val="auto"/>
              </w:rPr>
            </w:pPr>
          </w:p>
        </w:tc>
      </w:tr>
      <w:tr>
        <w:trPr>
          <w:trHeight w:val="18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Executive Officer</w:t>
            </w:r>
          </w:p>
        </w:tc>
        <w:tc>
          <w:tcPr>
            <w:tcW w:w="2240" w:type="dxa"/>
            <w:vAlign w:val="bottom"/>
          </w:tcPr>
          <w:p>
            <w:pPr>
              <w:spacing w:after="0"/>
              <w:rPr>
                <w:sz w:val="15"/>
                <w:szCs w:val="15"/>
                <w:color w:val="auto"/>
              </w:rPr>
            </w:pPr>
          </w:p>
        </w:tc>
        <w:tc>
          <w:tcPr>
            <w:tcW w:w="16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Base Salary</w:t>
            </w: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7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9"/>
              </w:rPr>
              <w:t>% Change From</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BD03F7"/>
            </w:tcBorders>
            <w:vMerge w:val="continue"/>
          </w:tcPr>
          <w:p>
            <w:pPr>
              <w:spacing w:after="0"/>
              <w:rPr>
                <w:sz w:val="19"/>
                <w:szCs w:val="19"/>
                <w:color w:val="auto"/>
              </w:rPr>
            </w:pPr>
          </w:p>
        </w:tc>
        <w:tc>
          <w:tcPr>
            <w:tcW w:w="2240" w:type="dxa"/>
            <w:vAlign w:val="bottom"/>
            <w:tcBorders>
              <w:bottom w:val="single" w:sz="8" w:color="BD03F7"/>
            </w:tcBorders>
          </w:tcPr>
          <w:p>
            <w:pPr>
              <w:spacing w:after="0"/>
              <w:rPr>
                <w:sz w:val="19"/>
                <w:szCs w:val="19"/>
                <w:color w:val="auto"/>
              </w:rPr>
            </w:pPr>
          </w:p>
        </w:tc>
        <w:tc>
          <w:tcPr>
            <w:tcW w:w="1600" w:type="dxa"/>
            <w:vAlign w:val="bottom"/>
            <w:tcBorders>
              <w:bottom w:val="single" w:sz="8" w:color="BD03F7"/>
            </w:tcBorders>
          </w:tcPr>
          <w:p>
            <w:pPr>
              <w:jc w:val="center"/>
              <w:ind w:right="90"/>
              <w:spacing w:after="0"/>
              <w:rPr>
                <w:sz w:val="20"/>
                <w:szCs w:val="20"/>
                <w:color w:val="auto"/>
              </w:rPr>
            </w:pPr>
            <w:r>
              <w:rPr>
                <w:rFonts w:ascii="Arial" w:cs="Arial" w:eastAsia="Arial" w:hAnsi="Arial"/>
                <w:sz w:val="18"/>
                <w:szCs w:val="18"/>
                <w:b w:val="1"/>
                <w:bCs w:val="1"/>
                <w:color w:val="auto"/>
                <w:w w:val="99"/>
              </w:rPr>
              <w:t>(Pre-Reduction)</w:t>
            </w:r>
          </w:p>
        </w:tc>
        <w:tc>
          <w:tcPr>
            <w:tcW w:w="240" w:type="dxa"/>
            <w:vAlign w:val="bottom"/>
            <w:tcBorders>
              <w:bottom w:val="single" w:sz="8" w:color="BD03F7"/>
            </w:tcBorders>
          </w:tcPr>
          <w:p>
            <w:pPr>
              <w:spacing w:after="0"/>
              <w:rPr>
                <w:sz w:val="19"/>
                <w:szCs w:val="19"/>
                <w:color w:val="auto"/>
              </w:rPr>
            </w:pPr>
          </w:p>
        </w:tc>
        <w:tc>
          <w:tcPr>
            <w:tcW w:w="1680" w:type="dxa"/>
            <w:vAlign w:val="bottom"/>
            <w:tcBorders>
              <w:bottom w:val="single" w:sz="8" w:color="BD03F7"/>
            </w:tcBorders>
          </w:tcPr>
          <w:p>
            <w:pPr>
              <w:jc w:val="right"/>
              <w:ind w:right="430"/>
              <w:spacing w:after="0"/>
              <w:rPr>
                <w:sz w:val="20"/>
                <w:szCs w:val="20"/>
                <w:color w:val="auto"/>
              </w:rPr>
            </w:pPr>
            <w:r>
              <w:rPr>
                <w:rFonts w:ascii="Arial" w:cs="Arial" w:eastAsia="Arial" w:hAnsi="Arial"/>
                <w:sz w:val="18"/>
                <w:szCs w:val="18"/>
                <w:b w:val="1"/>
                <w:bCs w:val="1"/>
                <w:color w:val="auto"/>
              </w:rPr>
              <w:t>Base Salary</w:t>
            </w:r>
          </w:p>
        </w:tc>
        <w:tc>
          <w:tcPr>
            <w:tcW w:w="1780" w:type="dxa"/>
            <w:vAlign w:val="bottom"/>
            <w:tcBorders>
              <w:bottom w:val="single" w:sz="8" w:color="BD03F7"/>
            </w:tcBorders>
          </w:tcPr>
          <w:p>
            <w:pPr>
              <w:jc w:val="center"/>
              <w:ind w:right="50"/>
              <w:spacing w:after="0"/>
              <w:rPr>
                <w:sz w:val="20"/>
                <w:szCs w:val="20"/>
                <w:color w:val="auto"/>
              </w:rPr>
            </w:pPr>
            <w:r>
              <w:rPr>
                <w:rFonts w:ascii="Arial" w:cs="Arial" w:eastAsia="Arial" w:hAnsi="Arial"/>
                <w:sz w:val="18"/>
                <w:szCs w:val="18"/>
                <w:b w:val="1"/>
                <w:bCs w:val="1"/>
                <w:color w:val="auto"/>
                <w:w w:val="99"/>
              </w:rPr>
              <w:t>Fiscal 2023</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F2F2F2"/>
          </w:tcPr>
          <w:p>
            <w:pPr>
              <w:spacing w:after="0"/>
              <w:rPr>
                <w:sz w:val="20"/>
                <w:szCs w:val="20"/>
                <w:color w:val="auto"/>
              </w:rPr>
            </w:pPr>
            <w:r>
              <w:rPr>
                <w:rFonts w:ascii="Arial" w:cs="Arial" w:eastAsia="Arial" w:hAnsi="Arial"/>
                <w:sz w:val="18"/>
                <w:szCs w:val="18"/>
                <w:color w:val="auto"/>
              </w:rPr>
              <w:t>Sanjay Mehrotra</w:t>
            </w:r>
          </w:p>
        </w:tc>
        <w:tc>
          <w:tcPr>
            <w:tcW w:w="2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1,418,000</w:t>
            </w:r>
          </w:p>
        </w:tc>
        <w:tc>
          <w:tcPr>
            <w:tcW w:w="24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1,418,000</w:t>
            </w: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Mark Murphy</w:t>
            </w:r>
          </w:p>
        </w:tc>
        <w:tc>
          <w:tcPr>
            <w:tcW w:w="2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775,000</w:t>
            </w:r>
          </w:p>
        </w:tc>
        <w:tc>
          <w:tcPr>
            <w:tcW w:w="178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9"/>
        </w:trPr>
        <w:tc>
          <w:tcPr>
            <w:tcW w:w="3560" w:type="dxa"/>
            <w:vAlign w:val="bottom"/>
            <w:shd w:val="clear" w:color="auto" w:fill="F2F2F2"/>
          </w:tcPr>
          <w:p>
            <w:pPr>
              <w:spacing w:after="0"/>
              <w:rPr>
                <w:sz w:val="20"/>
                <w:szCs w:val="20"/>
                <w:color w:val="auto"/>
              </w:rPr>
            </w:pPr>
            <w:r>
              <w:rPr>
                <w:rFonts w:ascii="Arial" w:cs="Arial" w:eastAsia="Arial" w:hAnsi="Arial"/>
                <w:sz w:val="18"/>
                <w:szCs w:val="18"/>
                <w:color w:val="auto"/>
              </w:rPr>
              <w:t>Manish Bhatia</w:t>
            </w:r>
          </w:p>
        </w:tc>
        <w:tc>
          <w:tcPr>
            <w:tcW w:w="2240" w:type="dxa"/>
            <w:vAlign w:val="bottom"/>
            <w:shd w:val="clear" w:color="auto" w:fill="F2F2F2"/>
          </w:tcPr>
          <w:p>
            <w:pPr>
              <w:spacing w:after="0"/>
              <w:rPr>
                <w:sz w:val="19"/>
                <w:szCs w:val="19"/>
                <w:color w:val="auto"/>
              </w:rPr>
            </w:pPr>
          </w:p>
        </w:tc>
        <w:tc>
          <w:tcPr>
            <w:tcW w:w="16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729,750</w:t>
            </w:r>
          </w:p>
        </w:tc>
        <w:tc>
          <w:tcPr>
            <w:tcW w:w="240" w:type="dxa"/>
            <w:vAlign w:val="bottom"/>
            <w:shd w:val="clear" w:color="auto" w:fill="F2F2F2"/>
          </w:tcPr>
          <w:p>
            <w:pPr>
              <w:spacing w:after="0"/>
              <w:rPr>
                <w:sz w:val="19"/>
                <w:szCs w:val="19"/>
                <w:color w:val="auto"/>
              </w:rPr>
            </w:pPr>
          </w:p>
        </w:tc>
        <w:tc>
          <w:tcPr>
            <w:tcW w:w="16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800,000</w:t>
            </w: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Scott DeBoer</w:t>
            </w:r>
          </w:p>
        </w:tc>
        <w:tc>
          <w:tcPr>
            <w:tcW w:w="2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624,750</w:t>
            </w:r>
          </w:p>
        </w:tc>
        <w:tc>
          <w:tcPr>
            <w:tcW w:w="240" w:type="dxa"/>
            <w:vAlign w:val="bottom"/>
          </w:tcPr>
          <w:p>
            <w:pPr>
              <w:spacing w:after="0"/>
              <w:rPr>
                <w:sz w:val="19"/>
                <w:szCs w:val="19"/>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700,000</w:t>
            </w:r>
          </w:p>
        </w:tc>
        <w:tc>
          <w:tcPr>
            <w:tcW w:w="178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8"/>
                <w:szCs w:val="18"/>
                <w:color w:val="auto"/>
              </w:rPr>
              <w:t>Sumit Sadana</w:t>
            </w:r>
          </w:p>
        </w:tc>
        <w:tc>
          <w:tcPr>
            <w:tcW w:w="2240" w:type="dxa"/>
            <w:vAlign w:val="bottom"/>
            <w:tcBorders>
              <w:bottom w:val="single" w:sz="8" w:color="BD03F7"/>
            </w:tcBorders>
            <w:shd w:val="clear" w:color="auto" w:fill="F2F2F2"/>
          </w:tcPr>
          <w:p>
            <w:pPr>
              <w:spacing w:after="0"/>
              <w:rPr>
                <w:sz w:val="19"/>
                <w:szCs w:val="19"/>
                <w:color w:val="auto"/>
              </w:rPr>
            </w:pPr>
          </w:p>
        </w:tc>
        <w:tc>
          <w:tcPr>
            <w:tcW w:w="16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782,250</w:t>
            </w:r>
          </w:p>
        </w:tc>
        <w:tc>
          <w:tcPr>
            <w:tcW w:w="240" w:type="dxa"/>
            <w:vAlign w:val="bottom"/>
            <w:tcBorders>
              <w:bottom w:val="single" w:sz="8" w:color="BD03F7"/>
            </w:tcBorders>
            <w:shd w:val="clear" w:color="auto" w:fill="F2F2F2"/>
          </w:tcPr>
          <w:p>
            <w:pPr>
              <w:spacing w:after="0"/>
              <w:rPr>
                <w:sz w:val="19"/>
                <w:szCs w:val="19"/>
                <w:color w:val="auto"/>
              </w:rPr>
            </w:pPr>
          </w:p>
        </w:tc>
        <w:tc>
          <w:tcPr>
            <w:tcW w:w="1680" w:type="dxa"/>
            <w:vAlign w:val="bottom"/>
            <w:tcBorders>
              <w:bottom w:val="single" w:sz="8" w:color="BD03F7"/>
            </w:tcBorders>
            <w:shd w:val="clear" w:color="auto" w:fill="F2F2F2"/>
          </w:tcPr>
          <w:p>
            <w:pPr>
              <w:jc w:val="right"/>
              <w:ind w:right="70"/>
              <w:spacing w:after="0"/>
              <w:rPr>
                <w:sz w:val="20"/>
                <w:szCs w:val="20"/>
                <w:color w:val="auto"/>
              </w:rPr>
            </w:pPr>
            <w:r>
              <w:rPr>
                <w:rFonts w:ascii="Arial" w:cs="Arial" w:eastAsia="Arial" w:hAnsi="Arial"/>
                <w:sz w:val="18"/>
                <w:szCs w:val="18"/>
                <w:color w:val="auto"/>
              </w:rPr>
              <w:t>825,000</w:t>
            </w:r>
          </w:p>
        </w:tc>
        <w:tc>
          <w:tcPr>
            <w:tcW w:w="17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INCENTIVES</w:t>
      </w:r>
    </w:p>
    <w:p>
      <w:pPr>
        <w:spacing w:after="0" w:line="241"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We use our STI plan to attract, retain, and reward qualified executives who are important to our success by offering the opportunity to earn cash awards for achieving performance goals set by the Compensation Committee. Due to the challenging nature of the goals set by the Compensation Committee, achievement of STI goals has historically required significant leadership and effort.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Short-Term Incentive Awards</w:t>
      </w:r>
    </w:p>
    <w:p>
      <w:pPr>
        <w:spacing w:after="0" w:line="2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October 2023, the Compensation Committee established Fiscal 2024 performance goals and a short-term incentive compensation opportunity (the “Target Awards”) for each Named Executive Officer. The Compensation Committee selected the Company Performance goals outlined below based on their correlation to the creation of shareholder value and their alignment with our financial and strategic objectives. The STI award payouts were determined following the end of the Fiscal 2024 performance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5791835" cy="31349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91835" cy="313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 Bonus Targets</w:t>
      </w:r>
    </w:p>
    <w:p>
      <w:pPr>
        <w:spacing w:after="0" w:line="25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October 2023, the Compensation Committee approved increases in target incentive opportunities for all executive officers, other than Mr. Mehrotra, to improve the competitive positioning of our Named Executive Officers’ target STI opportunities relative to the market. Fiscal 2024 Target Awards under the STI plan for each named executive officer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Fiscal 2023 Target</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Fiscal 2024 Target</w:t>
            </w:r>
          </w:p>
        </w:tc>
        <w:tc>
          <w:tcPr>
            <w:tcW w:w="2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 in Target</w:t>
            </w: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Fiscal 2024</w:t>
            </w:r>
          </w:p>
        </w:tc>
        <w:tc>
          <w:tcPr>
            <w:tcW w:w="260" w:type="dxa"/>
            <w:vAlign w:val="bottom"/>
          </w:tcPr>
          <w:p>
            <w:pPr>
              <w:spacing w:after="0"/>
              <w:rPr>
                <w:sz w:val="18"/>
                <w:szCs w:val="18"/>
                <w:color w:val="auto"/>
              </w:rPr>
            </w:pPr>
          </w:p>
        </w:tc>
        <w:tc>
          <w:tcPr>
            <w:tcW w:w="1480" w:type="dxa"/>
            <w:vAlign w:val="bottom"/>
          </w:tcPr>
          <w:p>
            <w:pPr>
              <w:jc w:val="center"/>
              <w:ind w:right="155"/>
              <w:spacing w:after="0"/>
              <w:rPr>
                <w:sz w:val="20"/>
                <w:szCs w:val="20"/>
                <w:color w:val="auto"/>
              </w:rPr>
            </w:pPr>
            <w:r>
              <w:rPr>
                <w:rFonts w:ascii="Arial" w:cs="Arial" w:eastAsia="Arial" w:hAnsi="Arial"/>
                <w:sz w:val="18"/>
                <w:szCs w:val="18"/>
                <w:b w:val="1"/>
                <w:bCs w:val="1"/>
                <w:color w:val="auto"/>
                <w:w w:val="99"/>
              </w:rPr>
              <w:t>Fiscal 2024</w:t>
            </w:r>
          </w:p>
        </w:tc>
        <w:tc>
          <w:tcPr>
            <w:tcW w:w="0" w:type="dxa"/>
            <w:vAlign w:val="bottom"/>
          </w:tcPr>
          <w:p>
            <w:pPr>
              <w:spacing w:after="0"/>
              <w:rPr>
                <w:sz w:val="1"/>
                <w:szCs w:val="1"/>
                <w:color w:val="auto"/>
              </w:rPr>
            </w:pPr>
          </w:p>
        </w:tc>
      </w:tr>
      <w:tr>
        <w:trPr>
          <w:trHeight w:val="175"/>
        </w:trPr>
        <w:tc>
          <w:tcPr>
            <w:tcW w:w="2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88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8"/>
              </w:rPr>
              <w:t>Award (% of Base</w:t>
            </w:r>
          </w:p>
        </w:tc>
        <w:tc>
          <w:tcPr>
            <w:tcW w:w="1820" w:type="dxa"/>
            <w:vAlign w:val="bottom"/>
          </w:tcPr>
          <w:p>
            <w:pPr>
              <w:jc w:val="center"/>
              <w:ind w:right="30"/>
              <w:spacing w:after="0" w:line="175" w:lineRule="exact"/>
              <w:rPr>
                <w:sz w:val="20"/>
                <w:szCs w:val="20"/>
                <w:color w:val="auto"/>
              </w:rPr>
            </w:pPr>
            <w:r>
              <w:rPr>
                <w:rFonts w:ascii="Arial" w:cs="Arial" w:eastAsia="Arial" w:hAnsi="Arial"/>
                <w:sz w:val="18"/>
                <w:szCs w:val="18"/>
                <w:b w:val="1"/>
                <w:bCs w:val="1"/>
                <w:color w:val="auto"/>
                <w:w w:val="98"/>
              </w:rPr>
              <w:t>Award (% of Base</w:t>
            </w:r>
          </w:p>
        </w:tc>
        <w:tc>
          <w:tcPr>
            <w:tcW w:w="2020" w:type="dxa"/>
            <w:vAlign w:val="bottom"/>
            <w:vMerge w:val="continue"/>
          </w:tcPr>
          <w:p>
            <w:pPr>
              <w:spacing w:after="0"/>
              <w:rPr>
                <w:sz w:val="15"/>
                <w:szCs w:val="15"/>
                <w:color w:val="auto"/>
              </w:rPr>
            </w:pPr>
          </w:p>
        </w:tc>
        <w:tc>
          <w:tcPr>
            <w:tcW w:w="1520" w:type="dxa"/>
            <w:vAlign w:val="bottom"/>
          </w:tcPr>
          <w:p>
            <w:pPr>
              <w:jc w:val="center"/>
              <w:ind w:right="110"/>
              <w:spacing w:after="0" w:line="175" w:lineRule="exact"/>
              <w:rPr>
                <w:sz w:val="20"/>
                <w:szCs w:val="20"/>
                <w:color w:val="auto"/>
              </w:rPr>
            </w:pPr>
            <w:r>
              <w:rPr>
                <w:rFonts w:ascii="Arial" w:cs="Arial" w:eastAsia="Arial" w:hAnsi="Arial"/>
                <w:sz w:val="18"/>
                <w:szCs w:val="18"/>
                <w:b w:val="1"/>
                <w:bCs w:val="1"/>
                <w:color w:val="auto"/>
                <w:w w:val="97"/>
              </w:rPr>
              <w:t>Target Award</w:t>
            </w:r>
          </w:p>
        </w:tc>
        <w:tc>
          <w:tcPr>
            <w:tcW w:w="260" w:type="dxa"/>
            <w:vAlign w:val="bottom"/>
          </w:tcPr>
          <w:p>
            <w:pPr>
              <w:spacing w:after="0"/>
              <w:rPr>
                <w:sz w:val="15"/>
                <w:szCs w:val="15"/>
                <w:color w:val="auto"/>
              </w:rPr>
            </w:pPr>
          </w:p>
        </w:tc>
        <w:tc>
          <w:tcPr>
            <w:tcW w:w="1480" w:type="dxa"/>
            <w:vAlign w:val="bottom"/>
          </w:tcPr>
          <w:p>
            <w:pPr>
              <w:jc w:val="center"/>
              <w:ind w:right="175"/>
              <w:spacing w:after="0" w:line="175" w:lineRule="exact"/>
              <w:rPr>
                <w:sz w:val="20"/>
                <w:szCs w:val="20"/>
                <w:color w:val="auto"/>
              </w:rPr>
            </w:pPr>
            <w:r>
              <w:rPr>
                <w:rFonts w:ascii="Arial" w:cs="Arial" w:eastAsia="Arial" w:hAnsi="Arial"/>
                <w:sz w:val="18"/>
                <w:szCs w:val="18"/>
                <w:b w:val="1"/>
                <w:bCs w:val="1"/>
                <w:color w:val="auto"/>
                <w:w w:val="98"/>
              </w:rPr>
              <w:t>Bonus Paid</w:t>
            </w:r>
          </w:p>
        </w:tc>
        <w:tc>
          <w:tcPr>
            <w:tcW w:w="0" w:type="dxa"/>
            <w:vAlign w:val="bottom"/>
          </w:tcPr>
          <w:p>
            <w:pPr>
              <w:spacing w:after="0"/>
              <w:rPr>
                <w:sz w:val="1"/>
                <w:szCs w:val="1"/>
                <w:color w:val="auto"/>
              </w:rPr>
            </w:pPr>
          </w:p>
        </w:tc>
      </w:tr>
      <w:tr>
        <w:trPr>
          <w:trHeight w:val="242"/>
        </w:trPr>
        <w:tc>
          <w:tcPr>
            <w:tcW w:w="2260" w:type="dxa"/>
            <w:vAlign w:val="bottom"/>
            <w:tcBorders>
              <w:bottom w:val="single" w:sz="8" w:color="BD03F7"/>
            </w:tcBorders>
            <w:vMerge w:val="continue"/>
          </w:tcPr>
          <w:p>
            <w:pPr>
              <w:spacing w:after="0"/>
              <w:rPr>
                <w:sz w:val="21"/>
                <w:szCs w:val="21"/>
                <w:color w:val="auto"/>
              </w:rPr>
            </w:pPr>
          </w:p>
        </w:tc>
        <w:tc>
          <w:tcPr>
            <w:tcW w:w="1880" w:type="dxa"/>
            <w:vAlign w:val="bottom"/>
            <w:tcBorders>
              <w:bottom w:val="single" w:sz="8" w:color="BD03F7"/>
            </w:tcBorders>
          </w:tcPr>
          <w:p>
            <w:pPr>
              <w:jc w:val="center"/>
              <w:ind w:right="30"/>
              <w:spacing w:after="0"/>
              <w:rPr>
                <w:sz w:val="20"/>
                <w:szCs w:val="20"/>
                <w:color w:val="auto"/>
              </w:rPr>
            </w:pPr>
            <w:r>
              <w:rPr>
                <w:rFonts w:ascii="Arial" w:cs="Arial" w:eastAsia="Arial" w:hAnsi="Arial"/>
                <w:sz w:val="18"/>
                <w:szCs w:val="18"/>
                <w:b w:val="1"/>
                <w:bCs w:val="1"/>
                <w:color w:val="auto"/>
                <w:w w:val="99"/>
              </w:rPr>
              <w:t>Salary)</w:t>
            </w:r>
          </w:p>
        </w:tc>
        <w:tc>
          <w:tcPr>
            <w:tcW w:w="1820" w:type="dxa"/>
            <w:vAlign w:val="bottom"/>
            <w:tcBorders>
              <w:bottom w:val="single" w:sz="8" w:color="BD03F7"/>
            </w:tcBorders>
          </w:tcPr>
          <w:p>
            <w:pPr>
              <w:jc w:val="center"/>
              <w:ind w:right="10"/>
              <w:spacing w:after="0"/>
              <w:rPr>
                <w:sz w:val="20"/>
                <w:szCs w:val="20"/>
                <w:color w:val="auto"/>
              </w:rPr>
            </w:pPr>
            <w:r>
              <w:rPr>
                <w:rFonts w:ascii="Arial" w:cs="Arial" w:eastAsia="Arial" w:hAnsi="Arial"/>
                <w:sz w:val="18"/>
                <w:szCs w:val="18"/>
                <w:b w:val="1"/>
                <w:bCs w:val="1"/>
                <w:color w:val="auto"/>
                <w:w w:val="99"/>
              </w:rPr>
              <w:t>Salary)</w:t>
            </w:r>
          </w:p>
        </w:tc>
        <w:tc>
          <w:tcPr>
            <w:tcW w:w="2020" w:type="dxa"/>
            <w:vAlign w:val="bottom"/>
            <w:tcBorders>
              <w:bottom w:val="single" w:sz="8" w:color="BD03F7"/>
            </w:tcBorders>
          </w:tcPr>
          <w:p>
            <w:pPr>
              <w:jc w:val="right"/>
              <w:ind w:right="350"/>
              <w:spacing w:after="0"/>
              <w:rPr>
                <w:sz w:val="20"/>
                <w:szCs w:val="20"/>
                <w:color w:val="auto"/>
              </w:rPr>
            </w:pPr>
            <w:r>
              <w:rPr>
                <w:rFonts w:ascii="Arial" w:cs="Arial" w:eastAsia="Arial" w:hAnsi="Arial"/>
                <w:sz w:val="18"/>
                <w:szCs w:val="18"/>
                <w:b w:val="1"/>
                <w:bCs w:val="1"/>
                <w:color w:val="auto"/>
              </w:rPr>
              <w:t>from Fiscal 2023</w:t>
            </w:r>
          </w:p>
        </w:tc>
        <w:tc>
          <w:tcPr>
            <w:tcW w:w="1520" w:type="dxa"/>
            <w:vAlign w:val="bottom"/>
            <w:tcBorders>
              <w:bottom w:val="single" w:sz="8" w:color="BD03F7"/>
            </w:tcBorders>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BD03F7"/>
            </w:tcBorders>
          </w:tcPr>
          <w:p>
            <w:pPr>
              <w:spacing w:after="0"/>
              <w:rPr>
                <w:sz w:val="21"/>
                <w:szCs w:val="21"/>
                <w:color w:val="auto"/>
              </w:rPr>
            </w:pPr>
          </w:p>
        </w:tc>
        <w:tc>
          <w:tcPr>
            <w:tcW w:w="1480" w:type="dxa"/>
            <w:vAlign w:val="bottom"/>
            <w:tcBorders>
              <w:bottom w:val="single" w:sz="8" w:color="BD03F7"/>
            </w:tcBorders>
          </w:tcPr>
          <w:p>
            <w:pPr>
              <w:jc w:val="center"/>
              <w:ind w:right="155"/>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215 %</w:t>
            </w:r>
          </w:p>
        </w:tc>
        <w:tc>
          <w:tcPr>
            <w:tcW w:w="1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215 %</w:t>
            </w:r>
          </w:p>
        </w:tc>
        <w:tc>
          <w:tcPr>
            <w:tcW w:w="20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 % $</w:t>
            </w: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3,048,700</w:t>
            </w:r>
          </w:p>
        </w:tc>
        <w:tc>
          <w:tcPr>
            <w:tcW w:w="26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4,847,433</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880" w:type="dxa"/>
            <w:vAlign w:val="bottom"/>
          </w:tcPr>
          <w:p>
            <w:pPr>
              <w:jc w:val="right"/>
              <w:spacing w:after="0"/>
              <w:rPr>
                <w:sz w:val="20"/>
                <w:szCs w:val="20"/>
                <w:color w:val="auto"/>
              </w:rPr>
            </w:pPr>
            <w:r>
              <w:rPr>
                <w:rFonts w:ascii="Arial" w:cs="Arial" w:eastAsia="Arial" w:hAnsi="Arial"/>
                <w:sz w:val="18"/>
                <w:szCs w:val="18"/>
                <w:color w:val="auto"/>
              </w:rPr>
              <w:t>110 %</w:t>
            </w:r>
          </w:p>
        </w:tc>
        <w:tc>
          <w:tcPr>
            <w:tcW w:w="1820" w:type="dxa"/>
            <w:vAlign w:val="bottom"/>
          </w:tcPr>
          <w:p>
            <w:pPr>
              <w:jc w:val="right"/>
              <w:spacing w:after="0"/>
              <w:rPr>
                <w:sz w:val="20"/>
                <w:szCs w:val="20"/>
                <w:color w:val="auto"/>
              </w:rPr>
            </w:pPr>
            <w:r>
              <w:rPr>
                <w:rFonts w:ascii="Arial" w:cs="Arial" w:eastAsia="Arial" w:hAnsi="Arial"/>
                <w:sz w:val="18"/>
                <w:szCs w:val="18"/>
                <w:color w:val="auto"/>
              </w:rPr>
              <w:t>125 %</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13.6 %</w:t>
            </w:r>
          </w:p>
        </w:tc>
        <w:tc>
          <w:tcPr>
            <w:tcW w:w="1520" w:type="dxa"/>
            <w:vAlign w:val="bottom"/>
          </w:tcPr>
          <w:p>
            <w:pPr>
              <w:jc w:val="right"/>
              <w:spacing w:after="0"/>
              <w:rPr>
                <w:sz w:val="20"/>
                <w:szCs w:val="20"/>
                <w:color w:val="auto"/>
              </w:rPr>
            </w:pPr>
            <w:r>
              <w:rPr>
                <w:rFonts w:ascii="Arial" w:cs="Arial" w:eastAsia="Arial" w:hAnsi="Arial"/>
                <w:sz w:val="18"/>
                <w:szCs w:val="18"/>
                <w:color w:val="auto"/>
              </w:rPr>
              <w:t>968,750</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1,540,313</w:t>
            </w:r>
          </w:p>
        </w:tc>
        <w:tc>
          <w:tcPr>
            <w:tcW w:w="0" w:type="dxa"/>
            <w:vAlign w:val="bottom"/>
          </w:tcPr>
          <w:p>
            <w:pPr>
              <w:spacing w:after="0"/>
              <w:rPr>
                <w:sz w:val="1"/>
                <w:szCs w:val="1"/>
                <w:color w:val="auto"/>
              </w:rPr>
            </w:pPr>
          </w:p>
        </w:tc>
      </w:tr>
      <w:tr>
        <w:trPr>
          <w:trHeight w:val="264"/>
        </w:trPr>
        <w:tc>
          <w:tcPr>
            <w:tcW w:w="2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110 %</w:t>
            </w:r>
          </w:p>
        </w:tc>
        <w:tc>
          <w:tcPr>
            <w:tcW w:w="1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125 %</w:t>
            </w:r>
          </w:p>
        </w:tc>
        <w:tc>
          <w:tcPr>
            <w:tcW w:w="20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13.6 %</w:t>
            </w: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F2F2F2"/>
          </w:tcPr>
          <w:p>
            <w:pPr>
              <w:spacing w:after="0"/>
              <w:rPr>
                <w:sz w:val="22"/>
                <w:szCs w:val="22"/>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1,590,000</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880" w:type="dxa"/>
            <w:vAlign w:val="bottom"/>
          </w:tcPr>
          <w:p>
            <w:pPr>
              <w:jc w:val="right"/>
              <w:spacing w:after="0"/>
              <w:rPr>
                <w:sz w:val="20"/>
                <w:szCs w:val="20"/>
                <w:color w:val="auto"/>
              </w:rPr>
            </w:pPr>
            <w:r>
              <w:rPr>
                <w:rFonts w:ascii="Arial" w:cs="Arial" w:eastAsia="Arial" w:hAnsi="Arial"/>
                <w:sz w:val="18"/>
                <w:szCs w:val="18"/>
                <w:color w:val="auto"/>
              </w:rPr>
              <w:t>100 %</w:t>
            </w:r>
          </w:p>
        </w:tc>
        <w:tc>
          <w:tcPr>
            <w:tcW w:w="1820" w:type="dxa"/>
            <w:vAlign w:val="bottom"/>
          </w:tcPr>
          <w:p>
            <w:pPr>
              <w:jc w:val="right"/>
              <w:spacing w:after="0"/>
              <w:rPr>
                <w:sz w:val="20"/>
                <w:szCs w:val="20"/>
                <w:color w:val="auto"/>
              </w:rPr>
            </w:pPr>
            <w:r>
              <w:rPr>
                <w:rFonts w:ascii="Arial" w:cs="Arial" w:eastAsia="Arial" w:hAnsi="Arial"/>
                <w:sz w:val="18"/>
                <w:szCs w:val="18"/>
                <w:color w:val="auto"/>
              </w:rPr>
              <w:t>120 %</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20.0 %</w:t>
            </w:r>
          </w:p>
        </w:tc>
        <w:tc>
          <w:tcPr>
            <w:tcW w:w="1520" w:type="dxa"/>
            <w:vAlign w:val="bottom"/>
          </w:tcPr>
          <w:p>
            <w:pPr>
              <w:jc w:val="right"/>
              <w:spacing w:after="0"/>
              <w:rPr>
                <w:sz w:val="20"/>
                <w:szCs w:val="20"/>
                <w:color w:val="auto"/>
              </w:rPr>
            </w:pPr>
            <w:r>
              <w:rPr>
                <w:rFonts w:ascii="Arial" w:cs="Arial" w:eastAsia="Arial" w:hAnsi="Arial"/>
                <w:sz w:val="18"/>
                <w:szCs w:val="18"/>
                <w:color w:val="auto"/>
              </w:rPr>
              <w:t>840,000</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1,335,600</w:t>
            </w:r>
          </w:p>
        </w:tc>
        <w:tc>
          <w:tcPr>
            <w:tcW w:w="0" w:type="dxa"/>
            <w:vAlign w:val="bottom"/>
          </w:tcPr>
          <w:p>
            <w:pPr>
              <w:spacing w:after="0"/>
              <w:rPr>
                <w:sz w:val="1"/>
                <w:szCs w:val="1"/>
                <w:color w:val="auto"/>
              </w:rPr>
            </w:pPr>
          </w:p>
        </w:tc>
      </w:tr>
      <w:tr>
        <w:trPr>
          <w:trHeight w:val="258"/>
        </w:trPr>
        <w:tc>
          <w:tcPr>
            <w:tcW w:w="226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8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120 %</w:t>
            </w:r>
          </w:p>
        </w:tc>
        <w:tc>
          <w:tcPr>
            <w:tcW w:w="18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125 %</w:t>
            </w:r>
          </w:p>
        </w:tc>
        <w:tc>
          <w:tcPr>
            <w:tcW w:w="2020" w:type="dxa"/>
            <w:vAlign w:val="bottom"/>
            <w:tcBorders>
              <w:bottom w:val="single" w:sz="8" w:color="BD03F7"/>
            </w:tcBorders>
            <w:shd w:val="clear" w:color="auto" w:fill="F2F2F2"/>
          </w:tcPr>
          <w:p>
            <w:pPr>
              <w:jc w:val="right"/>
              <w:ind w:right="130"/>
              <w:spacing w:after="0"/>
              <w:rPr>
                <w:sz w:val="20"/>
                <w:szCs w:val="20"/>
                <w:color w:val="auto"/>
              </w:rPr>
            </w:pPr>
            <w:r>
              <w:rPr>
                <w:rFonts w:ascii="Arial" w:cs="Arial" w:eastAsia="Arial" w:hAnsi="Arial"/>
                <w:sz w:val="18"/>
                <w:szCs w:val="18"/>
                <w:color w:val="auto"/>
              </w:rPr>
              <w:t>4.2 %</w:t>
            </w:r>
          </w:p>
        </w:tc>
        <w:tc>
          <w:tcPr>
            <w:tcW w:w="15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1,031,250</w:t>
            </w:r>
          </w:p>
        </w:tc>
        <w:tc>
          <w:tcPr>
            <w:tcW w:w="260" w:type="dxa"/>
            <w:vAlign w:val="bottom"/>
            <w:tcBorders>
              <w:bottom w:val="single" w:sz="8" w:color="BD03F7"/>
            </w:tcBorders>
            <w:shd w:val="clear" w:color="auto" w:fill="F2F2F2"/>
          </w:tcPr>
          <w:p>
            <w:pPr>
              <w:spacing w:after="0"/>
              <w:rPr>
                <w:sz w:val="22"/>
                <w:szCs w:val="22"/>
                <w:color w:val="auto"/>
              </w:rPr>
            </w:pPr>
          </w:p>
        </w:tc>
        <w:tc>
          <w:tcPr>
            <w:tcW w:w="14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1,803,656</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3"/>
          <w:szCs w:val="13"/>
          <w:color w:val="auto"/>
        </w:rPr>
        <w:t>Actual payouts for Fiscal 2024 were slightly below amounts calculated under the bonus formula due to negative discretion exercised by the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Profitability and Strategic Performance Goals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 profitability and strategic goals and weightings outlined above based on the following criteria:</w:t>
      </w:r>
    </w:p>
    <w:p>
      <w:pPr>
        <w:spacing w:after="0" w:line="250" w:lineRule="exact"/>
        <w:rPr>
          <w:sz w:val="20"/>
          <w:szCs w:val="20"/>
          <w:color w:val="auto"/>
        </w:rPr>
      </w:pPr>
    </w:p>
    <w:p>
      <w:pPr>
        <w:ind w:left="640" w:hanging="310"/>
        <w:spacing w:after="0"/>
        <w:tabs>
          <w:tab w:leader="none" w:pos="640" w:val="left"/>
        </w:tabs>
        <w:numPr>
          <w:ilvl w:val="0"/>
          <w:numId w:val="56"/>
        </w:numPr>
        <w:rPr>
          <w:rFonts w:ascii="Arial" w:cs="Arial" w:eastAsia="Arial" w:hAnsi="Arial"/>
          <w:sz w:val="18"/>
          <w:szCs w:val="18"/>
          <w:color w:val="BD03F7"/>
        </w:rPr>
      </w:pPr>
      <w:r>
        <w:rPr>
          <w:rFonts w:ascii="Arial" w:cs="Arial" w:eastAsia="Arial" w:hAnsi="Arial"/>
          <w:sz w:val="18"/>
          <w:szCs w:val="18"/>
          <w:color w:val="auto"/>
        </w:rPr>
        <w:t>Criticality in driving the Company’s near- and long-term performance to increase shareholder value</w:t>
      </w:r>
    </w:p>
    <w:p>
      <w:pPr>
        <w:spacing w:after="0" w:line="250" w:lineRule="exact"/>
        <w:rPr>
          <w:rFonts w:ascii="Arial" w:cs="Arial" w:eastAsia="Arial" w:hAnsi="Arial"/>
          <w:sz w:val="18"/>
          <w:szCs w:val="18"/>
          <w:color w:val="BD03F7"/>
        </w:rPr>
      </w:pPr>
    </w:p>
    <w:p>
      <w:pPr>
        <w:ind w:left="640" w:hanging="310"/>
        <w:spacing w:after="0"/>
        <w:tabs>
          <w:tab w:leader="none" w:pos="640" w:val="left"/>
        </w:tabs>
        <w:numPr>
          <w:ilvl w:val="0"/>
          <w:numId w:val="56"/>
        </w:numPr>
        <w:rPr>
          <w:rFonts w:ascii="Arial" w:cs="Arial" w:eastAsia="Arial" w:hAnsi="Arial"/>
          <w:sz w:val="18"/>
          <w:szCs w:val="18"/>
          <w:color w:val="BD03F7"/>
        </w:rPr>
      </w:pPr>
      <w:r>
        <w:rPr>
          <w:rFonts w:ascii="Arial" w:cs="Arial" w:eastAsia="Arial" w:hAnsi="Arial"/>
          <w:sz w:val="18"/>
          <w:szCs w:val="18"/>
          <w:color w:val="auto"/>
        </w:rPr>
        <w:t>To motivate stretch financial performance achievement beyond the Company’s annual business plan for Fiscal 2024</w:t>
      </w:r>
    </w:p>
    <w:p>
      <w:pPr>
        <w:spacing w:after="0" w:line="250" w:lineRule="exact"/>
        <w:rPr>
          <w:rFonts w:ascii="Arial" w:cs="Arial" w:eastAsia="Arial" w:hAnsi="Arial"/>
          <w:sz w:val="18"/>
          <w:szCs w:val="18"/>
          <w:color w:val="BD03F7"/>
        </w:rPr>
      </w:pPr>
    </w:p>
    <w:p>
      <w:pPr>
        <w:ind w:left="660" w:right="280" w:hanging="330"/>
        <w:spacing w:after="0" w:line="285" w:lineRule="auto"/>
        <w:tabs>
          <w:tab w:leader="none" w:pos="655" w:val="left"/>
        </w:tabs>
        <w:numPr>
          <w:ilvl w:val="0"/>
          <w:numId w:val="56"/>
        </w:numPr>
        <w:rPr>
          <w:rFonts w:ascii="Arial" w:cs="Arial" w:eastAsia="Arial" w:hAnsi="Arial"/>
          <w:sz w:val="18"/>
          <w:szCs w:val="18"/>
          <w:color w:val="BD03F7"/>
        </w:rPr>
      </w:pPr>
      <w:r>
        <w:rPr>
          <w:rFonts w:ascii="Arial" w:cs="Arial" w:eastAsia="Arial" w:hAnsi="Arial"/>
          <w:sz w:val="18"/>
          <w:szCs w:val="18"/>
          <w:color w:val="auto"/>
        </w:rPr>
        <w:t>Focus on environmental sustainability and DEI, which delivers business value, is an expectation of our customers and benefits our communities, team members, and other stakeholders</w:t>
      </w:r>
    </w:p>
    <w:p>
      <w:pPr>
        <w:spacing w:after="0" w:line="200" w:lineRule="exact"/>
        <w:rPr>
          <w:sz w:val="20"/>
          <w:szCs w:val="20"/>
          <w:color w:val="auto"/>
        </w:rPr>
      </w:pPr>
    </w:p>
    <w:p>
      <w:pPr>
        <w:spacing w:after="0" w:line="377"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 minimum of threshold performance of either of the profitability performance goals must be achieved in order for any portion of the STI to be earned under the profitability goals. Additionally, if the profitability goal results in achievement that is below 0.9x, then the total STI achievement is capped. Specifically, for profitability achievement below the 0.5x threshold, the total STI achievement is capped at 70%. For profitability achievement between 0.5x and 0.9x, total STI achievement is capped at 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Profitability Goals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established profitability goals (50% weighting) consisting of adjusted non-GAAP net income or non-GAAP</w:t>
      </w:r>
    </w:p>
    <w:p>
      <w:pPr>
        <w:spacing w:after="0" w:line="13"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operating margin metrics. It viewed these goals to be highly rigorous at the time they were set, with payout at threshold aligned with our Fiscal 2024 operating plan. Achieving the threshold under either goal was considered substantially uncertain. Given the volatile nature of our</w:t>
      </w:r>
    </w:p>
    <w:p>
      <w:pPr>
        <w:ind w:right="100"/>
        <w:spacing w:after="0" w:line="241" w:lineRule="auto"/>
        <w:rPr>
          <w:sz w:val="20"/>
          <w:szCs w:val="20"/>
          <w:color w:val="auto"/>
        </w:rPr>
      </w:pPr>
      <w:r>
        <w:rPr>
          <w:rFonts w:ascii="Arial" w:cs="Arial" w:eastAsia="Arial" w:hAnsi="Arial"/>
          <w:sz w:val="18"/>
          <w:szCs w:val="18"/>
          <w:color w:val="auto"/>
        </w:rPr>
        <w:t>industry (as illustrated by the significant year over year change in our results from Fiscal 2023 to Fiscal 2024), the intent of this dual goal design was to provide substantial motivation to the Named Executive Officers at the outset of Fiscal 2024, notwithstanding a challenging and uncertain business climate, which had the potential to create unpredictable changes after the goals were set.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20" w:type="dxa"/>
            <w:vAlign w:val="bottom"/>
          </w:tcPr>
          <w:p>
            <w:pPr>
              <w:ind w:left="20"/>
              <w:spacing w:after="0"/>
              <w:rPr>
                <w:sz w:val="20"/>
                <w:szCs w:val="20"/>
                <w:color w:val="auto"/>
              </w:rPr>
            </w:pPr>
            <w:r>
              <w:rPr>
                <w:rFonts w:ascii="Arial" w:cs="Arial" w:eastAsia="Arial" w:hAnsi="Arial"/>
                <w:sz w:val="18"/>
                <w:szCs w:val="18"/>
                <w:b w:val="1"/>
                <w:bCs w:val="1"/>
                <w:color w:val="BD03F7"/>
              </w:rPr>
              <w:t>Profitability Goals</w:t>
            </w: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Target</w:t>
            </w:r>
          </w:p>
        </w:tc>
        <w:tc>
          <w:tcPr>
            <w:tcW w:w="1380" w:type="dxa"/>
            <w:vAlign w:val="bottom"/>
          </w:tcPr>
          <w:p>
            <w:pPr>
              <w:spacing w:after="0"/>
              <w:rPr>
                <w:sz w:val="21"/>
                <w:szCs w:val="21"/>
                <w:color w:val="auto"/>
              </w:rPr>
            </w:pPr>
          </w:p>
        </w:tc>
        <w:tc>
          <w:tcPr>
            <w:tcW w:w="15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8"/>
              </w:rPr>
              <w:t>Maximum</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2024 Actual</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3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0.5x</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0.9x</w:t>
            </w:r>
          </w:p>
        </w:tc>
        <w:tc>
          <w:tcPr>
            <w:tcW w:w="1520" w:type="dxa"/>
            <w:vAlign w:val="bottom"/>
            <w:vMerge w:val="continue"/>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1.50x</w:t>
            </w:r>
          </w:p>
        </w:tc>
        <w:tc>
          <w:tcPr>
            <w:tcW w:w="15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tcBorders>
              <w:bottom w:val="single" w:sz="8" w:color="BD03F7"/>
            </w:tcBorders>
          </w:tcPr>
          <w:p>
            <w:pPr>
              <w:spacing w:after="0"/>
              <w:rPr>
                <w:sz w:val="21"/>
                <w:szCs w:val="21"/>
                <w:color w:val="auto"/>
              </w:rPr>
            </w:pPr>
          </w:p>
        </w:tc>
        <w:tc>
          <w:tcPr>
            <w:tcW w:w="1380" w:type="dxa"/>
            <w:vAlign w:val="bottom"/>
            <w:tcBorders>
              <w:bottom w:val="single" w:sz="8" w:color="BD03F7"/>
            </w:tcBorders>
            <w:vMerge w:val="continue"/>
          </w:tcPr>
          <w:p>
            <w:pPr>
              <w:spacing w:after="0"/>
              <w:rPr>
                <w:sz w:val="21"/>
                <w:szCs w:val="21"/>
                <w:color w:val="auto"/>
              </w:rPr>
            </w:pPr>
          </w:p>
        </w:tc>
        <w:tc>
          <w:tcPr>
            <w:tcW w:w="1420" w:type="dxa"/>
            <w:vAlign w:val="bottom"/>
            <w:tcBorders>
              <w:bottom w:val="single" w:sz="8" w:color="BD03F7"/>
            </w:tcBorders>
            <w:vMerge w:val="continue"/>
          </w:tcPr>
          <w:p>
            <w:pPr>
              <w:spacing w:after="0"/>
              <w:rPr>
                <w:sz w:val="21"/>
                <w:szCs w:val="21"/>
                <w:color w:val="auto"/>
              </w:rPr>
            </w:pPr>
          </w:p>
        </w:tc>
        <w:tc>
          <w:tcPr>
            <w:tcW w:w="152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1.00x</w:t>
            </w:r>
          </w:p>
        </w:tc>
        <w:tc>
          <w:tcPr>
            <w:tcW w:w="1380" w:type="dxa"/>
            <w:vAlign w:val="bottom"/>
            <w:tcBorders>
              <w:bottom w:val="single" w:sz="8" w:color="BD03F7"/>
            </w:tcBorders>
            <w:vMerge w:val="continue"/>
          </w:tcPr>
          <w:p>
            <w:pPr>
              <w:spacing w:after="0"/>
              <w:rPr>
                <w:sz w:val="21"/>
                <w:szCs w:val="21"/>
                <w:color w:val="auto"/>
              </w:rPr>
            </w:pPr>
          </w:p>
        </w:tc>
        <w:tc>
          <w:tcPr>
            <w:tcW w:w="1500" w:type="dxa"/>
            <w:vAlign w:val="bottom"/>
            <w:tcBorders>
              <w:bottom w:val="single" w:sz="8" w:color="BD03F7"/>
            </w:tcBorders>
          </w:tcPr>
          <w:p>
            <w:pPr>
              <w:jc w:val="center"/>
              <w:ind w:left="70"/>
              <w:spacing w:after="0"/>
              <w:rPr>
                <w:sz w:val="20"/>
                <w:szCs w:val="20"/>
                <w:color w:val="auto"/>
              </w:rPr>
            </w:pPr>
            <w:r>
              <w:rPr>
                <w:rFonts w:ascii="Arial" w:cs="Arial" w:eastAsia="Arial" w:hAnsi="Arial"/>
                <w:sz w:val="18"/>
                <w:szCs w:val="18"/>
                <w:b w:val="1"/>
                <w:bCs w:val="1"/>
                <w:color w:val="auto"/>
              </w:rPr>
              <w:t>2.00x</w:t>
            </w:r>
          </w:p>
        </w:tc>
        <w:tc>
          <w:tcPr>
            <w:tcW w:w="15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168"/>
        </w:trPr>
        <w:tc>
          <w:tcPr>
            <w:tcW w:w="2320" w:type="dxa"/>
            <w:vAlign w:val="bottom"/>
            <w:shd w:val="clear" w:color="auto" w:fill="F9F9F9"/>
          </w:tcPr>
          <w:p>
            <w:pPr>
              <w:ind w:left="20"/>
              <w:spacing w:after="0" w:line="169" w:lineRule="exact"/>
              <w:rPr>
                <w:sz w:val="20"/>
                <w:szCs w:val="20"/>
                <w:color w:val="auto"/>
              </w:rPr>
            </w:pPr>
            <w:r>
              <w:rPr>
                <w:rFonts w:ascii="Arial" w:cs="Arial" w:eastAsia="Arial" w:hAnsi="Arial"/>
                <w:sz w:val="18"/>
                <w:szCs w:val="18"/>
                <w:color w:val="auto"/>
              </w:rPr>
              <w:t>Adjusted Non-GAAP Net</w:t>
            </w:r>
          </w:p>
        </w:tc>
        <w:tc>
          <w:tcPr>
            <w:tcW w:w="1380" w:type="dxa"/>
            <w:vAlign w:val="bottom"/>
            <w:vMerge w:val="restart"/>
            <w:shd w:val="clear" w:color="auto" w:fill="F9F9F9"/>
          </w:tcPr>
          <w:p>
            <w:pPr>
              <w:jc w:val="center"/>
              <w:ind w:right="70"/>
              <w:spacing w:after="0"/>
              <w:rPr>
                <w:sz w:val="20"/>
                <w:szCs w:val="20"/>
                <w:color w:val="auto"/>
              </w:rPr>
            </w:pPr>
            <w:r>
              <w:rPr>
                <w:rFonts w:ascii="Arial" w:cs="Arial" w:eastAsia="Arial" w:hAnsi="Arial"/>
                <w:sz w:val="18"/>
                <w:szCs w:val="18"/>
                <w:color w:val="auto"/>
              </w:rPr>
              <w:t>$(2.80)</w:t>
            </w:r>
          </w:p>
        </w:tc>
        <w:tc>
          <w:tcPr>
            <w:tcW w:w="142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rPr>
              <w:t>$0.00</w:t>
            </w:r>
          </w:p>
        </w:tc>
        <w:tc>
          <w:tcPr>
            <w:tcW w:w="152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rPr>
              <w:t>$0.10</w:t>
            </w:r>
          </w:p>
        </w:tc>
        <w:tc>
          <w:tcPr>
            <w:tcW w:w="138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rPr>
              <w:t>$0.60</w:t>
            </w:r>
          </w:p>
        </w:tc>
        <w:tc>
          <w:tcPr>
            <w:tcW w:w="1500" w:type="dxa"/>
            <w:vAlign w:val="bottom"/>
            <w:vMerge w:val="restart"/>
            <w:shd w:val="clear" w:color="auto" w:fill="F9F9F9"/>
          </w:tcPr>
          <w:p>
            <w:pPr>
              <w:jc w:val="center"/>
              <w:ind w:left="70"/>
              <w:spacing w:after="0"/>
              <w:rPr>
                <w:sz w:val="20"/>
                <w:szCs w:val="20"/>
                <w:color w:val="auto"/>
              </w:rPr>
            </w:pPr>
            <w:r>
              <w:rPr>
                <w:rFonts w:ascii="Arial" w:cs="Arial" w:eastAsia="Arial" w:hAnsi="Arial"/>
                <w:sz w:val="18"/>
                <w:szCs w:val="18"/>
                <w:color w:val="auto"/>
              </w:rPr>
              <w:t>$2.00</w:t>
            </w:r>
          </w:p>
        </w:tc>
        <w:tc>
          <w:tcPr>
            <w:tcW w:w="1540" w:type="dxa"/>
            <w:vAlign w:val="bottom"/>
            <w:vMerge w:val="restart"/>
            <w:shd w:val="clear" w:color="auto" w:fill="F9F9F9"/>
          </w:tcPr>
          <w:p>
            <w:pPr>
              <w:jc w:val="right"/>
              <w:ind w:right="4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2"/>
        </w:trPr>
        <w:tc>
          <w:tcPr>
            <w:tcW w:w="2320" w:type="dxa"/>
            <w:vAlign w:val="bottom"/>
            <w:shd w:val="clear" w:color="auto" w:fill="F9F9F9"/>
          </w:tcPr>
          <w:p>
            <w:pPr>
              <w:ind w:left="20"/>
              <w:spacing w:after="0" w:line="242" w:lineRule="exact"/>
              <w:rPr>
                <w:sz w:val="20"/>
                <w:szCs w:val="20"/>
                <w:color w:val="auto"/>
              </w:rPr>
            </w:pPr>
            <w:r>
              <w:rPr>
                <w:rFonts w:ascii="Arial" w:cs="Arial" w:eastAsia="Arial" w:hAnsi="Arial"/>
                <w:sz w:val="18"/>
                <w:szCs w:val="18"/>
                <w:color w:val="auto"/>
              </w:rPr>
              <w:t>Income (in billions)</w:t>
            </w:r>
            <w:r>
              <w:rPr>
                <w:rFonts w:ascii="Arial" w:cs="Arial" w:eastAsia="Arial" w:hAnsi="Arial"/>
                <w:sz w:val="23"/>
                <w:szCs w:val="23"/>
                <w:color w:val="auto"/>
                <w:vertAlign w:val="superscript"/>
              </w:rPr>
              <w:t>(1)</w:t>
            </w:r>
          </w:p>
        </w:tc>
        <w:tc>
          <w:tcPr>
            <w:tcW w:w="1380" w:type="dxa"/>
            <w:vAlign w:val="bottom"/>
            <w:vMerge w:val="continue"/>
            <w:shd w:val="clear" w:color="auto" w:fill="F9F9F9"/>
          </w:tcPr>
          <w:p>
            <w:pPr>
              <w:spacing w:after="0"/>
              <w:rPr>
                <w:sz w:val="21"/>
                <w:szCs w:val="21"/>
                <w:color w:val="auto"/>
              </w:rPr>
            </w:pPr>
          </w:p>
        </w:tc>
        <w:tc>
          <w:tcPr>
            <w:tcW w:w="1420" w:type="dxa"/>
            <w:vAlign w:val="bottom"/>
            <w:vMerge w:val="continue"/>
            <w:shd w:val="clear" w:color="auto" w:fill="F9F9F9"/>
          </w:tcPr>
          <w:p>
            <w:pPr>
              <w:spacing w:after="0"/>
              <w:rPr>
                <w:sz w:val="21"/>
                <w:szCs w:val="21"/>
                <w:color w:val="auto"/>
              </w:rPr>
            </w:pPr>
          </w:p>
        </w:tc>
        <w:tc>
          <w:tcPr>
            <w:tcW w:w="1520" w:type="dxa"/>
            <w:vAlign w:val="bottom"/>
            <w:vMerge w:val="continue"/>
            <w:shd w:val="clear" w:color="auto" w:fill="F9F9F9"/>
          </w:tcPr>
          <w:p>
            <w:pPr>
              <w:spacing w:after="0"/>
              <w:rPr>
                <w:sz w:val="21"/>
                <w:szCs w:val="21"/>
                <w:color w:val="auto"/>
              </w:rPr>
            </w:pPr>
          </w:p>
        </w:tc>
        <w:tc>
          <w:tcPr>
            <w:tcW w:w="1380" w:type="dxa"/>
            <w:vAlign w:val="bottom"/>
            <w:vMerge w:val="continue"/>
            <w:shd w:val="clear" w:color="auto" w:fill="F9F9F9"/>
          </w:tcPr>
          <w:p>
            <w:pPr>
              <w:spacing w:after="0"/>
              <w:rPr>
                <w:sz w:val="21"/>
                <w:szCs w:val="21"/>
                <w:color w:val="auto"/>
              </w:rPr>
            </w:pPr>
          </w:p>
        </w:tc>
        <w:tc>
          <w:tcPr>
            <w:tcW w:w="1500" w:type="dxa"/>
            <w:vAlign w:val="bottom"/>
            <w:vMerge w:val="continue"/>
            <w:shd w:val="clear" w:color="auto" w:fill="F9F9F9"/>
          </w:tcPr>
          <w:p>
            <w:pPr>
              <w:spacing w:after="0"/>
              <w:rPr>
                <w:sz w:val="21"/>
                <w:szCs w:val="21"/>
                <w:color w:val="auto"/>
              </w:rPr>
            </w:pPr>
          </w:p>
        </w:tc>
        <w:tc>
          <w:tcPr>
            <w:tcW w:w="1540" w:type="dxa"/>
            <w:vAlign w:val="bottom"/>
            <w:vMerge w:val="continue"/>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Non-GAAP Operating</w:t>
            </w:r>
          </w:p>
        </w:tc>
        <w:tc>
          <w:tcPr>
            <w:tcW w:w="1380" w:type="dxa"/>
            <w:vAlign w:val="bottom"/>
          </w:tcPr>
          <w:p>
            <w:pPr>
              <w:ind w:left="520"/>
              <w:spacing w:after="0"/>
              <w:rPr>
                <w:sz w:val="20"/>
                <w:szCs w:val="20"/>
                <w:color w:val="auto"/>
              </w:rPr>
            </w:pPr>
            <w:r>
              <w:rPr>
                <w:rFonts w:ascii="Arial" w:cs="Arial" w:eastAsia="Arial" w:hAnsi="Arial"/>
                <w:sz w:val="18"/>
                <w:szCs w:val="18"/>
                <w:color w:val="auto"/>
              </w:rPr>
              <w:t>Or</w:t>
            </w:r>
          </w:p>
        </w:tc>
        <w:tc>
          <w:tcPr>
            <w:tcW w:w="1420" w:type="dxa"/>
            <w:vAlign w:val="bottom"/>
          </w:tcPr>
          <w:p>
            <w:pPr>
              <w:ind w:left="600"/>
              <w:spacing w:after="0"/>
              <w:rPr>
                <w:sz w:val="20"/>
                <w:szCs w:val="20"/>
                <w:color w:val="auto"/>
              </w:rPr>
            </w:pPr>
            <w:r>
              <w:rPr>
                <w:rFonts w:ascii="Arial" w:cs="Arial" w:eastAsia="Arial" w:hAnsi="Arial"/>
                <w:sz w:val="18"/>
                <w:szCs w:val="18"/>
                <w:color w:val="auto"/>
              </w:rPr>
              <w:t>Or</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Or</w:t>
            </w:r>
          </w:p>
        </w:tc>
        <w:tc>
          <w:tcPr>
            <w:tcW w:w="1380" w:type="dxa"/>
            <w:vAlign w:val="bottom"/>
          </w:tcPr>
          <w:p>
            <w:pPr>
              <w:ind w:left="620"/>
              <w:spacing w:after="0"/>
              <w:rPr>
                <w:sz w:val="20"/>
                <w:szCs w:val="20"/>
                <w:color w:val="auto"/>
              </w:rPr>
            </w:pPr>
            <w:r>
              <w:rPr>
                <w:rFonts w:ascii="Arial" w:cs="Arial" w:eastAsia="Arial" w:hAnsi="Arial"/>
                <w:sz w:val="18"/>
                <w:szCs w:val="18"/>
                <w:color w:val="auto"/>
              </w:rPr>
              <w:t>Or</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9"/>
              </w:rPr>
              <w:t>Or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320" w:type="dxa"/>
            <w:vAlign w:val="bottom"/>
            <w:vMerge w:val="continue"/>
          </w:tcPr>
          <w:p>
            <w:pPr>
              <w:spacing w:after="0"/>
              <w:rPr>
                <w:sz w:val="14"/>
                <w:szCs w:val="14"/>
                <w:color w:val="auto"/>
              </w:rPr>
            </w:pPr>
          </w:p>
        </w:tc>
        <w:tc>
          <w:tcPr>
            <w:tcW w:w="138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18%</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28%</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30%</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32%</w:t>
            </w:r>
          </w:p>
        </w:tc>
        <w:tc>
          <w:tcPr>
            <w:tcW w:w="150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34%</w:t>
            </w:r>
          </w:p>
        </w:tc>
        <w:tc>
          <w:tcPr>
            <w:tcW w:w="1540" w:type="dxa"/>
            <w:vAlign w:val="bottom"/>
            <w:vMerge w:val="restart"/>
          </w:tcPr>
          <w:p>
            <w:pPr>
              <w:jc w:val="right"/>
              <w:ind w:right="5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line="180" w:lineRule="exact"/>
              <w:rPr>
                <w:sz w:val="20"/>
                <w:szCs w:val="20"/>
                <w:color w:val="auto"/>
              </w:rPr>
            </w:pPr>
            <w:r>
              <w:rPr>
                <w:rFonts w:ascii="Arial" w:cs="Arial" w:eastAsia="Arial" w:hAnsi="Arial"/>
                <w:sz w:val="16"/>
                <w:szCs w:val="16"/>
                <w:color w:val="auto"/>
              </w:rPr>
              <w:t>Margin</w:t>
            </w:r>
            <w:r>
              <w:rPr>
                <w:rFonts w:ascii="Arial" w:cs="Arial" w:eastAsia="Arial" w:hAnsi="Arial"/>
                <w:sz w:val="20"/>
                <w:szCs w:val="20"/>
                <w:color w:val="auto"/>
                <w:vertAlign w:val="superscript"/>
              </w:rPr>
              <w:t>(2)</w:t>
            </w:r>
          </w:p>
        </w:tc>
        <w:tc>
          <w:tcPr>
            <w:tcW w:w="1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021830" cy="2647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1830" cy="2647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0218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21830" cy="8255"/>
                    </a:xfrm>
                    <a:prstGeom prst="rect">
                      <a:avLst/>
                    </a:prstGeom>
                    <a:noFill/>
                  </pic:spPr>
                </pic:pic>
              </a:graphicData>
            </a:graphic>
          </wp:anchor>
        </w:drawing>
      </w:r>
    </w:p>
    <w:p>
      <w:pPr>
        <w:ind w:right="200"/>
        <w:spacing w:after="0" w:line="262" w:lineRule="auto"/>
        <w:rPr>
          <w:sz w:val="20"/>
          <w:szCs w:val="20"/>
          <w:color w:val="auto"/>
        </w:rPr>
      </w:pPr>
      <w:r>
        <w:rPr>
          <w:rFonts w:ascii="Arial" w:cs="Arial" w:eastAsia="Arial" w:hAnsi="Arial"/>
          <w:sz w:val="14"/>
          <w:szCs w:val="14"/>
          <w:color w:val="auto"/>
        </w:rPr>
        <w:t>The Company’s adjusted non-GAAP net income is calculated as the Company’s reported Fiscal 2024 non-GAAP net income minus stock compensation expense (including Employee Stock Purchase Plan), plus short-term incentive expense (including taxes and net of inventory impacts). Short-term incentive expense includes expense from all the Company’s STI programs. Any change to U.S. tax law or financing costs necessary to sustain minimum liquidity levels approved by the finance committee were not accounted for in the annual business plan and associated profitability goal targets, and would have been removed from adjusted non-GAAP net income as part of the achievement calculation.</w:t>
      </w:r>
    </w:p>
    <w:p>
      <w:pPr>
        <w:spacing w:after="0" w:line="373" w:lineRule="exact"/>
        <w:rPr>
          <w:sz w:val="20"/>
          <w:szCs w:val="20"/>
          <w:color w:val="auto"/>
        </w:rPr>
      </w:pPr>
    </w:p>
    <w:p>
      <w:pPr>
        <w:ind w:right="280" w:firstLine="8"/>
        <w:spacing w:after="0" w:line="283" w:lineRule="auto"/>
        <w:tabs>
          <w:tab w:leader="none" w:pos="215"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Company’s non-GAAP operating margin is calculated as the Company’s reported Fiscal 2024 non-GAAP operating income divided by the Company’s reported Fiscal 2024 revenue, expressed as a percentage.</w:t>
      </w:r>
    </w:p>
    <w:p>
      <w:pPr>
        <w:spacing w:after="0" w:line="176"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Linear interpolation is applied between each adjusted non-GAAP net income and non-GAAP operating margin target. Profitability goal achievement is based on the higher of adjusted non-GAAP net income or non-GAAP operating margin percent achievement. There is no increase to payout if both of the profitability goals are achieved.</w:t>
      </w:r>
    </w:p>
    <w:p>
      <w:pPr>
        <w:spacing w:after="0" w:line="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Fiscal 2024 profitability goal achieved 171% based on the Adjusted Non-GAAP Net Income performance, which significantly exceeded the Company’s annual business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Goals</w:t>
      </w:r>
    </w:p>
    <w:p>
      <w:pPr>
        <w:spacing w:after="0" w:line="235"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five strategic goal categories below are weighted equally and together account for 50% of the overall STI plan achievement weighting. Our strategic goals involve highly confidential, competitively sensitive information, including forward-looking targets and product-specific strategies that if disclosed could cause irreparable competitive harm by providing competitors with insight into our internal processes, know-how, products and business initiatives, particularly as many of our goals build on multi-year achievements in order to execute on our overall business strategies. Revealing such information, including targets in key strategic focus areas, would allow our major competitors, many of whom are not traded on U.S. exchanges and are not disclosing strategic goals and metrics, to leverage it to their competitive advantage, to</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detriment and the detriment of our shareholders. However, we understand shareholders' desire for additional detail regarding our strategic goals and have strived to provide greater visibility into the strategic goal components and resulting performance, while balancing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competitive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BD03F7"/>
              </w:rPr>
              <w:t>Strategic Goals</w:t>
            </w:r>
          </w:p>
        </w:tc>
        <w:tc>
          <w:tcPr>
            <w:tcW w:w="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Category</w:t>
            </w:r>
          </w:p>
        </w:tc>
        <w:tc>
          <w:tcPr>
            <w:tcW w:w="3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Fiscal 2024 Goals</w:t>
            </w:r>
          </w:p>
        </w:tc>
        <w:tc>
          <w:tcPr>
            <w:tcW w:w="3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Achievement</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60" w:type="dxa"/>
            <w:vAlign w:val="bottom"/>
            <w:tcBorders>
              <w:bottom w:val="single" w:sz="8" w:color="auto"/>
            </w:tcBorders>
          </w:tcPr>
          <w:p>
            <w:pPr>
              <w:spacing w:after="0"/>
              <w:rPr>
                <w:sz w:val="21"/>
                <w:szCs w:val="21"/>
                <w:color w:val="auto"/>
              </w:rPr>
            </w:pPr>
          </w:p>
        </w:tc>
        <w:tc>
          <w:tcPr>
            <w:tcW w:w="2860" w:type="dxa"/>
            <w:vAlign w:val="bottom"/>
            <w:tcBorders>
              <w:bottom w:val="single" w:sz="8" w:color="BD03F7"/>
            </w:tcBorders>
            <w:vMerge w:val="continue"/>
          </w:tcPr>
          <w:p>
            <w:pPr>
              <w:spacing w:after="0"/>
              <w:rPr>
                <w:sz w:val="21"/>
                <w:szCs w:val="21"/>
                <w:color w:val="auto"/>
              </w:rPr>
            </w:pPr>
          </w:p>
        </w:tc>
        <w:tc>
          <w:tcPr>
            <w:tcW w:w="3320" w:type="dxa"/>
            <w:vAlign w:val="bottom"/>
            <w:tcBorders>
              <w:bottom w:val="single" w:sz="8" w:color="BD03F7"/>
            </w:tcBorders>
            <w:gridSpan w:val="2"/>
            <w:vMerge w:val="continue"/>
          </w:tcPr>
          <w:p>
            <w:pPr>
              <w:spacing w:after="0"/>
              <w:rPr>
                <w:sz w:val="21"/>
                <w:szCs w:val="21"/>
                <w:color w:val="auto"/>
              </w:rPr>
            </w:pPr>
          </w:p>
        </w:tc>
        <w:tc>
          <w:tcPr>
            <w:tcW w:w="3280" w:type="dxa"/>
            <w:vAlign w:val="bottom"/>
            <w:tcBorders>
              <w:bottom w:val="single" w:sz="8" w:color="BD03F7"/>
            </w:tcBorders>
            <w:vMerge w:val="continue"/>
          </w:tcPr>
          <w:p>
            <w:pPr>
              <w:spacing w:after="0"/>
              <w:rPr>
                <w:sz w:val="21"/>
                <w:szCs w:val="21"/>
                <w:color w:val="auto"/>
              </w:rPr>
            </w:pPr>
          </w:p>
        </w:tc>
        <w:tc>
          <w:tcPr>
            <w:tcW w:w="152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Achievement</w:t>
            </w:r>
          </w:p>
        </w:tc>
        <w:tc>
          <w:tcPr>
            <w:tcW w:w="0" w:type="dxa"/>
            <w:vAlign w:val="bottom"/>
          </w:tcPr>
          <w:p>
            <w:pPr>
              <w:spacing w:after="0"/>
              <w:rPr>
                <w:sz w:val="1"/>
                <w:szCs w:val="1"/>
                <w:color w:val="auto"/>
              </w:rPr>
            </w:pPr>
          </w:p>
        </w:tc>
      </w:tr>
      <w:tr>
        <w:trPr>
          <w:trHeight w:val="168"/>
        </w:trPr>
        <w:tc>
          <w:tcPr>
            <w:tcW w:w="160" w:type="dxa"/>
            <w:vAlign w:val="bottom"/>
            <w:shd w:val="clear" w:color="auto" w:fill="FFE64B"/>
          </w:tcPr>
          <w:p>
            <w:pPr>
              <w:spacing w:after="0"/>
              <w:rPr>
                <w:sz w:val="14"/>
                <w:szCs w:val="14"/>
                <w:color w:val="auto"/>
              </w:rPr>
            </w:pPr>
          </w:p>
        </w:tc>
        <w:tc>
          <w:tcPr>
            <w:tcW w:w="286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b w:val="1"/>
                <w:bCs w:val="1"/>
                <w:color w:val="auto"/>
              </w:rPr>
              <w:t>Technology and Products</w:t>
            </w:r>
          </w:p>
        </w:tc>
        <w:tc>
          <w:tcPr>
            <w:tcW w:w="3320" w:type="dxa"/>
            <w:vAlign w:val="bottom"/>
            <w:gridSpan w:val="2"/>
            <w:shd w:val="clear" w:color="auto" w:fill="F2F2F2"/>
          </w:tcPr>
          <w:p>
            <w:pPr>
              <w:ind w:left="20"/>
              <w:spacing w:after="0" w:line="169" w:lineRule="exact"/>
              <w:rPr>
                <w:sz w:val="20"/>
                <w:szCs w:val="20"/>
                <w:color w:val="auto"/>
              </w:rPr>
            </w:pPr>
            <w:r>
              <w:rPr>
                <w:rFonts w:ascii="Arial" w:cs="Arial" w:eastAsia="Arial" w:hAnsi="Arial"/>
                <w:sz w:val="18"/>
                <w:szCs w:val="18"/>
                <w:color w:val="auto"/>
              </w:rPr>
              <w:t>Goals focused on delivery of leading-</w:t>
            </w:r>
          </w:p>
        </w:tc>
        <w:tc>
          <w:tcPr>
            <w:tcW w:w="328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rPr>
              <w:t>Leading-edge technology and key</w:t>
            </w:r>
          </w:p>
        </w:tc>
        <w:tc>
          <w:tcPr>
            <w:tcW w:w="152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83"/>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Execute key enablers of our</w:t>
            </w:r>
          </w:p>
        </w:tc>
        <w:tc>
          <w:tcPr>
            <w:tcW w:w="3320" w:type="dxa"/>
            <w:vAlign w:val="bottom"/>
            <w:gridSpan w:val="2"/>
            <w:shd w:val="clear" w:color="auto" w:fill="F2F2F2"/>
          </w:tcPr>
          <w:p>
            <w:pPr>
              <w:ind w:left="20"/>
              <w:spacing w:after="0" w:line="183" w:lineRule="exact"/>
              <w:rPr>
                <w:sz w:val="20"/>
                <w:szCs w:val="20"/>
                <w:color w:val="auto"/>
              </w:rPr>
            </w:pPr>
            <w:r>
              <w:rPr>
                <w:rFonts w:ascii="Arial" w:cs="Arial" w:eastAsia="Arial" w:hAnsi="Arial"/>
                <w:sz w:val="18"/>
                <w:szCs w:val="18"/>
                <w:color w:val="auto"/>
              </w:rPr>
              <w:t>edge technology and key market</w:t>
            </w:r>
          </w:p>
        </w:tc>
        <w:tc>
          <w:tcPr>
            <w:tcW w:w="328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market segment product milestones</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technology and products for the</w:t>
            </w:r>
          </w:p>
        </w:tc>
        <w:tc>
          <w:tcPr>
            <w:tcW w:w="3320" w:type="dxa"/>
            <w:vAlign w:val="bottom"/>
            <w:gridSpan w:val="2"/>
            <w:shd w:val="clear" w:color="auto" w:fill="F2F2F2"/>
          </w:tcPr>
          <w:p>
            <w:pPr>
              <w:ind w:left="20"/>
              <w:spacing w:after="0" w:line="181" w:lineRule="exact"/>
              <w:rPr>
                <w:sz w:val="20"/>
                <w:szCs w:val="20"/>
                <w:color w:val="auto"/>
              </w:rPr>
            </w:pPr>
            <w:r>
              <w:rPr>
                <w:rFonts w:ascii="Arial" w:cs="Arial" w:eastAsia="Arial" w:hAnsi="Arial"/>
                <w:sz w:val="18"/>
                <w:szCs w:val="18"/>
                <w:color w:val="auto"/>
              </w:rPr>
              <w:t>segment (compute, mobile, storage,</w:t>
            </w:r>
          </w:p>
        </w:tc>
        <w:tc>
          <w:tcPr>
            <w:tcW w:w="328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were exceeded.</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current fiscal year, as well as</w:t>
            </w:r>
          </w:p>
        </w:tc>
        <w:tc>
          <w:tcPr>
            <w:tcW w:w="3320" w:type="dxa"/>
            <w:vAlign w:val="bottom"/>
            <w:gridSpan w:val="2"/>
            <w:shd w:val="clear" w:color="auto" w:fill="F2F2F2"/>
          </w:tcPr>
          <w:p>
            <w:pPr>
              <w:ind w:left="20"/>
              <w:spacing w:after="0" w:line="175" w:lineRule="exact"/>
              <w:rPr>
                <w:sz w:val="20"/>
                <w:szCs w:val="20"/>
                <w:color w:val="auto"/>
              </w:rPr>
            </w:pPr>
            <w:r>
              <w:rPr>
                <w:rFonts w:ascii="Arial" w:cs="Arial" w:eastAsia="Arial" w:hAnsi="Arial"/>
                <w:sz w:val="18"/>
                <w:szCs w:val="18"/>
                <w:color w:val="auto"/>
              </w:rPr>
              <w:t>automotive) product milestones across</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elements focused on supporting</w:t>
            </w:r>
          </w:p>
        </w:tc>
        <w:tc>
          <w:tcPr>
            <w:tcW w:w="540" w:type="dxa"/>
            <w:vAlign w:val="bottom"/>
            <w:shd w:val="clear" w:color="auto" w:fill="F2F2F2"/>
          </w:tcPr>
          <w:p>
            <w:pPr>
              <w:ind w:left="340"/>
              <w:spacing w:after="0" w:line="183" w:lineRule="exact"/>
              <w:rPr>
                <w:sz w:val="20"/>
                <w:szCs w:val="20"/>
                <w:color w:val="auto"/>
              </w:rPr>
            </w:pPr>
            <w:r>
              <w:rPr>
                <w:rFonts w:ascii="Arial" w:cs="Arial" w:eastAsia="Arial" w:hAnsi="Arial"/>
                <w:sz w:val="18"/>
                <w:szCs w:val="18"/>
                <w:color w:val="auto"/>
              </w:rPr>
              <w:t>▪</w:t>
            </w:r>
          </w:p>
        </w:tc>
        <w:tc>
          <w:tcPr>
            <w:tcW w:w="2780" w:type="dxa"/>
            <w:vAlign w:val="bottom"/>
            <w:shd w:val="clear" w:color="auto" w:fill="F2F2F2"/>
          </w:tcPr>
          <w:p>
            <w:pPr>
              <w:ind w:left="120"/>
              <w:spacing w:after="0" w:line="183" w:lineRule="exact"/>
              <w:rPr>
                <w:sz w:val="20"/>
                <w:szCs w:val="20"/>
                <w:color w:val="auto"/>
              </w:rPr>
            </w:pPr>
            <w:r>
              <w:rPr>
                <w:rFonts w:ascii="Arial" w:cs="Arial" w:eastAsia="Arial" w:hAnsi="Arial"/>
                <w:sz w:val="18"/>
                <w:szCs w:val="18"/>
                <w:color w:val="auto"/>
              </w:rPr>
              <w:t>DRAM (including HBM3E)</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our longer-term technology and</w:t>
            </w:r>
          </w:p>
        </w:tc>
        <w:tc>
          <w:tcPr>
            <w:tcW w:w="3320" w:type="dxa"/>
            <w:vAlign w:val="bottom"/>
            <w:gridSpan w:val="2"/>
            <w:shd w:val="clear" w:color="auto" w:fill="F2F2F2"/>
          </w:tcPr>
          <w:p>
            <w:pPr>
              <w:ind w:left="340"/>
              <w:spacing w:after="0" w:line="181" w:lineRule="exact"/>
              <w:rPr>
                <w:sz w:val="20"/>
                <w:szCs w:val="20"/>
                <w:color w:val="auto"/>
              </w:rPr>
            </w:pPr>
            <w:r>
              <w:rPr>
                <w:rFonts w:ascii="Arial" w:cs="Arial" w:eastAsia="Arial" w:hAnsi="Arial"/>
                <w:sz w:val="18"/>
                <w:szCs w:val="18"/>
                <w:color w:val="auto"/>
              </w:rPr>
              <w:t>▪   NAND (including data center</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FFE64B"/>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product competitiveness and</w:t>
            </w: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75" w:lineRule="exact"/>
              <w:rPr>
                <w:sz w:val="20"/>
                <w:szCs w:val="20"/>
                <w:color w:val="auto"/>
              </w:rPr>
            </w:pPr>
            <w:r>
              <w:rPr>
                <w:rFonts w:ascii="Arial" w:cs="Arial" w:eastAsia="Arial" w:hAnsi="Arial"/>
                <w:sz w:val="18"/>
                <w:szCs w:val="18"/>
                <w:color w:val="auto"/>
              </w:rPr>
              <w:t>SSDs)</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60" w:type="dxa"/>
            <w:vAlign w:val="bottom"/>
            <w:shd w:val="clear" w:color="auto" w:fill="FFE64B"/>
          </w:tcPr>
          <w:p>
            <w:pPr>
              <w:spacing w:after="0"/>
              <w:rPr>
                <w:sz w:val="21"/>
                <w:szCs w:val="21"/>
                <w:color w:val="auto"/>
              </w:rPr>
            </w:pPr>
          </w:p>
        </w:tc>
        <w:tc>
          <w:tcPr>
            <w:tcW w:w="2860" w:type="dxa"/>
            <w:vAlign w:val="bottom"/>
            <w:shd w:val="clear" w:color="auto" w:fill="F2F2F2"/>
          </w:tcPr>
          <w:p>
            <w:pPr>
              <w:ind w:left="20"/>
              <w:spacing w:after="0"/>
              <w:rPr>
                <w:sz w:val="20"/>
                <w:szCs w:val="20"/>
                <w:color w:val="auto"/>
              </w:rPr>
            </w:pPr>
            <w:r>
              <w:rPr>
                <w:rFonts w:ascii="Arial" w:cs="Arial" w:eastAsia="Arial" w:hAnsi="Arial"/>
                <w:sz w:val="18"/>
                <w:szCs w:val="18"/>
                <w:color w:val="auto"/>
              </w:rPr>
              <w:t>business results.</w:t>
            </w:r>
          </w:p>
        </w:tc>
        <w:tc>
          <w:tcPr>
            <w:tcW w:w="540" w:type="dxa"/>
            <w:vAlign w:val="bottom"/>
            <w:shd w:val="clear" w:color="auto" w:fill="F2F2F2"/>
          </w:tcPr>
          <w:p>
            <w:pPr>
              <w:spacing w:after="0"/>
              <w:rPr>
                <w:sz w:val="21"/>
                <w:szCs w:val="21"/>
                <w:color w:val="auto"/>
              </w:rPr>
            </w:pPr>
          </w:p>
        </w:tc>
        <w:tc>
          <w:tcPr>
            <w:tcW w:w="2780" w:type="dxa"/>
            <w:vAlign w:val="bottom"/>
            <w:shd w:val="clear" w:color="auto" w:fill="F2F2F2"/>
          </w:tcPr>
          <w:p>
            <w:pPr>
              <w:spacing w:after="0"/>
              <w:rPr>
                <w:sz w:val="21"/>
                <w:szCs w:val="21"/>
                <w:color w:val="auto"/>
              </w:rPr>
            </w:pPr>
          </w:p>
        </w:tc>
        <w:tc>
          <w:tcPr>
            <w:tcW w:w="3280" w:type="dxa"/>
            <w:vAlign w:val="bottom"/>
            <w:shd w:val="clear" w:color="auto" w:fill="F2F2F2"/>
          </w:tcPr>
          <w:p>
            <w:pPr>
              <w:spacing w:after="0"/>
              <w:rPr>
                <w:sz w:val="21"/>
                <w:szCs w:val="21"/>
                <w:color w:val="auto"/>
              </w:rPr>
            </w:pPr>
          </w:p>
        </w:tc>
        <w:tc>
          <w:tcPr>
            <w:tcW w:w="15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75" w:lineRule="exact"/>
              <w:rPr>
                <w:sz w:val="20"/>
                <w:szCs w:val="20"/>
                <w:color w:val="auto"/>
              </w:rPr>
            </w:pPr>
            <w:r>
              <w:rPr>
                <w:rFonts w:ascii="Arial" w:cs="Arial" w:eastAsia="Arial" w:hAnsi="Arial"/>
                <w:sz w:val="18"/>
                <w:szCs w:val="18"/>
                <w:b w:val="1"/>
                <w:bCs w:val="1"/>
                <w:color w:val="auto"/>
              </w:rPr>
              <w:t>Cost and Efficiency</w:t>
            </w:r>
          </w:p>
        </w:tc>
        <w:tc>
          <w:tcPr>
            <w:tcW w:w="332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Goals focused on delivery of critical</w:t>
            </w:r>
          </w:p>
        </w:tc>
        <w:tc>
          <w:tcPr>
            <w:tcW w:w="480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Goals for critical operational metrics and 179%</w:t>
            </w:r>
          </w:p>
        </w:tc>
        <w:tc>
          <w:tcPr>
            <w:tcW w:w="0" w:type="dxa"/>
            <w:vAlign w:val="bottom"/>
          </w:tcPr>
          <w:p>
            <w:pPr>
              <w:spacing w:after="0"/>
              <w:rPr>
                <w:sz w:val="1"/>
                <w:szCs w:val="1"/>
                <w:color w:val="auto"/>
              </w:rPr>
            </w:pPr>
          </w:p>
        </w:tc>
      </w:tr>
      <w:tr>
        <w:trPr>
          <w:trHeight w:val="183"/>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83" w:lineRule="exact"/>
              <w:rPr>
                <w:sz w:val="20"/>
                <w:szCs w:val="20"/>
                <w:color w:val="auto"/>
              </w:rPr>
            </w:pPr>
            <w:r>
              <w:rPr>
                <w:rFonts w:ascii="Arial" w:cs="Arial" w:eastAsia="Arial" w:hAnsi="Arial"/>
                <w:sz w:val="18"/>
                <w:szCs w:val="18"/>
                <w:color w:val="auto"/>
              </w:rPr>
              <w:t>Increase cost competitiveness</w:t>
            </w:r>
          </w:p>
        </w:tc>
        <w:tc>
          <w:tcPr>
            <w:tcW w:w="33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operational metrics and milestones</w:t>
            </w:r>
          </w:p>
        </w:tc>
        <w:tc>
          <w:tcPr>
            <w:tcW w:w="3280" w:type="dxa"/>
            <w:vAlign w:val="bottom"/>
          </w:tcPr>
          <w:p>
            <w:pPr>
              <w:ind w:left="20"/>
              <w:spacing w:after="0" w:line="183" w:lineRule="exact"/>
              <w:rPr>
                <w:sz w:val="20"/>
                <w:szCs w:val="20"/>
                <w:color w:val="auto"/>
              </w:rPr>
            </w:pPr>
            <w:r>
              <w:rPr>
                <w:rFonts w:ascii="Arial" w:cs="Arial" w:eastAsia="Arial" w:hAnsi="Arial"/>
                <w:sz w:val="18"/>
                <w:szCs w:val="18"/>
                <w:color w:val="auto"/>
              </w:rPr>
              <w:t>milestones were exceeded.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81" w:lineRule="exact"/>
              <w:rPr>
                <w:sz w:val="20"/>
                <w:szCs w:val="20"/>
                <w:color w:val="auto"/>
              </w:rPr>
            </w:pPr>
            <w:r>
              <w:rPr>
                <w:rFonts w:ascii="Arial" w:cs="Arial" w:eastAsia="Arial" w:hAnsi="Arial"/>
                <w:sz w:val="18"/>
                <w:szCs w:val="18"/>
                <w:color w:val="auto"/>
              </w:rPr>
              <w:t>through efficiency gains across</w:t>
            </w:r>
          </w:p>
        </w:tc>
        <w:tc>
          <w:tcPr>
            <w:tcW w:w="332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including:</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75" w:lineRule="exact"/>
              <w:rPr>
                <w:sz w:val="20"/>
                <w:szCs w:val="20"/>
                <w:color w:val="auto"/>
              </w:rPr>
            </w:pPr>
            <w:r>
              <w:rPr>
                <w:rFonts w:ascii="Arial" w:cs="Arial" w:eastAsia="Arial" w:hAnsi="Arial"/>
                <w:sz w:val="18"/>
                <w:szCs w:val="18"/>
                <w:color w:val="auto"/>
              </w:rPr>
              <w:t>frontend, assembly and test,</w:t>
            </w:r>
          </w:p>
        </w:tc>
        <w:tc>
          <w:tcPr>
            <w:tcW w:w="3320" w:type="dxa"/>
            <w:vAlign w:val="bottom"/>
            <w:gridSpan w:val="2"/>
          </w:tcPr>
          <w:p>
            <w:pPr>
              <w:ind w:left="340"/>
              <w:spacing w:after="0" w:line="175" w:lineRule="exact"/>
              <w:rPr>
                <w:sz w:val="20"/>
                <w:szCs w:val="20"/>
                <w:color w:val="auto"/>
              </w:rPr>
            </w:pPr>
            <w:r>
              <w:rPr>
                <w:rFonts w:ascii="Arial" w:cs="Arial" w:eastAsia="Arial" w:hAnsi="Arial"/>
                <w:sz w:val="18"/>
                <w:szCs w:val="18"/>
                <w:color w:val="auto"/>
              </w:rPr>
              <w:t>▪   HBM3E cumulative yield and</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83" w:lineRule="exact"/>
              <w:rPr>
                <w:sz w:val="20"/>
                <w:szCs w:val="20"/>
                <w:color w:val="auto"/>
              </w:rPr>
            </w:pPr>
            <w:r>
              <w:rPr>
                <w:rFonts w:ascii="Arial" w:cs="Arial" w:eastAsia="Arial" w:hAnsi="Arial"/>
                <w:sz w:val="18"/>
                <w:szCs w:val="18"/>
                <w:color w:val="auto"/>
              </w:rPr>
              <w:t>procurement, supply chain and</w:t>
            </w:r>
          </w:p>
        </w:tc>
        <w:tc>
          <w:tcPr>
            <w:tcW w:w="540" w:type="dxa"/>
            <w:vAlign w:val="bottom"/>
          </w:tcPr>
          <w:p>
            <w:pPr>
              <w:spacing w:after="0"/>
              <w:rPr>
                <w:sz w:val="15"/>
                <w:szCs w:val="15"/>
                <w:color w:val="auto"/>
              </w:rPr>
            </w:pPr>
          </w:p>
        </w:tc>
        <w:tc>
          <w:tcPr>
            <w:tcW w:w="2780" w:type="dxa"/>
            <w:vAlign w:val="bottom"/>
          </w:tcPr>
          <w:p>
            <w:pPr>
              <w:ind w:left="120"/>
              <w:spacing w:after="0" w:line="183" w:lineRule="exact"/>
              <w:rPr>
                <w:sz w:val="20"/>
                <w:szCs w:val="20"/>
                <w:color w:val="auto"/>
              </w:rPr>
            </w:pPr>
            <w:r>
              <w:rPr>
                <w:rFonts w:ascii="Arial" w:cs="Arial" w:eastAsia="Arial" w:hAnsi="Arial"/>
                <w:sz w:val="18"/>
                <w:szCs w:val="18"/>
                <w:color w:val="auto"/>
              </w:rPr>
              <w:t>output</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6D6D6D"/>
          </w:tcPr>
          <w:p>
            <w:pPr>
              <w:spacing w:after="0"/>
              <w:rPr>
                <w:sz w:val="15"/>
                <w:szCs w:val="15"/>
                <w:color w:val="auto"/>
              </w:rPr>
            </w:pPr>
          </w:p>
        </w:tc>
        <w:tc>
          <w:tcPr>
            <w:tcW w:w="2860" w:type="dxa"/>
            <w:vAlign w:val="bottom"/>
          </w:tcPr>
          <w:p>
            <w:pPr>
              <w:ind w:left="20"/>
              <w:spacing w:after="0" w:line="181" w:lineRule="exact"/>
              <w:rPr>
                <w:sz w:val="20"/>
                <w:szCs w:val="20"/>
                <w:color w:val="auto"/>
              </w:rPr>
            </w:pPr>
            <w:r>
              <w:rPr>
                <w:rFonts w:ascii="Arial" w:cs="Arial" w:eastAsia="Arial" w:hAnsi="Arial"/>
                <w:sz w:val="18"/>
                <w:szCs w:val="18"/>
                <w:color w:val="auto"/>
              </w:rPr>
              <w:t>enterprise processes and systems.</w:t>
            </w:r>
          </w:p>
        </w:tc>
        <w:tc>
          <w:tcPr>
            <w:tcW w:w="3320" w:type="dxa"/>
            <w:vAlign w:val="bottom"/>
            <w:gridSpan w:val="2"/>
          </w:tcPr>
          <w:p>
            <w:pPr>
              <w:ind w:left="340"/>
              <w:spacing w:after="0" w:line="181" w:lineRule="exact"/>
              <w:rPr>
                <w:sz w:val="20"/>
                <w:szCs w:val="20"/>
                <w:color w:val="auto"/>
              </w:rPr>
            </w:pPr>
            <w:r>
              <w:rPr>
                <w:rFonts w:ascii="Arial" w:cs="Arial" w:eastAsia="Arial" w:hAnsi="Arial"/>
                <w:sz w:val="18"/>
                <w:szCs w:val="18"/>
                <w:color w:val="auto"/>
              </w:rPr>
              <w:t>▪   Leading technology node DRAM</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6D6D6D"/>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tcPr>
          <w:p>
            <w:pPr>
              <w:ind w:left="120"/>
              <w:spacing w:after="0" w:line="175" w:lineRule="exact"/>
              <w:rPr>
                <w:sz w:val="20"/>
                <w:szCs w:val="20"/>
                <w:color w:val="auto"/>
              </w:rPr>
            </w:pPr>
            <w:r>
              <w:rPr>
                <w:rFonts w:ascii="Arial" w:cs="Arial" w:eastAsia="Arial" w:hAnsi="Arial"/>
                <w:sz w:val="18"/>
                <w:szCs w:val="18"/>
                <w:color w:val="auto"/>
              </w:rPr>
              <w:t>wafer outs</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6D6D6D"/>
          </w:tcPr>
          <w:p>
            <w:pPr>
              <w:spacing w:after="0"/>
              <w:rPr>
                <w:sz w:val="15"/>
                <w:szCs w:val="15"/>
                <w:color w:val="auto"/>
              </w:rPr>
            </w:pPr>
          </w:p>
        </w:tc>
        <w:tc>
          <w:tcPr>
            <w:tcW w:w="2860" w:type="dxa"/>
            <w:vAlign w:val="bottom"/>
          </w:tcPr>
          <w:p>
            <w:pPr>
              <w:spacing w:after="0"/>
              <w:rPr>
                <w:sz w:val="15"/>
                <w:szCs w:val="15"/>
                <w:color w:val="auto"/>
              </w:rPr>
            </w:pPr>
          </w:p>
        </w:tc>
        <w:tc>
          <w:tcPr>
            <w:tcW w:w="3320" w:type="dxa"/>
            <w:vAlign w:val="bottom"/>
            <w:gridSpan w:val="2"/>
          </w:tcPr>
          <w:p>
            <w:pPr>
              <w:ind w:left="340"/>
              <w:spacing w:after="0" w:line="183" w:lineRule="exact"/>
              <w:rPr>
                <w:sz w:val="20"/>
                <w:szCs w:val="20"/>
                <w:color w:val="auto"/>
              </w:rPr>
            </w:pPr>
            <w:r>
              <w:rPr>
                <w:rFonts w:ascii="Arial" w:cs="Arial" w:eastAsia="Arial" w:hAnsi="Arial"/>
                <w:sz w:val="18"/>
                <w:szCs w:val="18"/>
                <w:color w:val="auto"/>
              </w:rPr>
              <w:t>▪   Assembly and test geo-</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6D6D6D"/>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2780" w:type="dxa"/>
            <w:vAlign w:val="bottom"/>
          </w:tcPr>
          <w:p>
            <w:pPr>
              <w:ind w:left="120"/>
              <w:spacing w:after="0" w:line="181" w:lineRule="exact"/>
              <w:rPr>
                <w:sz w:val="20"/>
                <w:szCs w:val="20"/>
                <w:color w:val="auto"/>
              </w:rPr>
            </w:pPr>
            <w:r>
              <w:rPr>
                <w:rFonts w:ascii="Arial" w:cs="Arial" w:eastAsia="Arial" w:hAnsi="Arial"/>
                <w:sz w:val="18"/>
                <w:szCs w:val="18"/>
                <w:color w:val="auto"/>
              </w:rPr>
              <w:t>diversification</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6D6D6D"/>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780" w:type="dxa"/>
            <w:vAlign w:val="bottom"/>
          </w:tcPr>
          <w:p>
            <w:pPr>
              <w:ind w:left="120"/>
              <w:spacing w:after="0" w:line="175" w:lineRule="exact"/>
              <w:rPr>
                <w:sz w:val="20"/>
                <w:szCs w:val="20"/>
                <w:color w:val="auto"/>
              </w:rPr>
            </w:pPr>
            <w:r>
              <w:rPr>
                <w:rFonts w:ascii="Arial" w:cs="Arial" w:eastAsia="Arial" w:hAnsi="Arial"/>
                <w:sz w:val="18"/>
                <w:szCs w:val="18"/>
                <w:color w:val="auto"/>
              </w:rPr>
              <w:t>Business transformation</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60" w:type="dxa"/>
            <w:vAlign w:val="bottom"/>
            <w:shd w:val="clear" w:color="auto" w:fill="6D6D6D"/>
          </w:tcPr>
          <w:p>
            <w:pPr>
              <w:spacing w:after="0"/>
              <w:rPr>
                <w:sz w:val="21"/>
                <w:szCs w:val="21"/>
                <w:color w:val="auto"/>
              </w:rPr>
            </w:pPr>
          </w:p>
        </w:tc>
        <w:tc>
          <w:tcPr>
            <w:tcW w:w="2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milestones and metrics</w:t>
            </w:r>
          </w:p>
        </w:tc>
        <w:tc>
          <w:tcPr>
            <w:tcW w:w="3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40AEFF"/>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b w:val="1"/>
                <w:bCs w:val="1"/>
                <w:color w:val="auto"/>
              </w:rPr>
              <w:t>Customer</w:t>
            </w:r>
          </w:p>
        </w:tc>
        <w:tc>
          <w:tcPr>
            <w:tcW w:w="3320" w:type="dxa"/>
            <w:vAlign w:val="bottom"/>
            <w:gridSpan w:val="2"/>
            <w:shd w:val="clear" w:color="auto" w:fill="F2F2F2"/>
          </w:tcPr>
          <w:p>
            <w:pPr>
              <w:ind w:left="20"/>
              <w:spacing w:after="0" w:line="175" w:lineRule="exact"/>
              <w:rPr>
                <w:sz w:val="20"/>
                <w:szCs w:val="20"/>
                <w:color w:val="auto"/>
              </w:rPr>
            </w:pPr>
            <w:r>
              <w:rPr>
                <w:rFonts w:ascii="Arial" w:cs="Arial" w:eastAsia="Arial" w:hAnsi="Arial"/>
                <w:sz w:val="18"/>
                <w:szCs w:val="18"/>
                <w:color w:val="auto"/>
              </w:rPr>
              <w:t>Goals focused on customer related</w:t>
            </w:r>
          </w:p>
        </w:tc>
        <w:tc>
          <w:tcPr>
            <w:tcW w:w="328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Customer business review score goal</w:t>
            </w:r>
          </w:p>
        </w:tc>
        <w:tc>
          <w:tcPr>
            <w:tcW w:w="152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60" w:type="dxa"/>
            <w:vAlign w:val="bottom"/>
            <w:shd w:val="clear" w:color="auto" w:fill="40AEFF"/>
          </w:tcPr>
          <w:p>
            <w:pPr>
              <w:spacing w:after="0"/>
              <w:rPr>
                <w:sz w:val="15"/>
                <w:szCs w:val="15"/>
                <w:color w:val="auto"/>
              </w:rPr>
            </w:pPr>
          </w:p>
        </w:tc>
        <w:tc>
          <w:tcPr>
            <w:tcW w:w="6180" w:type="dxa"/>
            <w:vAlign w:val="bottom"/>
            <w:gridSpan w:val="3"/>
            <w:shd w:val="clear" w:color="auto" w:fill="F2F2F2"/>
          </w:tcPr>
          <w:p>
            <w:pPr>
              <w:ind w:left="20"/>
              <w:spacing w:after="0" w:line="183" w:lineRule="exact"/>
              <w:rPr>
                <w:sz w:val="20"/>
                <w:szCs w:val="20"/>
                <w:color w:val="auto"/>
              </w:rPr>
            </w:pPr>
            <w:r>
              <w:rPr>
                <w:rFonts w:ascii="Arial" w:cs="Arial" w:eastAsia="Arial" w:hAnsi="Arial"/>
                <w:sz w:val="18"/>
                <w:szCs w:val="18"/>
                <w:color w:val="auto"/>
              </w:rPr>
              <w:t>Improve our customers’ experience metrics, including:</w:t>
            </w:r>
          </w:p>
        </w:tc>
        <w:tc>
          <w:tcPr>
            <w:tcW w:w="328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was exceeded.</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40AEFF"/>
          </w:tcPr>
          <w:p>
            <w:pPr>
              <w:spacing w:after="0"/>
              <w:rPr>
                <w:sz w:val="15"/>
                <w:szCs w:val="15"/>
                <w:color w:val="auto"/>
              </w:rPr>
            </w:pPr>
          </w:p>
        </w:tc>
        <w:tc>
          <w:tcPr>
            <w:tcW w:w="286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and satisfaction and further</w:t>
            </w:r>
          </w:p>
        </w:tc>
        <w:tc>
          <w:tcPr>
            <w:tcW w:w="540" w:type="dxa"/>
            <w:vAlign w:val="bottom"/>
            <w:shd w:val="clear" w:color="auto" w:fill="F2F2F2"/>
          </w:tcPr>
          <w:p>
            <w:pPr>
              <w:ind w:left="340"/>
              <w:spacing w:after="0" w:line="181" w:lineRule="exact"/>
              <w:rPr>
                <w:sz w:val="20"/>
                <w:szCs w:val="20"/>
                <w:color w:val="auto"/>
              </w:rPr>
            </w:pPr>
            <w:r>
              <w:rPr>
                <w:rFonts w:ascii="Arial" w:cs="Arial" w:eastAsia="Arial" w:hAnsi="Arial"/>
                <w:sz w:val="18"/>
                <w:szCs w:val="18"/>
                <w:color w:val="auto"/>
              </w:rPr>
              <w:t>▪</w:t>
            </w:r>
          </w:p>
        </w:tc>
        <w:tc>
          <w:tcPr>
            <w:tcW w:w="2780" w:type="dxa"/>
            <w:vAlign w:val="bottom"/>
            <w:shd w:val="clear" w:color="auto" w:fill="F2F2F2"/>
          </w:tcPr>
          <w:p>
            <w:pPr>
              <w:ind w:left="120"/>
              <w:spacing w:after="0" w:line="181" w:lineRule="exact"/>
              <w:rPr>
                <w:sz w:val="20"/>
                <w:szCs w:val="20"/>
                <w:color w:val="auto"/>
              </w:rPr>
            </w:pPr>
            <w:r>
              <w:rPr>
                <w:rFonts w:ascii="Arial" w:cs="Arial" w:eastAsia="Arial" w:hAnsi="Arial"/>
                <w:sz w:val="18"/>
                <w:szCs w:val="18"/>
                <w:color w:val="auto"/>
              </w:rPr>
              <w:t>Customer business review</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40AEFF"/>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differentiate Micron from our</w:t>
            </w: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75" w:lineRule="exact"/>
              <w:rPr>
                <w:sz w:val="20"/>
                <w:szCs w:val="20"/>
                <w:color w:val="auto"/>
              </w:rPr>
            </w:pPr>
            <w:r>
              <w:rPr>
                <w:rFonts w:ascii="Arial" w:cs="Arial" w:eastAsia="Arial" w:hAnsi="Arial"/>
                <w:sz w:val="18"/>
                <w:szCs w:val="18"/>
                <w:color w:val="auto"/>
              </w:rPr>
              <w:t>scores across the categories of</w:t>
            </w:r>
          </w:p>
        </w:tc>
        <w:tc>
          <w:tcPr>
            <w:tcW w:w="3280" w:type="dxa"/>
            <w:vAlign w:val="bottom"/>
            <w:vMerge w:val="restart"/>
            <w:shd w:val="clear" w:color="auto" w:fill="F2F2F2"/>
          </w:tcPr>
          <w:p>
            <w:pPr>
              <w:ind w:left="20"/>
              <w:spacing w:after="0"/>
              <w:rPr>
                <w:sz w:val="20"/>
                <w:szCs w:val="20"/>
                <w:color w:val="auto"/>
              </w:rPr>
            </w:pPr>
            <w:r>
              <w:rPr>
                <w:rFonts w:ascii="Arial" w:cs="Arial" w:eastAsia="Arial" w:hAnsi="Arial"/>
                <w:sz w:val="18"/>
                <w:szCs w:val="18"/>
                <w:color w:val="auto"/>
              </w:rPr>
              <w:t>Customer quality and delivery</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60" w:type="dxa"/>
            <w:vAlign w:val="bottom"/>
            <w:shd w:val="clear" w:color="auto" w:fill="40AEFF"/>
          </w:tcPr>
          <w:p>
            <w:pPr>
              <w:spacing w:after="0"/>
              <w:rPr>
                <w:sz w:val="5"/>
                <w:szCs w:val="5"/>
                <w:color w:val="auto"/>
              </w:rPr>
            </w:pPr>
          </w:p>
        </w:tc>
        <w:tc>
          <w:tcPr>
            <w:tcW w:w="2860" w:type="dxa"/>
            <w:vAlign w:val="bottom"/>
            <w:vMerge w:val="restart"/>
            <w:shd w:val="clear" w:color="auto" w:fill="F2F2F2"/>
          </w:tcPr>
          <w:p>
            <w:pPr>
              <w:ind w:left="20"/>
              <w:spacing w:after="0" w:line="183" w:lineRule="exact"/>
              <w:rPr>
                <w:sz w:val="20"/>
                <w:szCs w:val="20"/>
                <w:color w:val="auto"/>
              </w:rPr>
            </w:pPr>
            <w:r>
              <w:rPr>
                <w:rFonts w:ascii="Arial" w:cs="Arial" w:eastAsia="Arial" w:hAnsi="Arial"/>
                <w:sz w:val="18"/>
                <w:szCs w:val="18"/>
                <w:color w:val="auto"/>
              </w:rPr>
              <w:t>competitors through strengthened</w:t>
            </w:r>
          </w:p>
        </w:tc>
        <w:tc>
          <w:tcPr>
            <w:tcW w:w="540" w:type="dxa"/>
            <w:vAlign w:val="bottom"/>
            <w:shd w:val="clear" w:color="auto" w:fill="F2F2F2"/>
          </w:tcPr>
          <w:p>
            <w:pPr>
              <w:spacing w:after="0"/>
              <w:rPr>
                <w:sz w:val="5"/>
                <w:szCs w:val="5"/>
                <w:color w:val="auto"/>
              </w:rPr>
            </w:pPr>
          </w:p>
        </w:tc>
        <w:tc>
          <w:tcPr>
            <w:tcW w:w="2780" w:type="dxa"/>
            <w:vAlign w:val="bottom"/>
            <w:vMerge w:val="restart"/>
            <w:shd w:val="clear" w:color="auto" w:fill="F2F2F2"/>
          </w:tcPr>
          <w:p>
            <w:pPr>
              <w:ind w:left="120"/>
              <w:spacing w:after="0" w:line="183" w:lineRule="exact"/>
              <w:rPr>
                <w:sz w:val="20"/>
                <w:szCs w:val="20"/>
                <w:color w:val="auto"/>
              </w:rPr>
            </w:pPr>
            <w:r>
              <w:rPr>
                <w:rFonts w:ascii="Arial" w:cs="Arial" w:eastAsia="Arial" w:hAnsi="Arial"/>
                <w:sz w:val="18"/>
                <w:szCs w:val="18"/>
                <w:color w:val="auto"/>
              </w:rPr>
              <w:t>technology, service and</w:t>
            </w:r>
          </w:p>
        </w:tc>
        <w:tc>
          <w:tcPr>
            <w:tcW w:w="3280" w:type="dxa"/>
            <w:vAlign w:val="bottom"/>
            <w:vMerge w:val="continue"/>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60" w:type="dxa"/>
            <w:vAlign w:val="bottom"/>
            <w:shd w:val="clear" w:color="auto" w:fill="40AEFF"/>
          </w:tcPr>
          <w:p>
            <w:pPr>
              <w:spacing w:after="0"/>
              <w:rPr>
                <w:sz w:val="10"/>
                <w:szCs w:val="10"/>
                <w:color w:val="auto"/>
              </w:rPr>
            </w:pPr>
          </w:p>
        </w:tc>
        <w:tc>
          <w:tcPr>
            <w:tcW w:w="2860" w:type="dxa"/>
            <w:vAlign w:val="bottom"/>
            <w:vMerge w:val="continue"/>
            <w:shd w:val="clear" w:color="auto" w:fill="F2F2F2"/>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2780" w:type="dxa"/>
            <w:vAlign w:val="bottom"/>
            <w:vMerge w:val="continue"/>
            <w:shd w:val="clear" w:color="auto" w:fill="F2F2F2"/>
          </w:tcPr>
          <w:p>
            <w:pPr>
              <w:spacing w:after="0"/>
              <w:rPr>
                <w:sz w:val="10"/>
                <w:szCs w:val="10"/>
                <w:color w:val="auto"/>
              </w:rPr>
            </w:pPr>
          </w:p>
        </w:tc>
        <w:tc>
          <w:tcPr>
            <w:tcW w:w="3280" w:type="dxa"/>
            <w:vAlign w:val="bottom"/>
            <w:vMerge w:val="restart"/>
            <w:shd w:val="clear" w:color="auto" w:fill="F2F2F2"/>
          </w:tcPr>
          <w:p>
            <w:pPr>
              <w:ind w:left="20"/>
              <w:spacing w:after="0" w:line="175" w:lineRule="exact"/>
              <w:rPr>
                <w:sz w:val="20"/>
                <w:szCs w:val="20"/>
                <w:color w:val="auto"/>
              </w:rPr>
            </w:pPr>
            <w:r>
              <w:rPr>
                <w:rFonts w:ascii="Arial" w:cs="Arial" w:eastAsia="Arial" w:hAnsi="Arial"/>
                <w:sz w:val="18"/>
                <w:szCs w:val="18"/>
                <w:color w:val="auto"/>
              </w:rPr>
              <w:t>performance ranking metrics were</w:t>
            </w:r>
          </w:p>
        </w:tc>
        <w:tc>
          <w:tcPr>
            <w:tcW w:w="15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60" w:type="dxa"/>
            <w:vAlign w:val="bottom"/>
            <w:shd w:val="clear" w:color="auto" w:fill="40AEFF"/>
          </w:tcPr>
          <w:p>
            <w:pPr>
              <w:spacing w:after="0"/>
              <w:rPr>
                <w:sz w:val="5"/>
                <w:szCs w:val="5"/>
                <w:color w:val="auto"/>
              </w:rPr>
            </w:pPr>
          </w:p>
        </w:tc>
        <w:tc>
          <w:tcPr>
            <w:tcW w:w="2860" w:type="dxa"/>
            <w:vAlign w:val="bottom"/>
            <w:vMerge w:val="restart"/>
            <w:shd w:val="clear" w:color="auto" w:fill="F2F2F2"/>
          </w:tcPr>
          <w:p>
            <w:pPr>
              <w:ind w:left="20"/>
              <w:spacing w:after="0"/>
              <w:rPr>
                <w:sz w:val="20"/>
                <w:szCs w:val="20"/>
                <w:color w:val="auto"/>
              </w:rPr>
            </w:pPr>
            <w:r>
              <w:rPr>
                <w:rFonts w:ascii="Arial" w:cs="Arial" w:eastAsia="Arial" w:hAnsi="Arial"/>
                <w:sz w:val="18"/>
                <w:szCs w:val="18"/>
                <w:color w:val="auto"/>
              </w:rPr>
              <w:t>partnerships, technology and</w:t>
            </w:r>
          </w:p>
        </w:tc>
        <w:tc>
          <w:tcPr>
            <w:tcW w:w="540" w:type="dxa"/>
            <w:vAlign w:val="bottom"/>
            <w:shd w:val="clear" w:color="auto" w:fill="F2F2F2"/>
          </w:tcPr>
          <w:p>
            <w:pPr>
              <w:spacing w:after="0"/>
              <w:rPr>
                <w:sz w:val="5"/>
                <w:szCs w:val="5"/>
                <w:color w:val="auto"/>
              </w:rPr>
            </w:pPr>
          </w:p>
        </w:tc>
        <w:tc>
          <w:tcPr>
            <w:tcW w:w="2780" w:type="dxa"/>
            <w:vAlign w:val="bottom"/>
            <w:vMerge w:val="restart"/>
            <w:shd w:val="clear" w:color="auto" w:fill="F2F2F2"/>
          </w:tcPr>
          <w:p>
            <w:pPr>
              <w:ind w:left="120"/>
              <w:spacing w:after="0"/>
              <w:rPr>
                <w:sz w:val="20"/>
                <w:szCs w:val="20"/>
                <w:color w:val="auto"/>
              </w:rPr>
            </w:pPr>
            <w:r>
              <w:rPr>
                <w:rFonts w:ascii="Arial" w:cs="Arial" w:eastAsia="Arial" w:hAnsi="Arial"/>
                <w:sz w:val="18"/>
                <w:szCs w:val="18"/>
                <w:color w:val="auto"/>
              </w:rPr>
              <w:t>sustainability</w:t>
            </w:r>
          </w:p>
        </w:tc>
        <w:tc>
          <w:tcPr>
            <w:tcW w:w="3280" w:type="dxa"/>
            <w:vAlign w:val="bottom"/>
            <w:vMerge w:val="continue"/>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40AEFF"/>
          </w:tcPr>
          <w:p>
            <w:pPr>
              <w:spacing w:after="0"/>
              <w:rPr>
                <w:sz w:val="15"/>
                <w:szCs w:val="15"/>
                <w:color w:val="auto"/>
              </w:rPr>
            </w:pPr>
          </w:p>
        </w:tc>
        <w:tc>
          <w:tcPr>
            <w:tcW w:w="2860" w:type="dxa"/>
            <w:vAlign w:val="bottom"/>
            <w:vMerge w:val="continue"/>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780" w:type="dxa"/>
            <w:vAlign w:val="bottom"/>
            <w:vMerge w:val="continue"/>
            <w:shd w:val="clear" w:color="auto" w:fill="F2F2F2"/>
          </w:tcPr>
          <w:p>
            <w:pPr>
              <w:spacing w:after="0"/>
              <w:rPr>
                <w:sz w:val="15"/>
                <w:szCs w:val="15"/>
                <w:color w:val="auto"/>
              </w:rPr>
            </w:pPr>
          </w:p>
        </w:tc>
        <w:tc>
          <w:tcPr>
            <w:tcW w:w="328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achieved at their respective targets.</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 w:type="dxa"/>
            <w:vAlign w:val="bottom"/>
            <w:shd w:val="clear" w:color="auto" w:fill="40AEFF"/>
          </w:tcPr>
          <w:p>
            <w:pPr>
              <w:spacing w:after="0"/>
              <w:rPr>
                <w:sz w:val="10"/>
                <w:szCs w:val="10"/>
                <w:color w:val="auto"/>
              </w:rPr>
            </w:pPr>
          </w:p>
        </w:tc>
        <w:tc>
          <w:tcPr>
            <w:tcW w:w="2860" w:type="dxa"/>
            <w:vAlign w:val="bottom"/>
            <w:shd w:val="clear" w:color="auto" w:fill="F2F2F2"/>
          </w:tcPr>
          <w:p>
            <w:pPr>
              <w:ind w:left="20"/>
              <w:spacing w:after="0" w:line="121" w:lineRule="exact"/>
              <w:rPr>
                <w:sz w:val="20"/>
                <w:szCs w:val="20"/>
                <w:color w:val="auto"/>
              </w:rPr>
            </w:pPr>
            <w:r>
              <w:rPr>
                <w:rFonts w:ascii="Arial" w:cs="Arial" w:eastAsia="Arial" w:hAnsi="Arial"/>
                <w:sz w:val="13"/>
                <w:szCs w:val="13"/>
                <w:color w:val="auto"/>
              </w:rPr>
              <w:t>product competitiveness, supply</w:t>
            </w:r>
          </w:p>
        </w:tc>
        <w:tc>
          <w:tcPr>
            <w:tcW w:w="3320" w:type="dxa"/>
            <w:vAlign w:val="bottom"/>
            <w:gridSpan w:val="2"/>
            <w:shd w:val="clear" w:color="auto" w:fill="F2F2F2"/>
          </w:tcPr>
          <w:p>
            <w:pPr>
              <w:ind w:left="340"/>
              <w:spacing w:after="0" w:line="121" w:lineRule="exact"/>
              <w:rPr>
                <w:sz w:val="20"/>
                <w:szCs w:val="20"/>
                <w:color w:val="auto"/>
              </w:rPr>
            </w:pPr>
            <w:r>
              <w:rPr>
                <w:rFonts w:ascii="Arial" w:cs="Arial" w:eastAsia="Arial" w:hAnsi="Arial"/>
                <w:sz w:val="13"/>
                <w:szCs w:val="13"/>
                <w:color w:val="auto"/>
              </w:rPr>
              <w:t>▪   Customer quality and customer</w:t>
            </w:r>
          </w:p>
        </w:tc>
        <w:tc>
          <w:tcPr>
            <w:tcW w:w="3280" w:type="dxa"/>
            <w:vAlign w:val="bottom"/>
            <w:shd w:val="clear" w:color="auto" w:fill="F2F2F2"/>
          </w:tcPr>
          <w:p>
            <w:pPr>
              <w:spacing w:after="0"/>
              <w:rPr>
                <w:sz w:val="10"/>
                <w:szCs w:val="10"/>
                <w:color w:val="auto"/>
              </w:rPr>
            </w:pPr>
          </w:p>
        </w:tc>
        <w:tc>
          <w:tcPr>
            <w:tcW w:w="15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40AEFF"/>
          </w:tcPr>
          <w:p>
            <w:pPr>
              <w:spacing w:after="0"/>
              <w:rPr>
                <w:sz w:val="15"/>
                <w:szCs w:val="15"/>
                <w:color w:val="auto"/>
              </w:rPr>
            </w:pPr>
          </w:p>
        </w:tc>
        <w:tc>
          <w:tcPr>
            <w:tcW w:w="286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continuity, sustainability and</w:t>
            </w: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83" w:lineRule="exact"/>
              <w:rPr>
                <w:sz w:val="20"/>
                <w:szCs w:val="20"/>
                <w:color w:val="auto"/>
              </w:rPr>
            </w:pPr>
            <w:r>
              <w:rPr>
                <w:rFonts w:ascii="Arial" w:cs="Arial" w:eastAsia="Arial" w:hAnsi="Arial"/>
                <w:sz w:val="18"/>
                <w:szCs w:val="18"/>
                <w:color w:val="auto"/>
              </w:rPr>
              <w:t>delivery performance ranking</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40AEFF"/>
          </w:tcPr>
          <w:p>
            <w:pPr>
              <w:spacing w:after="0"/>
              <w:rPr>
                <w:sz w:val="15"/>
                <w:szCs w:val="15"/>
                <w:color w:val="auto"/>
              </w:rPr>
            </w:pPr>
          </w:p>
        </w:tc>
        <w:tc>
          <w:tcPr>
            <w:tcW w:w="286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product quality and service.</w:t>
            </w: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81" w:lineRule="exact"/>
              <w:rPr>
                <w:sz w:val="20"/>
                <w:szCs w:val="20"/>
                <w:color w:val="auto"/>
              </w:rPr>
            </w:pPr>
            <w:r>
              <w:rPr>
                <w:rFonts w:ascii="Arial" w:cs="Arial" w:eastAsia="Arial" w:hAnsi="Arial"/>
                <w:sz w:val="18"/>
                <w:szCs w:val="18"/>
                <w:color w:val="auto"/>
              </w:rPr>
              <w:t>relative to our customers’ other</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0" w:type="dxa"/>
            <w:vAlign w:val="bottom"/>
            <w:shd w:val="clear" w:color="auto" w:fill="40AEFF"/>
          </w:tcPr>
          <w:p>
            <w:pPr>
              <w:spacing w:after="0"/>
              <w:rPr>
                <w:sz w:val="20"/>
                <w:szCs w:val="20"/>
                <w:color w:val="auto"/>
              </w:rPr>
            </w:pPr>
          </w:p>
        </w:tc>
        <w:tc>
          <w:tcPr>
            <w:tcW w:w="28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27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suppliers</w:t>
            </w:r>
          </w:p>
        </w:tc>
        <w:tc>
          <w:tcPr>
            <w:tcW w:w="3280" w:type="dxa"/>
            <w:vAlign w:val="bottom"/>
            <w:shd w:val="clear" w:color="auto" w:fill="F2F2F2"/>
          </w:tcPr>
          <w:p>
            <w:pPr>
              <w:spacing w:after="0"/>
              <w:rPr>
                <w:sz w:val="20"/>
                <w:szCs w:val="20"/>
                <w:color w:val="auto"/>
              </w:rPr>
            </w:pPr>
          </w:p>
        </w:tc>
        <w:tc>
          <w:tcPr>
            <w:tcW w:w="15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40AEFF"/>
          </w:tcPr>
          <w:p>
            <w:pPr>
              <w:spacing w:after="0"/>
              <w:rPr>
                <w:sz w:val="20"/>
                <w:szCs w:val="20"/>
                <w:color w:val="auto"/>
              </w:rPr>
            </w:pPr>
          </w:p>
        </w:tc>
        <w:tc>
          <w:tcPr>
            <w:tcW w:w="2860" w:type="dxa"/>
            <w:vAlign w:val="bottom"/>
            <w:shd w:val="clear" w:color="auto" w:fill="F2F2F2"/>
          </w:tcPr>
          <w:p>
            <w:pPr>
              <w:spacing w:after="0"/>
              <w:rPr>
                <w:sz w:val="20"/>
                <w:szCs w:val="20"/>
                <w:color w:val="auto"/>
              </w:rPr>
            </w:pPr>
          </w:p>
        </w:tc>
        <w:tc>
          <w:tcPr>
            <w:tcW w:w="3320" w:type="dxa"/>
            <w:vAlign w:val="bottom"/>
            <w:gridSpan w:val="2"/>
            <w:shd w:val="clear" w:color="auto" w:fill="F2F2F2"/>
          </w:tcPr>
          <w:p>
            <w:pPr>
              <w:spacing w:after="0"/>
              <w:rPr>
                <w:sz w:val="20"/>
                <w:szCs w:val="20"/>
                <w:color w:val="auto"/>
              </w:rPr>
            </w:pPr>
          </w:p>
        </w:tc>
        <w:tc>
          <w:tcPr>
            <w:tcW w:w="3280" w:type="dxa"/>
            <w:vAlign w:val="bottom"/>
            <w:shd w:val="clear" w:color="auto" w:fill="F2F2F2"/>
          </w:tcPr>
          <w:p>
            <w:pPr>
              <w:spacing w:after="0"/>
              <w:rPr>
                <w:sz w:val="20"/>
                <w:szCs w:val="20"/>
                <w:color w:val="auto"/>
              </w:rPr>
            </w:pPr>
          </w:p>
        </w:tc>
        <w:tc>
          <w:tcPr>
            <w:tcW w:w="15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B6B6B6"/>
          </w:tcPr>
          <w:p>
            <w:pPr>
              <w:spacing w:after="0"/>
              <w:rPr>
                <w:sz w:val="15"/>
                <w:szCs w:val="15"/>
                <w:color w:val="auto"/>
              </w:rPr>
            </w:pPr>
          </w:p>
        </w:tc>
        <w:tc>
          <w:tcPr>
            <w:tcW w:w="2860" w:type="dxa"/>
            <w:vAlign w:val="bottom"/>
          </w:tcPr>
          <w:p>
            <w:pPr>
              <w:ind w:left="20"/>
              <w:spacing w:after="0" w:line="175" w:lineRule="exact"/>
              <w:rPr>
                <w:sz w:val="20"/>
                <w:szCs w:val="20"/>
                <w:color w:val="auto"/>
              </w:rPr>
            </w:pPr>
            <w:r>
              <w:rPr>
                <w:rFonts w:ascii="Arial" w:cs="Arial" w:eastAsia="Arial" w:hAnsi="Arial"/>
                <w:sz w:val="18"/>
                <w:szCs w:val="18"/>
                <w:b w:val="1"/>
                <w:bCs w:val="1"/>
                <w:color w:val="auto"/>
              </w:rPr>
              <w:t>Business</w:t>
            </w:r>
          </w:p>
        </w:tc>
        <w:tc>
          <w:tcPr>
            <w:tcW w:w="332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Goals focused on key bit shipment and</w:t>
            </w:r>
          </w:p>
        </w:tc>
        <w:tc>
          <w:tcPr>
            <w:tcW w:w="3280" w:type="dxa"/>
            <w:vAlign w:val="bottom"/>
          </w:tcPr>
          <w:p>
            <w:pPr>
              <w:ind w:left="20"/>
              <w:spacing w:after="0" w:line="175" w:lineRule="exact"/>
              <w:rPr>
                <w:sz w:val="20"/>
                <w:szCs w:val="20"/>
                <w:color w:val="auto"/>
              </w:rPr>
            </w:pPr>
            <w:r>
              <w:rPr>
                <w:rFonts w:ascii="Arial" w:cs="Arial" w:eastAsia="Arial" w:hAnsi="Arial"/>
                <w:sz w:val="18"/>
                <w:szCs w:val="18"/>
                <w:color w:val="auto"/>
              </w:rPr>
              <w:t>All target goals for business metrics</w:t>
            </w:r>
          </w:p>
        </w:tc>
        <w:tc>
          <w:tcPr>
            <w:tcW w:w="1520" w:type="dxa"/>
            <w:vAlign w:val="bottom"/>
          </w:tcPr>
          <w:p>
            <w:pPr>
              <w:ind w:left="20"/>
              <w:spacing w:after="0" w:line="175"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83"/>
        </w:trPr>
        <w:tc>
          <w:tcPr>
            <w:tcW w:w="160" w:type="dxa"/>
            <w:vAlign w:val="bottom"/>
            <w:shd w:val="clear" w:color="auto" w:fill="B6B6B6"/>
          </w:tcPr>
          <w:p>
            <w:pPr>
              <w:spacing w:after="0"/>
              <w:rPr>
                <w:sz w:val="15"/>
                <w:szCs w:val="15"/>
                <w:color w:val="auto"/>
              </w:rPr>
            </w:pPr>
          </w:p>
        </w:tc>
        <w:tc>
          <w:tcPr>
            <w:tcW w:w="2860" w:type="dxa"/>
            <w:vAlign w:val="bottom"/>
          </w:tcPr>
          <w:p>
            <w:pPr>
              <w:ind w:left="20"/>
              <w:spacing w:after="0" w:line="183" w:lineRule="exact"/>
              <w:rPr>
                <w:sz w:val="20"/>
                <w:szCs w:val="20"/>
                <w:color w:val="auto"/>
              </w:rPr>
            </w:pPr>
            <w:r>
              <w:rPr>
                <w:rFonts w:ascii="Arial" w:cs="Arial" w:eastAsia="Arial" w:hAnsi="Arial"/>
                <w:sz w:val="18"/>
                <w:szCs w:val="18"/>
                <w:color w:val="auto"/>
              </w:rPr>
              <w:t>Execute our business plans to</w:t>
            </w:r>
          </w:p>
        </w:tc>
        <w:tc>
          <w:tcPr>
            <w:tcW w:w="33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revenue metrics, including:</w:t>
            </w:r>
          </w:p>
        </w:tc>
        <w:tc>
          <w:tcPr>
            <w:tcW w:w="3280" w:type="dxa"/>
            <w:vAlign w:val="bottom"/>
          </w:tcPr>
          <w:p>
            <w:pPr>
              <w:ind w:left="20"/>
              <w:spacing w:after="0" w:line="183" w:lineRule="exact"/>
              <w:rPr>
                <w:sz w:val="20"/>
                <w:szCs w:val="20"/>
                <w:color w:val="auto"/>
              </w:rPr>
            </w:pPr>
            <w:r>
              <w:rPr>
                <w:rFonts w:ascii="Arial" w:cs="Arial" w:eastAsia="Arial" w:hAnsi="Arial"/>
                <w:sz w:val="18"/>
                <w:szCs w:val="18"/>
                <w:color w:val="auto"/>
                <w:w w:val="99"/>
              </w:rPr>
              <w:t>included in this category were exceeded.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B6B6B6"/>
          </w:tcPr>
          <w:p>
            <w:pPr>
              <w:spacing w:after="0"/>
              <w:rPr>
                <w:sz w:val="15"/>
                <w:szCs w:val="15"/>
                <w:color w:val="auto"/>
              </w:rPr>
            </w:pPr>
          </w:p>
        </w:tc>
        <w:tc>
          <w:tcPr>
            <w:tcW w:w="2860" w:type="dxa"/>
            <w:vAlign w:val="bottom"/>
          </w:tcPr>
          <w:p>
            <w:pPr>
              <w:ind w:left="20"/>
              <w:spacing w:after="0" w:line="181" w:lineRule="exact"/>
              <w:rPr>
                <w:sz w:val="20"/>
                <w:szCs w:val="20"/>
                <w:color w:val="auto"/>
              </w:rPr>
            </w:pPr>
            <w:r>
              <w:rPr>
                <w:rFonts w:ascii="Arial" w:cs="Arial" w:eastAsia="Arial" w:hAnsi="Arial"/>
                <w:sz w:val="18"/>
                <w:szCs w:val="18"/>
                <w:color w:val="auto"/>
              </w:rPr>
              <w:t>optimize our product, segment and</w:t>
            </w:r>
          </w:p>
        </w:tc>
        <w:tc>
          <w:tcPr>
            <w:tcW w:w="3320" w:type="dxa"/>
            <w:vAlign w:val="bottom"/>
            <w:gridSpan w:val="2"/>
          </w:tcPr>
          <w:p>
            <w:pPr>
              <w:ind w:left="340"/>
              <w:spacing w:after="0" w:line="181" w:lineRule="exact"/>
              <w:rPr>
                <w:sz w:val="20"/>
                <w:szCs w:val="20"/>
                <w:color w:val="auto"/>
              </w:rPr>
            </w:pPr>
            <w:r>
              <w:rPr>
                <w:rFonts w:ascii="Arial" w:cs="Arial" w:eastAsia="Arial" w:hAnsi="Arial"/>
                <w:sz w:val="18"/>
                <w:szCs w:val="18"/>
                <w:color w:val="auto"/>
              </w:rPr>
              <w:t>▪   Revenue from HBM and high-</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B6B6B6"/>
          </w:tcPr>
          <w:p>
            <w:pPr>
              <w:spacing w:after="0"/>
              <w:rPr>
                <w:sz w:val="15"/>
                <w:szCs w:val="15"/>
                <w:color w:val="auto"/>
              </w:rPr>
            </w:pPr>
          </w:p>
        </w:tc>
        <w:tc>
          <w:tcPr>
            <w:tcW w:w="2860" w:type="dxa"/>
            <w:vAlign w:val="bottom"/>
          </w:tcPr>
          <w:p>
            <w:pPr>
              <w:ind w:left="20"/>
              <w:spacing w:after="0" w:line="175" w:lineRule="exact"/>
              <w:rPr>
                <w:sz w:val="20"/>
                <w:szCs w:val="20"/>
                <w:color w:val="auto"/>
              </w:rPr>
            </w:pPr>
            <w:r>
              <w:rPr>
                <w:rFonts w:ascii="Arial" w:cs="Arial" w:eastAsia="Arial" w:hAnsi="Arial"/>
                <w:sz w:val="18"/>
                <w:szCs w:val="18"/>
                <w:color w:val="auto"/>
              </w:rPr>
              <w:t>customer shipment mix.</w:t>
            </w:r>
          </w:p>
        </w:tc>
        <w:tc>
          <w:tcPr>
            <w:tcW w:w="540" w:type="dxa"/>
            <w:vAlign w:val="bottom"/>
          </w:tcPr>
          <w:p>
            <w:pPr>
              <w:spacing w:after="0"/>
              <w:rPr>
                <w:sz w:val="15"/>
                <w:szCs w:val="15"/>
                <w:color w:val="auto"/>
              </w:rPr>
            </w:pPr>
          </w:p>
        </w:tc>
        <w:tc>
          <w:tcPr>
            <w:tcW w:w="2780" w:type="dxa"/>
            <w:vAlign w:val="bottom"/>
          </w:tcPr>
          <w:p>
            <w:pPr>
              <w:ind w:left="120"/>
              <w:spacing w:after="0" w:line="175" w:lineRule="exact"/>
              <w:rPr>
                <w:sz w:val="20"/>
                <w:szCs w:val="20"/>
                <w:color w:val="auto"/>
              </w:rPr>
            </w:pPr>
            <w:r>
              <w:rPr>
                <w:rFonts w:ascii="Arial" w:cs="Arial" w:eastAsia="Arial" w:hAnsi="Arial"/>
                <w:sz w:val="18"/>
                <w:szCs w:val="18"/>
                <w:color w:val="auto"/>
              </w:rPr>
              <w:t>density module products</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B6B6B6"/>
          </w:tcPr>
          <w:p>
            <w:pPr>
              <w:spacing w:after="0"/>
              <w:rPr>
                <w:sz w:val="15"/>
                <w:szCs w:val="15"/>
                <w:color w:val="auto"/>
              </w:rPr>
            </w:pPr>
          </w:p>
        </w:tc>
        <w:tc>
          <w:tcPr>
            <w:tcW w:w="2860" w:type="dxa"/>
            <w:vAlign w:val="bottom"/>
          </w:tcPr>
          <w:p>
            <w:pPr>
              <w:spacing w:after="0"/>
              <w:rPr>
                <w:sz w:val="15"/>
                <w:szCs w:val="15"/>
                <w:color w:val="auto"/>
              </w:rPr>
            </w:pPr>
          </w:p>
        </w:tc>
        <w:tc>
          <w:tcPr>
            <w:tcW w:w="3320" w:type="dxa"/>
            <w:vAlign w:val="bottom"/>
            <w:gridSpan w:val="2"/>
          </w:tcPr>
          <w:p>
            <w:pPr>
              <w:ind w:left="340"/>
              <w:spacing w:after="0" w:line="183" w:lineRule="exact"/>
              <w:rPr>
                <w:sz w:val="20"/>
                <w:szCs w:val="20"/>
                <w:color w:val="auto"/>
              </w:rPr>
            </w:pPr>
            <w:r>
              <w:rPr>
                <w:rFonts w:ascii="Arial" w:cs="Arial" w:eastAsia="Arial" w:hAnsi="Arial"/>
                <w:sz w:val="18"/>
                <w:szCs w:val="18"/>
                <w:color w:val="auto"/>
              </w:rPr>
              <w:t>▪   Revenue from high-growth, more</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B6B6B6"/>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tcPr>
          <w:p>
            <w:pPr>
              <w:ind w:left="120"/>
              <w:spacing w:after="0" w:line="181" w:lineRule="exact"/>
              <w:rPr>
                <w:sz w:val="20"/>
                <w:szCs w:val="20"/>
                <w:color w:val="auto"/>
              </w:rPr>
            </w:pPr>
            <w:r>
              <w:rPr>
                <w:rFonts w:ascii="Arial" w:cs="Arial" w:eastAsia="Arial" w:hAnsi="Arial"/>
                <w:sz w:val="18"/>
                <w:szCs w:val="18"/>
                <w:color w:val="auto"/>
              </w:rPr>
              <w:t>stable, and less seasonal end</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B6B6B6"/>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tcPr>
          <w:p>
            <w:pPr>
              <w:ind w:left="120"/>
              <w:spacing w:after="0" w:line="175" w:lineRule="exact"/>
              <w:rPr>
                <w:sz w:val="20"/>
                <w:szCs w:val="20"/>
                <w:color w:val="auto"/>
              </w:rPr>
            </w:pPr>
            <w:r>
              <w:rPr>
                <w:rFonts w:ascii="Arial" w:cs="Arial" w:eastAsia="Arial" w:hAnsi="Arial"/>
                <w:sz w:val="18"/>
                <w:szCs w:val="18"/>
                <w:color w:val="auto"/>
              </w:rPr>
              <w:t>markets</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B6B6B6"/>
          </w:tcPr>
          <w:p>
            <w:pPr>
              <w:spacing w:after="0"/>
              <w:rPr>
                <w:sz w:val="15"/>
                <w:szCs w:val="15"/>
                <w:color w:val="auto"/>
              </w:rPr>
            </w:pPr>
          </w:p>
        </w:tc>
        <w:tc>
          <w:tcPr>
            <w:tcW w:w="2860" w:type="dxa"/>
            <w:vAlign w:val="bottom"/>
          </w:tcPr>
          <w:p>
            <w:pPr>
              <w:spacing w:after="0"/>
              <w:rPr>
                <w:sz w:val="15"/>
                <w:szCs w:val="15"/>
                <w:color w:val="auto"/>
              </w:rPr>
            </w:pPr>
          </w:p>
        </w:tc>
        <w:tc>
          <w:tcPr>
            <w:tcW w:w="3320" w:type="dxa"/>
            <w:vAlign w:val="bottom"/>
            <w:gridSpan w:val="2"/>
          </w:tcPr>
          <w:p>
            <w:pPr>
              <w:ind w:left="340"/>
              <w:spacing w:after="0" w:line="183" w:lineRule="exact"/>
              <w:rPr>
                <w:sz w:val="20"/>
                <w:szCs w:val="20"/>
                <w:color w:val="auto"/>
              </w:rPr>
            </w:pPr>
            <w:r>
              <w:rPr>
                <w:rFonts w:ascii="Arial" w:cs="Arial" w:eastAsia="Arial" w:hAnsi="Arial"/>
                <w:sz w:val="18"/>
                <w:szCs w:val="18"/>
                <w:color w:val="auto"/>
              </w:rPr>
              <w:t>▪   DRAM and NAND leading node</w:t>
            </w:r>
          </w:p>
        </w:tc>
        <w:tc>
          <w:tcPr>
            <w:tcW w:w="3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0" w:type="dxa"/>
            <w:vAlign w:val="bottom"/>
            <w:shd w:val="clear" w:color="auto" w:fill="B6B6B6"/>
          </w:tcPr>
          <w:p>
            <w:pPr>
              <w:spacing w:after="0"/>
              <w:rPr>
                <w:sz w:val="20"/>
                <w:szCs w:val="20"/>
                <w:color w:val="auto"/>
              </w:rPr>
            </w:pPr>
          </w:p>
        </w:tc>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shipments</w:t>
            </w: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0" w:type="dxa"/>
            <w:vAlign w:val="bottom"/>
            <w:shd w:val="clear" w:color="auto" w:fill="B6B6B6"/>
          </w:tcPr>
          <w:p>
            <w:pPr>
              <w:spacing w:after="0"/>
              <w:rPr>
                <w:sz w:val="20"/>
                <w:szCs w:val="20"/>
                <w:color w:val="auto"/>
              </w:rPr>
            </w:pPr>
          </w:p>
        </w:tc>
        <w:tc>
          <w:tcPr>
            <w:tcW w:w="2860" w:type="dxa"/>
            <w:vAlign w:val="bottom"/>
          </w:tcPr>
          <w:p>
            <w:pPr>
              <w:spacing w:after="0"/>
              <w:rPr>
                <w:sz w:val="20"/>
                <w:szCs w:val="20"/>
                <w:color w:val="auto"/>
              </w:rPr>
            </w:pPr>
          </w:p>
        </w:tc>
        <w:tc>
          <w:tcPr>
            <w:tcW w:w="3320" w:type="dxa"/>
            <w:vAlign w:val="bottom"/>
            <w:gridSpan w:val="2"/>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b w:val="1"/>
                <w:bCs w:val="1"/>
                <w:color w:val="auto"/>
              </w:rPr>
              <w:t>Environmental, Social and</w:t>
            </w:r>
          </w:p>
        </w:tc>
        <w:tc>
          <w:tcPr>
            <w:tcW w:w="3320" w:type="dxa"/>
            <w:vAlign w:val="bottom"/>
            <w:gridSpan w:val="2"/>
            <w:shd w:val="clear" w:color="auto" w:fill="F2F2F2"/>
          </w:tcPr>
          <w:p>
            <w:pPr>
              <w:ind w:left="20"/>
              <w:spacing w:after="0" w:line="175" w:lineRule="exact"/>
              <w:rPr>
                <w:sz w:val="20"/>
                <w:szCs w:val="20"/>
                <w:color w:val="auto"/>
              </w:rPr>
            </w:pPr>
            <w:r>
              <w:rPr>
                <w:rFonts w:ascii="Arial" w:cs="Arial" w:eastAsia="Arial" w:hAnsi="Arial"/>
                <w:sz w:val="18"/>
                <w:szCs w:val="18"/>
                <w:color w:val="auto"/>
              </w:rPr>
              <w:t>Goals focused on sustainability and DEI</w:t>
            </w:r>
          </w:p>
        </w:tc>
        <w:tc>
          <w:tcPr>
            <w:tcW w:w="328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Sustainability goals, including reduction</w:t>
            </w:r>
          </w:p>
        </w:tc>
        <w:tc>
          <w:tcPr>
            <w:tcW w:w="152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3"/>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b w:val="1"/>
                <w:bCs w:val="1"/>
                <w:color w:val="auto"/>
              </w:rPr>
              <w:t>Governance</w:t>
            </w:r>
          </w:p>
        </w:tc>
        <w:tc>
          <w:tcPr>
            <w:tcW w:w="3320" w:type="dxa"/>
            <w:vAlign w:val="bottom"/>
            <w:gridSpan w:val="2"/>
            <w:shd w:val="clear" w:color="auto" w:fill="F2F2F2"/>
          </w:tcPr>
          <w:p>
            <w:pPr>
              <w:ind w:left="20"/>
              <w:spacing w:after="0" w:line="183" w:lineRule="exact"/>
              <w:rPr>
                <w:sz w:val="20"/>
                <w:szCs w:val="20"/>
                <w:color w:val="auto"/>
              </w:rPr>
            </w:pPr>
            <w:r>
              <w:rPr>
                <w:rFonts w:ascii="Arial" w:cs="Arial" w:eastAsia="Arial" w:hAnsi="Arial"/>
                <w:sz w:val="18"/>
                <w:szCs w:val="18"/>
                <w:color w:val="auto"/>
              </w:rPr>
              <w:t>metrics and milestones, including:</w:t>
            </w:r>
          </w:p>
        </w:tc>
        <w:tc>
          <w:tcPr>
            <w:tcW w:w="328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rPr>
              <w:t>of direct and indirect greenhouse gas</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Drive sustainability improvements</w:t>
            </w:r>
          </w:p>
        </w:tc>
        <w:tc>
          <w:tcPr>
            <w:tcW w:w="3320" w:type="dxa"/>
            <w:vAlign w:val="bottom"/>
            <w:gridSpan w:val="2"/>
            <w:shd w:val="clear" w:color="auto" w:fill="F2F2F2"/>
          </w:tcPr>
          <w:p>
            <w:pPr>
              <w:ind w:left="340"/>
              <w:spacing w:after="0" w:line="181" w:lineRule="exact"/>
              <w:rPr>
                <w:sz w:val="20"/>
                <w:szCs w:val="20"/>
                <w:color w:val="auto"/>
              </w:rPr>
            </w:pPr>
            <w:r>
              <w:rPr>
                <w:rFonts w:ascii="Arial" w:cs="Arial" w:eastAsia="Arial" w:hAnsi="Arial"/>
                <w:sz w:val="18"/>
                <w:szCs w:val="18"/>
                <w:color w:val="auto"/>
              </w:rPr>
              <w:t>▪   Reduction of direct and indirect</w:t>
            </w:r>
          </w:p>
        </w:tc>
        <w:tc>
          <w:tcPr>
            <w:tcW w:w="3280" w:type="dxa"/>
            <w:vAlign w:val="bottom"/>
            <w:shd w:val="clear" w:color="auto" w:fill="F2F2F2"/>
          </w:tcPr>
          <w:p>
            <w:pPr>
              <w:ind w:left="20"/>
              <w:spacing w:after="0" w:line="181" w:lineRule="exact"/>
              <w:rPr>
                <w:sz w:val="20"/>
                <w:szCs w:val="20"/>
                <w:color w:val="auto"/>
              </w:rPr>
            </w:pPr>
            <w:r>
              <w:rPr>
                <w:rFonts w:ascii="Arial" w:cs="Arial" w:eastAsia="Arial" w:hAnsi="Arial"/>
                <w:sz w:val="18"/>
                <w:szCs w:val="18"/>
                <w:color w:val="auto"/>
              </w:rPr>
              <w:t>emissions, were exceeded.</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and continue to increase employee</w:t>
            </w: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75" w:lineRule="exact"/>
              <w:rPr>
                <w:sz w:val="20"/>
                <w:szCs w:val="20"/>
                <w:color w:val="auto"/>
              </w:rPr>
            </w:pPr>
            <w:r>
              <w:rPr>
                <w:rFonts w:ascii="Arial" w:cs="Arial" w:eastAsia="Arial" w:hAnsi="Arial"/>
                <w:sz w:val="18"/>
                <w:szCs w:val="18"/>
                <w:color w:val="auto"/>
              </w:rPr>
              <w:t>greenhouse gas emissions</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ind w:left="20"/>
              <w:spacing w:after="0" w:line="183" w:lineRule="exact"/>
              <w:rPr>
                <w:sz w:val="20"/>
                <w:szCs w:val="20"/>
                <w:color w:val="auto"/>
              </w:rPr>
            </w:pPr>
            <w:r>
              <w:rPr>
                <w:rFonts w:ascii="Arial" w:cs="Arial" w:eastAsia="Arial" w:hAnsi="Arial"/>
                <w:sz w:val="18"/>
                <w:szCs w:val="18"/>
                <w:color w:val="auto"/>
                <w:w w:val="99"/>
              </w:rPr>
              <w:t>retention and diversity, equality and</w:t>
            </w:r>
          </w:p>
        </w:tc>
        <w:tc>
          <w:tcPr>
            <w:tcW w:w="3320" w:type="dxa"/>
            <w:vAlign w:val="bottom"/>
            <w:gridSpan w:val="2"/>
            <w:shd w:val="clear" w:color="auto" w:fill="F2F2F2"/>
          </w:tcPr>
          <w:p>
            <w:pPr>
              <w:ind w:left="340"/>
              <w:spacing w:after="0" w:line="183" w:lineRule="exact"/>
              <w:rPr>
                <w:sz w:val="20"/>
                <w:szCs w:val="20"/>
                <w:color w:val="auto"/>
              </w:rPr>
            </w:pPr>
            <w:r>
              <w:rPr>
                <w:rFonts w:ascii="Arial" w:cs="Arial" w:eastAsia="Arial" w:hAnsi="Arial"/>
                <w:sz w:val="18"/>
                <w:szCs w:val="18"/>
                <w:color w:val="auto"/>
              </w:rPr>
              <w:t>▪   Increase hiring from non-</w:t>
            </w:r>
          </w:p>
        </w:tc>
        <w:tc>
          <w:tcPr>
            <w:tcW w:w="3280" w:type="dxa"/>
            <w:vAlign w:val="bottom"/>
            <w:vMerge w:val="restart"/>
            <w:shd w:val="clear" w:color="auto" w:fill="F2F2F2"/>
          </w:tcPr>
          <w:p>
            <w:pPr>
              <w:ind w:left="20"/>
              <w:spacing w:after="0"/>
              <w:rPr>
                <w:sz w:val="20"/>
                <w:szCs w:val="20"/>
                <w:color w:val="auto"/>
              </w:rPr>
            </w:pPr>
            <w:r>
              <w:rPr>
                <w:rFonts w:ascii="Arial" w:cs="Arial" w:eastAsia="Arial" w:hAnsi="Arial"/>
                <w:sz w:val="18"/>
                <w:szCs w:val="18"/>
                <w:color w:val="auto"/>
              </w:rPr>
              <w:t>Continued progress was made on our</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0" w:type="dxa"/>
            <w:vAlign w:val="bottom"/>
            <w:shd w:val="clear" w:color="auto" w:fill="00FF00"/>
          </w:tcPr>
          <w:p>
            <w:pPr>
              <w:spacing w:after="0"/>
              <w:rPr>
                <w:sz w:val="5"/>
                <w:szCs w:val="5"/>
                <w:color w:val="auto"/>
              </w:rPr>
            </w:pPr>
          </w:p>
        </w:tc>
        <w:tc>
          <w:tcPr>
            <w:tcW w:w="2860" w:type="dxa"/>
            <w:vAlign w:val="bottom"/>
            <w:vMerge w:val="restart"/>
            <w:shd w:val="clear" w:color="auto" w:fill="F2F2F2"/>
          </w:tcPr>
          <w:p>
            <w:pPr>
              <w:ind w:left="20"/>
              <w:spacing w:after="0"/>
              <w:rPr>
                <w:sz w:val="20"/>
                <w:szCs w:val="20"/>
                <w:color w:val="auto"/>
              </w:rPr>
            </w:pPr>
            <w:r>
              <w:rPr>
                <w:rFonts w:ascii="Arial" w:cs="Arial" w:eastAsia="Arial" w:hAnsi="Arial"/>
                <w:sz w:val="18"/>
                <w:szCs w:val="18"/>
                <w:color w:val="auto"/>
              </w:rPr>
              <w:t>inclusion (DEI).</w:t>
            </w:r>
          </w:p>
        </w:tc>
        <w:tc>
          <w:tcPr>
            <w:tcW w:w="540" w:type="dxa"/>
            <w:vAlign w:val="bottom"/>
            <w:shd w:val="clear" w:color="auto" w:fill="F2F2F2"/>
          </w:tcPr>
          <w:p>
            <w:pPr>
              <w:spacing w:after="0"/>
              <w:rPr>
                <w:sz w:val="5"/>
                <w:szCs w:val="5"/>
                <w:color w:val="auto"/>
              </w:rPr>
            </w:pPr>
          </w:p>
        </w:tc>
        <w:tc>
          <w:tcPr>
            <w:tcW w:w="2780" w:type="dxa"/>
            <w:vAlign w:val="bottom"/>
            <w:vMerge w:val="restart"/>
            <w:shd w:val="clear" w:color="auto" w:fill="F2F2F2"/>
          </w:tcPr>
          <w:p>
            <w:pPr>
              <w:ind w:left="120"/>
              <w:spacing w:after="0"/>
              <w:rPr>
                <w:sz w:val="20"/>
                <w:szCs w:val="20"/>
                <w:color w:val="auto"/>
              </w:rPr>
            </w:pPr>
            <w:r>
              <w:rPr>
                <w:rFonts w:ascii="Arial" w:cs="Arial" w:eastAsia="Arial" w:hAnsi="Arial"/>
                <w:sz w:val="18"/>
                <w:szCs w:val="18"/>
                <w:color w:val="auto"/>
              </w:rPr>
              <w:t>traditional pathways and</w:t>
            </w:r>
          </w:p>
        </w:tc>
        <w:tc>
          <w:tcPr>
            <w:tcW w:w="3280" w:type="dxa"/>
            <w:vAlign w:val="bottom"/>
            <w:vMerge w:val="continue"/>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00FF00"/>
          </w:tcPr>
          <w:p>
            <w:pPr>
              <w:spacing w:after="0"/>
              <w:rPr>
                <w:sz w:val="15"/>
                <w:szCs w:val="15"/>
                <w:color w:val="auto"/>
              </w:rPr>
            </w:pPr>
          </w:p>
        </w:tc>
        <w:tc>
          <w:tcPr>
            <w:tcW w:w="2860" w:type="dxa"/>
            <w:vAlign w:val="bottom"/>
            <w:vMerge w:val="continue"/>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780" w:type="dxa"/>
            <w:vAlign w:val="bottom"/>
            <w:vMerge w:val="continue"/>
            <w:shd w:val="clear" w:color="auto" w:fill="F2F2F2"/>
          </w:tcPr>
          <w:p>
            <w:pPr>
              <w:spacing w:after="0"/>
              <w:rPr>
                <w:sz w:val="15"/>
                <w:szCs w:val="15"/>
                <w:color w:val="auto"/>
              </w:rPr>
            </w:pPr>
          </w:p>
        </w:tc>
        <w:tc>
          <w:tcPr>
            <w:tcW w:w="328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DEI goals, with supplier diversity and</w:t>
            </w: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 w:type="dxa"/>
            <w:vAlign w:val="bottom"/>
            <w:shd w:val="clear" w:color="auto" w:fill="00FF00"/>
          </w:tcPr>
          <w:p>
            <w:pPr>
              <w:spacing w:after="0"/>
              <w:rPr>
                <w:sz w:val="10"/>
                <w:szCs w:val="10"/>
                <w:color w:val="auto"/>
              </w:rPr>
            </w:pPr>
          </w:p>
        </w:tc>
        <w:tc>
          <w:tcPr>
            <w:tcW w:w="2860" w:type="dxa"/>
            <w:vAlign w:val="bottom"/>
            <w:shd w:val="clear" w:color="auto" w:fill="F2F2F2"/>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2780" w:type="dxa"/>
            <w:vAlign w:val="bottom"/>
            <w:shd w:val="clear" w:color="auto" w:fill="F2F2F2"/>
          </w:tcPr>
          <w:p>
            <w:pPr>
              <w:ind w:left="120"/>
              <w:spacing w:after="0" w:line="121" w:lineRule="exact"/>
              <w:rPr>
                <w:sz w:val="20"/>
                <w:szCs w:val="20"/>
                <w:color w:val="auto"/>
              </w:rPr>
            </w:pPr>
            <w:r>
              <w:rPr>
                <w:rFonts w:ascii="Arial" w:cs="Arial" w:eastAsia="Arial" w:hAnsi="Arial"/>
                <w:sz w:val="13"/>
                <w:szCs w:val="13"/>
                <w:color w:val="auto"/>
              </w:rPr>
              <w:t>underrepresented groups,</w:t>
            </w:r>
          </w:p>
        </w:tc>
        <w:tc>
          <w:tcPr>
            <w:tcW w:w="3280" w:type="dxa"/>
            <w:vAlign w:val="bottom"/>
            <w:vMerge w:val="restart"/>
            <w:shd w:val="clear" w:color="auto" w:fill="F2F2F2"/>
          </w:tcPr>
          <w:p>
            <w:pPr>
              <w:ind w:left="20"/>
              <w:spacing w:after="0" w:line="189" w:lineRule="exact"/>
              <w:rPr>
                <w:sz w:val="20"/>
                <w:szCs w:val="20"/>
                <w:color w:val="auto"/>
              </w:rPr>
            </w:pPr>
            <w:r>
              <w:rPr>
                <w:rFonts w:ascii="Arial" w:cs="Arial" w:eastAsia="Arial" w:hAnsi="Arial"/>
                <w:sz w:val="18"/>
                <w:szCs w:val="18"/>
                <w:color w:val="auto"/>
              </w:rPr>
              <w:t>employee retention milestones</w:t>
            </w:r>
          </w:p>
        </w:tc>
        <w:tc>
          <w:tcPr>
            <w:tcW w:w="15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0" w:type="dxa"/>
            <w:vAlign w:val="bottom"/>
            <w:shd w:val="clear" w:color="auto" w:fill="00FF00"/>
          </w:tcPr>
          <w:p>
            <w:pPr>
              <w:spacing w:after="0"/>
              <w:rPr>
                <w:sz w:val="5"/>
                <w:szCs w:val="5"/>
                <w:color w:val="auto"/>
              </w:rPr>
            </w:pPr>
          </w:p>
        </w:tc>
        <w:tc>
          <w:tcPr>
            <w:tcW w:w="2860" w:type="dxa"/>
            <w:vAlign w:val="bottom"/>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2780" w:type="dxa"/>
            <w:vAlign w:val="bottom"/>
            <w:vMerge w:val="restart"/>
            <w:shd w:val="clear" w:color="auto" w:fill="F2F2F2"/>
          </w:tcPr>
          <w:p>
            <w:pPr>
              <w:ind w:left="120"/>
              <w:spacing w:after="0" w:line="183" w:lineRule="exact"/>
              <w:rPr>
                <w:sz w:val="20"/>
                <w:szCs w:val="20"/>
                <w:color w:val="auto"/>
              </w:rPr>
            </w:pPr>
            <w:r>
              <w:rPr>
                <w:rFonts w:ascii="Arial" w:cs="Arial" w:eastAsia="Arial" w:hAnsi="Arial"/>
                <w:sz w:val="18"/>
                <w:szCs w:val="18"/>
                <w:color w:val="auto"/>
              </w:rPr>
              <w:t>including across leadership</w:t>
            </w:r>
          </w:p>
        </w:tc>
        <w:tc>
          <w:tcPr>
            <w:tcW w:w="3280" w:type="dxa"/>
            <w:vAlign w:val="bottom"/>
            <w:vMerge w:val="continue"/>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60" w:type="dxa"/>
            <w:vAlign w:val="bottom"/>
            <w:shd w:val="clear" w:color="auto" w:fill="00FF00"/>
          </w:tcPr>
          <w:p>
            <w:pPr>
              <w:spacing w:after="0"/>
              <w:rPr>
                <w:sz w:val="10"/>
                <w:szCs w:val="10"/>
                <w:color w:val="auto"/>
              </w:rPr>
            </w:pPr>
          </w:p>
        </w:tc>
        <w:tc>
          <w:tcPr>
            <w:tcW w:w="2860" w:type="dxa"/>
            <w:vAlign w:val="bottom"/>
            <w:shd w:val="clear" w:color="auto" w:fill="F2F2F2"/>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2780" w:type="dxa"/>
            <w:vAlign w:val="bottom"/>
            <w:vMerge w:val="continue"/>
            <w:shd w:val="clear" w:color="auto" w:fill="F2F2F2"/>
          </w:tcPr>
          <w:p>
            <w:pPr>
              <w:spacing w:after="0"/>
              <w:rPr>
                <w:sz w:val="10"/>
                <w:szCs w:val="10"/>
                <w:color w:val="auto"/>
              </w:rPr>
            </w:pPr>
          </w:p>
        </w:tc>
        <w:tc>
          <w:tcPr>
            <w:tcW w:w="3280" w:type="dxa"/>
            <w:vAlign w:val="bottom"/>
            <w:vMerge w:val="restart"/>
            <w:shd w:val="clear" w:color="auto" w:fill="F2F2F2"/>
          </w:tcPr>
          <w:p>
            <w:pPr>
              <w:ind w:left="20"/>
              <w:spacing w:after="0"/>
              <w:rPr>
                <w:sz w:val="20"/>
                <w:szCs w:val="20"/>
                <w:color w:val="auto"/>
              </w:rPr>
            </w:pPr>
            <w:r>
              <w:rPr>
                <w:rFonts w:ascii="Arial" w:cs="Arial" w:eastAsia="Arial" w:hAnsi="Arial"/>
                <w:sz w:val="18"/>
                <w:szCs w:val="18"/>
                <w:color w:val="auto"/>
              </w:rPr>
              <w:t>exceeding respective targets.</w:t>
            </w:r>
          </w:p>
        </w:tc>
        <w:tc>
          <w:tcPr>
            <w:tcW w:w="15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0" w:type="dxa"/>
            <w:vAlign w:val="bottom"/>
            <w:shd w:val="clear" w:color="auto" w:fill="00FF00"/>
          </w:tcPr>
          <w:p>
            <w:pPr>
              <w:spacing w:after="0"/>
              <w:rPr>
                <w:sz w:val="10"/>
                <w:szCs w:val="10"/>
                <w:color w:val="auto"/>
              </w:rPr>
            </w:pPr>
          </w:p>
        </w:tc>
        <w:tc>
          <w:tcPr>
            <w:tcW w:w="2860" w:type="dxa"/>
            <w:vAlign w:val="bottom"/>
            <w:shd w:val="clear" w:color="auto" w:fill="F2F2F2"/>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2780" w:type="dxa"/>
            <w:vAlign w:val="bottom"/>
            <w:vMerge w:val="restart"/>
            <w:shd w:val="clear" w:color="auto" w:fill="F2F2F2"/>
          </w:tcPr>
          <w:p>
            <w:pPr>
              <w:ind w:left="120"/>
              <w:spacing w:after="0" w:line="181" w:lineRule="exact"/>
              <w:rPr>
                <w:sz w:val="20"/>
                <w:szCs w:val="20"/>
                <w:color w:val="auto"/>
              </w:rPr>
            </w:pPr>
            <w:r>
              <w:rPr>
                <w:rFonts w:ascii="Arial" w:cs="Arial" w:eastAsia="Arial" w:hAnsi="Arial"/>
                <w:sz w:val="18"/>
                <w:szCs w:val="18"/>
                <w:color w:val="auto"/>
              </w:rPr>
              <w:t>pipeline</w:t>
            </w:r>
          </w:p>
        </w:tc>
        <w:tc>
          <w:tcPr>
            <w:tcW w:w="3280" w:type="dxa"/>
            <w:vAlign w:val="bottom"/>
            <w:vMerge w:val="continue"/>
            <w:shd w:val="clear" w:color="auto" w:fill="F2F2F2"/>
          </w:tcPr>
          <w:p>
            <w:pPr>
              <w:spacing w:after="0"/>
              <w:rPr>
                <w:sz w:val="10"/>
                <w:szCs w:val="10"/>
                <w:color w:val="auto"/>
              </w:rPr>
            </w:pPr>
          </w:p>
        </w:tc>
        <w:tc>
          <w:tcPr>
            <w:tcW w:w="15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60" w:type="dxa"/>
            <w:vAlign w:val="bottom"/>
            <w:shd w:val="clear" w:color="auto" w:fill="00FF00"/>
          </w:tcPr>
          <w:p>
            <w:pPr>
              <w:spacing w:after="0"/>
              <w:rPr>
                <w:sz w:val="5"/>
                <w:szCs w:val="5"/>
                <w:color w:val="auto"/>
              </w:rPr>
            </w:pPr>
          </w:p>
        </w:tc>
        <w:tc>
          <w:tcPr>
            <w:tcW w:w="2860" w:type="dxa"/>
            <w:vAlign w:val="bottom"/>
            <w:shd w:val="clear" w:color="auto" w:fill="F2F2F2"/>
          </w:tcPr>
          <w:p>
            <w:pPr>
              <w:spacing w:after="0"/>
              <w:rPr>
                <w:sz w:val="5"/>
                <w:szCs w:val="5"/>
                <w:color w:val="auto"/>
              </w:rPr>
            </w:pPr>
          </w:p>
        </w:tc>
        <w:tc>
          <w:tcPr>
            <w:tcW w:w="540" w:type="dxa"/>
            <w:vAlign w:val="bottom"/>
            <w:vMerge w:val="restart"/>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780" w:type="dxa"/>
            <w:vAlign w:val="bottom"/>
            <w:vMerge w:val="continue"/>
            <w:shd w:val="clear" w:color="auto" w:fill="F2F2F2"/>
          </w:tcPr>
          <w:p>
            <w:pPr>
              <w:spacing w:after="0"/>
              <w:rPr>
                <w:sz w:val="5"/>
                <w:szCs w:val="5"/>
                <w:color w:val="auto"/>
              </w:rPr>
            </w:pPr>
          </w:p>
        </w:tc>
        <w:tc>
          <w:tcPr>
            <w:tcW w:w="3280" w:type="dxa"/>
            <w:vAlign w:val="bottom"/>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spacing w:after="0"/>
              <w:rPr>
                <w:sz w:val="15"/>
                <w:szCs w:val="15"/>
                <w:color w:val="auto"/>
              </w:rPr>
            </w:pPr>
          </w:p>
        </w:tc>
        <w:tc>
          <w:tcPr>
            <w:tcW w:w="540" w:type="dxa"/>
            <w:vAlign w:val="bottom"/>
            <w:vMerge w:val="continue"/>
            <w:shd w:val="clear" w:color="auto" w:fill="F2F2F2"/>
          </w:tcPr>
          <w:p>
            <w:pPr>
              <w:spacing w:after="0"/>
              <w:rPr>
                <w:sz w:val="15"/>
                <w:szCs w:val="15"/>
                <w:color w:val="auto"/>
              </w:rPr>
            </w:pPr>
          </w:p>
        </w:tc>
        <w:tc>
          <w:tcPr>
            <w:tcW w:w="2780" w:type="dxa"/>
            <w:vAlign w:val="bottom"/>
            <w:shd w:val="clear" w:color="auto" w:fill="F2F2F2"/>
          </w:tcPr>
          <w:p>
            <w:pPr>
              <w:ind w:left="120"/>
              <w:spacing w:after="0" w:line="175" w:lineRule="exact"/>
              <w:rPr>
                <w:sz w:val="20"/>
                <w:szCs w:val="20"/>
                <w:color w:val="auto"/>
              </w:rPr>
            </w:pPr>
            <w:r>
              <w:rPr>
                <w:rFonts w:ascii="Arial" w:cs="Arial" w:eastAsia="Arial" w:hAnsi="Arial"/>
                <w:sz w:val="18"/>
                <w:szCs w:val="18"/>
                <w:color w:val="auto"/>
              </w:rPr>
              <w:t>Increase retention and</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780" w:type="dxa"/>
            <w:vAlign w:val="bottom"/>
            <w:shd w:val="clear" w:color="auto" w:fill="F2F2F2"/>
          </w:tcPr>
          <w:p>
            <w:pPr>
              <w:ind w:left="120"/>
              <w:spacing w:after="0" w:line="183" w:lineRule="exact"/>
              <w:rPr>
                <w:sz w:val="20"/>
                <w:szCs w:val="20"/>
                <w:color w:val="auto"/>
              </w:rPr>
            </w:pPr>
            <w:r>
              <w:rPr>
                <w:rFonts w:ascii="Arial" w:cs="Arial" w:eastAsia="Arial" w:hAnsi="Arial"/>
                <w:sz w:val="18"/>
                <w:szCs w:val="18"/>
                <w:color w:val="auto"/>
                <w:w w:val="99"/>
              </w:rPr>
              <w:t>strengthen culture of inclusion for</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00FF00"/>
          </w:tcPr>
          <w:p>
            <w:pPr>
              <w:spacing w:after="0"/>
              <w:rPr>
                <w:sz w:val="15"/>
                <w:szCs w:val="15"/>
                <w:color w:val="auto"/>
              </w:rPr>
            </w:pPr>
          </w:p>
        </w:tc>
        <w:tc>
          <w:tcPr>
            <w:tcW w:w="2860" w:type="dxa"/>
            <w:vAlign w:val="bottom"/>
            <w:shd w:val="clear" w:color="auto" w:fill="F2F2F2"/>
          </w:tcPr>
          <w:p>
            <w:pPr>
              <w:spacing w:after="0"/>
              <w:rPr>
                <w:sz w:val="15"/>
                <w:szCs w:val="15"/>
                <w:color w:val="auto"/>
              </w:rPr>
            </w:pPr>
          </w:p>
        </w:tc>
        <w:tc>
          <w:tcPr>
            <w:tcW w:w="540" w:type="dxa"/>
            <w:vAlign w:val="bottom"/>
            <w:vMerge w:val="restart"/>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780" w:type="dxa"/>
            <w:vAlign w:val="bottom"/>
            <w:shd w:val="clear" w:color="auto" w:fill="F2F2F2"/>
          </w:tcPr>
          <w:p>
            <w:pPr>
              <w:ind w:left="120"/>
              <w:spacing w:after="0" w:line="181" w:lineRule="exact"/>
              <w:rPr>
                <w:sz w:val="20"/>
                <w:szCs w:val="20"/>
                <w:color w:val="auto"/>
              </w:rPr>
            </w:pPr>
            <w:r>
              <w:rPr>
                <w:rFonts w:ascii="Arial" w:cs="Arial" w:eastAsia="Arial" w:hAnsi="Arial"/>
                <w:sz w:val="18"/>
                <w:szCs w:val="18"/>
                <w:color w:val="auto"/>
              </w:rPr>
              <w:t>all team members</w:t>
            </w:r>
          </w:p>
        </w:tc>
        <w:tc>
          <w:tcPr>
            <w:tcW w:w="3280" w:type="dxa"/>
            <w:vAlign w:val="bottom"/>
            <w:shd w:val="clear" w:color="auto" w:fill="F2F2F2"/>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00FF00"/>
          </w:tcPr>
          <w:p>
            <w:pPr>
              <w:spacing w:after="0"/>
              <w:rPr>
                <w:sz w:val="19"/>
                <w:szCs w:val="19"/>
                <w:color w:val="auto"/>
              </w:rPr>
            </w:pPr>
          </w:p>
        </w:tc>
        <w:tc>
          <w:tcPr>
            <w:tcW w:w="2860" w:type="dxa"/>
            <w:vAlign w:val="bottom"/>
            <w:shd w:val="clear" w:color="auto" w:fill="F2F2F2"/>
          </w:tcPr>
          <w:p>
            <w:pPr>
              <w:spacing w:after="0"/>
              <w:rPr>
                <w:sz w:val="19"/>
                <w:szCs w:val="19"/>
                <w:color w:val="auto"/>
              </w:rPr>
            </w:pPr>
          </w:p>
        </w:tc>
        <w:tc>
          <w:tcPr>
            <w:tcW w:w="540" w:type="dxa"/>
            <w:vAlign w:val="bottom"/>
            <w:vMerge w:val="continue"/>
            <w:shd w:val="clear" w:color="auto" w:fill="F2F2F2"/>
          </w:tcPr>
          <w:p>
            <w:pPr>
              <w:spacing w:after="0"/>
              <w:rPr>
                <w:sz w:val="19"/>
                <w:szCs w:val="19"/>
                <w:color w:val="auto"/>
              </w:rPr>
            </w:pPr>
          </w:p>
        </w:tc>
        <w:tc>
          <w:tcPr>
            <w:tcW w:w="27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Increase supplier diversity</w:t>
            </w:r>
          </w:p>
        </w:tc>
        <w:tc>
          <w:tcPr>
            <w:tcW w:w="3280" w:type="dxa"/>
            <w:vAlign w:val="bottom"/>
            <w:shd w:val="clear" w:color="auto" w:fill="F2F2F2"/>
          </w:tcPr>
          <w:p>
            <w:pPr>
              <w:spacing w:after="0"/>
              <w:rPr>
                <w:sz w:val="19"/>
                <w:szCs w:val="19"/>
                <w:color w:val="auto"/>
              </w:rPr>
            </w:pPr>
          </w:p>
        </w:tc>
        <w:tc>
          <w:tcPr>
            <w:tcW w:w="1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Within each goal category, each strategic goal or group of related strategic goals provided an opportunity to achieve performance between the minimum threshold of 50% of target and a maximum of 200% of target.</w:t>
      </w:r>
    </w:p>
    <w:p>
      <w:pPr>
        <w:spacing w:after="0" w:line="168"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Achievement of each of the goals included in the five strategic categories required significant effort and adept execution, and there was no assurance of even threshold achievement with respect to any of the metrics or milestones. When setting the Fiscal 2024 strategic goal targets, relative to the annual operating plan in October 2023, the Compensation Committee believed that achieving maximum performance for any strategic goal category would be challenging and would require extraordinary leadership, effort, and coordination as a team.</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EQUITY INCENTIVES</w:t>
      </w:r>
    </w:p>
    <w:p>
      <w:pPr>
        <w:spacing w:after="0" w:line="24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believe LTI compensation should be tied to our success, help promote increases in long-term shareholder value, and encourage key executives to remain with the Company. In Fiscal 2024, consistent with these objectives, the Compensation Committee retained the LTI mix for most of the Named Executive Officers at 50% performance-based restricted stock units (“PRSUs”) and 50% time-based restricted stock awards (“RSAs”). However, in response to shareholder feedback, the weighting of the Chief Executive Officer’s LTI mix was adjusted to 65% PRSUs and 35% RSAs.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target value of LTI incentive awards for our Named Executive Officers, the Compensation Committee considered various</w:t>
      </w:r>
    </w:p>
    <w:p>
      <w:pPr>
        <w:spacing w:after="0" w:line="4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items, including market data, as described above under the section entitled “—Compensation-Setting Process.” No changes were made to the total target award value for Mr. Mehrotra from Fiscal 2023; however, the value granted in PRSUs increased 30% while the value granted in time -based RSAs decreased 30% given the shift in vehicle mix. For other executives, equity grant values increased 6% - 12% (average of 9%) to improve the competitive positioning of grant levels relative to the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target values of our Named Executive Officers’ Fiscal 2024 LTI awards: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Fiscal 2024 PRSU</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6"/>
              </w:rPr>
              <w:t>Total Fiscal 2024 LTI</w:t>
            </w:r>
            <w:r>
              <w:rPr>
                <w:rFonts w:ascii="Arial" w:cs="Arial" w:eastAsia="Arial" w:hAnsi="Arial"/>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61"/>
        </w:trPr>
        <w:tc>
          <w:tcPr>
            <w:tcW w:w="338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460" w:type="dxa"/>
            <w:vAlign w:val="bottom"/>
            <w:tcBorders>
              <w:bottom w:val="single" w:sz="8" w:color="BD03F7"/>
            </w:tcBorders>
          </w:tcPr>
          <w:p>
            <w:pPr>
              <w:spacing w:after="0"/>
              <w:rPr>
                <w:sz w:val="22"/>
                <w:szCs w:val="22"/>
                <w:color w:val="auto"/>
              </w:rPr>
            </w:pPr>
          </w:p>
        </w:tc>
        <w:tc>
          <w:tcPr>
            <w:tcW w:w="1980" w:type="dxa"/>
            <w:vAlign w:val="bottom"/>
            <w:tcBorders>
              <w:bottom w:val="single" w:sz="8" w:color="BD03F7"/>
            </w:tcBorders>
          </w:tcPr>
          <w:p>
            <w:pPr>
              <w:jc w:val="right"/>
              <w:ind w:right="710"/>
              <w:spacing w:after="0"/>
              <w:rPr>
                <w:sz w:val="20"/>
                <w:szCs w:val="20"/>
                <w:color w:val="auto"/>
              </w:rPr>
            </w:pPr>
            <w:r>
              <w:rPr>
                <w:rFonts w:ascii="Arial" w:cs="Arial" w:eastAsia="Arial" w:hAnsi="Arial"/>
                <w:sz w:val="18"/>
                <w:szCs w:val="18"/>
                <w:b w:val="1"/>
                <w:bCs w:val="1"/>
                <w:color w:val="auto"/>
              </w:rPr>
              <w:t>Awards</w:t>
            </w:r>
          </w:p>
        </w:tc>
        <w:tc>
          <w:tcPr>
            <w:tcW w:w="2200" w:type="dxa"/>
            <w:vAlign w:val="bottom"/>
            <w:tcBorders>
              <w:bottom w:val="single" w:sz="8" w:color="BD03F7"/>
            </w:tcBorders>
            <w:gridSpan w:val="2"/>
          </w:tcPr>
          <w:p>
            <w:pPr>
              <w:jc w:val="right"/>
              <w:ind w:right="30"/>
              <w:spacing w:after="0"/>
              <w:rPr>
                <w:sz w:val="20"/>
                <w:szCs w:val="20"/>
                <w:color w:val="auto"/>
              </w:rPr>
            </w:pPr>
            <w:r>
              <w:rPr>
                <w:rFonts w:ascii="Arial" w:cs="Arial" w:eastAsia="Arial" w:hAnsi="Arial"/>
                <w:sz w:val="18"/>
                <w:szCs w:val="18"/>
                <w:b w:val="1"/>
                <w:bCs w:val="1"/>
                <w:color w:val="auto"/>
              </w:rPr>
              <w:t>Fiscal 2024 RSA Award</w:t>
            </w:r>
          </w:p>
        </w:tc>
        <w:tc>
          <w:tcPr>
            <w:tcW w:w="160" w:type="dxa"/>
            <w:vAlign w:val="bottom"/>
            <w:tcBorders>
              <w:bottom w:val="single" w:sz="8" w:color="BD03F7"/>
            </w:tcBorders>
          </w:tcPr>
          <w:p>
            <w:pPr>
              <w:spacing w:after="0"/>
              <w:rPr>
                <w:sz w:val="22"/>
                <w:szCs w:val="22"/>
                <w:color w:val="auto"/>
              </w:rPr>
            </w:pPr>
          </w:p>
        </w:tc>
        <w:tc>
          <w:tcPr>
            <w:tcW w:w="2060" w:type="dxa"/>
            <w:vAlign w:val="bottom"/>
            <w:tcBorders>
              <w:bottom w:val="single" w:sz="8" w:color="BD03F7"/>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15,437,500</w:t>
            </w:r>
          </w:p>
        </w:tc>
        <w:tc>
          <w:tcPr>
            <w:tcW w:w="720" w:type="dxa"/>
            <w:vAlign w:val="bottom"/>
            <w:shd w:val="clear" w:color="auto" w:fill="F2F2F2"/>
          </w:tcPr>
          <w:p>
            <w:pPr>
              <w:jc w:val="right"/>
              <w:ind w:right="5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8,312,500</w:t>
            </w:r>
          </w:p>
        </w:tc>
        <w:tc>
          <w:tcPr>
            <w:tcW w:w="16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23,750,000</w:t>
            </w:r>
          </w:p>
        </w:tc>
        <w:tc>
          <w:tcPr>
            <w:tcW w:w="0" w:type="dxa"/>
            <w:vAlign w:val="bottom"/>
          </w:tcPr>
          <w:p>
            <w:pPr>
              <w:spacing w:after="0"/>
              <w:rPr>
                <w:sz w:val="1"/>
                <w:szCs w:val="1"/>
                <w:color w:val="auto"/>
              </w:rPr>
            </w:pPr>
          </w:p>
        </w:tc>
      </w:tr>
      <w:tr>
        <w:trPr>
          <w:trHeight w:val="247"/>
        </w:trPr>
        <w:tc>
          <w:tcPr>
            <w:tcW w:w="338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4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4,250,000</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4,250,000</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64"/>
        </w:trPr>
        <w:tc>
          <w:tcPr>
            <w:tcW w:w="3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460" w:type="dxa"/>
            <w:vAlign w:val="bottom"/>
            <w:shd w:val="clear" w:color="auto" w:fill="F2F2F2"/>
          </w:tcPr>
          <w:p>
            <w:pPr>
              <w:spacing w:after="0"/>
              <w:rPr>
                <w:sz w:val="22"/>
                <w:szCs w:val="22"/>
                <w:color w:val="auto"/>
              </w:rPr>
            </w:pPr>
          </w:p>
        </w:tc>
        <w:tc>
          <w:tcPr>
            <w:tcW w:w="1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4,500,000</w:t>
            </w:r>
          </w:p>
        </w:tc>
        <w:tc>
          <w:tcPr>
            <w:tcW w:w="720" w:type="dxa"/>
            <w:vAlign w:val="bottom"/>
            <w:shd w:val="clear" w:color="auto" w:fill="F2F2F2"/>
          </w:tcPr>
          <w:p>
            <w:pPr>
              <w:spacing w:after="0"/>
              <w:rPr>
                <w:sz w:val="22"/>
                <w:szCs w:val="22"/>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F2F2F2"/>
          </w:tcPr>
          <w:p>
            <w:pPr>
              <w:spacing w:after="0"/>
              <w:rPr>
                <w:sz w:val="22"/>
                <w:szCs w:val="22"/>
                <w:color w:val="auto"/>
              </w:rPr>
            </w:pPr>
          </w:p>
        </w:tc>
        <w:tc>
          <w:tcPr>
            <w:tcW w:w="20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47"/>
        </w:trPr>
        <w:tc>
          <w:tcPr>
            <w:tcW w:w="338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4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3,625,000</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3,625,000</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7,250,000</w:t>
            </w:r>
          </w:p>
        </w:tc>
        <w:tc>
          <w:tcPr>
            <w:tcW w:w="0" w:type="dxa"/>
            <w:vAlign w:val="bottom"/>
          </w:tcPr>
          <w:p>
            <w:pPr>
              <w:spacing w:after="0"/>
              <w:rPr>
                <w:sz w:val="1"/>
                <w:szCs w:val="1"/>
                <w:color w:val="auto"/>
              </w:rPr>
            </w:pPr>
          </w:p>
        </w:tc>
      </w:tr>
      <w:tr>
        <w:trPr>
          <w:trHeight w:val="258"/>
        </w:trPr>
        <w:tc>
          <w:tcPr>
            <w:tcW w:w="338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460" w:type="dxa"/>
            <w:vAlign w:val="bottom"/>
            <w:tcBorders>
              <w:bottom w:val="single" w:sz="8" w:color="BD03F7"/>
            </w:tcBorders>
            <w:shd w:val="clear" w:color="auto" w:fill="F2F2F2"/>
          </w:tcPr>
          <w:p>
            <w:pPr>
              <w:spacing w:after="0"/>
              <w:rPr>
                <w:sz w:val="22"/>
                <w:szCs w:val="22"/>
                <w:color w:val="auto"/>
              </w:rPr>
            </w:pPr>
          </w:p>
        </w:tc>
        <w:tc>
          <w:tcPr>
            <w:tcW w:w="1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4,500,000</w:t>
            </w:r>
          </w:p>
        </w:tc>
        <w:tc>
          <w:tcPr>
            <w:tcW w:w="720" w:type="dxa"/>
            <w:vAlign w:val="bottom"/>
            <w:tcBorders>
              <w:bottom w:val="single" w:sz="8" w:color="BD03F7"/>
            </w:tcBorders>
            <w:shd w:val="clear" w:color="auto" w:fill="F2F2F2"/>
          </w:tcPr>
          <w:p>
            <w:pPr>
              <w:spacing w:after="0"/>
              <w:rPr>
                <w:sz w:val="22"/>
                <w:szCs w:val="22"/>
                <w:color w:val="auto"/>
              </w:rPr>
            </w:pPr>
          </w:p>
        </w:tc>
        <w:tc>
          <w:tcPr>
            <w:tcW w:w="14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Borders>
              <w:bottom w:val="single" w:sz="8" w:color="BD03F7"/>
            </w:tcBorders>
            <w:shd w:val="clear" w:color="auto" w:fill="F2F2F2"/>
          </w:tcPr>
          <w:p>
            <w:pPr>
              <w:spacing w:after="0"/>
              <w:rPr>
                <w:sz w:val="22"/>
                <w:szCs w:val="22"/>
                <w:color w:val="auto"/>
              </w:rPr>
            </w:pPr>
          </w:p>
        </w:tc>
        <w:tc>
          <w:tcPr>
            <w:tcW w:w="2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262626"/>
        </w:rPr>
        <w:t xml:space="preserve">(1) Reflects target grant-date fair value, based on </w:t>
      </w:r>
      <w:r>
        <w:rPr>
          <w:rFonts w:ascii="Arial" w:cs="Arial" w:eastAsia="Arial" w:hAnsi="Arial"/>
          <w:sz w:val="14"/>
          <w:szCs w:val="14"/>
          <w:color w:val="000000"/>
        </w:rPr>
        <w:t>the closing price of our Common Stock as quoted on Nasdaq for the last market-trading day prior to the date of grant</w:t>
      </w:r>
      <w:r>
        <w:rPr>
          <w:rFonts w:ascii="Arial" w:cs="Arial" w:eastAsia="Arial" w:hAnsi="Arial"/>
          <w:sz w:val="14"/>
          <w:szCs w:val="14"/>
          <w:color w:val="262626"/>
        </w:rPr>
        <w:t>.</w:t>
      </w:r>
    </w:p>
    <w:p>
      <w:pPr>
        <w:spacing w:after="0" w:line="2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Historically, long-term incentive awards for all executive officers have been made in the first quarter of the fiscal year, with the exact grant date corresponding with the date of the Compensation Committee’s approval. These grants are not timed to coincide with the release of material, non-public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Goals Involve Highly Confidential Information</w:t>
      </w:r>
    </w:p>
    <w:p>
      <w:pPr>
        <w:spacing w:after="0" w:line="2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with the strategic goals under our STI plan discussed above, we do not publicly disclose the specific targets for any PRSU awards or additional stretch performance conditions that are based on operational metrics because those goals involve highly confidential information that, if disclosed, could cause irreparable competitive harm to the Company, and therefore, to its shareholders. However, in this discussion, we endeavor to provide visibility into the details of operational metrics where possible.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 Granted in Fiscal 2024</w:t>
      </w:r>
    </w:p>
    <w:p>
      <w:pPr>
        <w:spacing w:after="0" w:line="23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PRSUs granted in Fiscal 2024 (the “2024 PRSU Awards”) vest based on actual performance against goals for three metrics, as described below. While the overall PRSU structure and weightings remain consistent with Fiscal 2023 PRSU Awards, the Operational goals were adjusted to drive increased focus on HBM3E+ and revenue mix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from higher growth, more stable and less seasonal end-markets segments. The Compensation Committee believed focusing on these strategic imperatives to further strengthen our data center portfolio and increase our overall revenue mix in segments including data center, networking, automotive, industrial and graphics would position the Company well and benefit shareholders.</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Percentage of 2024</w:t>
            </w:r>
          </w:p>
        </w:tc>
      </w:tr>
      <w:tr>
        <w:trPr>
          <w:trHeight w:val="265"/>
        </w:trPr>
        <w:tc>
          <w:tcPr>
            <w:tcW w:w="152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Metric Category</w:t>
            </w:r>
          </w:p>
        </w:tc>
        <w:tc>
          <w:tcPr>
            <w:tcW w:w="3300" w:type="dxa"/>
            <w:vAlign w:val="bottom"/>
            <w:tcBorders>
              <w:bottom w:val="single" w:sz="8" w:color="BD03F7"/>
            </w:tcBorders>
            <w:gridSpan w:val="2"/>
          </w:tcPr>
          <w:p>
            <w:pPr>
              <w:ind w:left="140"/>
              <w:spacing w:after="0"/>
              <w:rPr>
                <w:sz w:val="20"/>
                <w:szCs w:val="20"/>
                <w:color w:val="auto"/>
              </w:rPr>
            </w:pPr>
            <w:r>
              <w:rPr>
                <w:rFonts w:ascii="Arial" w:cs="Arial" w:eastAsia="Arial" w:hAnsi="Arial"/>
                <w:sz w:val="18"/>
                <w:szCs w:val="18"/>
                <w:b w:val="1"/>
                <w:bCs w:val="1"/>
                <w:color w:val="auto"/>
              </w:rPr>
              <w:t>Name</w:t>
            </w:r>
          </w:p>
        </w:tc>
        <w:tc>
          <w:tcPr>
            <w:tcW w:w="4220" w:type="dxa"/>
            <w:vAlign w:val="bottom"/>
            <w:tcBorders>
              <w:bottom w:val="single" w:sz="8" w:color="BD03F7"/>
            </w:tcBorders>
          </w:tcPr>
          <w:p>
            <w:pPr>
              <w:ind w:left="160"/>
              <w:spacing w:after="0"/>
              <w:rPr>
                <w:sz w:val="20"/>
                <w:szCs w:val="20"/>
                <w:color w:val="auto"/>
              </w:rPr>
            </w:pPr>
            <w:r>
              <w:rPr>
                <w:rFonts w:ascii="Arial" w:cs="Arial" w:eastAsia="Arial" w:hAnsi="Arial"/>
                <w:sz w:val="18"/>
                <w:szCs w:val="18"/>
                <w:b w:val="1"/>
                <w:bCs w:val="1"/>
                <w:color w:val="auto"/>
              </w:rPr>
              <w:t>Performance Metric</w:t>
            </w:r>
          </w:p>
        </w:tc>
        <w:tc>
          <w:tcPr>
            <w:tcW w:w="20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6"/>
              </w:rPr>
              <w:t>PRSU Award Value</w:t>
            </w:r>
            <w:r>
              <w:rPr>
                <w:rFonts w:ascii="Arial" w:cs="Arial" w:eastAsia="Arial" w:hAnsi="Arial"/>
                <w:sz w:val="23"/>
                <w:szCs w:val="23"/>
                <w:b w:val="1"/>
                <w:bCs w:val="1"/>
                <w:color w:val="auto"/>
                <w:w w:val="96"/>
                <w:vertAlign w:val="superscript"/>
              </w:rPr>
              <w:t>(1)</w:t>
            </w:r>
          </w:p>
        </w:tc>
      </w:tr>
      <w:tr>
        <w:trPr>
          <w:trHeight w:val="34"/>
        </w:trPr>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6"/>
        </w:trPr>
        <w:tc>
          <w:tcPr>
            <w:tcW w:w="1520" w:type="dxa"/>
            <w:vAlign w:val="bottom"/>
            <w:shd w:val="clear" w:color="auto" w:fill="F2F2F2"/>
          </w:tcPr>
          <w:p>
            <w:pPr>
              <w:spacing w:after="0"/>
              <w:rPr>
                <w:sz w:val="20"/>
                <w:szCs w:val="20"/>
                <w:color w:val="auto"/>
              </w:rPr>
            </w:pPr>
            <w:r>
              <w:rPr>
                <w:rFonts w:ascii="Arial" w:cs="Arial" w:eastAsia="Arial" w:hAnsi="Arial"/>
                <w:sz w:val="18"/>
                <w:szCs w:val="18"/>
                <w:color w:val="auto"/>
              </w:rPr>
              <w:t>Operational</w:t>
            </w:r>
          </w:p>
        </w:tc>
        <w:tc>
          <w:tcPr>
            <w:tcW w:w="560" w:type="dxa"/>
            <w:vAlign w:val="bottom"/>
            <w:shd w:val="clear" w:color="auto" w:fill="F2F2F2"/>
          </w:tcPr>
          <w:p>
            <w:pPr>
              <w:ind w:left="140"/>
              <w:spacing w:after="0"/>
              <w:rPr>
                <w:sz w:val="20"/>
                <w:szCs w:val="20"/>
                <w:color w:val="auto"/>
              </w:rPr>
            </w:pPr>
            <w:r>
              <w:rPr>
                <w:rFonts w:ascii="Arial" w:cs="Arial" w:eastAsia="Arial" w:hAnsi="Arial"/>
                <w:sz w:val="18"/>
                <w:szCs w:val="18"/>
                <w:color w:val="auto"/>
                <w:w w:val="99"/>
              </w:rPr>
              <w:t>2024</w:t>
            </w:r>
          </w:p>
        </w:tc>
        <w:tc>
          <w:tcPr>
            <w:tcW w:w="2740" w:type="dxa"/>
            <w:vAlign w:val="bottom"/>
            <w:shd w:val="clear" w:color="auto" w:fill="F2F2F2"/>
          </w:tcPr>
          <w:p>
            <w:pPr>
              <w:ind w:left="20"/>
              <w:spacing w:after="0"/>
              <w:rPr>
                <w:sz w:val="20"/>
                <w:szCs w:val="20"/>
                <w:color w:val="auto"/>
              </w:rPr>
            </w:pPr>
            <w:r>
              <w:rPr>
                <w:rFonts w:ascii="Arial" w:cs="Arial" w:eastAsia="Arial" w:hAnsi="Arial"/>
                <w:sz w:val="18"/>
                <w:szCs w:val="18"/>
                <w:color w:val="auto"/>
              </w:rPr>
              <w:t>HBM3E+ PRSU Award</w:t>
            </w:r>
          </w:p>
        </w:tc>
        <w:tc>
          <w:tcPr>
            <w:tcW w:w="4220" w:type="dxa"/>
            <w:vAlign w:val="bottom"/>
            <w:shd w:val="clear" w:color="auto" w:fill="F2F2F2"/>
          </w:tcPr>
          <w:p>
            <w:pPr>
              <w:ind w:left="160"/>
              <w:spacing w:after="0"/>
              <w:rPr>
                <w:sz w:val="20"/>
                <w:szCs w:val="20"/>
                <w:color w:val="auto"/>
              </w:rPr>
            </w:pPr>
            <w:r>
              <w:rPr>
                <w:rFonts w:ascii="Arial" w:cs="Arial" w:eastAsia="Arial" w:hAnsi="Arial"/>
                <w:sz w:val="18"/>
                <w:szCs w:val="18"/>
                <w:color w:val="auto"/>
              </w:rPr>
              <w:t>HBM3E+ market share or bit shipments</w:t>
            </w:r>
          </w:p>
        </w:tc>
        <w:tc>
          <w:tcPr>
            <w:tcW w:w="20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25%</w:t>
            </w: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Operational</w:t>
            </w:r>
          </w:p>
        </w:tc>
        <w:tc>
          <w:tcPr>
            <w:tcW w:w="560" w:type="dxa"/>
            <w:vAlign w:val="bottom"/>
          </w:tcPr>
          <w:p>
            <w:pPr>
              <w:ind w:left="140"/>
              <w:spacing w:after="0" w:line="196" w:lineRule="exact"/>
              <w:rPr>
                <w:sz w:val="20"/>
                <w:szCs w:val="20"/>
                <w:color w:val="auto"/>
              </w:rPr>
            </w:pPr>
            <w:r>
              <w:rPr>
                <w:rFonts w:ascii="Arial" w:cs="Arial" w:eastAsia="Arial" w:hAnsi="Arial"/>
                <w:sz w:val="18"/>
                <w:szCs w:val="18"/>
                <w:color w:val="auto"/>
                <w:w w:val="99"/>
              </w:rPr>
              <w:t>2024</w:t>
            </w:r>
          </w:p>
        </w:tc>
        <w:tc>
          <w:tcPr>
            <w:tcW w:w="2740" w:type="dxa"/>
            <w:vAlign w:val="bottom"/>
          </w:tcPr>
          <w:p>
            <w:pPr>
              <w:ind w:left="20"/>
              <w:spacing w:after="0" w:line="196" w:lineRule="exact"/>
              <w:rPr>
                <w:sz w:val="20"/>
                <w:szCs w:val="20"/>
                <w:color w:val="auto"/>
              </w:rPr>
            </w:pPr>
            <w:r>
              <w:rPr>
                <w:rFonts w:ascii="Arial" w:cs="Arial" w:eastAsia="Arial" w:hAnsi="Arial"/>
                <w:sz w:val="18"/>
                <w:szCs w:val="18"/>
                <w:color w:val="auto"/>
              </w:rPr>
              <w:t>High-Growth Segment Revenue</w:t>
            </w:r>
          </w:p>
        </w:tc>
        <w:tc>
          <w:tcPr>
            <w:tcW w:w="4220" w:type="dxa"/>
            <w:vAlign w:val="bottom"/>
          </w:tcPr>
          <w:p>
            <w:pPr>
              <w:ind w:left="160"/>
              <w:spacing w:after="0" w:line="196" w:lineRule="exact"/>
              <w:rPr>
                <w:sz w:val="20"/>
                <w:szCs w:val="20"/>
                <w:color w:val="auto"/>
              </w:rPr>
            </w:pPr>
            <w:r>
              <w:rPr>
                <w:rFonts w:ascii="Arial" w:cs="Arial" w:eastAsia="Arial" w:hAnsi="Arial"/>
                <w:sz w:val="18"/>
                <w:szCs w:val="18"/>
                <w:color w:val="auto"/>
              </w:rPr>
              <w:t>Revenue dollars or percentage mix from high-</w:t>
            </w:r>
          </w:p>
        </w:tc>
        <w:tc>
          <w:tcPr>
            <w:tcW w:w="2060" w:type="dxa"/>
            <w:vAlign w:val="bottom"/>
          </w:tcPr>
          <w:p>
            <w:pPr>
              <w:jc w:val="center"/>
              <w:spacing w:after="0" w:line="196" w:lineRule="exact"/>
              <w:rPr>
                <w:sz w:val="20"/>
                <w:szCs w:val="20"/>
                <w:color w:val="auto"/>
              </w:rPr>
            </w:pPr>
            <w:r>
              <w:rPr>
                <w:rFonts w:ascii="Arial" w:cs="Arial" w:eastAsia="Arial" w:hAnsi="Arial"/>
                <w:sz w:val="18"/>
                <w:szCs w:val="18"/>
                <w:color w:val="auto"/>
                <w:w w:val="99"/>
              </w:rPr>
              <w:t>25%</w:t>
            </w:r>
          </w:p>
        </w:tc>
      </w:tr>
      <w:tr>
        <w:trPr>
          <w:trHeight w:val="238"/>
        </w:trPr>
        <w:tc>
          <w:tcPr>
            <w:tcW w:w="1520" w:type="dxa"/>
            <w:vAlign w:val="bottom"/>
          </w:tcPr>
          <w:p>
            <w:pPr>
              <w:spacing w:after="0"/>
              <w:rPr>
                <w:sz w:val="20"/>
                <w:szCs w:val="20"/>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PRSU Award</w:t>
            </w:r>
          </w:p>
        </w:tc>
        <w:tc>
          <w:tcPr>
            <w:tcW w:w="4220" w:type="dxa"/>
            <w:vAlign w:val="bottom"/>
          </w:tcPr>
          <w:p>
            <w:pPr>
              <w:ind w:left="160"/>
              <w:spacing w:after="0"/>
              <w:rPr>
                <w:sz w:val="20"/>
                <w:szCs w:val="20"/>
                <w:color w:val="auto"/>
              </w:rPr>
            </w:pPr>
            <w:r>
              <w:rPr>
                <w:rFonts w:ascii="Arial" w:cs="Arial" w:eastAsia="Arial" w:hAnsi="Arial"/>
                <w:sz w:val="18"/>
                <w:szCs w:val="18"/>
                <w:color w:val="auto"/>
              </w:rPr>
              <w:t>growth, more stable and less seasonal segments</w:t>
            </w:r>
          </w:p>
        </w:tc>
        <w:tc>
          <w:tcPr>
            <w:tcW w:w="2060" w:type="dxa"/>
            <w:vAlign w:val="bottom"/>
          </w:tcPr>
          <w:p>
            <w:pPr>
              <w:spacing w:after="0"/>
              <w:rPr>
                <w:sz w:val="20"/>
                <w:szCs w:val="20"/>
                <w:color w:val="auto"/>
              </w:rPr>
            </w:pPr>
          </w:p>
        </w:tc>
      </w:tr>
      <w:tr>
        <w:trPr>
          <w:trHeight w:val="23"/>
        </w:trPr>
        <w:tc>
          <w:tcPr>
            <w:tcW w:w="15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520" w:type="dxa"/>
            <w:vAlign w:val="bottom"/>
            <w:shd w:val="clear" w:color="auto" w:fill="F2F2F2"/>
          </w:tcPr>
          <w:p>
            <w:pPr>
              <w:spacing w:after="0" w:line="196" w:lineRule="exact"/>
              <w:rPr>
                <w:sz w:val="20"/>
                <w:szCs w:val="20"/>
                <w:color w:val="auto"/>
              </w:rPr>
            </w:pPr>
            <w:r>
              <w:rPr>
                <w:rFonts w:ascii="Arial" w:cs="Arial" w:eastAsia="Arial" w:hAnsi="Arial"/>
                <w:sz w:val="18"/>
                <w:szCs w:val="18"/>
                <w:color w:val="auto"/>
              </w:rPr>
              <w:t>Financial</w:t>
            </w:r>
          </w:p>
        </w:tc>
        <w:tc>
          <w:tcPr>
            <w:tcW w:w="3300" w:type="dxa"/>
            <w:vAlign w:val="bottom"/>
            <w:gridSpan w:val="2"/>
            <w:shd w:val="clear" w:color="auto" w:fill="F2F2F2"/>
          </w:tcPr>
          <w:p>
            <w:pPr>
              <w:ind w:left="140"/>
              <w:spacing w:after="0" w:line="196" w:lineRule="exact"/>
              <w:rPr>
                <w:sz w:val="20"/>
                <w:szCs w:val="20"/>
                <w:color w:val="auto"/>
              </w:rPr>
            </w:pPr>
            <w:r>
              <w:rPr>
                <w:rFonts w:ascii="Arial" w:cs="Arial" w:eastAsia="Arial" w:hAnsi="Arial"/>
                <w:sz w:val="18"/>
                <w:szCs w:val="18"/>
                <w:color w:val="auto"/>
              </w:rPr>
              <w:t>2024 rTSR PRSU Award</w:t>
            </w:r>
          </w:p>
        </w:tc>
        <w:tc>
          <w:tcPr>
            <w:tcW w:w="4220" w:type="dxa"/>
            <w:vAlign w:val="bottom"/>
            <w:shd w:val="clear" w:color="auto" w:fill="F2F2F2"/>
          </w:tcPr>
          <w:p>
            <w:pPr>
              <w:ind w:left="160"/>
              <w:spacing w:after="0" w:line="196" w:lineRule="exact"/>
              <w:rPr>
                <w:sz w:val="20"/>
                <w:szCs w:val="20"/>
                <w:color w:val="auto"/>
              </w:rPr>
            </w:pPr>
            <w:r>
              <w:rPr>
                <w:rFonts w:ascii="Arial" w:cs="Arial" w:eastAsia="Arial" w:hAnsi="Arial"/>
                <w:sz w:val="18"/>
                <w:szCs w:val="18"/>
                <w:color w:val="auto"/>
              </w:rPr>
              <w:t>Company TSR compound annual growth rate</w:t>
            </w:r>
          </w:p>
        </w:tc>
        <w:tc>
          <w:tcPr>
            <w:tcW w:w="2060" w:type="dxa"/>
            <w:vAlign w:val="bottom"/>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50%</w:t>
            </w:r>
          </w:p>
        </w:tc>
      </w:tr>
      <w:tr>
        <w:trPr>
          <w:trHeight w:val="202"/>
        </w:trPr>
        <w:tc>
          <w:tcPr>
            <w:tcW w:w="1520" w:type="dxa"/>
            <w:vAlign w:val="bottom"/>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2740" w:type="dxa"/>
            <w:vAlign w:val="bottom"/>
            <w:shd w:val="clear" w:color="auto" w:fill="F2F2F2"/>
          </w:tcPr>
          <w:p>
            <w:pPr>
              <w:spacing w:after="0"/>
              <w:rPr>
                <w:sz w:val="17"/>
                <w:szCs w:val="17"/>
                <w:color w:val="auto"/>
              </w:rPr>
            </w:pPr>
          </w:p>
        </w:tc>
        <w:tc>
          <w:tcPr>
            <w:tcW w:w="4220" w:type="dxa"/>
            <w:vAlign w:val="bottom"/>
            <w:shd w:val="clear" w:color="auto" w:fill="F2F2F2"/>
          </w:tcPr>
          <w:p>
            <w:pPr>
              <w:ind w:left="160"/>
              <w:spacing w:after="0" w:line="201" w:lineRule="exact"/>
              <w:rPr>
                <w:sz w:val="20"/>
                <w:szCs w:val="20"/>
                <w:color w:val="auto"/>
              </w:rPr>
            </w:pPr>
            <w:r>
              <w:rPr>
                <w:rFonts w:ascii="Arial" w:cs="Arial" w:eastAsia="Arial" w:hAnsi="Arial"/>
                <w:sz w:val="18"/>
                <w:szCs w:val="18"/>
                <w:color w:val="auto"/>
              </w:rPr>
              <w:t>relative to the 55th percentile TSR compound</w:t>
            </w:r>
          </w:p>
        </w:tc>
        <w:tc>
          <w:tcPr>
            <w:tcW w:w="2060" w:type="dxa"/>
            <w:vAlign w:val="bottom"/>
            <w:shd w:val="clear" w:color="auto" w:fill="F2F2F2"/>
          </w:tcPr>
          <w:p>
            <w:pPr>
              <w:spacing w:after="0"/>
              <w:rPr>
                <w:sz w:val="17"/>
                <w:szCs w:val="17"/>
                <w:color w:val="auto"/>
              </w:rPr>
            </w:pPr>
          </w:p>
        </w:tc>
      </w:tr>
      <w:tr>
        <w:trPr>
          <w:trHeight w:val="241"/>
        </w:trPr>
        <w:tc>
          <w:tcPr>
            <w:tcW w:w="1520" w:type="dxa"/>
            <w:vAlign w:val="bottom"/>
            <w:tcBorders>
              <w:bottom w:val="single" w:sz="8" w:color="F2F2F2"/>
            </w:tcBorders>
            <w:shd w:val="clear" w:color="auto" w:fill="F2F2F2"/>
          </w:tcPr>
          <w:p>
            <w:pPr>
              <w:spacing w:after="0"/>
              <w:rPr>
                <w:sz w:val="20"/>
                <w:szCs w:val="20"/>
                <w:color w:val="auto"/>
              </w:rPr>
            </w:pPr>
          </w:p>
        </w:tc>
        <w:tc>
          <w:tcPr>
            <w:tcW w:w="560" w:type="dxa"/>
            <w:vAlign w:val="bottom"/>
            <w:tcBorders>
              <w:bottom w:val="single" w:sz="8" w:color="F2F2F2"/>
            </w:tcBorders>
            <w:shd w:val="clear" w:color="auto" w:fill="F2F2F2"/>
          </w:tcPr>
          <w:p>
            <w:pPr>
              <w:spacing w:after="0"/>
              <w:rPr>
                <w:sz w:val="20"/>
                <w:szCs w:val="20"/>
                <w:color w:val="auto"/>
              </w:rPr>
            </w:pPr>
          </w:p>
        </w:tc>
        <w:tc>
          <w:tcPr>
            <w:tcW w:w="2740" w:type="dxa"/>
            <w:vAlign w:val="bottom"/>
            <w:tcBorders>
              <w:bottom w:val="single" w:sz="8" w:color="F2F2F2"/>
            </w:tcBorders>
            <w:shd w:val="clear" w:color="auto" w:fill="F2F2F2"/>
          </w:tcPr>
          <w:p>
            <w:pPr>
              <w:spacing w:after="0"/>
              <w:rPr>
                <w:sz w:val="20"/>
                <w:szCs w:val="20"/>
                <w:color w:val="auto"/>
              </w:rPr>
            </w:pPr>
          </w:p>
        </w:tc>
        <w:tc>
          <w:tcPr>
            <w:tcW w:w="4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8"/>
                <w:szCs w:val="18"/>
                <w:color w:val="auto"/>
              </w:rPr>
              <w:t>annual growth rate within the SOX Index.</w:t>
            </w:r>
          </w:p>
        </w:tc>
        <w:tc>
          <w:tcPr>
            <w:tcW w:w="2060" w:type="dxa"/>
            <w:vAlign w:val="bottom"/>
            <w:tcBorders>
              <w:bottom w:val="single" w:sz="8" w:color="F2F2F2"/>
            </w:tcBorders>
            <w:shd w:val="clear" w:color="auto" w:fill="F2F2F2"/>
          </w:tcPr>
          <w:p>
            <w:pPr>
              <w:spacing w:after="0"/>
              <w:rPr>
                <w:sz w:val="20"/>
                <w:szCs w:val="20"/>
                <w:color w:val="auto"/>
              </w:rPr>
            </w:pPr>
          </w:p>
        </w:tc>
      </w:tr>
      <w:tr>
        <w:trPr>
          <w:trHeight w:val="20"/>
        </w:trPr>
        <w:tc>
          <w:tcPr>
            <w:tcW w:w="1520" w:type="dxa"/>
            <w:vAlign w:val="bottom"/>
            <w:shd w:val="clear" w:color="auto" w:fill="BD03F7"/>
          </w:tcPr>
          <w:p>
            <w:pPr>
              <w:spacing w:after="0" w:line="20" w:lineRule="exact"/>
              <w:rPr>
                <w:sz w:val="1"/>
                <w:szCs w:val="1"/>
                <w:color w:val="auto"/>
              </w:rPr>
            </w:pPr>
          </w:p>
        </w:tc>
        <w:tc>
          <w:tcPr>
            <w:tcW w:w="560" w:type="dxa"/>
            <w:vAlign w:val="bottom"/>
            <w:shd w:val="clear" w:color="auto" w:fill="BD03F7"/>
          </w:tcPr>
          <w:p>
            <w:pPr>
              <w:spacing w:after="0" w:line="20" w:lineRule="exact"/>
              <w:rPr>
                <w:sz w:val="1"/>
                <w:szCs w:val="1"/>
                <w:color w:val="auto"/>
              </w:rPr>
            </w:pPr>
          </w:p>
        </w:tc>
        <w:tc>
          <w:tcPr>
            <w:tcW w:w="2740" w:type="dxa"/>
            <w:vAlign w:val="bottom"/>
            <w:shd w:val="clear" w:color="auto" w:fill="BD03F7"/>
          </w:tcPr>
          <w:p>
            <w:pPr>
              <w:spacing w:after="0" w:line="20" w:lineRule="exact"/>
              <w:rPr>
                <w:sz w:val="1"/>
                <w:szCs w:val="1"/>
                <w:color w:val="auto"/>
              </w:rPr>
            </w:pPr>
          </w:p>
        </w:tc>
        <w:tc>
          <w:tcPr>
            <w:tcW w:w="4220" w:type="dxa"/>
            <w:vAlign w:val="bottom"/>
            <w:shd w:val="clear" w:color="auto" w:fill="BD03F7"/>
          </w:tcPr>
          <w:p>
            <w:pPr>
              <w:spacing w:after="0" w:line="20" w:lineRule="exact"/>
              <w:rPr>
                <w:sz w:val="1"/>
                <w:szCs w:val="1"/>
                <w:color w:val="auto"/>
              </w:rPr>
            </w:pPr>
          </w:p>
        </w:tc>
        <w:tc>
          <w:tcPr>
            <w:tcW w:w="2060" w:type="dxa"/>
            <w:vAlign w:val="bottom"/>
            <w:shd w:val="clear" w:color="auto" w:fill="BD03F7"/>
          </w:tcPr>
          <w:p>
            <w:pPr>
              <w:spacing w:after="0" w:line="20" w:lineRule="exact"/>
              <w:rPr>
                <w:sz w:val="1"/>
                <w:szCs w:val="1"/>
                <w:color w:val="auto"/>
              </w:rPr>
            </w:pPr>
          </w:p>
        </w:tc>
      </w:tr>
    </w:tbl>
    <w:p>
      <w:pPr>
        <w:spacing w:after="0" w:line="58" w:lineRule="exact"/>
        <w:rPr>
          <w:sz w:val="20"/>
          <w:szCs w:val="20"/>
          <w:color w:val="auto"/>
        </w:rPr>
      </w:pPr>
    </w:p>
    <w:p>
      <w:pPr>
        <w:ind w:right="440" w:firstLine="8"/>
        <w:spacing w:after="0" w:line="282" w:lineRule="auto"/>
        <w:tabs>
          <w:tab w:leader="none" w:pos="203"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The actual number of shares granted through the rTSR Award was lower than the number of shares granted for the Operational PRSU Awards due to application of the Monte Carlo valuation approach for the rTSR Award.</w:t>
      </w:r>
    </w:p>
    <w:p>
      <w:pPr>
        <w:spacing w:after="0" w:line="190" w:lineRule="exact"/>
        <w:rPr>
          <w:sz w:val="20"/>
          <w:szCs w:val="20"/>
          <w:color w:val="auto"/>
        </w:rPr>
      </w:pPr>
    </w:p>
    <w:p>
      <w:pPr>
        <w:ind w:right="980"/>
        <w:spacing w:after="0" w:line="285" w:lineRule="auto"/>
        <w:rPr>
          <w:sz w:val="20"/>
          <w:szCs w:val="20"/>
          <w:color w:val="auto"/>
        </w:rPr>
      </w:pPr>
      <w:r>
        <w:rPr>
          <w:rFonts w:ascii="Arial" w:cs="Arial" w:eastAsia="Arial" w:hAnsi="Arial"/>
          <w:sz w:val="18"/>
          <w:szCs w:val="18"/>
          <w:color w:val="auto"/>
        </w:rPr>
        <w:t>We refer to the 2024 HBM3E+ PRSU Award and the 2024 High-Growth Segment Revenue PRSU Award collectively as the “2024 Operational PRSU Awards.”</w:t>
      </w:r>
    </w:p>
    <w:p>
      <w:pPr>
        <w:spacing w:after="0" w:line="181"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PRSUs may be earned (or “banked”) during the second and third years of the three-year period following the grant date (the “Performance Period”) based upon results against performance goals set at the beginning of the Performance Period. For each Named Executive Officer, the actual number of PRSUs that will be earned and become eligible to vest under the 2024 PRSU Awards is the product of the executive’s target award and the payout factor that results from actual performance versus the pre-established performance goals (the “Payout Factor”), subject to an overall maximum payout at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91835" cy="3006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91835" cy="300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Combined Cap on PRSU Earning and Vesting</w:t>
      </w:r>
    </w:p>
    <w:p>
      <w:pPr>
        <w:spacing w:after="0" w:line="25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maximum number of PRSUs that a Named Executive Officer may earn under all 2024 PRSU Awards is limited to 200% of the aggregate target number of PRSUs awarded to that executive. The maximum number of PRSUs that can be earned under the 2024 rTSR PRSU Award is 150% of the target number of rTSR PRSUs granted. Similarly, the maximum number of PRSUs that can be earned under the 2024 Operational PRSU Awards generally is 200% of the target number of Operational PRSUs granted. However, the Compensation Committee has approved two additional stretch performance conditions under the 2024 Operational PRSU Awards, and achievement of either can increase the earning opportunity by an additional 33% of the 2024 Operational PRSU Awards target (or 66% of the 2024 Operational PRSU Awards target if both are achieved). The additional stretch performance conditions are selected because they are important strategic targets whose accomplishment is highly uncertain as the targets represent a stretch from an operational and execution perspective, and the Compensation Committee believes that their attainment would position the Company very well from a competitive standpoint in the future.</w:t>
      </w:r>
    </w:p>
    <w:p>
      <w:pPr>
        <w:spacing w:after="0" w:line="193"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Based on the design of the LTI plan, it is not possible to achieve the maximum of 200% of the aggregate target for the 2024 PRSU Awards without the achievement of both of the additional stretch performance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Operational PRSU Awards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Performance for the 2024 HBM3E+ PRSU Award, weighted 25% in the overall PRSU formula, refers to performance with respect to HBM3E+ and beyond HBM products. HBM3E+ goal achievement is based on the higher of market share or bit shipment achievement as measured each year. Performance for the High-Growth Segment Revenue PRSU Award, also weighted 25% in the overall PRSU formula, is based on the higher of attainment of goals for absolute revenue from high-growth, more stable segments (including data center, networking, automotive, industrial, and graphics) or attainment of goals for the percentage of Micron’s total revenue attributable to these segments. In each case, payouts can range from 0% (for achievement below a specified threshold) to a maximum of 200% of the target number of PRSUs granted.</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as noted above, the 2024 Operational PRSU Awards include two additional stretch performance conditions that relate to the development milestones of next-generation products: Compute Express Link (CXL) or high bandwidth memory (HBM) roadmap milestones and SSD market share or NAND free cash flow. The Compensation Committee believes that attaining these additional stretch performance conditions, which would require a meaningful level of execution and effort, would represent significant progress that is expected to enhance long-term shareholder value. Delivering on either of these additional stretch performance conditions will allow recipients to earn an additional 33% of the 2024 Operational PRSU Awards target (for a total of 66% of the 2024 Operational PRSU Awards target if both are achieved), subject to the overall maximum payout of 200% of target for the 2024 PRSU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PRSU Goals Require Strong Performance</w:t>
      </w:r>
    </w:p>
    <w:p>
      <w:pPr>
        <w:spacing w:after="0" w:line="235" w:lineRule="exact"/>
        <w:rPr>
          <w:sz w:val="20"/>
          <w:szCs w:val="20"/>
          <w:color w:val="auto"/>
        </w:rPr>
      </w:pPr>
    </w:p>
    <w:p>
      <w:pPr>
        <w:ind w:right="600"/>
        <w:spacing w:after="0" w:line="250" w:lineRule="auto"/>
        <w:rPr>
          <w:sz w:val="20"/>
          <w:szCs w:val="20"/>
          <w:color w:val="auto"/>
        </w:rPr>
      </w:pPr>
      <w:r>
        <w:rPr>
          <w:rFonts w:ascii="Arial" w:cs="Arial" w:eastAsia="Arial" w:hAnsi="Arial"/>
          <w:sz w:val="17"/>
          <w:szCs w:val="17"/>
          <w:color w:val="auto"/>
        </w:rPr>
        <w:t>When setting the target goals for the 2024 Operational PRSU Awards, the Compensation Committee believed that achievement would require stretch performance and a challenging level of execution and effort on the part of our Named Executive Officers, and that</w:t>
      </w:r>
    </w:p>
    <w:p>
      <w:pPr>
        <w:spacing w:after="0" w:line="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achievement of even the threshold goals was uncertain. To achieve the established market share or bit shipment targets for the HBM3E+ PRSU Award requires exceptional execution in the nascent industry, particularly given Fiscal 2025 is the first full year of the Company’s HBM3E+ product ramp. To achieve the threshold goal for the 2024 High-Growth Segment Revenue PRSU Award would require delivery of revenue equivalent to the Company’s record annual revenue from these segments.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Determination of Payout</w:t>
      </w:r>
    </w:p>
    <w:p>
      <w:pPr>
        <w:spacing w:after="0" w:line="2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Achievement levels with respect to the 2024 Operational PRSU Awards will be measured within 60 days after the end of each of year two and year three in the Performance Period (each, a “Certification Date”). On each Certification Date, the Compensation Committee will determine and certify the Payout Factors for the applicable fiscal year. Half of the earned 2024 Operational PRSU Awards will vest on the Certification Date that immediately follows year two of the Performance Period (Fiscal 2025) while the remaining half will be banked. The banked 2024 Operational PRSUs and any incremental 2024 Operational PRSUs will vest on the Certification Date that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follows year three of the Performance Period (the fiscal year ending September 3, 2026, or “Fiscal 2026”).</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rTSR PRSU Award</w:t>
      </w: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2024 rTSR PRSU Award ties 50% of each Named Executive Officer’s target 2024 PRSU Award to the Company’s TSR compound annual growth rate over the three-year Performance Period, as compared to the TSR compound annual growth rate of the companies in the SOX index, which is composed of companies primarily involved in the design, distribution, manufacture, and sale of semiconductors. The TSR component will be measured every day in years two and three of the Performance Period, as described below. For the 2024 rTSR PRSU Award, after considering shareholder feedback, the Compensation Committee increased the target level of performance for these awards to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SOX index (up from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goal applicable to previous grants) and provided that the Payout Factor cannot exceed 100% if the Company’s absolute TSR is negative.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Payout Factor</w:t>
      </w:r>
    </w:p>
    <w:p>
      <w:pPr>
        <w:spacing w:after="0" w:line="248"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Payout Factor for the 2024 rTSR PRSU Award is based on the average of the Company’s three-year rTSR for each of the 60 days trailing the applicable measurement date (and including the measurement date), expressed as a compounded annual growth rate (the “TSR CAGR”), relative to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TSR CAGR (“rTSR CAGR”) of the companies in the SOX index. For this purpose, the SOX index is defined as the SOX constituents at each measurement date, excluding any company that has not been public for at least three years. The rTSR CAGR is calculated by subtracting the TSR CAGR at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SOX index from the Company’s TSR CAGR for that measurement date.</w:t>
      </w:r>
    </w:p>
    <w:p>
      <w:pPr>
        <w:spacing w:after="0" w:line="22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The following table sets forth the Payout Factors under the 2024 rTSR PRSU Award for various levels of rTSR CAGR. If the rTSR CAGR achieved is between two of the specific levels shown below, the Payout Factor will be determined using straight line interpolation.</w:t>
      </w:r>
    </w:p>
    <w:tbl>
      <w:tblPr>
        <w:tblLayout w:type="fixed"/>
        <w:tblInd w:w="8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4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Payout Factor for the rTSR</w:t>
            </w:r>
          </w:p>
        </w:tc>
      </w:tr>
      <w:tr>
        <w:trPr>
          <w:trHeight w:val="254"/>
        </w:trPr>
        <w:tc>
          <w:tcPr>
            <w:tcW w:w="636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rTSR CAGR Achieved on a Measurement Date</w:t>
            </w:r>
          </w:p>
        </w:tc>
        <w:tc>
          <w:tcPr>
            <w:tcW w:w="4740" w:type="dxa"/>
            <w:vAlign w:val="bottom"/>
            <w:tcBorders>
              <w:bottom w:val="single" w:sz="8" w:color="BD03F7"/>
            </w:tcBorders>
          </w:tcPr>
          <w:p>
            <w:pPr>
              <w:jc w:val="right"/>
              <w:ind w:right="810"/>
              <w:spacing w:after="0"/>
              <w:rPr>
                <w:sz w:val="20"/>
                <w:szCs w:val="20"/>
                <w:color w:val="auto"/>
              </w:rPr>
            </w:pPr>
            <w:r>
              <w:rPr>
                <w:rFonts w:ascii="Arial" w:cs="Arial" w:eastAsia="Arial" w:hAnsi="Arial"/>
                <w:sz w:val="18"/>
                <w:szCs w:val="18"/>
                <w:b w:val="1"/>
                <w:bCs w:val="1"/>
                <w:color w:val="auto"/>
              </w:rPr>
              <w:t>CAGR</w:t>
            </w:r>
          </w:p>
        </w:tc>
      </w:tr>
      <w:tr>
        <w:trPr>
          <w:trHeight w:val="40"/>
        </w:trPr>
        <w:tc>
          <w:tcPr>
            <w:tcW w:w="636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29"/>
        </w:trPr>
        <w:tc>
          <w:tcPr>
            <w:tcW w:w="6360" w:type="dxa"/>
            <w:vAlign w:val="bottom"/>
            <w:shd w:val="clear" w:color="auto" w:fill="F2F2F2"/>
          </w:tcPr>
          <w:p>
            <w:pPr>
              <w:ind w:left="60"/>
              <w:spacing w:after="0"/>
              <w:rPr>
                <w:sz w:val="20"/>
                <w:szCs w:val="20"/>
                <w:color w:val="auto"/>
              </w:rPr>
            </w:pPr>
            <w:r>
              <w:rPr>
                <w:rFonts w:ascii="Arial" w:cs="Arial" w:eastAsia="Arial" w:hAnsi="Arial"/>
                <w:sz w:val="18"/>
                <w:szCs w:val="18"/>
                <w:color w:val="auto"/>
              </w:rPr>
              <w:t>Less than -50 percentage points (“ppts”)</w:t>
            </w:r>
          </w:p>
        </w:tc>
        <w:tc>
          <w:tcPr>
            <w:tcW w:w="47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6360" w:type="dxa"/>
            <w:vAlign w:val="bottom"/>
          </w:tcPr>
          <w:p>
            <w:pPr>
              <w:ind w:left="60"/>
              <w:spacing w:after="0"/>
              <w:rPr>
                <w:sz w:val="20"/>
                <w:szCs w:val="20"/>
                <w:color w:val="auto"/>
              </w:rPr>
            </w:pPr>
            <w:r>
              <w:rPr>
                <w:rFonts w:ascii="Arial" w:cs="Arial" w:eastAsia="Arial" w:hAnsi="Arial"/>
                <w:sz w:val="18"/>
                <w:szCs w:val="18"/>
                <w:color w:val="auto"/>
              </w:rPr>
              <w:t>-50 ppts (“rTSR Threshold”)</w:t>
            </w:r>
          </w:p>
        </w:tc>
        <w:tc>
          <w:tcPr>
            <w:tcW w:w="47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6360" w:type="dxa"/>
            <w:vAlign w:val="bottom"/>
            <w:shd w:val="clear" w:color="auto" w:fill="F2F2F2"/>
          </w:tcPr>
          <w:p>
            <w:pPr>
              <w:ind w:left="60"/>
              <w:spacing w:after="0"/>
              <w:rPr>
                <w:sz w:val="20"/>
                <w:szCs w:val="20"/>
                <w:color w:val="auto"/>
              </w:rPr>
            </w:pPr>
            <w:r>
              <w:rPr>
                <w:rFonts w:ascii="Arial" w:cs="Arial" w:eastAsia="Arial" w:hAnsi="Arial"/>
                <w:sz w:val="18"/>
                <w:szCs w:val="18"/>
                <w:color w:val="auto"/>
              </w:rPr>
              <w:t>0 ppts (“rTSR Target”)</w:t>
            </w:r>
          </w:p>
        </w:tc>
        <w:tc>
          <w:tcPr>
            <w:tcW w:w="47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360" w:type="dxa"/>
            <w:vAlign w:val="bottom"/>
            <w:tcBorders>
              <w:bottom w:val="single" w:sz="8" w:color="BD03F7"/>
            </w:tcBorders>
          </w:tcPr>
          <w:p>
            <w:pPr>
              <w:ind w:left="60"/>
              <w:spacing w:after="0"/>
              <w:rPr>
                <w:sz w:val="20"/>
                <w:szCs w:val="20"/>
                <w:color w:val="auto"/>
              </w:rPr>
            </w:pPr>
            <w:r>
              <w:rPr>
                <w:rFonts w:ascii="Arial" w:cs="Arial" w:eastAsia="Arial" w:hAnsi="Arial"/>
                <w:sz w:val="18"/>
                <w:szCs w:val="18"/>
                <w:color w:val="auto"/>
              </w:rPr>
              <w:t>+50 ppts or greater (“rTSR Maximum”)</w:t>
            </w:r>
          </w:p>
        </w:tc>
        <w:tc>
          <w:tcPr>
            <w:tcW w:w="474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150 %</w:t>
            </w:r>
          </w:p>
        </w:tc>
      </w:tr>
    </w:tbl>
    <w:p>
      <w:pPr>
        <w:spacing w:after="0" w:line="200" w:lineRule="exact"/>
        <w:rPr>
          <w:sz w:val="20"/>
          <w:szCs w:val="20"/>
          <w:color w:val="auto"/>
        </w:rPr>
      </w:pPr>
    </w:p>
    <w:p>
      <w:pPr>
        <w:spacing w:after="0" w:line="3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2024, the Compensation Committee increased the maximum performance goal from +25 ppts applicable to prior grants to +50 ppts so that our payout slope is symmetrical. This change significantly increases the level of outperformance required to achieve the maximum payout of 150%. Total PRSU payouts remain capped at the 200% maximum payout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Additional Cap on rTSR PRSUs</w:t>
      </w:r>
    </w:p>
    <w:p>
      <w:pPr>
        <w:spacing w:after="0" w:line="23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262626"/>
        </w:rPr>
        <w:t>P</w:t>
      </w:r>
      <w:r>
        <w:rPr>
          <w:rFonts w:ascii="Arial" w:cs="Arial" w:eastAsia="Arial" w:hAnsi="Arial"/>
          <w:sz w:val="18"/>
          <w:szCs w:val="18"/>
          <w:color w:val="000000"/>
        </w:rPr>
        <w:t>ayouts will be capped at the rTSR Target in the event that the Company’s absolute TSR is negative, notwithstanding the level of relative</w:t>
      </w:r>
      <w:r>
        <w:rPr>
          <w:rFonts w:ascii="Arial" w:cs="Arial" w:eastAsia="Arial" w:hAnsi="Arial"/>
          <w:sz w:val="18"/>
          <w:szCs w:val="18"/>
          <w:color w:val="262626"/>
        </w:rPr>
        <w:t xml:space="preserve"> </w:t>
      </w:r>
      <w:r>
        <w:rPr>
          <w:rFonts w:ascii="Arial" w:cs="Arial" w:eastAsia="Arial" w:hAnsi="Arial"/>
          <w:sz w:val="18"/>
          <w:szCs w:val="18"/>
          <w:color w:val="000000"/>
        </w:rPr>
        <w:t>performance achieved.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Determination of Payout</w:t>
      </w:r>
    </w:p>
    <w:p>
      <w:pPr>
        <w:spacing w:after="0" w:line="24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the first day of Fiscal 2025 (the first measurement date in the Performance Period), the number of 2024 rTSR PRSUs that will be banked, if any, for a Named Executive Officer will equal the product of the Payout Factor and the target number of 2024 rTSR PRSUs granted to that executive. Thereafter, additional PRSUs can be earned and banked only if the Company attains a higher rTSR CAGR level on a later measurement date. The number of such additional banked PRSUs, if any, will be equal to the excess of the number of PRSUs that would be awarded based on the new, higher Payout Factor minus the number of PRSUs that have already been banked. After the end</w:t>
      </w:r>
    </w:p>
    <w:p>
      <w:pPr>
        <w:spacing w:after="0" w:line="200" w:lineRule="exact"/>
        <w:rPr>
          <w:sz w:val="20"/>
          <w:szCs w:val="20"/>
          <w:color w:val="auto"/>
        </w:rPr>
      </w:pPr>
    </w:p>
    <w:p>
      <w:pPr>
        <w:spacing w:after="0" w:line="388"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color w:val="auto"/>
        </w:rPr>
        <w:t>of each of year two and year three of the Performance Period, the Compensation Committee will certify the number of PRSUs earned for such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PRSU Vesting</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After the end of year two of the Performance Period (Fiscal 2025), 50% of the 2024 rTSR and 2024 Operational PRSUs deemed earned, if any, are eligible to vest. The remaining 50% of earned shares are banked and will vest, in addition to any incremental shares deemed earned for Fiscal 2026, on the Certification Date following year three of the Performance Period.</w:t>
      </w:r>
    </w:p>
    <w:p>
      <w:pPr>
        <w:spacing w:after="0" w:line="19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a Named Executive Officer terminates employment with the Company for any reason other than a termination by the Company for cause, any banked shares will continue to vest on the vesting schedule described above. No PRSUs will vest if a Named Executive Officer is terminated for cause. For this purpose, “cause” is as defined in the employment agreement between a Named Executive Officer and the Company, or if not so defined, as defined in the equity incentive plan under which the award was granted.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PRSUs Achievement</w:t>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measurement periods for the 2024 PRSU Awards do not begin until Fiscal 2025. No shares were earned, vested, or banked during Fiscal 2024 under these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Awards</w:t>
      </w:r>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Time-based RSAs support retention and are linked to shareholder value and ownership. RSAs granted in Fiscal 2024 will vest ratably over three years from the date of grant, subject to continued employment. In Fiscal 2024, RSAs made up 35% of the target value of the LTI awards granted to the Chief Executive Officer, and 50% of the target value of the LTI awards granted to the other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 Granted in Fiscal 2023</w:t>
      </w:r>
    </w:p>
    <w:p>
      <w:pPr>
        <w:spacing w:after="0" w:line="250" w:lineRule="exact"/>
        <w:rPr>
          <w:sz w:val="20"/>
          <w:szCs w:val="20"/>
          <w:color w:val="auto"/>
        </w:rPr>
      </w:pPr>
    </w:p>
    <w:p>
      <w:pPr>
        <w:jc w:val="both"/>
        <w:ind w:right="120"/>
        <w:spacing w:after="0" w:line="267" w:lineRule="auto"/>
        <w:rPr>
          <w:sz w:val="20"/>
          <w:szCs w:val="20"/>
          <w:color w:val="auto"/>
        </w:rPr>
      </w:pPr>
      <w:r>
        <w:rPr>
          <w:rFonts w:ascii="Arial" w:cs="Arial" w:eastAsia="Arial" w:hAnsi="Arial"/>
          <w:sz w:val="18"/>
          <w:szCs w:val="18"/>
          <w:color w:val="auto"/>
        </w:rPr>
        <w:t>Half of the earned 2023 PRSU Awards vested on the first Certification Date that immediately followed the end of Fiscal 2024. The remaining half of PRSUs earned as of that Certification Date are banked and will vest on the second Certification Date that immediately follows the end of Fiscal 2025, together with any incremental PRSUs that are earned during Fiscal 2025,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91835" cy="2272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9183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If a Named Executive Officer terminates employment with the Company, that executive’s 2023 PRSUs will vest or be forfeited in the manner described above for the 2024 PRSUs.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PRSUs Achievement</w:t>
      </w:r>
    </w:p>
    <w:p>
      <w:pPr>
        <w:spacing w:after="0" w:line="250"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In October 2024, the Compensation Committee reviewed the Company’s performance relative to the performance goals for the 2023 PRSU Awards for Fiscal 2024—year two the Performance Period—and confirmed the following results: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2023 PRSU Award Payout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Borders>
              <w:top w:val="single" w:sz="8" w:color="BD03F7"/>
            </w:tcBorders>
          </w:tcPr>
          <w:p>
            <w:pPr>
              <w:spacing w:after="0"/>
              <w:rPr>
                <w:sz w:val="17"/>
                <w:szCs w:val="17"/>
                <w:color w:val="auto"/>
              </w:rPr>
            </w:pPr>
          </w:p>
        </w:tc>
        <w:tc>
          <w:tcPr>
            <w:tcW w:w="980" w:type="dxa"/>
            <w:vAlign w:val="bottom"/>
            <w:tcBorders>
              <w:top w:val="single" w:sz="8" w:color="BD03F7"/>
            </w:tcBorders>
          </w:tcPr>
          <w:p>
            <w:pPr>
              <w:spacing w:after="0"/>
              <w:rPr>
                <w:sz w:val="17"/>
                <w:szCs w:val="17"/>
                <w:color w:val="auto"/>
              </w:rPr>
            </w:pPr>
          </w:p>
        </w:tc>
        <w:tc>
          <w:tcPr>
            <w:tcW w:w="880" w:type="dxa"/>
            <w:vAlign w:val="bottom"/>
            <w:tcBorders>
              <w:top w:val="single" w:sz="8" w:color="BD03F7"/>
            </w:tcBorders>
          </w:tcPr>
          <w:p>
            <w:pPr>
              <w:spacing w:after="0"/>
              <w:rPr>
                <w:sz w:val="17"/>
                <w:szCs w:val="17"/>
                <w:color w:val="auto"/>
              </w:rPr>
            </w:pPr>
          </w:p>
        </w:tc>
        <w:tc>
          <w:tcPr>
            <w:tcW w:w="3700" w:type="dxa"/>
            <w:vAlign w:val="bottom"/>
            <w:tcBorders>
              <w:top w:val="single" w:sz="8" w:color="BD03F7"/>
            </w:tcBorders>
            <w:gridSpan w:val="4"/>
          </w:tcPr>
          <w:p>
            <w:pPr>
              <w:ind w:left="820"/>
              <w:spacing w:after="0" w:line="205" w:lineRule="exact"/>
              <w:rPr>
                <w:sz w:val="20"/>
                <w:szCs w:val="20"/>
                <w:color w:val="auto"/>
              </w:rPr>
            </w:pPr>
            <w:r>
              <w:rPr>
                <w:rFonts w:ascii="Arial" w:cs="Arial" w:eastAsia="Arial" w:hAnsi="Arial"/>
                <w:sz w:val="18"/>
                <w:szCs w:val="18"/>
                <w:b w:val="1"/>
                <w:bCs w:val="1"/>
                <w:color w:val="auto"/>
              </w:rPr>
              <w:t>Operational - 50% Weight</w:t>
            </w:r>
          </w:p>
        </w:tc>
        <w:tc>
          <w:tcPr>
            <w:tcW w:w="1080" w:type="dxa"/>
            <w:vAlign w:val="bottom"/>
            <w:tcBorders>
              <w:top w:val="single" w:sz="8" w:color="BD03F7"/>
            </w:tcBorders>
          </w:tcPr>
          <w:p>
            <w:pPr>
              <w:spacing w:after="0"/>
              <w:rPr>
                <w:sz w:val="17"/>
                <w:szCs w:val="17"/>
                <w:color w:val="auto"/>
              </w:rPr>
            </w:pPr>
          </w:p>
        </w:tc>
        <w:tc>
          <w:tcPr>
            <w:tcW w:w="900" w:type="dxa"/>
            <w:vAlign w:val="bottom"/>
            <w:tcBorders>
              <w:top w:val="single" w:sz="8" w:color="BD03F7"/>
            </w:tcBorders>
          </w:tcPr>
          <w:p>
            <w:pPr>
              <w:spacing w:after="0"/>
              <w:rPr>
                <w:sz w:val="17"/>
                <w:szCs w:val="17"/>
                <w:color w:val="auto"/>
              </w:rPr>
            </w:pPr>
          </w:p>
        </w:tc>
        <w:tc>
          <w:tcPr>
            <w:tcW w:w="920" w:type="dxa"/>
            <w:vAlign w:val="bottom"/>
            <w:tcBorders>
              <w:top w:val="single" w:sz="8" w:color="BD03F7"/>
            </w:tcBorders>
          </w:tcPr>
          <w:p>
            <w:pPr>
              <w:spacing w:after="0"/>
              <w:rPr>
                <w:sz w:val="17"/>
                <w:szCs w:val="17"/>
                <w:color w:val="auto"/>
              </w:rPr>
            </w:pPr>
          </w:p>
        </w:tc>
        <w:tc>
          <w:tcPr>
            <w:tcW w:w="1860" w:type="dxa"/>
            <w:vAlign w:val="bottom"/>
            <w:tcBorders>
              <w:top w:val="single" w:sz="8" w:color="BD03F7"/>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9"/>
              </w:rPr>
              <w:t>Financial - 50%</w:t>
            </w: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980" w:type="dxa"/>
            <w:vAlign w:val="bottom"/>
            <w:tcBorders>
              <w:bottom w:val="single" w:sz="8" w:color="BD03F7"/>
            </w:tcBorders>
          </w:tcPr>
          <w:p>
            <w:pPr>
              <w:spacing w:after="0"/>
              <w:rPr>
                <w:sz w:val="22"/>
                <w:szCs w:val="22"/>
                <w:color w:val="auto"/>
              </w:rPr>
            </w:pPr>
          </w:p>
        </w:tc>
        <w:tc>
          <w:tcPr>
            <w:tcW w:w="880" w:type="dxa"/>
            <w:vAlign w:val="bottom"/>
            <w:tcBorders>
              <w:bottom w:val="single" w:sz="8" w:color="BD03F7"/>
            </w:tcBorders>
          </w:tcPr>
          <w:p>
            <w:pPr>
              <w:spacing w:after="0"/>
              <w:rPr>
                <w:sz w:val="22"/>
                <w:szCs w:val="22"/>
                <w:color w:val="auto"/>
              </w:rPr>
            </w:pPr>
          </w:p>
        </w:tc>
        <w:tc>
          <w:tcPr>
            <w:tcW w:w="920" w:type="dxa"/>
            <w:vAlign w:val="bottom"/>
            <w:tcBorders>
              <w:bottom w:val="single" w:sz="8" w:color="BD03F7"/>
            </w:tcBorders>
          </w:tcPr>
          <w:p>
            <w:pPr>
              <w:spacing w:after="0"/>
              <w:rPr>
                <w:sz w:val="22"/>
                <w:szCs w:val="22"/>
                <w:color w:val="auto"/>
              </w:rPr>
            </w:pPr>
          </w:p>
        </w:tc>
        <w:tc>
          <w:tcPr>
            <w:tcW w:w="980" w:type="dxa"/>
            <w:vAlign w:val="bottom"/>
            <w:tcBorders>
              <w:bottom w:val="single" w:sz="8" w:color="BD03F7"/>
            </w:tcBorders>
          </w:tcPr>
          <w:p>
            <w:pPr>
              <w:spacing w:after="0"/>
              <w:rPr>
                <w:sz w:val="22"/>
                <w:szCs w:val="22"/>
                <w:color w:val="auto"/>
              </w:rPr>
            </w:pPr>
          </w:p>
        </w:tc>
        <w:tc>
          <w:tcPr>
            <w:tcW w:w="880" w:type="dxa"/>
            <w:vAlign w:val="bottom"/>
            <w:tcBorders>
              <w:bottom w:val="single" w:sz="8" w:color="BD03F7"/>
            </w:tcBorders>
          </w:tcPr>
          <w:p>
            <w:pPr>
              <w:spacing w:after="0"/>
              <w:rPr>
                <w:sz w:val="22"/>
                <w:szCs w:val="22"/>
                <w:color w:val="auto"/>
              </w:rPr>
            </w:pPr>
          </w:p>
        </w:tc>
        <w:tc>
          <w:tcPr>
            <w:tcW w:w="920" w:type="dxa"/>
            <w:vAlign w:val="bottom"/>
            <w:tcBorders>
              <w:bottom w:val="single" w:sz="8" w:color="BD03F7"/>
            </w:tcBorders>
          </w:tcPr>
          <w:p>
            <w:pPr>
              <w:spacing w:after="0"/>
              <w:rPr>
                <w:sz w:val="22"/>
                <w:szCs w:val="22"/>
                <w:color w:val="auto"/>
              </w:rPr>
            </w:pPr>
          </w:p>
        </w:tc>
        <w:tc>
          <w:tcPr>
            <w:tcW w:w="1080" w:type="dxa"/>
            <w:vAlign w:val="bottom"/>
            <w:tcBorders>
              <w:bottom w:val="single" w:sz="8" w:color="BD03F7"/>
            </w:tcBorders>
          </w:tcPr>
          <w:p>
            <w:pPr>
              <w:spacing w:after="0"/>
              <w:rPr>
                <w:sz w:val="22"/>
                <w:szCs w:val="22"/>
                <w:color w:val="auto"/>
              </w:rPr>
            </w:pPr>
          </w:p>
        </w:tc>
        <w:tc>
          <w:tcPr>
            <w:tcW w:w="900" w:type="dxa"/>
            <w:vAlign w:val="bottom"/>
            <w:tcBorders>
              <w:bottom w:val="single" w:sz="8" w:color="BD03F7"/>
            </w:tcBorders>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tcBorders>
              <w:bottom w:val="single" w:sz="8" w:color="BD03F7"/>
            </w:tcBorders>
            <w:gridSpan w:val="2"/>
          </w:tcPr>
          <w:p>
            <w:pPr>
              <w:jc w:val="center"/>
              <w:spacing w:after="0"/>
              <w:rPr>
                <w:sz w:val="20"/>
                <w:szCs w:val="20"/>
                <w:color w:val="auto"/>
              </w:rPr>
            </w:pPr>
            <w:r>
              <w:rPr>
                <w:rFonts w:ascii="Arial" w:cs="Arial" w:eastAsia="Arial" w:hAnsi="Arial"/>
                <w:sz w:val="18"/>
                <w:szCs w:val="18"/>
                <w:b w:val="1"/>
                <w:bCs w:val="1"/>
                <w:color w:val="auto"/>
                <w:w w:val="96"/>
              </w:rPr>
              <w:t>Weight</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9"/>
              </w:rPr>
              <w:t>Additional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00" w:type="dxa"/>
            <w:vAlign w:val="bottom"/>
            <w:gridSpan w:val="3"/>
          </w:tcPr>
          <w:p>
            <w:pPr>
              <w:jc w:val="center"/>
              <w:ind w:right="920"/>
              <w:spacing w:after="0" w:line="201" w:lineRule="exact"/>
              <w:rPr>
                <w:sz w:val="20"/>
                <w:szCs w:val="20"/>
                <w:color w:val="auto"/>
              </w:rPr>
            </w:pPr>
            <w:r>
              <w:rPr>
                <w:rFonts w:ascii="Arial" w:cs="Arial" w:eastAsia="Arial" w:hAnsi="Arial"/>
                <w:sz w:val="18"/>
                <w:szCs w:val="18"/>
                <w:b w:val="1"/>
                <w:bCs w:val="1"/>
                <w:color w:val="auto"/>
                <w:w w:val="99"/>
              </w:rPr>
              <w:t>Performance</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1860" w:type="dxa"/>
            <w:vAlign w:val="bottom"/>
            <w:gridSpan w:val="2"/>
          </w:tcPr>
          <w:p>
            <w:pPr>
              <w:ind w:left="680"/>
              <w:spacing w:after="0"/>
              <w:rPr>
                <w:sz w:val="20"/>
                <w:szCs w:val="20"/>
                <w:color w:val="auto"/>
              </w:rPr>
            </w:pPr>
            <w:r>
              <w:rPr>
                <w:rFonts w:ascii="Arial" w:cs="Arial" w:eastAsia="Arial" w:hAnsi="Arial"/>
                <w:sz w:val="18"/>
                <w:szCs w:val="18"/>
                <w:b w:val="1"/>
                <w:bCs w:val="1"/>
                <w:color w:val="auto"/>
              </w:rPr>
              <w:t>NAND</w:t>
            </w:r>
          </w:p>
        </w:tc>
        <w:tc>
          <w:tcPr>
            <w:tcW w:w="920" w:type="dxa"/>
            <w:vAlign w:val="bottom"/>
          </w:tcPr>
          <w:p>
            <w:pPr>
              <w:spacing w:after="0"/>
              <w:rPr>
                <w:sz w:val="22"/>
                <w:szCs w:val="22"/>
                <w:color w:val="auto"/>
              </w:rPr>
            </w:pPr>
          </w:p>
        </w:tc>
        <w:tc>
          <w:tcPr>
            <w:tcW w:w="2780" w:type="dxa"/>
            <w:vAlign w:val="bottom"/>
            <w:gridSpan w:val="3"/>
          </w:tcPr>
          <w:p>
            <w:pPr>
              <w:ind w:left="660"/>
              <w:spacing w:after="0"/>
              <w:rPr>
                <w:sz w:val="20"/>
                <w:szCs w:val="20"/>
                <w:color w:val="auto"/>
              </w:rPr>
            </w:pPr>
            <w:r>
              <w:rPr>
                <w:rFonts w:ascii="Arial" w:cs="Arial" w:eastAsia="Arial" w:hAnsi="Arial"/>
                <w:sz w:val="18"/>
                <w:szCs w:val="18"/>
                <w:b w:val="1"/>
                <w:bCs w:val="1"/>
                <w:color w:val="auto"/>
              </w:rPr>
              <w:t>DRAM</w:t>
            </w:r>
          </w:p>
        </w:tc>
        <w:tc>
          <w:tcPr>
            <w:tcW w:w="29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Conditions</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rTSR CAGR</w:t>
            </w: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7"/>
              </w:rPr>
              <w:t>Fiscal</w:t>
            </w:r>
          </w:p>
        </w:tc>
        <w:tc>
          <w:tcPr>
            <w:tcW w:w="9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8"/>
              </w:rPr>
              <w:t>Actual</w:t>
            </w:r>
          </w:p>
        </w:tc>
        <w:tc>
          <w:tcPr>
            <w:tcW w:w="8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9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8"/>
              </w:rPr>
              <w:t>Actual</w:t>
            </w:r>
          </w:p>
        </w:tc>
        <w:tc>
          <w:tcPr>
            <w:tcW w:w="8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10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rPr>
              <w:t>Actual</w:t>
            </w:r>
          </w:p>
        </w:tc>
        <w:tc>
          <w:tcPr>
            <w:tcW w:w="90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920" w:type="dxa"/>
            <w:vAlign w:val="bottom"/>
            <w:tcBorders>
              <w:top w:val="single" w:sz="8" w:color="BD03F7"/>
            </w:tcBorders>
          </w:tcPr>
          <w:p>
            <w:pPr>
              <w:ind w:left="200"/>
              <w:spacing w:after="0" w:line="183" w:lineRule="exact"/>
              <w:rPr>
                <w:sz w:val="20"/>
                <w:szCs w:val="20"/>
                <w:color w:val="auto"/>
              </w:rPr>
            </w:pPr>
            <w:r>
              <w:rPr>
                <w:rFonts w:ascii="Arial" w:cs="Arial" w:eastAsia="Arial" w:hAnsi="Arial"/>
                <w:sz w:val="18"/>
                <w:szCs w:val="18"/>
                <w:b w:val="1"/>
                <w:bCs w:val="1"/>
                <w:color w:val="auto"/>
              </w:rPr>
              <w:t>Actual</w:t>
            </w:r>
          </w:p>
        </w:tc>
        <w:tc>
          <w:tcPr>
            <w:tcW w:w="94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Year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c>
          <w:tcPr>
            <w:tcW w:w="9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18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Factor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Result</w:t>
            </w:r>
          </w:p>
        </w:tc>
        <w:tc>
          <w:tcPr>
            <w:tcW w:w="18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Factor</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Result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Factor</w:t>
            </w:r>
          </w:p>
        </w:tc>
        <w:tc>
          <w:tcPr>
            <w:tcW w:w="0" w:type="dxa"/>
            <w:vAlign w:val="bottom"/>
          </w:tcPr>
          <w:p>
            <w:pPr>
              <w:spacing w:after="0"/>
              <w:rPr>
                <w:sz w:val="1"/>
                <w:szCs w:val="1"/>
                <w:color w:val="auto"/>
              </w:rPr>
            </w:pPr>
          </w:p>
        </w:tc>
      </w:tr>
      <w:tr>
        <w:trPr>
          <w:trHeight w:val="215"/>
        </w:trPr>
        <w:tc>
          <w:tcPr>
            <w:tcW w:w="920" w:type="dxa"/>
            <w:vAlign w:val="bottom"/>
            <w:tcBorders>
              <w:top w:val="single" w:sz="8" w:color="BD03F7"/>
            </w:tcBorders>
          </w:tcPr>
          <w:p>
            <w:pPr>
              <w:spacing w:after="0"/>
              <w:rPr>
                <w:sz w:val="18"/>
                <w:szCs w:val="18"/>
                <w:color w:val="auto"/>
              </w:rPr>
            </w:pPr>
          </w:p>
        </w:tc>
        <w:tc>
          <w:tcPr>
            <w:tcW w:w="98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8"/>
                <w:szCs w:val="18"/>
                <w:color w:val="auto"/>
                <w:w w:val="97"/>
              </w:rPr>
              <w:t>Above</w:t>
            </w:r>
          </w:p>
        </w:tc>
        <w:tc>
          <w:tcPr>
            <w:tcW w:w="88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Borders>
              <w:top w:val="single" w:sz="8" w:color="BD03F7"/>
            </w:tcBorders>
          </w:tcPr>
          <w:p>
            <w:pPr>
              <w:spacing w:after="0"/>
              <w:rPr>
                <w:sz w:val="18"/>
                <w:szCs w:val="18"/>
                <w:color w:val="auto"/>
              </w:rPr>
            </w:pPr>
          </w:p>
        </w:tc>
        <w:tc>
          <w:tcPr>
            <w:tcW w:w="88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Achieved</w:t>
            </w:r>
          </w:p>
        </w:tc>
        <w:tc>
          <w:tcPr>
            <w:tcW w:w="90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top w:val="single" w:sz="8" w:color="BD03F7"/>
            </w:tcBorders>
          </w:tcPr>
          <w:p>
            <w:pPr>
              <w:spacing w:after="0"/>
              <w:rPr>
                <w:sz w:val="18"/>
                <w:szCs w:val="18"/>
                <w:color w:val="auto"/>
              </w:rPr>
            </w:pPr>
          </w:p>
        </w:tc>
        <w:tc>
          <w:tcPr>
            <w:tcW w:w="940" w:type="dxa"/>
            <w:vAlign w:val="bottom"/>
            <w:tcBorders>
              <w:top w:val="single" w:sz="8" w:color="BD03F7"/>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restart"/>
          </w:tcPr>
          <w:p>
            <w:pPr>
              <w:jc w:val="center"/>
              <w:spacing w:after="0" w:line="183" w:lineRule="exact"/>
              <w:rPr>
                <w:sz w:val="20"/>
                <w:szCs w:val="20"/>
                <w:color w:val="auto"/>
              </w:rPr>
            </w:pPr>
            <w:r>
              <w:rPr>
                <w:rFonts w:ascii="Arial" w:cs="Arial" w:eastAsia="Arial" w:hAnsi="Arial"/>
                <w:sz w:val="18"/>
                <w:szCs w:val="18"/>
                <w:color w:val="auto"/>
                <w:w w:val="99"/>
              </w:rPr>
              <w:t>cumulative</w:t>
            </w: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98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9"/>
              </w:rPr>
              <w:t>target but</w:t>
            </w: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Above</w:t>
            </w: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8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99"/>
              </w:rPr>
              <w:t>167%</w:t>
            </w:r>
          </w:p>
        </w:tc>
        <w:tc>
          <w:tcPr>
            <w:tcW w:w="9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88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99"/>
              </w:rPr>
              <w:t>24%</w:t>
            </w:r>
          </w:p>
        </w:tc>
        <w:tc>
          <w:tcPr>
            <w:tcW w:w="920" w:type="dxa"/>
            <w:vAlign w:val="bottom"/>
          </w:tcPr>
          <w:p>
            <w:pPr>
              <w:spacing w:after="0"/>
              <w:rPr>
                <w:sz w:val="7"/>
                <w:szCs w:val="7"/>
                <w:color w:val="auto"/>
              </w:rPr>
            </w:pPr>
          </w:p>
        </w:tc>
        <w:tc>
          <w:tcPr>
            <w:tcW w:w="108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99"/>
              </w:rPr>
              <w:t>HBM</w:t>
            </w:r>
          </w:p>
        </w:tc>
        <w:tc>
          <w:tcPr>
            <w:tcW w:w="90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99"/>
              </w:rPr>
              <w:t>33%</w:t>
            </w:r>
          </w:p>
        </w:tc>
        <w:tc>
          <w:tcPr>
            <w:tcW w:w="920" w:type="dxa"/>
            <w:vAlign w:val="bottom"/>
          </w:tcPr>
          <w:p>
            <w:pPr>
              <w:spacing w:after="0"/>
              <w:rPr>
                <w:sz w:val="7"/>
                <w:szCs w:val="7"/>
                <w:color w:val="auto"/>
              </w:rPr>
            </w:pPr>
          </w:p>
        </w:tc>
        <w:tc>
          <w:tcPr>
            <w:tcW w:w="920" w:type="dxa"/>
            <w:vAlign w:val="bottom"/>
            <w:vMerge w:val="restart"/>
          </w:tcPr>
          <w:p>
            <w:pPr>
              <w:ind w:left="80"/>
              <w:spacing w:after="0" w:line="181" w:lineRule="exact"/>
              <w:rPr>
                <w:sz w:val="20"/>
                <w:szCs w:val="20"/>
                <w:color w:val="auto"/>
              </w:rPr>
            </w:pPr>
            <w:r>
              <w:rPr>
                <w:rFonts w:ascii="Arial" w:cs="Arial" w:eastAsia="Arial" w:hAnsi="Arial"/>
                <w:sz w:val="18"/>
                <w:szCs w:val="18"/>
                <w:color w:val="auto"/>
              </w:rPr>
              <w:t>+4.2pp</w:t>
            </w:r>
          </w:p>
        </w:tc>
        <w:tc>
          <w:tcPr>
            <w:tcW w:w="94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94"/>
        </w:trPr>
        <w:tc>
          <w:tcPr>
            <w:tcW w:w="92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below</w:t>
            </w:r>
          </w:p>
        </w:tc>
        <w:tc>
          <w:tcPr>
            <w:tcW w:w="8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threshold</w:t>
            </w:r>
          </w:p>
        </w:tc>
        <w:tc>
          <w:tcPr>
            <w:tcW w:w="8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07" w:lineRule="exact"/>
              <w:rPr>
                <w:sz w:val="20"/>
                <w:szCs w:val="20"/>
                <w:color w:val="auto"/>
              </w:rPr>
            </w:pPr>
            <w:r>
              <w:rPr>
                <w:rFonts w:ascii="Arial" w:cs="Arial" w:eastAsia="Arial" w:hAnsi="Arial"/>
                <w:sz w:val="12"/>
                <w:szCs w:val="12"/>
                <w:color w:val="auto"/>
              </w:rPr>
              <w:t>revenue</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955" cy="6064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955" cy="606425"/>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maximum</w:t>
            </w:r>
          </w:p>
        </w:tc>
        <w:tc>
          <w:tcPr>
            <w:tcW w:w="2880" w:type="dxa"/>
            <w:vAlign w:val="bottom"/>
            <w:vMerge w:val="restart"/>
          </w:tcPr>
          <w:p>
            <w:pPr>
              <w:ind w:left="2540"/>
              <w:spacing w:after="0"/>
              <w:rPr>
                <w:sz w:val="20"/>
                <w:szCs w:val="20"/>
                <w:color w:val="auto"/>
              </w:rPr>
            </w:pPr>
            <w:r>
              <w:rPr>
                <w:rFonts w:ascii="Arial" w:cs="Arial" w:eastAsia="Arial" w:hAnsi="Arial"/>
                <w:sz w:val="18"/>
                <w:szCs w:val="18"/>
                <w:color w:val="auto"/>
                <w:w w:val="93"/>
              </w:rPr>
              <w:t>goal</w:t>
            </w:r>
          </w:p>
        </w:tc>
        <w:tc>
          <w:tcPr>
            <w:tcW w:w="0" w:type="dxa"/>
            <w:vAlign w:val="bottom"/>
          </w:tcPr>
          <w:p>
            <w:pPr>
              <w:spacing w:after="0"/>
              <w:rPr>
                <w:sz w:val="1"/>
                <w:szCs w:val="1"/>
                <w:color w:val="auto"/>
              </w:rPr>
            </w:pPr>
          </w:p>
        </w:tc>
      </w:tr>
      <w:tr>
        <w:trPr>
          <w:trHeight w:val="58"/>
        </w:trPr>
        <w:tc>
          <w:tcPr>
            <w:tcW w:w="3300" w:type="dxa"/>
            <w:vAlign w:val="bottom"/>
          </w:tcPr>
          <w:p>
            <w:pPr>
              <w:spacing w:after="0"/>
              <w:rPr>
                <w:sz w:val="5"/>
                <w:szCs w:val="5"/>
                <w:color w:val="auto"/>
              </w:rPr>
            </w:pP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2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Performance will also be measured after the end of Fiscal 2025—year three of the Performance Period—and additional shares may or may not be earned. Following the completion of Fiscal 2025, the Company intends to provide additional information regarding the goals, their achievement, and whether additional shares were earned.</w:t>
      </w:r>
    </w:p>
    <w:p>
      <w:pPr>
        <w:spacing w:after="0" w:line="197"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The Compensation Committee certified that the following shares had been earned by our Named Executive Officers under the 2023 PRSU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Fiscal 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Fiscal 2023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Fiscal 2023</w:t>
            </w:r>
          </w:p>
        </w:tc>
        <w:tc>
          <w:tcPr>
            <w:tcW w:w="960" w:type="dxa"/>
            <w:vAlign w:val="bottom"/>
          </w:tcPr>
          <w:p>
            <w:pPr>
              <w:spacing w:after="0"/>
              <w:rPr>
                <w:sz w:val="18"/>
                <w:szCs w:val="18"/>
                <w:color w:val="auto"/>
              </w:rPr>
            </w:pPr>
          </w:p>
        </w:tc>
      </w:tr>
      <w:tr>
        <w:trPr>
          <w:trHeight w:val="254"/>
        </w:trPr>
        <w:tc>
          <w:tcPr>
            <w:tcW w:w="1440" w:type="dxa"/>
            <w:vAlign w:val="bottom"/>
          </w:tcPr>
          <w:p>
            <w:pPr>
              <w:spacing w:after="0"/>
              <w:rPr>
                <w:sz w:val="22"/>
                <w:szCs w:val="22"/>
                <w:color w:val="auto"/>
              </w:rPr>
            </w:pPr>
          </w:p>
        </w:tc>
        <w:tc>
          <w:tcPr>
            <w:tcW w:w="980" w:type="dxa"/>
            <w:vAlign w:val="bottom"/>
            <w:tcBorders>
              <w:bottom w:val="single" w:sz="8" w:color="BD03F7"/>
            </w:tcBorders>
          </w:tcPr>
          <w:p>
            <w:pPr>
              <w:spacing w:after="0"/>
              <w:rPr>
                <w:sz w:val="22"/>
                <w:szCs w:val="22"/>
                <w:color w:val="auto"/>
              </w:rPr>
            </w:pPr>
          </w:p>
        </w:tc>
        <w:tc>
          <w:tcPr>
            <w:tcW w:w="12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NAND Shares</w:t>
            </w:r>
          </w:p>
        </w:tc>
        <w:tc>
          <w:tcPr>
            <w:tcW w:w="920" w:type="dxa"/>
            <w:vAlign w:val="bottom"/>
            <w:tcBorders>
              <w:bottom w:val="single" w:sz="8" w:color="BD03F7"/>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BD03F7"/>
            </w:tcBorders>
          </w:tcPr>
          <w:p>
            <w:pPr>
              <w:spacing w:after="0"/>
              <w:rPr>
                <w:sz w:val="22"/>
                <w:szCs w:val="22"/>
                <w:color w:val="auto"/>
              </w:rPr>
            </w:pPr>
          </w:p>
        </w:tc>
        <w:tc>
          <w:tcPr>
            <w:tcW w:w="12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DRAM Shares</w:t>
            </w:r>
          </w:p>
        </w:tc>
        <w:tc>
          <w:tcPr>
            <w:tcW w:w="900" w:type="dxa"/>
            <w:vAlign w:val="bottom"/>
            <w:tcBorders>
              <w:bottom w:val="single" w:sz="8" w:color="BD03F7"/>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BD03F7"/>
            </w:tcBorders>
          </w:tcPr>
          <w:p>
            <w:pPr>
              <w:spacing w:after="0"/>
              <w:rPr>
                <w:sz w:val="22"/>
                <w:szCs w:val="22"/>
                <w:color w:val="auto"/>
              </w:rPr>
            </w:pPr>
          </w:p>
        </w:tc>
        <w:tc>
          <w:tcPr>
            <w:tcW w:w="12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rTSR Shares</w:t>
            </w:r>
          </w:p>
        </w:tc>
        <w:tc>
          <w:tcPr>
            <w:tcW w:w="960" w:type="dxa"/>
            <w:vAlign w:val="bottom"/>
            <w:tcBorders>
              <w:bottom w:val="single" w:sz="8" w:color="BD03F7"/>
            </w:tcBorders>
          </w:tcPr>
          <w:p>
            <w:pPr>
              <w:spacing w:after="0"/>
              <w:rPr>
                <w:sz w:val="22"/>
                <w:szCs w:val="22"/>
                <w:color w:val="auto"/>
              </w:rPr>
            </w:pPr>
          </w:p>
        </w:tc>
      </w:tr>
      <w:tr>
        <w:trPr>
          <w:trHeight w:val="196"/>
        </w:trPr>
        <w:tc>
          <w:tcPr>
            <w:tcW w:w="1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Executive</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4"/>
        </w:trPr>
        <w:tc>
          <w:tcPr>
            <w:tcW w:w="1440" w:type="dxa"/>
            <w:vAlign w:val="bottom"/>
            <w:tcBorders>
              <w:bottom w:val="single" w:sz="8" w:color="BD03F7"/>
            </w:tcBorders>
          </w:tcPr>
          <w:p>
            <w:pPr>
              <w:spacing w:after="0"/>
              <w:rPr>
                <w:sz w:val="22"/>
                <w:szCs w:val="22"/>
                <w:color w:val="auto"/>
              </w:rPr>
            </w:pPr>
          </w:p>
        </w:tc>
        <w:tc>
          <w:tcPr>
            <w:tcW w:w="980" w:type="dxa"/>
            <w:vAlign w:val="bottom"/>
            <w:tcBorders>
              <w:bottom w:val="single" w:sz="8" w:color="BD03F7"/>
            </w:tcBorders>
          </w:tcPr>
          <w:p>
            <w:pPr>
              <w:jc w:val="right"/>
              <w:ind w:right="150"/>
              <w:spacing w:after="0"/>
              <w:rPr>
                <w:sz w:val="20"/>
                <w:szCs w:val="20"/>
                <w:color w:val="auto"/>
              </w:rPr>
            </w:pPr>
            <w:r>
              <w:rPr>
                <w:rFonts w:ascii="Arial" w:cs="Arial" w:eastAsia="Arial" w:hAnsi="Arial"/>
                <w:sz w:val="18"/>
                <w:szCs w:val="18"/>
                <w:b w:val="1"/>
                <w:bCs w:val="1"/>
                <w:color w:val="auto"/>
              </w:rPr>
              <w:t>FY24</w:t>
            </w:r>
          </w:p>
        </w:tc>
        <w:tc>
          <w:tcPr>
            <w:tcW w:w="12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1020" w:type="dxa"/>
            <w:vAlign w:val="bottom"/>
            <w:tcBorders>
              <w:bottom w:val="single" w:sz="8" w:color="BD03F7"/>
            </w:tcBorders>
            <w:gridSpan w:val="2"/>
          </w:tcPr>
          <w:p>
            <w:pPr>
              <w:ind w:left="80"/>
              <w:spacing w:after="0"/>
              <w:rPr>
                <w:sz w:val="20"/>
                <w:szCs w:val="20"/>
                <w:color w:val="auto"/>
              </w:rPr>
            </w:pPr>
            <w:r>
              <w:rPr>
                <w:rFonts w:ascii="Arial" w:cs="Arial" w:eastAsia="Arial" w:hAnsi="Arial"/>
                <w:sz w:val="18"/>
                <w:szCs w:val="18"/>
                <w:b w:val="1"/>
                <w:bCs w:val="1"/>
                <w:color w:val="auto"/>
              </w:rPr>
              <w:t>Banked</w:t>
            </w:r>
          </w:p>
        </w:tc>
        <w:tc>
          <w:tcPr>
            <w:tcW w:w="980" w:type="dxa"/>
            <w:vAlign w:val="bottom"/>
            <w:tcBorders>
              <w:bottom w:val="single" w:sz="8" w:color="BD03F7"/>
            </w:tcBorders>
          </w:tcPr>
          <w:p>
            <w:pPr>
              <w:jc w:val="right"/>
              <w:ind w:right="150"/>
              <w:spacing w:after="0"/>
              <w:rPr>
                <w:sz w:val="20"/>
                <w:szCs w:val="20"/>
                <w:color w:val="auto"/>
              </w:rPr>
            </w:pPr>
            <w:r>
              <w:rPr>
                <w:rFonts w:ascii="Arial" w:cs="Arial" w:eastAsia="Arial" w:hAnsi="Arial"/>
                <w:sz w:val="18"/>
                <w:szCs w:val="18"/>
                <w:b w:val="1"/>
                <w:bCs w:val="1"/>
                <w:color w:val="auto"/>
              </w:rPr>
              <w:t>FY24</w:t>
            </w:r>
          </w:p>
        </w:tc>
        <w:tc>
          <w:tcPr>
            <w:tcW w:w="12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1020" w:type="dxa"/>
            <w:vAlign w:val="bottom"/>
            <w:tcBorders>
              <w:bottom w:val="single" w:sz="8" w:color="BD03F7"/>
            </w:tcBorders>
            <w:gridSpan w:val="2"/>
          </w:tcPr>
          <w:p>
            <w:pPr>
              <w:ind w:left="60"/>
              <w:spacing w:after="0"/>
              <w:rPr>
                <w:sz w:val="20"/>
                <w:szCs w:val="20"/>
                <w:color w:val="auto"/>
              </w:rPr>
            </w:pPr>
            <w:r>
              <w:rPr>
                <w:rFonts w:ascii="Arial" w:cs="Arial" w:eastAsia="Arial" w:hAnsi="Arial"/>
                <w:sz w:val="18"/>
                <w:szCs w:val="18"/>
                <w:b w:val="1"/>
                <w:bCs w:val="1"/>
                <w:color w:val="auto"/>
              </w:rPr>
              <w:t>Banked</w:t>
            </w:r>
          </w:p>
        </w:tc>
        <w:tc>
          <w:tcPr>
            <w:tcW w:w="1020" w:type="dxa"/>
            <w:vAlign w:val="bottom"/>
            <w:tcBorders>
              <w:bottom w:val="single" w:sz="8" w:color="BD03F7"/>
            </w:tcBorders>
          </w:tcPr>
          <w:p>
            <w:pPr>
              <w:jc w:val="right"/>
              <w:ind w:right="190"/>
              <w:spacing w:after="0"/>
              <w:rPr>
                <w:sz w:val="20"/>
                <w:szCs w:val="20"/>
                <w:color w:val="auto"/>
              </w:rPr>
            </w:pPr>
            <w:r>
              <w:rPr>
                <w:rFonts w:ascii="Arial" w:cs="Arial" w:eastAsia="Arial" w:hAnsi="Arial"/>
                <w:sz w:val="18"/>
                <w:szCs w:val="18"/>
                <w:b w:val="1"/>
                <w:bCs w:val="1"/>
                <w:color w:val="auto"/>
              </w:rPr>
              <w:t>FY24</w:t>
            </w:r>
          </w:p>
        </w:tc>
        <w:tc>
          <w:tcPr>
            <w:tcW w:w="12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960" w:type="dxa"/>
            <w:vAlign w:val="bottom"/>
            <w:tcBorders>
              <w:bottom w:val="single" w:sz="8" w:color="BD03F7"/>
            </w:tcBorders>
          </w:tcPr>
          <w:p>
            <w:pPr>
              <w:jc w:val="right"/>
              <w:ind w:right="110"/>
              <w:spacing w:after="0"/>
              <w:rPr>
                <w:sz w:val="20"/>
                <w:szCs w:val="20"/>
                <w:color w:val="auto"/>
              </w:rPr>
            </w:pPr>
            <w:r>
              <w:rPr>
                <w:rFonts w:ascii="Arial" w:cs="Arial" w:eastAsia="Arial" w:hAnsi="Arial"/>
                <w:sz w:val="18"/>
                <w:szCs w:val="18"/>
                <w:b w:val="1"/>
                <w:bCs w:val="1"/>
                <w:color w:val="auto"/>
              </w:rPr>
              <w:t>Banked</w:t>
            </w:r>
          </w:p>
        </w:tc>
      </w:tr>
      <w:tr>
        <w:trPr>
          <w:trHeight w:val="40"/>
        </w:trPr>
        <w:tc>
          <w:tcPr>
            <w:tcW w:w="1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112,560</w:t>
            </w:r>
          </w:p>
        </w:tc>
        <w:tc>
          <w:tcPr>
            <w:tcW w:w="12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56,280</w:t>
            </w: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56,280</w:t>
            </w:r>
          </w:p>
        </w:tc>
        <w:tc>
          <w:tcPr>
            <w:tcW w:w="100" w:type="dxa"/>
            <w:vAlign w:val="bottom"/>
            <w:shd w:val="clear" w:color="auto" w:fill="F2F2F2"/>
          </w:tcPr>
          <w:p>
            <w:pPr>
              <w:spacing w:after="0"/>
              <w:rPr>
                <w:sz w:val="22"/>
                <w:szCs w:val="22"/>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32,080</w:t>
            </w:r>
          </w:p>
        </w:tc>
        <w:tc>
          <w:tcPr>
            <w:tcW w:w="126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16,040</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16,040</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95,866</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47,933</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47,933</w:t>
            </w:r>
          </w:p>
        </w:tc>
      </w:tr>
      <w:tr>
        <w:trPr>
          <w:trHeight w:val="256"/>
        </w:trPr>
        <w:tc>
          <w:tcPr>
            <w:tcW w:w="144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980" w:type="dxa"/>
            <w:vAlign w:val="bottom"/>
          </w:tcPr>
          <w:p>
            <w:pPr>
              <w:jc w:val="right"/>
              <w:spacing w:after="0"/>
              <w:rPr>
                <w:sz w:val="20"/>
                <w:szCs w:val="20"/>
                <w:color w:val="auto"/>
              </w:rPr>
            </w:pPr>
            <w:r>
              <w:rPr>
                <w:rFonts w:ascii="Arial" w:cs="Arial" w:eastAsia="Arial" w:hAnsi="Arial"/>
                <w:sz w:val="18"/>
                <w:szCs w:val="18"/>
                <w:color w:val="auto"/>
              </w:rPr>
              <w:t>36,730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18,365</w:t>
            </w:r>
          </w:p>
        </w:tc>
        <w:tc>
          <w:tcPr>
            <w:tcW w:w="920" w:type="dxa"/>
            <w:vAlign w:val="bottom"/>
          </w:tcPr>
          <w:p>
            <w:pPr>
              <w:jc w:val="right"/>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10,468</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5,234</w:t>
            </w:r>
          </w:p>
        </w:tc>
        <w:tc>
          <w:tcPr>
            <w:tcW w:w="90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31,282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15,641</w:t>
            </w:r>
          </w:p>
        </w:tc>
        <w:tc>
          <w:tcPr>
            <w:tcW w:w="960" w:type="dxa"/>
            <w:vAlign w:val="bottom"/>
          </w:tcPr>
          <w:p>
            <w:pPr>
              <w:jc w:val="right"/>
              <w:spacing w:after="0"/>
              <w:rPr>
                <w:sz w:val="20"/>
                <w:szCs w:val="20"/>
                <w:color w:val="auto"/>
              </w:rPr>
            </w:pPr>
            <w:r>
              <w:rPr>
                <w:rFonts w:ascii="Arial" w:cs="Arial" w:eastAsia="Arial" w:hAnsi="Arial"/>
                <w:sz w:val="18"/>
                <w:szCs w:val="18"/>
                <w:color w:val="auto"/>
              </w:rPr>
              <w:t>15,641</w:t>
            </w:r>
          </w:p>
        </w:tc>
      </w:tr>
      <w:tr>
        <w:trPr>
          <w:trHeight w:val="256"/>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39,100</w:t>
            </w:r>
          </w:p>
        </w:tc>
        <w:tc>
          <w:tcPr>
            <w:tcW w:w="12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19,550</w:t>
            </w: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19,550</w:t>
            </w:r>
          </w:p>
        </w:tc>
        <w:tc>
          <w:tcPr>
            <w:tcW w:w="100" w:type="dxa"/>
            <w:vAlign w:val="bottom"/>
            <w:shd w:val="clear" w:color="auto" w:fill="F2F2F2"/>
          </w:tcPr>
          <w:p>
            <w:pPr>
              <w:spacing w:after="0"/>
              <w:rPr>
                <w:sz w:val="22"/>
                <w:szCs w:val="22"/>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11,144</w:t>
            </w:r>
          </w:p>
        </w:tc>
        <w:tc>
          <w:tcPr>
            <w:tcW w:w="126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5,572</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33,301</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16,650</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16,651</w:t>
            </w:r>
          </w:p>
        </w:tc>
      </w:tr>
      <w:tr>
        <w:trPr>
          <w:trHeight w:val="256"/>
        </w:trPr>
        <w:tc>
          <w:tcPr>
            <w:tcW w:w="144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980" w:type="dxa"/>
            <w:vAlign w:val="bottom"/>
          </w:tcPr>
          <w:p>
            <w:pPr>
              <w:jc w:val="right"/>
              <w:spacing w:after="0"/>
              <w:rPr>
                <w:sz w:val="20"/>
                <w:szCs w:val="20"/>
                <w:color w:val="auto"/>
              </w:rPr>
            </w:pPr>
            <w:r>
              <w:rPr>
                <w:rFonts w:ascii="Arial" w:cs="Arial" w:eastAsia="Arial" w:hAnsi="Arial"/>
                <w:sz w:val="18"/>
                <w:szCs w:val="18"/>
                <w:color w:val="auto"/>
              </w:rPr>
              <w:t>30,806</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15,403</w:t>
            </w:r>
          </w:p>
        </w:tc>
        <w:tc>
          <w:tcPr>
            <w:tcW w:w="920" w:type="dxa"/>
            <w:vAlign w:val="bottom"/>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4,390</w:t>
            </w:r>
          </w:p>
        </w:tc>
        <w:tc>
          <w:tcPr>
            <w:tcW w:w="90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26,238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13,119</w:t>
            </w:r>
          </w:p>
        </w:tc>
        <w:tc>
          <w:tcPr>
            <w:tcW w:w="960" w:type="dxa"/>
            <w:vAlign w:val="bottom"/>
          </w:tcPr>
          <w:p>
            <w:pPr>
              <w:jc w:val="right"/>
              <w:spacing w:after="0"/>
              <w:rPr>
                <w:sz w:val="20"/>
                <w:szCs w:val="20"/>
                <w:color w:val="auto"/>
              </w:rPr>
            </w:pPr>
            <w:r>
              <w:rPr>
                <w:rFonts w:ascii="Arial" w:cs="Arial" w:eastAsia="Arial" w:hAnsi="Arial"/>
                <w:sz w:val="18"/>
                <w:szCs w:val="18"/>
                <w:color w:val="auto"/>
              </w:rPr>
              <w:t>13,119</w:t>
            </w:r>
          </w:p>
        </w:tc>
      </w:tr>
      <w:tr>
        <w:trPr>
          <w:trHeight w:val="256"/>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40,284</w:t>
            </w:r>
          </w:p>
        </w:tc>
        <w:tc>
          <w:tcPr>
            <w:tcW w:w="12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20,142</w:t>
            </w: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20,142</w:t>
            </w:r>
          </w:p>
        </w:tc>
        <w:tc>
          <w:tcPr>
            <w:tcW w:w="100" w:type="dxa"/>
            <w:vAlign w:val="bottom"/>
            <w:shd w:val="clear" w:color="auto" w:fill="F2F2F2"/>
          </w:tcPr>
          <w:p>
            <w:pPr>
              <w:spacing w:after="0"/>
              <w:rPr>
                <w:sz w:val="22"/>
                <w:szCs w:val="22"/>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11,481</w:t>
            </w:r>
          </w:p>
        </w:tc>
        <w:tc>
          <w:tcPr>
            <w:tcW w:w="126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5,740</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5,741</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34,311</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17,155</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17,156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PRSUs Granted in Fiscal 2022</w:t>
      </w:r>
    </w:p>
    <w:p>
      <w:pPr>
        <w:spacing w:after="0" w:line="250"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In October 2024, the Compensation Committee reviewed the Company’s performance relative to the performance goals for the 2022 PRSU Awards for Fiscal 2024—year three the Performance Period—and confirmed the following results: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2022 PRSU Award Payout Factors</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900" w:type="dxa"/>
            <w:vAlign w:val="bottom"/>
            <w:tcBorders>
              <w:top w:val="single" w:sz="8" w:color="BD03F7"/>
            </w:tcBorders>
          </w:tcPr>
          <w:p>
            <w:pPr>
              <w:spacing w:after="0"/>
              <w:rPr>
                <w:sz w:val="17"/>
                <w:szCs w:val="17"/>
                <w:color w:val="auto"/>
              </w:rPr>
            </w:pPr>
          </w:p>
        </w:tc>
        <w:tc>
          <w:tcPr>
            <w:tcW w:w="940" w:type="dxa"/>
            <w:vAlign w:val="bottom"/>
            <w:tcBorders>
              <w:top w:val="single" w:sz="8" w:color="BD03F7"/>
            </w:tcBorders>
          </w:tcPr>
          <w:p>
            <w:pPr>
              <w:spacing w:after="0"/>
              <w:rPr>
                <w:sz w:val="17"/>
                <w:szCs w:val="17"/>
                <w:color w:val="auto"/>
              </w:rPr>
            </w:pPr>
          </w:p>
        </w:tc>
        <w:tc>
          <w:tcPr>
            <w:tcW w:w="920" w:type="dxa"/>
            <w:vAlign w:val="bottom"/>
            <w:tcBorders>
              <w:top w:val="single" w:sz="8" w:color="BD03F7"/>
            </w:tcBorders>
          </w:tcPr>
          <w:p>
            <w:pPr>
              <w:spacing w:after="0"/>
              <w:rPr>
                <w:sz w:val="17"/>
                <w:szCs w:val="17"/>
                <w:color w:val="auto"/>
              </w:rPr>
            </w:pPr>
          </w:p>
        </w:tc>
        <w:tc>
          <w:tcPr>
            <w:tcW w:w="3660" w:type="dxa"/>
            <w:vAlign w:val="bottom"/>
            <w:tcBorders>
              <w:top w:val="single" w:sz="8" w:color="BD03F7"/>
            </w:tcBorders>
            <w:gridSpan w:val="4"/>
          </w:tcPr>
          <w:p>
            <w:pPr>
              <w:jc w:val="center"/>
              <w:spacing w:after="0" w:line="205" w:lineRule="exact"/>
              <w:rPr>
                <w:sz w:val="20"/>
                <w:szCs w:val="20"/>
                <w:color w:val="auto"/>
              </w:rPr>
            </w:pPr>
            <w:r>
              <w:rPr>
                <w:rFonts w:ascii="Arial" w:cs="Arial" w:eastAsia="Arial" w:hAnsi="Arial"/>
                <w:sz w:val="18"/>
                <w:szCs w:val="18"/>
                <w:b w:val="1"/>
                <w:bCs w:val="1"/>
                <w:color w:val="auto"/>
                <w:w w:val="99"/>
              </w:rPr>
              <w:t>Operational - 50% Weight</w:t>
            </w:r>
          </w:p>
        </w:tc>
        <w:tc>
          <w:tcPr>
            <w:tcW w:w="1020" w:type="dxa"/>
            <w:vAlign w:val="bottom"/>
            <w:tcBorders>
              <w:top w:val="single" w:sz="8" w:color="BD03F7"/>
            </w:tcBorders>
          </w:tcPr>
          <w:p>
            <w:pPr>
              <w:spacing w:after="0"/>
              <w:rPr>
                <w:sz w:val="17"/>
                <w:szCs w:val="17"/>
                <w:color w:val="auto"/>
              </w:rPr>
            </w:pPr>
          </w:p>
        </w:tc>
        <w:tc>
          <w:tcPr>
            <w:tcW w:w="880" w:type="dxa"/>
            <w:vAlign w:val="bottom"/>
            <w:tcBorders>
              <w:top w:val="single" w:sz="8" w:color="BD03F7"/>
            </w:tcBorders>
          </w:tcPr>
          <w:p>
            <w:pPr>
              <w:spacing w:after="0"/>
              <w:rPr>
                <w:sz w:val="17"/>
                <w:szCs w:val="17"/>
                <w:color w:val="auto"/>
              </w:rPr>
            </w:pPr>
          </w:p>
        </w:tc>
        <w:tc>
          <w:tcPr>
            <w:tcW w:w="940" w:type="dxa"/>
            <w:vAlign w:val="bottom"/>
            <w:tcBorders>
              <w:top w:val="single" w:sz="8" w:color="BD03F7"/>
            </w:tcBorders>
          </w:tcPr>
          <w:p>
            <w:pPr>
              <w:spacing w:after="0"/>
              <w:rPr>
                <w:sz w:val="17"/>
                <w:szCs w:val="17"/>
                <w:color w:val="auto"/>
              </w:rPr>
            </w:pPr>
          </w:p>
        </w:tc>
        <w:tc>
          <w:tcPr>
            <w:tcW w:w="1840" w:type="dxa"/>
            <w:vAlign w:val="bottom"/>
            <w:tcBorders>
              <w:top w:val="single" w:sz="8" w:color="BD03F7"/>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9"/>
              </w:rPr>
              <w:t>Financial - 50%</w:t>
            </w:r>
          </w:p>
        </w:tc>
      </w:tr>
      <w:tr>
        <w:trPr>
          <w:trHeight w:val="254"/>
        </w:trPr>
        <w:tc>
          <w:tcPr>
            <w:tcW w:w="900" w:type="dxa"/>
            <w:vAlign w:val="bottom"/>
          </w:tcPr>
          <w:p>
            <w:pPr>
              <w:spacing w:after="0"/>
              <w:rPr>
                <w:sz w:val="22"/>
                <w:szCs w:val="22"/>
                <w:color w:val="auto"/>
              </w:rPr>
            </w:pPr>
          </w:p>
        </w:tc>
        <w:tc>
          <w:tcPr>
            <w:tcW w:w="940" w:type="dxa"/>
            <w:vAlign w:val="bottom"/>
            <w:tcBorders>
              <w:bottom w:val="single" w:sz="8" w:color="BD03F7"/>
            </w:tcBorders>
          </w:tcPr>
          <w:p>
            <w:pPr>
              <w:spacing w:after="0"/>
              <w:rPr>
                <w:sz w:val="22"/>
                <w:szCs w:val="22"/>
                <w:color w:val="auto"/>
              </w:rPr>
            </w:pPr>
          </w:p>
        </w:tc>
        <w:tc>
          <w:tcPr>
            <w:tcW w:w="920" w:type="dxa"/>
            <w:vAlign w:val="bottom"/>
            <w:tcBorders>
              <w:bottom w:val="single" w:sz="8" w:color="BD03F7"/>
            </w:tcBorders>
          </w:tcPr>
          <w:p>
            <w:pPr>
              <w:spacing w:after="0"/>
              <w:rPr>
                <w:sz w:val="22"/>
                <w:szCs w:val="22"/>
                <w:color w:val="auto"/>
              </w:rPr>
            </w:pPr>
          </w:p>
        </w:tc>
        <w:tc>
          <w:tcPr>
            <w:tcW w:w="940" w:type="dxa"/>
            <w:vAlign w:val="bottom"/>
            <w:tcBorders>
              <w:bottom w:val="single" w:sz="8" w:color="BD03F7"/>
            </w:tcBorders>
          </w:tcPr>
          <w:p>
            <w:pPr>
              <w:spacing w:after="0"/>
              <w:rPr>
                <w:sz w:val="22"/>
                <w:szCs w:val="22"/>
                <w:color w:val="auto"/>
              </w:rPr>
            </w:pPr>
          </w:p>
        </w:tc>
        <w:tc>
          <w:tcPr>
            <w:tcW w:w="940" w:type="dxa"/>
            <w:vAlign w:val="bottom"/>
            <w:tcBorders>
              <w:bottom w:val="single" w:sz="8" w:color="BD03F7"/>
            </w:tcBorders>
          </w:tcPr>
          <w:p>
            <w:pPr>
              <w:spacing w:after="0"/>
              <w:rPr>
                <w:sz w:val="22"/>
                <w:szCs w:val="22"/>
                <w:color w:val="auto"/>
              </w:rPr>
            </w:pPr>
          </w:p>
        </w:tc>
        <w:tc>
          <w:tcPr>
            <w:tcW w:w="920" w:type="dxa"/>
            <w:vAlign w:val="bottom"/>
            <w:tcBorders>
              <w:bottom w:val="single" w:sz="8" w:color="BD03F7"/>
            </w:tcBorders>
          </w:tcPr>
          <w:p>
            <w:pPr>
              <w:spacing w:after="0"/>
              <w:rPr>
                <w:sz w:val="22"/>
                <w:szCs w:val="22"/>
                <w:color w:val="auto"/>
              </w:rPr>
            </w:pPr>
          </w:p>
        </w:tc>
        <w:tc>
          <w:tcPr>
            <w:tcW w:w="860" w:type="dxa"/>
            <w:vAlign w:val="bottom"/>
            <w:tcBorders>
              <w:bottom w:val="single" w:sz="8" w:color="BD03F7"/>
            </w:tcBorders>
          </w:tcPr>
          <w:p>
            <w:pPr>
              <w:spacing w:after="0"/>
              <w:rPr>
                <w:sz w:val="22"/>
                <w:szCs w:val="22"/>
                <w:color w:val="auto"/>
              </w:rPr>
            </w:pPr>
          </w:p>
        </w:tc>
        <w:tc>
          <w:tcPr>
            <w:tcW w:w="1020" w:type="dxa"/>
            <w:vAlign w:val="bottom"/>
            <w:tcBorders>
              <w:bottom w:val="single" w:sz="8" w:color="BD03F7"/>
            </w:tcBorders>
          </w:tcPr>
          <w:p>
            <w:pPr>
              <w:spacing w:after="0"/>
              <w:rPr>
                <w:sz w:val="22"/>
                <w:szCs w:val="22"/>
                <w:color w:val="auto"/>
              </w:rPr>
            </w:pPr>
          </w:p>
        </w:tc>
        <w:tc>
          <w:tcPr>
            <w:tcW w:w="880" w:type="dxa"/>
            <w:vAlign w:val="bottom"/>
            <w:tcBorders>
              <w:bottom w:val="single" w:sz="8" w:color="BD03F7"/>
            </w:tcBorders>
          </w:tcPr>
          <w:p>
            <w:pPr>
              <w:spacing w:after="0"/>
              <w:rPr>
                <w:sz w:val="22"/>
                <w:szCs w:val="22"/>
                <w:color w:val="auto"/>
              </w:rPr>
            </w:pPr>
          </w:p>
        </w:tc>
        <w:tc>
          <w:tcPr>
            <w:tcW w:w="940" w:type="dxa"/>
            <w:vAlign w:val="bottom"/>
          </w:tcPr>
          <w:p>
            <w:pPr>
              <w:spacing w:after="0"/>
              <w:rPr>
                <w:sz w:val="22"/>
                <w:szCs w:val="22"/>
                <w:color w:val="auto"/>
              </w:rPr>
            </w:pPr>
          </w:p>
        </w:tc>
        <w:tc>
          <w:tcPr>
            <w:tcW w:w="1840" w:type="dxa"/>
            <w:vAlign w:val="bottom"/>
            <w:tcBorders>
              <w:bottom w:val="single" w:sz="8" w:color="BD03F7"/>
            </w:tcBorders>
            <w:gridSpan w:val="2"/>
          </w:tcPr>
          <w:p>
            <w:pPr>
              <w:jc w:val="center"/>
              <w:spacing w:after="0"/>
              <w:rPr>
                <w:sz w:val="20"/>
                <w:szCs w:val="20"/>
                <w:color w:val="auto"/>
              </w:rPr>
            </w:pPr>
            <w:r>
              <w:rPr>
                <w:rFonts w:ascii="Arial" w:cs="Arial" w:eastAsia="Arial" w:hAnsi="Arial"/>
                <w:sz w:val="18"/>
                <w:szCs w:val="18"/>
                <w:b w:val="1"/>
                <w:bCs w:val="1"/>
                <w:color w:val="auto"/>
                <w:w w:val="96"/>
              </w:rPr>
              <w:t>Weight</w:t>
            </w:r>
          </w:p>
        </w:tc>
      </w:tr>
      <w:tr>
        <w:trPr>
          <w:trHeight w:val="196"/>
        </w:trPr>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9"/>
              </w:rPr>
              <w:t>Additional</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900" w:type="dxa"/>
            <w:vAlign w:val="bottom"/>
          </w:tcPr>
          <w:p>
            <w:pPr>
              <w:spacing w:after="0"/>
              <w:rPr>
                <w:sz w:val="17"/>
                <w:szCs w:val="17"/>
                <w:color w:val="auto"/>
              </w:rPr>
            </w:pPr>
          </w:p>
        </w:tc>
        <w:tc>
          <w:tcPr>
            <w:tcW w:w="186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9"/>
              </w:rPr>
              <w:t>High-Value</w:t>
            </w:r>
          </w:p>
        </w:tc>
        <w:tc>
          <w:tcPr>
            <w:tcW w:w="940" w:type="dxa"/>
            <w:vAlign w:val="bottom"/>
          </w:tcPr>
          <w:p>
            <w:pPr>
              <w:spacing w:after="0"/>
              <w:rPr>
                <w:sz w:val="17"/>
                <w:szCs w:val="17"/>
                <w:color w:val="auto"/>
              </w:rPr>
            </w:pPr>
          </w:p>
        </w:tc>
        <w:tc>
          <w:tcPr>
            <w:tcW w:w="2720" w:type="dxa"/>
            <w:vAlign w:val="bottom"/>
            <w:gridSpan w:val="3"/>
          </w:tcPr>
          <w:p>
            <w:pPr>
              <w:jc w:val="center"/>
              <w:ind w:right="900"/>
              <w:spacing w:after="0" w:line="201" w:lineRule="exact"/>
              <w:rPr>
                <w:sz w:val="20"/>
                <w:szCs w:val="20"/>
                <w:color w:val="auto"/>
              </w:rPr>
            </w:pPr>
            <w:r>
              <w:rPr>
                <w:rFonts w:ascii="Arial" w:cs="Arial" w:eastAsia="Arial" w:hAnsi="Arial"/>
                <w:sz w:val="18"/>
                <w:szCs w:val="18"/>
                <w:b w:val="1"/>
                <w:bCs w:val="1"/>
                <w:color w:val="auto"/>
                <w:w w:val="99"/>
              </w:rPr>
              <w:t>Market Segment</w:t>
            </w:r>
          </w:p>
        </w:tc>
        <w:tc>
          <w:tcPr>
            <w:tcW w:w="2840" w:type="dxa"/>
            <w:vAlign w:val="bottom"/>
            <w:gridSpan w:val="3"/>
          </w:tcPr>
          <w:p>
            <w:pPr>
              <w:jc w:val="center"/>
              <w:ind w:right="960"/>
              <w:spacing w:after="0" w:line="201" w:lineRule="exact"/>
              <w:rPr>
                <w:sz w:val="20"/>
                <w:szCs w:val="20"/>
                <w:color w:val="auto"/>
              </w:rPr>
            </w:pPr>
            <w:r>
              <w:rPr>
                <w:rFonts w:ascii="Arial" w:cs="Arial" w:eastAsia="Arial" w:hAnsi="Arial"/>
                <w:sz w:val="18"/>
                <w:szCs w:val="18"/>
                <w:b w:val="1"/>
                <w:bCs w:val="1"/>
                <w:color w:val="auto"/>
                <w:w w:val="98"/>
              </w:rPr>
              <w:t>Performance</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4"/>
        </w:trPr>
        <w:tc>
          <w:tcPr>
            <w:tcW w:w="900" w:type="dxa"/>
            <w:vAlign w:val="bottom"/>
          </w:tcPr>
          <w:p>
            <w:pPr>
              <w:spacing w:after="0"/>
              <w:rPr>
                <w:sz w:val="22"/>
                <w:szCs w:val="22"/>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NAND</w:t>
            </w:r>
          </w:p>
        </w:tc>
        <w:tc>
          <w:tcPr>
            <w:tcW w:w="940" w:type="dxa"/>
            <w:vAlign w:val="bottom"/>
          </w:tcPr>
          <w:p>
            <w:pPr>
              <w:spacing w:after="0"/>
              <w:rPr>
                <w:sz w:val="22"/>
                <w:szCs w:val="22"/>
                <w:color w:val="auto"/>
              </w:rPr>
            </w:pPr>
          </w:p>
        </w:tc>
        <w:tc>
          <w:tcPr>
            <w:tcW w:w="27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NAND</w:t>
            </w:r>
          </w:p>
        </w:tc>
        <w:tc>
          <w:tcPr>
            <w:tcW w:w="28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7"/>
              </w:rPr>
              <w:t>Conditions</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rPr>
              <w:t>rTSR CAGR</w:t>
            </w:r>
          </w:p>
        </w:tc>
      </w:tr>
      <w:tr>
        <w:trPr>
          <w:trHeight w:val="183"/>
        </w:trPr>
        <w:tc>
          <w:tcPr>
            <w:tcW w:w="9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7"/>
              </w:rPr>
              <w:t>Fiscal</w:t>
            </w:r>
          </w:p>
        </w:tc>
        <w:tc>
          <w:tcPr>
            <w:tcW w:w="940" w:type="dxa"/>
            <w:vAlign w:val="bottom"/>
            <w:tcBorders>
              <w:top w:val="single" w:sz="8" w:color="BD03F7"/>
            </w:tcBorders>
          </w:tcPr>
          <w:p>
            <w:pPr>
              <w:ind w:left="200"/>
              <w:spacing w:after="0" w:line="183" w:lineRule="exact"/>
              <w:rPr>
                <w:sz w:val="20"/>
                <w:szCs w:val="20"/>
                <w:color w:val="auto"/>
              </w:rPr>
            </w:pPr>
            <w:r>
              <w:rPr>
                <w:rFonts w:ascii="Arial" w:cs="Arial" w:eastAsia="Arial" w:hAnsi="Arial"/>
                <w:sz w:val="18"/>
                <w:szCs w:val="18"/>
                <w:b w:val="1"/>
                <w:bCs w:val="1"/>
                <w:color w:val="auto"/>
              </w:rPr>
              <w:t>Actual</w:t>
            </w:r>
          </w:p>
        </w:tc>
        <w:tc>
          <w:tcPr>
            <w:tcW w:w="92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940" w:type="dxa"/>
            <w:vAlign w:val="bottom"/>
          </w:tcPr>
          <w:p>
            <w:pPr>
              <w:spacing w:after="0"/>
              <w:rPr>
                <w:sz w:val="15"/>
                <w:szCs w:val="15"/>
                <w:color w:val="auto"/>
              </w:rPr>
            </w:pPr>
          </w:p>
        </w:tc>
        <w:tc>
          <w:tcPr>
            <w:tcW w:w="940" w:type="dxa"/>
            <w:vAlign w:val="bottom"/>
            <w:tcBorders>
              <w:top w:val="single" w:sz="8" w:color="BD03F7"/>
            </w:tcBorders>
          </w:tcPr>
          <w:p>
            <w:pPr>
              <w:ind w:left="180"/>
              <w:spacing w:after="0" w:line="183" w:lineRule="exact"/>
              <w:rPr>
                <w:sz w:val="20"/>
                <w:szCs w:val="20"/>
                <w:color w:val="auto"/>
              </w:rPr>
            </w:pPr>
            <w:r>
              <w:rPr>
                <w:rFonts w:ascii="Arial" w:cs="Arial" w:eastAsia="Arial" w:hAnsi="Arial"/>
                <w:sz w:val="18"/>
                <w:szCs w:val="18"/>
                <w:b w:val="1"/>
                <w:bCs w:val="1"/>
                <w:color w:val="auto"/>
              </w:rPr>
              <w:t>Actual</w:t>
            </w:r>
          </w:p>
        </w:tc>
        <w:tc>
          <w:tcPr>
            <w:tcW w:w="92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860" w:type="dxa"/>
            <w:vAlign w:val="bottom"/>
          </w:tcPr>
          <w:p>
            <w:pPr>
              <w:spacing w:after="0"/>
              <w:rPr>
                <w:sz w:val="15"/>
                <w:szCs w:val="15"/>
                <w:color w:val="auto"/>
              </w:rPr>
            </w:pPr>
          </w:p>
        </w:tc>
        <w:tc>
          <w:tcPr>
            <w:tcW w:w="102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rPr>
              <w:t>Actual</w:t>
            </w:r>
          </w:p>
        </w:tc>
        <w:tc>
          <w:tcPr>
            <w:tcW w:w="88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c>
          <w:tcPr>
            <w:tcW w:w="940" w:type="dxa"/>
            <w:vAlign w:val="bottom"/>
          </w:tcPr>
          <w:p>
            <w:pPr>
              <w:spacing w:after="0"/>
              <w:rPr>
                <w:sz w:val="15"/>
                <w:szCs w:val="15"/>
                <w:color w:val="auto"/>
              </w:rPr>
            </w:pPr>
          </w:p>
        </w:tc>
        <w:tc>
          <w:tcPr>
            <w:tcW w:w="920" w:type="dxa"/>
            <w:vAlign w:val="bottom"/>
            <w:tcBorders>
              <w:top w:val="single" w:sz="8" w:color="BD03F7"/>
            </w:tcBorders>
          </w:tcPr>
          <w:p>
            <w:pPr>
              <w:ind w:left="180"/>
              <w:spacing w:after="0" w:line="183" w:lineRule="exact"/>
              <w:rPr>
                <w:sz w:val="20"/>
                <w:szCs w:val="20"/>
                <w:color w:val="auto"/>
              </w:rPr>
            </w:pPr>
            <w:r>
              <w:rPr>
                <w:rFonts w:ascii="Arial" w:cs="Arial" w:eastAsia="Arial" w:hAnsi="Arial"/>
                <w:sz w:val="18"/>
                <w:szCs w:val="18"/>
                <w:b w:val="1"/>
                <w:bCs w:val="1"/>
                <w:color w:val="auto"/>
              </w:rPr>
              <w:t>Actual</w:t>
            </w:r>
          </w:p>
        </w:tc>
        <w:tc>
          <w:tcPr>
            <w:tcW w:w="920" w:type="dxa"/>
            <w:vAlign w:val="bottom"/>
            <w:tcBorders>
              <w:top w:val="single" w:sz="8" w:color="BD03F7"/>
            </w:tcBorders>
          </w:tcPr>
          <w:p>
            <w:pPr>
              <w:jc w:val="center"/>
              <w:spacing w:after="0" w:line="183" w:lineRule="exact"/>
              <w:rPr>
                <w:sz w:val="20"/>
                <w:szCs w:val="20"/>
                <w:color w:val="auto"/>
              </w:rPr>
            </w:pPr>
            <w:r>
              <w:rPr>
                <w:rFonts w:ascii="Arial" w:cs="Arial" w:eastAsia="Arial" w:hAnsi="Arial"/>
                <w:sz w:val="18"/>
                <w:szCs w:val="18"/>
                <w:b w:val="1"/>
                <w:bCs w:val="1"/>
                <w:color w:val="auto"/>
                <w:w w:val="99"/>
              </w:rPr>
              <w:t>Payout</w:t>
            </w:r>
          </w:p>
        </w:tc>
      </w:tr>
      <w:tr>
        <w:trPr>
          <w:trHeight w:val="260"/>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Year</w:t>
            </w: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Result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c>
          <w:tcPr>
            <w:tcW w:w="940" w:type="dxa"/>
            <w:vAlign w:val="bottom"/>
          </w:tcPr>
          <w:p>
            <w:pPr>
              <w:spacing w:after="0"/>
              <w:rPr>
                <w:sz w:val="22"/>
                <w:szCs w:val="22"/>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Result</w:t>
            </w:r>
          </w:p>
        </w:tc>
        <w:tc>
          <w:tcPr>
            <w:tcW w:w="17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Factor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Result</w:t>
            </w: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8"/>
              </w:rPr>
              <w:t>Factor</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Result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r>
      <w:tr>
        <w:trPr>
          <w:trHeight w:val="69"/>
        </w:trPr>
        <w:tc>
          <w:tcPr>
            <w:tcW w:w="900" w:type="dxa"/>
            <w:vAlign w:val="bottom"/>
          </w:tcPr>
          <w:p>
            <w:pPr>
              <w:spacing w:after="0"/>
              <w:rPr>
                <w:sz w:val="5"/>
                <w:szCs w:val="5"/>
                <w:color w:val="auto"/>
              </w:rPr>
            </w:pPr>
          </w:p>
        </w:tc>
        <w:tc>
          <w:tcPr>
            <w:tcW w:w="940" w:type="dxa"/>
            <w:vAlign w:val="bottom"/>
            <w:tcBorders>
              <w:bottom w:val="single" w:sz="8" w:color="BD03F7"/>
            </w:tcBorders>
          </w:tcPr>
          <w:p>
            <w:pPr>
              <w:spacing w:after="0"/>
              <w:rPr>
                <w:sz w:val="5"/>
                <w:szCs w:val="5"/>
                <w:color w:val="auto"/>
              </w:rPr>
            </w:pPr>
          </w:p>
        </w:tc>
        <w:tc>
          <w:tcPr>
            <w:tcW w:w="920" w:type="dxa"/>
            <w:vAlign w:val="bottom"/>
            <w:tcBorders>
              <w:bottom w:val="single" w:sz="8" w:color="BD03F7"/>
            </w:tcBorders>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Borders>
              <w:bottom w:val="single" w:sz="8" w:color="BD03F7"/>
            </w:tcBorders>
          </w:tcPr>
          <w:p>
            <w:pPr>
              <w:spacing w:after="0"/>
              <w:rPr>
                <w:sz w:val="5"/>
                <w:szCs w:val="5"/>
                <w:color w:val="auto"/>
              </w:rPr>
            </w:pPr>
          </w:p>
        </w:tc>
        <w:tc>
          <w:tcPr>
            <w:tcW w:w="920" w:type="dxa"/>
            <w:vAlign w:val="bottom"/>
            <w:tcBorders>
              <w:bottom w:val="single" w:sz="8" w:color="BD03F7"/>
            </w:tcBorders>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Borders>
              <w:bottom w:val="single" w:sz="8" w:color="BD03F7"/>
            </w:tcBorders>
          </w:tcPr>
          <w:p>
            <w:pPr>
              <w:spacing w:after="0"/>
              <w:rPr>
                <w:sz w:val="5"/>
                <w:szCs w:val="5"/>
                <w:color w:val="auto"/>
              </w:rPr>
            </w:pPr>
          </w:p>
        </w:tc>
        <w:tc>
          <w:tcPr>
            <w:tcW w:w="880" w:type="dxa"/>
            <w:vAlign w:val="bottom"/>
            <w:tcBorders>
              <w:bottom w:val="single" w:sz="8" w:color="BD03F7"/>
            </w:tcBorders>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Borders>
              <w:bottom w:val="single" w:sz="8" w:color="BD03F7"/>
            </w:tcBorders>
          </w:tcPr>
          <w:p>
            <w:pPr>
              <w:spacing w:after="0"/>
              <w:rPr>
                <w:sz w:val="5"/>
                <w:szCs w:val="5"/>
                <w:color w:val="auto"/>
              </w:rPr>
            </w:pPr>
          </w:p>
        </w:tc>
        <w:tc>
          <w:tcPr>
            <w:tcW w:w="920" w:type="dxa"/>
            <w:vAlign w:val="bottom"/>
            <w:tcBorders>
              <w:bottom w:val="single" w:sz="8" w:color="BD03F7"/>
            </w:tcBorders>
          </w:tcPr>
          <w:p>
            <w:pPr>
              <w:spacing w:after="0"/>
              <w:rPr>
                <w:sz w:val="5"/>
                <w:szCs w:val="5"/>
                <w:color w:val="auto"/>
              </w:rPr>
            </w:pPr>
          </w:p>
        </w:tc>
      </w:tr>
      <w:tr>
        <w:trPr>
          <w:trHeight w:val="168"/>
        </w:trPr>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9"/>
              </w:rPr>
              <w:t>Achieved</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3"/>
        </w:trPr>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Arial" w:cs="Arial" w:eastAsia="Arial" w:hAnsi="Arial"/>
                <w:sz w:val="18"/>
                <w:szCs w:val="18"/>
                <w:color w:val="auto"/>
                <w:w w:val="97"/>
              </w:rPr>
              <w:t>High</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900" w:type="dxa"/>
            <w:vAlign w:val="bottom"/>
          </w:tcPr>
          <w:p>
            <w:pPr>
              <w:jc w:val="center"/>
              <w:spacing w:after="0" w:line="193" w:lineRule="exact"/>
              <w:rPr>
                <w:sz w:val="20"/>
                <w:szCs w:val="20"/>
                <w:color w:val="auto"/>
              </w:rPr>
            </w:pPr>
            <w:r>
              <w:rPr>
                <w:rFonts w:ascii="Arial" w:cs="Arial" w:eastAsia="Arial" w:hAnsi="Arial"/>
                <w:sz w:val="18"/>
                <w:szCs w:val="18"/>
                <w:color w:val="auto"/>
                <w:w w:val="99"/>
              </w:rPr>
              <w:t>2024</w:t>
            </w:r>
          </w:p>
        </w:tc>
        <w:tc>
          <w:tcPr>
            <w:tcW w:w="940" w:type="dxa"/>
            <w:vAlign w:val="bottom"/>
          </w:tcPr>
          <w:p>
            <w:pPr>
              <w:ind w:left="20"/>
              <w:spacing w:after="0" w:line="193" w:lineRule="exact"/>
              <w:rPr>
                <w:sz w:val="20"/>
                <w:szCs w:val="20"/>
                <w:color w:val="auto"/>
              </w:rPr>
            </w:pPr>
            <w:r>
              <w:rPr>
                <w:rFonts w:ascii="Arial" w:cs="Arial" w:eastAsia="Arial" w:hAnsi="Arial"/>
                <w:sz w:val="18"/>
                <w:szCs w:val="18"/>
                <w:color w:val="auto"/>
              </w:rPr>
              <w:t>Maximum</w:t>
            </w:r>
          </w:p>
        </w:tc>
        <w:tc>
          <w:tcPr>
            <w:tcW w:w="920" w:type="dxa"/>
            <w:vAlign w:val="bottom"/>
          </w:tcPr>
          <w:p>
            <w:pPr>
              <w:jc w:val="center"/>
              <w:spacing w:after="0" w:line="193" w:lineRule="exact"/>
              <w:rPr>
                <w:sz w:val="20"/>
                <w:szCs w:val="20"/>
                <w:color w:val="auto"/>
              </w:rPr>
            </w:pPr>
            <w:r>
              <w:rPr>
                <w:rFonts w:ascii="Arial" w:cs="Arial" w:eastAsia="Arial" w:hAnsi="Arial"/>
                <w:sz w:val="18"/>
                <w:szCs w:val="18"/>
                <w:color w:val="auto"/>
                <w:w w:val="99"/>
              </w:rPr>
              <w:t>200%</w:t>
            </w:r>
          </w:p>
        </w:tc>
        <w:tc>
          <w:tcPr>
            <w:tcW w:w="940" w:type="dxa"/>
            <w:vAlign w:val="bottom"/>
          </w:tcPr>
          <w:p>
            <w:pPr>
              <w:spacing w:after="0"/>
              <w:rPr>
                <w:sz w:val="20"/>
                <w:szCs w:val="20"/>
                <w:color w:val="auto"/>
              </w:rPr>
            </w:pPr>
          </w:p>
        </w:tc>
        <w:tc>
          <w:tcPr>
            <w:tcW w:w="940" w:type="dxa"/>
            <w:vAlign w:val="bottom"/>
          </w:tcPr>
          <w:p>
            <w:pPr>
              <w:spacing w:after="0" w:line="193" w:lineRule="exact"/>
              <w:rPr>
                <w:sz w:val="20"/>
                <w:szCs w:val="20"/>
                <w:color w:val="auto"/>
              </w:rPr>
            </w:pPr>
            <w:r>
              <w:rPr>
                <w:rFonts w:ascii="Arial" w:cs="Arial" w:eastAsia="Arial" w:hAnsi="Arial"/>
                <w:sz w:val="18"/>
                <w:szCs w:val="18"/>
                <w:color w:val="auto"/>
              </w:rPr>
              <w:t>Maximum</w:t>
            </w:r>
          </w:p>
        </w:tc>
        <w:tc>
          <w:tcPr>
            <w:tcW w:w="920" w:type="dxa"/>
            <w:vAlign w:val="bottom"/>
          </w:tcPr>
          <w:p>
            <w:pPr>
              <w:jc w:val="center"/>
              <w:spacing w:after="0" w:line="193" w:lineRule="exact"/>
              <w:rPr>
                <w:sz w:val="20"/>
                <w:szCs w:val="20"/>
                <w:color w:val="auto"/>
              </w:rPr>
            </w:pPr>
            <w:r>
              <w:rPr>
                <w:rFonts w:ascii="Arial" w:cs="Arial" w:eastAsia="Arial" w:hAnsi="Arial"/>
                <w:sz w:val="18"/>
                <w:szCs w:val="18"/>
                <w:color w:val="auto"/>
                <w:w w:val="95"/>
              </w:rPr>
              <w:t>200%</w:t>
            </w:r>
          </w:p>
        </w:tc>
        <w:tc>
          <w:tcPr>
            <w:tcW w:w="8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Bandwidth</w:t>
            </w:r>
          </w:p>
        </w:tc>
        <w:tc>
          <w:tcPr>
            <w:tcW w:w="880" w:type="dxa"/>
            <w:vAlign w:val="bottom"/>
          </w:tcPr>
          <w:p>
            <w:pPr>
              <w:jc w:val="center"/>
              <w:spacing w:after="0" w:line="193" w:lineRule="exact"/>
              <w:rPr>
                <w:sz w:val="20"/>
                <w:szCs w:val="20"/>
                <w:color w:val="auto"/>
              </w:rPr>
            </w:pPr>
            <w:r>
              <w:rPr>
                <w:rFonts w:ascii="Arial" w:cs="Arial" w:eastAsia="Arial" w:hAnsi="Arial"/>
                <w:sz w:val="18"/>
                <w:szCs w:val="18"/>
                <w:color w:val="auto"/>
                <w:w w:val="99"/>
              </w:rPr>
              <w:t>66%</w:t>
            </w:r>
          </w:p>
        </w:tc>
        <w:tc>
          <w:tcPr>
            <w:tcW w:w="940" w:type="dxa"/>
            <w:vAlign w:val="bottom"/>
          </w:tcPr>
          <w:p>
            <w:pPr>
              <w:spacing w:after="0"/>
              <w:rPr>
                <w:sz w:val="20"/>
                <w:szCs w:val="20"/>
                <w:color w:val="auto"/>
              </w:rPr>
            </w:pPr>
          </w:p>
        </w:tc>
        <w:tc>
          <w:tcPr>
            <w:tcW w:w="920" w:type="dxa"/>
            <w:vAlign w:val="bottom"/>
          </w:tcPr>
          <w:p>
            <w:pPr>
              <w:ind w:left="200"/>
              <w:spacing w:after="0" w:line="193" w:lineRule="exact"/>
              <w:rPr>
                <w:sz w:val="20"/>
                <w:szCs w:val="20"/>
                <w:color w:val="auto"/>
              </w:rPr>
            </w:pPr>
            <w:r>
              <w:rPr>
                <w:rFonts w:ascii="Arial" w:cs="Arial" w:eastAsia="Arial" w:hAnsi="Arial"/>
                <w:sz w:val="18"/>
                <w:szCs w:val="18"/>
                <w:color w:val="auto"/>
              </w:rPr>
              <w:t>+4.2pp</w:t>
            </w:r>
          </w:p>
        </w:tc>
        <w:tc>
          <w:tcPr>
            <w:tcW w:w="920" w:type="dxa"/>
            <w:vAlign w:val="bottom"/>
          </w:tcPr>
          <w:p>
            <w:pPr>
              <w:jc w:val="center"/>
              <w:spacing w:after="0" w:line="193" w:lineRule="exact"/>
              <w:rPr>
                <w:sz w:val="20"/>
                <w:szCs w:val="20"/>
                <w:color w:val="auto"/>
              </w:rPr>
            </w:pPr>
            <w:r>
              <w:rPr>
                <w:rFonts w:ascii="Arial" w:cs="Arial" w:eastAsia="Arial" w:hAnsi="Arial"/>
                <w:sz w:val="18"/>
                <w:szCs w:val="18"/>
                <w:color w:val="auto"/>
                <w:w w:val="99"/>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-386715</wp:posOffset>
            </wp:positionV>
            <wp:extent cx="7056120" cy="7258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56120" cy="725805"/>
                    </a:xfrm>
                    <a:prstGeom prst="rect">
                      <a:avLst/>
                    </a:prstGeom>
                    <a:noFill/>
                  </pic:spPr>
                </pic:pic>
              </a:graphicData>
            </a:graphic>
          </wp:anchor>
        </w:drawing>
      </w:r>
    </w:p>
    <w:p>
      <w:pPr>
        <w:ind w:left="6660"/>
        <w:spacing w:after="0" w:line="180" w:lineRule="auto"/>
        <w:rPr>
          <w:sz w:val="20"/>
          <w:szCs w:val="20"/>
          <w:color w:val="auto"/>
        </w:rPr>
      </w:pPr>
      <w:r>
        <w:rPr>
          <w:rFonts w:ascii="Arial" w:cs="Arial" w:eastAsia="Arial" w:hAnsi="Arial"/>
          <w:sz w:val="15"/>
          <w:szCs w:val="15"/>
          <w:color w:val="auto"/>
        </w:rPr>
        <w:t>Memory</w:t>
      </w:r>
    </w:p>
    <w:p>
      <w:pPr>
        <w:ind w:left="6620"/>
        <w:spacing w:after="0" w:line="218" w:lineRule="auto"/>
        <w:rPr>
          <w:sz w:val="20"/>
          <w:szCs w:val="20"/>
          <w:color w:val="auto"/>
        </w:rPr>
      </w:pPr>
      <w:r>
        <w:rPr>
          <w:rFonts w:ascii="Arial" w:cs="Arial" w:eastAsia="Arial" w:hAnsi="Arial"/>
          <w:sz w:val="18"/>
          <w:szCs w:val="18"/>
          <w:color w:val="auto"/>
        </w:rPr>
        <w:t>and CXL</w:t>
      </w:r>
    </w:p>
    <w:p>
      <w:pPr>
        <w:ind w:left="6740"/>
        <w:spacing w:after="0"/>
        <w:rPr>
          <w:sz w:val="20"/>
          <w:szCs w:val="20"/>
          <w:color w:val="auto"/>
        </w:rPr>
      </w:pPr>
      <w:r>
        <w:rPr>
          <w:rFonts w:ascii="Arial" w:cs="Arial" w:eastAsia="Arial" w:hAnsi="Arial"/>
          <w:sz w:val="18"/>
          <w:szCs w:val="18"/>
          <w:color w:val="auto"/>
        </w:rPr>
        <w:t>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5715</wp:posOffset>
            </wp:positionV>
            <wp:extent cx="70561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320"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color w:val="auto"/>
        </w:rPr>
        <w:t>The Compensation Committee certified that the following additional shares had been earned by our Named Executive Officers under the 2022 PRSU Awards:</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2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Fiscal 2022</w:t>
            </w:r>
          </w:p>
        </w:tc>
        <w:tc>
          <w:tcPr>
            <w:tcW w:w="2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Fiscal 2022</w:t>
            </w:r>
          </w:p>
        </w:tc>
        <w:tc>
          <w:tcPr>
            <w:tcW w:w="28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Fiscal 2022</w:t>
            </w:r>
          </w:p>
        </w:tc>
      </w:tr>
      <w:tr>
        <w:trPr>
          <w:trHeight w:val="254"/>
        </w:trPr>
        <w:tc>
          <w:tcPr>
            <w:tcW w:w="2380" w:type="dxa"/>
            <w:vAlign w:val="bottom"/>
          </w:tcPr>
          <w:p>
            <w:pPr>
              <w:spacing w:after="0"/>
              <w:rPr>
                <w:sz w:val="22"/>
                <w:szCs w:val="22"/>
                <w:color w:val="auto"/>
              </w:rPr>
            </w:pPr>
          </w:p>
        </w:tc>
        <w:tc>
          <w:tcPr>
            <w:tcW w:w="2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High-Value NAND Shares</w:t>
            </w:r>
          </w:p>
        </w:tc>
        <w:tc>
          <w:tcPr>
            <w:tcW w:w="2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Market Segment NAND Shares</w:t>
            </w:r>
          </w:p>
        </w:tc>
        <w:tc>
          <w:tcPr>
            <w:tcW w:w="28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rTSR Shares</w:t>
            </w:r>
          </w:p>
        </w:tc>
      </w:tr>
      <w:tr>
        <w:trPr>
          <w:trHeight w:val="196"/>
        </w:trPr>
        <w:tc>
          <w:tcPr>
            <w:tcW w:w="2380" w:type="dxa"/>
            <w:vAlign w:val="bottom"/>
          </w:tcPr>
          <w:p>
            <w:pPr>
              <w:spacing w:after="0"/>
              <w:rPr>
                <w:sz w:val="17"/>
                <w:szCs w:val="17"/>
                <w:color w:val="auto"/>
              </w:rPr>
            </w:pPr>
          </w:p>
        </w:tc>
        <w:tc>
          <w:tcPr>
            <w:tcW w:w="146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Incremental</w:t>
            </w:r>
          </w:p>
        </w:tc>
        <w:tc>
          <w:tcPr>
            <w:tcW w:w="1380" w:type="dxa"/>
            <w:vAlign w:val="bottom"/>
            <w:tcBorders>
              <w:top w:val="single" w:sz="8" w:color="BD03F7"/>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rPr>
              <w:t>Incremental</w:t>
            </w:r>
          </w:p>
        </w:tc>
        <w:tc>
          <w:tcPr>
            <w:tcW w:w="1380" w:type="dxa"/>
            <w:vAlign w:val="bottom"/>
            <w:tcBorders>
              <w:top w:val="single" w:sz="8" w:color="BD03F7"/>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Incremental</w:t>
            </w:r>
          </w:p>
        </w:tc>
        <w:tc>
          <w:tcPr>
            <w:tcW w:w="1360" w:type="dxa"/>
            <w:vAlign w:val="bottom"/>
            <w:tcBorders>
              <w:top w:val="single" w:sz="8" w:color="BD03F7"/>
            </w:tcBorders>
          </w:tcPr>
          <w:p>
            <w:pPr>
              <w:spacing w:after="0"/>
              <w:rPr>
                <w:sz w:val="17"/>
                <w:szCs w:val="17"/>
                <w:color w:val="auto"/>
              </w:rPr>
            </w:pPr>
          </w:p>
        </w:tc>
      </w:tr>
      <w:tr>
        <w:trPr>
          <w:trHeight w:val="202"/>
        </w:trPr>
        <w:tc>
          <w:tcPr>
            <w:tcW w:w="238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Shares Earned</w:t>
            </w:r>
          </w:p>
        </w:tc>
        <w:tc>
          <w:tcPr>
            <w:tcW w:w="14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98"/>
              </w:rPr>
              <w:t>Total Shares</w:t>
            </w:r>
          </w:p>
        </w:tc>
        <w:tc>
          <w:tcPr>
            <w:tcW w:w="14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Shares Earned</w:t>
            </w:r>
          </w:p>
        </w:tc>
        <w:tc>
          <w:tcPr>
            <w:tcW w:w="14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98"/>
              </w:rPr>
              <w:t>Total Shares</w:t>
            </w:r>
          </w:p>
        </w:tc>
        <w:tc>
          <w:tcPr>
            <w:tcW w:w="14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Shares Earned</w:t>
            </w:r>
          </w:p>
        </w:tc>
        <w:tc>
          <w:tcPr>
            <w:tcW w:w="13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Total Shares</w:t>
            </w:r>
          </w:p>
        </w:tc>
      </w:tr>
      <w:tr>
        <w:trPr>
          <w:trHeight w:val="188"/>
        </w:trPr>
        <w:tc>
          <w:tcPr>
            <w:tcW w:w="238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&amp; Vested for</w:t>
            </w:r>
          </w:p>
        </w:tc>
        <w:tc>
          <w:tcPr>
            <w:tcW w:w="148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98"/>
              </w:rPr>
              <w:t>Earned &amp;</w:t>
            </w: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&amp; Vested for</w:t>
            </w:r>
          </w:p>
        </w:tc>
        <w:tc>
          <w:tcPr>
            <w:tcW w:w="148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98"/>
              </w:rPr>
              <w:t>Earned &amp;</w:t>
            </w: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&amp; Vested for</w:t>
            </w: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Earned &amp;</w:t>
            </w:r>
          </w:p>
        </w:tc>
      </w:tr>
      <w:tr>
        <w:trPr>
          <w:trHeight w:val="274"/>
        </w:trPr>
        <w:tc>
          <w:tcPr>
            <w:tcW w:w="238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Executive</w:t>
            </w:r>
          </w:p>
        </w:tc>
        <w:tc>
          <w:tcPr>
            <w:tcW w:w="14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FY24</w:t>
            </w:r>
          </w:p>
        </w:tc>
        <w:tc>
          <w:tcPr>
            <w:tcW w:w="1480" w:type="dxa"/>
            <w:vAlign w:val="bottom"/>
            <w:tcBorders>
              <w:bottom w:val="single" w:sz="8" w:color="BD03F7"/>
            </w:tcBorders>
            <w:gridSpan w:val="2"/>
          </w:tcPr>
          <w:p>
            <w:pPr>
              <w:jc w:val="center"/>
              <w:ind w:right="160"/>
              <w:spacing w:after="0"/>
              <w:rPr>
                <w:sz w:val="20"/>
                <w:szCs w:val="20"/>
                <w:color w:val="auto"/>
              </w:rPr>
            </w:pPr>
            <w:r>
              <w:rPr>
                <w:rFonts w:ascii="Arial" w:cs="Arial" w:eastAsia="Arial" w:hAnsi="Arial"/>
                <w:sz w:val="18"/>
                <w:szCs w:val="18"/>
                <w:b w:val="1"/>
                <w:bCs w:val="1"/>
                <w:color w:val="auto"/>
                <w:w w:val="92"/>
              </w:rPr>
              <w:t>Vested</w:t>
            </w:r>
            <w:r>
              <w:rPr>
                <w:rFonts w:ascii="Arial" w:cs="Arial" w:eastAsia="Arial" w:hAnsi="Arial"/>
                <w:sz w:val="23"/>
                <w:szCs w:val="23"/>
                <w:b w:val="1"/>
                <w:bCs w:val="1"/>
                <w:color w:val="auto"/>
                <w:w w:val="92"/>
                <w:vertAlign w:val="superscript"/>
              </w:rPr>
              <w:t>(1)</w:t>
            </w:r>
          </w:p>
        </w:tc>
        <w:tc>
          <w:tcPr>
            <w:tcW w:w="148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7"/>
              </w:rPr>
              <w:t>FY24</w:t>
            </w:r>
          </w:p>
        </w:tc>
        <w:tc>
          <w:tcPr>
            <w:tcW w:w="1480" w:type="dxa"/>
            <w:vAlign w:val="bottom"/>
            <w:tcBorders>
              <w:bottom w:val="single" w:sz="8" w:color="BD03F7"/>
            </w:tcBorders>
            <w:gridSpan w:val="2"/>
          </w:tcPr>
          <w:p>
            <w:pPr>
              <w:jc w:val="center"/>
              <w:ind w:right="160"/>
              <w:spacing w:after="0"/>
              <w:rPr>
                <w:sz w:val="20"/>
                <w:szCs w:val="20"/>
                <w:color w:val="auto"/>
              </w:rPr>
            </w:pPr>
            <w:r>
              <w:rPr>
                <w:rFonts w:ascii="Arial" w:cs="Arial" w:eastAsia="Arial" w:hAnsi="Arial"/>
                <w:sz w:val="18"/>
                <w:szCs w:val="18"/>
                <w:b w:val="1"/>
                <w:bCs w:val="1"/>
                <w:color w:val="auto"/>
                <w:w w:val="92"/>
              </w:rPr>
              <w:t>Vested</w:t>
            </w:r>
            <w:r>
              <w:rPr>
                <w:rFonts w:ascii="Arial" w:cs="Arial" w:eastAsia="Arial" w:hAnsi="Arial"/>
                <w:sz w:val="23"/>
                <w:szCs w:val="23"/>
                <w:b w:val="1"/>
                <w:bCs w:val="1"/>
                <w:color w:val="auto"/>
                <w:w w:val="92"/>
                <w:vertAlign w:val="superscript"/>
              </w:rPr>
              <w:t>(1)</w:t>
            </w:r>
          </w:p>
        </w:tc>
        <w:tc>
          <w:tcPr>
            <w:tcW w:w="14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FY24</w:t>
            </w:r>
          </w:p>
        </w:tc>
        <w:tc>
          <w:tcPr>
            <w:tcW w:w="13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2"/>
              </w:rPr>
              <w:t>Vested</w:t>
            </w:r>
            <w:r>
              <w:rPr>
                <w:rFonts w:ascii="Arial" w:cs="Arial" w:eastAsia="Arial" w:hAnsi="Arial"/>
                <w:sz w:val="23"/>
                <w:szCs w:val="23"/>
                <w:b w:val="1"/>
                <w:bCs w:val="1"/>
                <w:color w:val="auto"/>
                <w:w w:val="92"/>
                <w:vertAlign w:val="superscript"/>
              </w:rPr>
              <w:t>(1)</w:t>
            </w:r>
          </w:p>
        </w:tc>
      </w:tr>
      <w:tr>
        <w:trPr>
          <w:trHeight w:val="34"/>
        </w:trPr>
        <w:tc>
          <w:tcPr>
            <w:tcW w:w="2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Sanjay Mehrotra</w:t>
            </w:r>
          </w:p>
        </w:tc>
        <w:tc>
          <w:tcPr>
            <w:tcW w:w="146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102,583</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109,848</w:t>
            </w:r>
          </w:p>
        </w:tc>
        <w:tc>
          <w:tcPr>
            <w:tcW w:w="100" w:type="dxa"/>
            <w:vAlign w:val="bottom"/>
            <w:shd w:val="clear" w:color="auto" w:fill="F2F2F2"/>
          </w:tcPr>
          <w:p>
            <w:pPr>
              <w:spacing w:after="0"/>
              <w:rPr>
                <w:sz w:val="22"/>
                <w:szCs w:val="22"/>
                <w:color w:val="auto"/>
              </w:rPr>
            </w:pPr>
          </w:p>
        </w:tc>
        <w:tc>
          <w:tcPr>
            <w:tcW w:w="148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102,583</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109,848</w:t>
            </w:r>
          </w:p>
        </w:tc>
        <w:tc>
          <w:tcPr>
            <w:tcW w:w="100" w:type="dxa"/>
            <w:vAlign w:val="bottom"/>
            <w:shd w:val="clear" w:color="auto" w:fill="F2F2F2"/>
          </w:tcPr>
          <w:p>
            <w:pPr>
              <w:spacing w:after="0"/>
              <w:rPr>
                <w:sz w:val="22"/>
                <w:szCs w:val="22"/>
                <w:color w:val="auto"/>
              </w:rPr>
            </w:pP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11,092</w:t>
            </w:r>
          </w:p>
        </w:tc>
        <w:tc>
          <w:tcPr>
            <w:tcW w:w="13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45,477</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Mark Murphy</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52,460</w:t>
            </w:r>
          </w:p>
        </w:tc>
        <w:tc>
          <w:tcPr>
            <w:tcW w:w="1380" w:type="dxa"/>
            <w:vAlign w:val="bottom"/>
          </w:tcPr>
          <w:p>
            <w:pPr>
              <w:jc w:val="right"/>
              <w:spacing w:after="0"/>
              <w:rPr>
                <w:sz w:val="20"/>
                <w:szCs w:val="20"/>
                <w:color w:val="auto"/>
              </w:rPr>
            </w:pPr>
            <w:r>
              <w:rPr>
                <w:rFonts w:ascii="Arial" w:cs="Arial" w:eastAsia="Arial" w:hAnsi="Arial"/>
                <w:sz w:val="18"/>
                <w:szCs w:val="18"/>
                <w:color w:val="auto"/>
              </w:rPr>
              <w:t>56,175</w:t>
            </w:r>
          </w:p>
        </w:tc>
        <w:tc>
          <w:tcPr>
            <w:tcW w:w="100" w:type="dxa"/>
            <w:vAlign w:val="bottom"/>
          </w:tcPr>
          <w:p>
            <w:pPr>
              <w:spacing w:after="0"/>
              <w:rPr>
                <w:sz w:val="22"/>
                <w:szCs w:val="22"/>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52,460</w:t>
            </w:r>
          </w:p>
        </w:tc>
        <w:tc>
          <w:tcPr>
            <w:tcW w:w="1380" w:type="dxa"/>
            <w:vAlign w:val="bottom"/>
          </w:tcPr>
          <w:p>
            <w:pPr>
              <w:jc w:val="right"/>
              <w:spacing w:after="0"/>
              <w:rPr>
                <w:sz w:val="20"/>
                <w:szCs w:val="20"/>
                <w:color w:val="auto"/>
              </w:rPr>
            </w:pPr>
            <w:r>
              <w:rPr>
                <w:rFonts w:ascii="Arial" w:cs="Arial" w:eastAsia="Arial" w:hAnsi="Arial"/>
                <w:sz w:val="18"/>
                <w:szCs w:val="18"/>
                <w:color w:val="auto"/>
              </w:rPr>
              <w:t>56,175</w:t>
            </w:r>
          </w:p>
        </w:tc>
        <w:tc>
          <w:tcPr>
            <w:tcW w:w="10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5,607</w:t>
            </w:r>
          </w:p>
        </w:tc>
        <w:tc>
          <w:tcPr>
            <w:tcW w:w="1360" w:type="dxa"/>
            <w:vAlign w:val="bottom"/>
          </w:tcPr>
          <w:p>
            <w:pPr>
              <w:jc w:val="right"/>
              <w:spacing w:after="0"/>
              <w:rPr>
                <w:sz w:val="20"/>
                <w:szCs w:val="20"/>
                <w:color w:val="auto"/>
              </w:rPr>
            </w:pPr>
            <w:r>
              <w:rPr>
                <w:rFonts w:ascii="Arial" w:cs="Arial" w:eastAsia="Arial" w:hAnsi="Arial"/>
                <w:sz w:val="18"/>
                <w:szCs w:val="18"/>
                <w:color w:val="auto"/>
              </w:rPr>
              <w:t>22,990</w:t>
            </w:r>
          </w:p>
        </w:tc>
      </w:tr>
      <w:tr>
        <w:trPr>
          <w:trHeight w:val="256"/>
        </w:trPr>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Manish Bhatia</w:t>
            </w:r>
          </w:p>
        </w:tc>
        <w:tc>
          <w:tcPr>
            <w:tcW w:w="146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34,922</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37,395</w:t>
            </w:r>
          </w:p>
        </w:tc>
        <w:tc>
          <w:tcPr>
            <w:tcW w:w="100" w:type="dxa"/>
            <w:vAlign w:val="bottom"/>
            <w:shd w:val="clear" w:color="auto" w:fill="F2F2F2"/>
          </w:tcPr>
          <w:p>
            <w:pPr>
              <w:spacing w:after="0"/>
              <w:rPr>
                <w:sz w:val="22"/>
                <w:szCs w:val="22"/>
                <w:color w:val="auto"/>
              </w:rPr>
            </w:pPr>
          </w:p>
        </w:tc>
        <w:tc>
          <w:tcPr>
            <w:tcW w:w="148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34,922</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37,395</w:t>
            </w:r>
          </w:p>
        </w:tc>
        <w:tc>
          <w:tcPr>
            <w:tcW w:w="100" w:type="dxa"/>
            <w:vAlign w:val="bottom"/>
            <w:shd w:val="clear" w:color="auto" w:fill="F2F2F2"/>
          </w:tcPr>
          <w:p>
            <w:pPr>
              <w:spacing w:after="0"/>
              <w:rPr>
                <w:sz w:val="22"/>
                <w:szCs w:val="22"/>
                <w:color w:val="auto"/>
              </w:rPr>
            </w:pP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3,776</w:t>
            </w:r>
          </w:p>
        </w:tc>
        <w:tc>
          <w:tcPr>
            <w:tcW w:w="13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15,482</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Scott DeBoer</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27,282</w:t>
            </w:r>
          </w:p>
        </w:tc>
        <w:tc>
          <w:tcPr>
            <w:tcW w:w="1380" w:type="dxa"/>
            <w:vAlign w:val="bottom"/>
          </w:tcPr>
          <w:p>
            <w:pPr>
              <w:jc w:val="right"/>
              <w:spacing w:after="0"/>
              <w:rPr>
                <w:sz w:val="20"/>
                <w:szCs w:val="20"/>
                <w:color w:val="auto"/>
              </w:rPr>
            </w:pPr>
            <w:r>
              <w:rPr>
                <w:rFonts w:ascii="Arial" w:cs="Arial" w:eastAsia="Arial" w:hAnsi="Arial"/>
                <w:sz w:val="18"/>
                <w:szCs w:val="18"/>
                <w:color w:val="auto"/>
              </w:rPr>
              <w:t>29,214</w:t>
            </w:r>
          </w:p>
        </w:tc>
        <w:tc>
          <w:tcPr>
            <w:tcW w:w="100" w:type="dxa"/>
            <w:vAlign w:val="bottom"/>
          </w:tcPr>
          <w:p>
            <w:pPr>
              <w:spacing w:after="0"/>
              <w:rPr>
                <w:sz w:val="22"/>
                <w:szCs w:val="22"/>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27,282</w:t>
            </w:r>
          </w:p>
        </w:tc>
        <w:tc>
          <w:tcPr>
            <w:tcW w:w="1380" w:type="dxa"/>
            <w:vAlign w:val="bottom"/>
          </w:tcPr>
          <w:p>
            <w:pPr>
              <w:jc w:val="right"/>
              <w:spacing w:after="0"/>
              <w:rPr>
                <w:sz w:val="20"/>
                <w:szCs w:val="20"/>
                <w:color w:val="auto"/>
              </w:rPr>
            </w:pPr>
            <w:r>
              <w:rPr>
                <w:rFonts w:ascii="Arial" w:cs="Arial" w:eastAsia="Arial" w:hAnsi="Arial"/>
                <w:sz w:val="18"/>
                <w:szCs w:val="18"/>
                <w:color w:val="auto"/>
              </w:rPr>
              <w:t>29,214</w:t>
            </w:r>
          </w:p>
        </w:tc>
        <w:tc>
          <w:tcPr>
            <w:tcW w:w="10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2,950</w:t>
            </w:r>
          </w:p>
        </w:tc>
        <w:tc>
          <w:tcPr>
            <w:tcW w:w="1360" w:type="dxa"/>
            <w:vAlign w:val="bottom"/>
          </w:tcPr>
          <w:p>
            <w:pPr>
              <w:jc w:val="right"/>
              <w:spacing w:after="0"/>
              <w:rPr>
                <w:sz w:val="20"/>
                <w:szCs w:val="20"/>
                <w:color w:val="auto"/>
              </w:rPr>
            </w:pPr>
            <w:r>
              <w:rPr>
                <w:rFonts w:ascii="Arial" w:cs="Arial" w:eastAsia="Arial" w:hAnsi="Arial"/>
                <w:sz w:val="18"/>
                <w:szCs w:val="18"/>
                <w:color w:val="auto"/>
              </w:rPr>
              <w:t>12,095</w:t>
            </w:r>
          </w:p>
        </w:tc>
      </w:tr>
      <w:tr>
        <w:trPr>
          <w:trHeight w:val="256"/>
        </w:trPr>
        <w:tc>
          <w:tcPr>
            <w:tcW w:w="238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8"/>
                <w:szCs w:val="18"/>
                <w:color w:val="auto"/>
              </w:rPr>
              <w:t>Sumit Sadana</w:t>
            </w:r>
          </w:p>
        </w:tc>
        <w:tc>
          <w:tcPr>
            <w:tcW w:w="1460" w:type="dxa"/>
            <w:vAlign w:val="bottom"/>
            <w:tcBorders>
              <w:bottom w:val="single" w:sz="8" w:color="BD03F7"/>
            </w:tcBorders>
            <w:shd w:val="clear" w:color="auto" w:fill="F2F2F2"/>
          </w:tcPr>
          <w:p>
            <w:pPr>
              <w:jc w:val="right"/>
              <w:ind w:right="50"/>
              <w:spacing w:after="0"/>
              <w:rPr>
                <w:sz w:val="20"/>
                <w:szCs w:val="20"/>
                <w:color w:val="auto"/>
              </w:rPr>
            </w:pPr>
            <w:r>
              <w:rPr>
                <w:rFonts w:ascii="Arial" w:cs="Arial" w:eastAsia="Arial" w:hAnsi="Arial"/>
                <w:sz w:val="18"/>
                <w:szCs w:val="18"/>
                <w:color w:val="auto"/>
              </w:rPr>
              <w:t>36,013</w:t>
            </w:r>
          </w:p>
        </w:tc>
        <w:tc>
          <w:tcPr>
            <w:tcW w:w="13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38,563</w:t>
            </w:r>
          </w:p>
        </w:tc>
        <w:tc>
          <w:tcPr>
            <w:tcW w:w="100" w:type="dxa"/>
            <w:vAlign w:val="bottom"/>
            <w:tcBorders>
              <w:bottom w:val="single" w:sz="8" w:color="BD03F7"/>
            </w:tcBorders>
            <w:shd w:val="clear" w:color="auto" w:fill="F2F2F2"/>
          </w:tcPr>
          <w:p>
            <w:pPr>
              <w:spacing w:after="0"/>
              <w:rPr>
                <w:sz w:val="22"/>
                <w:szCs w:val="22"/>
                <w:color w:val="auto"/>
              </w:rPr>
            </w:pPr>
          </w:p>
        </w:tc>
        <w:tc>
          <w:tcPr>
            <w:tcW w:w="1480" w:type="dxa"/>
            <w:vAlign w:val="bottom"/>
            <w:tcBorders>
              <w:bottom w:val="single" w:sz="8" w:color="BD03F7"/>
            </w:tcBorders>
            <w:shd w:val="clear" w:color="auto" w:fill="F2F2F2"/>
          </w:tcPr>
          <w:p>
            <w:pPr>
              <w:jc w:val="right"/>
              <w:ind w:right="50"/>
              <w:spacing w:after="0"/>
              <w:rPr>
                <w:sz w:val="20"/>
                <w:szCs w:val="20"/>
                <w:color w:val="auto"/>
              </w:rPr>
            </w:pPr>
            <w:r>
              <w:rPr>
                <w:rFonts w:ascii="Arial" w:cs="Arial" w:eastAsia="Arial" w:hAnsi="Arial"/>
                <w:sz w:val="18"/>
                <w:szCs w:val="18"/>
                <w:color w:val="auto"/>
              </w:rPr>
              <w:t>36,013</w:t>
            </w:r>
          </w:p>
        </w:tc>
        <w:tc>
          <w:tcPr>
            <w:tcW w:w="13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38,563</w:t>
            </w:r>
          </w:p>
        </w:tc>
        <w:tc>
          <w:tcPr>
            <w:tcW w:w="100" w:type="dxa"/>
            <w:vAlign w:val="bottom"/>
            <w:tcBorders>
              <w:bottom w:val="single" w:sz="8" w:color="BD03F7"/>
            </w:tcBorders>
            <w:shd w:val="clear" w:color="auto" w:fill="F2F2F2"/>
          </w:tcPr>
          <w:p>
            <w:pPr>
              <w:spacing w:after="0"/>
              <w:rPr>
                <w:sz w:val="22"/>
                <w:szCs w:val="22"/>
                <w:color w:val="auto"/>
              </w:rPr>
            </w:pPr>
          </w:p>
        </w:tc>
        <w:tc>
          <w:tcPr>
            <w:tcW w:w="1460" w:type="dxa"/>
            <w:vAlign w:val="bottom"/>
            <w:tcBorders>
              <w:bottom w:val="single" w:sz="8" w:color="BD03F7"/>
            </w:tcBorders>
            <w:shd w:val="clear" w:color="auto" w:fill="F2F2F2"/>
          </w:tcPr>
          <w:p>
            <w:pPr>
              <w:jc w:val="right"/>
              <w:ind w:right="30"/>
              <w:spacing w:after="0"/>
              <w:rPr>
                <w:sz w:val="20"/>
                <w:szCs w:val="20"/>
                <w:color w:val="auto"/>
              </w:rPr>
            </w:pPr>
            <w:r>
              <w:rPr>
                <w:rFonts w:ascii="Arial" w:cs="Arial" w:eastAsia="Arial" w:hAnsi="Arial"/>
                <w:sz w:val="18"/>
                <w:szCs w:val="18"/>
                <w:color w:val="auto"/>
              </w:rPr>
              <w:t>3,894</w:t>
            </w:r>
          </w:p>
        </w:tc>
        <w:tc>
          <w:tcPr>
            <w:tcW w:w="13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15,966</w:t>
            </w:r>
          </w:p>
        </w:tc>
      </w:tr>
    </w:tbl>
    <w:p>
      <w:pPr>
        <w:spacing w:after="0" w:line="71" w:lineRule="exact"/>
        <w:rPr>
          <w:sz w:val="20"/>
          <w:szCs w:val="20"/>
          <w:color w:val="auto"/>
        </w:rPr>
      </w:pPr>
    </w:p>
    <w:p>
      <w:pPr>
        <w:ind w:right="400" w:firstLine="8"/>
        <w:spacing w:after="0" w:line="303" w:lineRule="auto"/>
        <w:tabs>
          <w:tab w:leader="none" w:pos="215"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shares earned and vested or banked on the first Certification Date (which followed Fiscal 2023). Any shares that were previously banked vested on the second Certification Date (which followed Fiscal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CONSIDERATION OF TAX CONSEQUENCES WHEN MAKING COMPENSATION DECISIONS</w:t>
      </w:r>
    </w:p>
    <w:p>
      <w:pPr>
        <w:spacing w:after="0" w:line="24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Code Section 162(m) generally disallows a tax deduction to public companies such as Micron for annual compensation over $1,000,000 per person paid to our Named Executive Officers and certain other current or former executive officers. Although the Compensation Committee considers the deductibility of compensation under Section 162(m), it reserves the right to grant or approve compensation or awards that may be non-deductible when it believes such compensation or awards are in the best interests of Micron and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OTHER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STOCK OWNERSHIP GUIDELINES</w:t>
      </w:r>
    </w:p>
    <w:p>
      <w:pPr>
        <w:spacing w:after="0" w:line="2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our executive officers will more effectively manage the Company in the best interests of the shareholders if they are also shareholders. The minimum ownership guideline for our Chief Executive Officer is to hold shares with a value equal to six times his base salary (increased from five times beginning in Fiscal 2024). Our other executive officers are required to hold shares with a value equal to three times their base salary. Executive officers are given five years to meet the ownership guidelines. The Governance and Sustainability Committee reviews the stock ownership guidelines periodically and monitors each covered executive’s progress toward, and continued compliance with, the guidelines. Stock sales restrictions may be imposed upon executive officers if the stock ownership guidelines are not met. All our executive officers are in currently compliance with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791835" cy="786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91835"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Compliance is based on ownership (either directly in their name or jointly or separately by a spouse, children or trusts) of fully vested shares obtained through previous equity awards, unvested time-based equity awards and shares purchased on the open market. Unexercised options and unearned performance-based equity awards do not count towards ownership. As of Fiscal 2024 year-end, all Named Executive Officers were in compliance with the guidelines.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34 for information on stock ownership guidelines for our directors.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RECOUPMENT (CLAWBACK) POLICY</w:t>
      </w:r>
    </w:p>
    <w:p>
      <w:pPr>
        <w:spacing w:after="0" w:line="24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maintain a compensation recoupment (clawback) policy, which we amended and restated effective in September 2023 for compliance with the listing standards of Nasdaq and Section 10D of the Exchange Act. In the event that the Company is required to prepare an accounting restatement due to its material noncompliance with any financial reporting requirement under U.S. securities law, the policy provides that the Company will recoup compensation from each current or former executive officer who, during the three-year period preceding the date on which a restatement is required, received compensation from incentive awards based on the erroneous financial data that exceeds the amount of incentive-based compensation the executive would have received based on the restatement. The Compensation Committee has sole discretion to determine how to seek recovery under the policy and may forgo recovery if it determines that recovery would be impracticable and either the cost of recovery would exceed the amount sought to be recovered, or that recovery would violate a home-country law that was adopted prior to November 28, 2022 or would cause an otherwise tax-qualified retirement plan broadly available to our employees to fail to meet applicable tax qualification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ANTI-HEDGING AND PLEDGING POLICIES</w:t>
      </w:r>
    </w:p>
    <w:p>
      <w:pPr>
        <w:spacing w:after="0" w:line="22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adopted an Insider Trading Policy containing policies and procedures governing the purchase, sale and/or other dispositions of our securities by Insiders (including officers and directors as well as certain other employees identified pursuant to the Insider Trading Policy), or by us. Such policies and procedures are reasonably designed to promote compliance with insider trading laws, rules and regulations, and any listing standards applicable to us. Our Insider Trading Policy has been filed as required by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prohibit Insiders from engaging in speculative transactions involving the Company's securities, including short sales, puts, calls or other options on the Company's common stock, that hedge or offset, or are designed to hedge or offset, any decrease in the market value of the Company’s equity securities. Additionally, Insiders may not pledge Company securities as collateral for any loan or as part of any other pledging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 GRANT PRACTICES</w:t>
      </w:r>
    </w:p>
    <w:p>
      <w:pPr>
        <w:spacing w:after="0" w:line="22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We have not granted stock options or other similar types of awards as part of our equity compensation programs since 2018. RSAs, RSUs, or other types of equity awards that we grant to directors, officers and employees do not include an exercise price.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FISCAL 2024 EMPLOYEE BENEFITS</w:t>
      </w:r>
    </w:p>
    <w:p>
      <w:pPr>
        <w:spacing w:after="0" w:line="241"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are eligible to participate in the same such plans as our other employees.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also pay for personal security arrangements for Mr. Mehrotra. We do not consider personal security measures to be a personal benefit to Mr. Mehrotra, but instead appropriate expenses for the benefit of the Company that arise out of his employment responsibilities and that are necessary to his job performance and to ensure the safety of Mr. Mehrotra and his family. In determining to authorize these security arrangements, the Compensation Committee evaluated the need to respond to specific incidents and threats, and reviewed recommendations from a leading independent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20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the interests of safety, security, and efficiency, the Compensation Committee has authorized Mr. Mehrotra to use the Company's aircraft for personal travel. The Compensation Committee also has established a policy to review costs for use of Company aircraft for personal travel on a quarterly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footnote 6 to the Summary Compensation Table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IN CONTROL ARRANGEMENTS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6" w:lineRule="exact"/>
        <w:rPr>
          <w:sz w:val="20"/>
          <w:szCs w:val="20"/>
          <w:color w:val="auto"/>
        </w:rPr>
      </w:pPr>
    </w:p>
    <w:p>
      <w:pPr>
        <w:ind w:left="660" w:right="100" w:hanging="330"/>
        <w:spacing w:after="0" w:line="267" w:lineRule="auto"/>
        <w:tabs>
          <w:tab w:leader="none" w:pos="655" w:val="left"/>
        </w:tabs>
        <w:numPr>
          <w:ilvl w:val="0"/>
          <w:numId w:val="60"/>
        </w:numPr>
        <w:rPr>
          <w:rFonts w:ascii="Arial" w:cs="Arial" w:eastAsia="Arial" w:hAnsi="Arial"/>
          <w:sz w:val="18"/>
          <w:szCs w:val="18"/>
          <w:color w:val="BD03F7"/>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97" w:lineRule="exact"/>
        <w:rPr>
          <w:rFonts w:ascii="Arial" w:cs="Arial" w:eastAsia="Arial" w:hAnsi="Arial"/>
          <w:sz w:val="18"/>
          <w:szCs w:val="18"/>
          <w:color w:val="BD03F7"/>
        </w:rPr>
      </w:pPr>
    </w:p>
    <w:p>
      <w:pPr>
        <w:ind w:left="660" w:right="280" w:hanging="330"/>
        <w:spacing w:after="0" w:line="285" w:lineRule="auto"/>
        <w:tabs>
          <w:tab w:leader="none" w:pos="655" w:val="left"/>
        </w:tabs>
        <w:numPr>
          <w:ilvl w:val="0"/>
          <w:numId w:val="60"/>
        </w:numPr>
        <w:rPr>
          <w:rFonts w:ascii="Arial" w:cs="Arial" w:eastAsia="Arial" w:hAnsi="Arial"/>
          <w:sz w:val="18"/>
          <w:szCs w:val="18"/>
          <w:color w:val="BD03F7"/>
        </w:rPr>
      </w:pPr>
      <w:r>
        <w:rPr>
          <w:rFonts w:ascii="Arial" w:cs="Arial" w:eastAsia="Arial" w:hAnsi="Arial"/>
          <w:sz w:val="18"/>
          <w:szCs w:val="18"/>
          <w:color w:val="auto"/>
        </w:rPr>
        <w:t>a pro-rated annual bonus under the STI plan for the year of termination, subject to achievement of applicable performance criteria, paid in accordance with the terms of the STI plan;</w:t>
      </w:r>
    </w:p>
    <w:p>
      <w:pPr>
        <w:spacing w:after="0" w:line="181" w:lineRule="exact"/>
        <w:rPr>
          <w:rFonts w:ascii="Arial" w:cs="Arial" w:eastAsia="Arial" w:hAnsi="Arial"/>
          <w:sz w:val="18"/>
          <w:szCs w:val="18"/>
          <w:color w:val="BD03F7"/>
        </w:rPr>
      </w:pPr>
    </w:p>
    <w:p>
      <w:pPr>
        <w:ind w:left="660" w:right="240" w:hanging="330"/>
        <w:spacing w:after="0" w:line="285" w:lineRule="auto"/>
        <w:tabs>
          <w:tab w:leader="none" w:pos="655" w:val="left"/>
        </w:tabs>
        <w:numPr>
          <w:ilvl w:val="0"/>
          <w:numId w:val="60"/>
        </w:numPr>
        <w:rPr>
          <w:rFonts w:ascii="Arial" w:cs="Arial" w:eastAsia="Arial" w:hAnsi="Arial"/>
          <w:sz w:val="18"/>
          <w:szCs w:val="18"/>
          <w:color w:val="BD03F7"/>
        </w:rPr>
      </w:pPr>
      <w:r>
        <w:rPr>
          <w:rFonts w:ascii="Arial" w:cs="Arial" w:eastAsia="Arial" w:hAnsi="Arial"/>
          <w:sz w:val="18"/>
          <w:szCs w:val="18"/>
          <w:color w:val="auto"/>
        </w:rPr>
        <w:t>an additional bonus of two times Mr. Mehrotra’s target annual bonus under the STI plan for the year of termination paid on the one-year anniversary of Mr. Mehrotra’s termination;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right="160" w:hanging="330"/>
        <w:spacing w:after="0" w:line="267" w:lineRule="auto"/>
        <w:tabs>
          <w:tab w:leader="none" w:pos="655" w:val="left"/>
        </w:tabs>
        <w:numPr>
          <w:ilvl w:val="0"/>
          <w:numId w:val="61"/>
        </w:numPr>
        <w:rPr>
          <w:rFonts w:ascii="Arial" w:cs="Arial" w:eastAsia="Arial" w:hAnsi="Arial"/>
          <w:sz w:val="18"/>
          <w:szCs w:val="18"/>
          <w:color w:val="BD03F7"/>
        </w:rPr>
      </w:pPr>
      <w:r>
        <w:rPr>
          <w:rFonts w:ascii="Arial" w:cs="Arial" w:eastAsia="Arial" w:hAnsi="Arial"/>
          <w:sz w:val="18"/>
          <w:szCs w:val="18"/>
          <w:color w:val="auto"/>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spacing w:after="0" w:line="197" w:lineRule="exact"/>
        <w:rPr>
          <w:rFonts w:ascii="Arial" w:cs="Arial" w:eastAsia="Arial" w:hAnsi="Arial"/>
          <w:sz w:val="18"/>
          <w:szCs w:val="18"/>
          <w:color w:val="BD03F7"/>
        </w:rPr>
      </w:pPr>
    </w:p>
    <w:p>
      <w:pPr>
        <w:jc w:val="both"/>
        <w:ind w:left="660" w:right="420" w:hanging="330"/>
        <w:spacing w:after="0" w:line="267" w:lineRule="auto"/>
        <w:tabs>
          <w:tab w:leader="none" w:pos="655" w:val="left"/>
        </w:tabs>
        <w:numPr>
          <w:ilvl w:val="0"/>
          <w:numId w:val="61"/>
        </w:numPr>
        <w:rPr>
          <w:rFonts w:ascii="Arial" w:cs="Arial" w:eastAsia="Arial" w:hAnsi="Arial"/>
          <w:sz w:val="18"/>
          <w:szCs w:val="18"/>
          <w:color w:val="BD03F7"/>
        </w:rPr>
      </w:pPr>
      <w:r>
        <w:rPr>
          <w:rFonts w:ascii="Arial" w:cs="Arial" w:eastAsia="Arial" w:hAnsi="Arial"/>
          <w:sz w:val="18"/>
          <w:szCs w:val="18"/>
          <w:color w:val="auto"/>
        </w:rPr>
        <w:t>a cash payment equal to the additional cost to Mr. Mehrotra for continuation of coverage in the Company’s non-cash benefits Mr. Mehrotra would have incurred and the employer qualified plan matching contributions Mr. Mehrotra would have received had Mr. Mehrotra remained a participant for an additional two years, paid in a lump sum following termination.</w:t>
      </w:r>
    </w:p>
    <w:p>
      <w:pPr>
        <w:spacing w:after="0" w:line="19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Mr. Mehrotra’s severance benefits become payable on account of his “good reason” resignation prior to a “Change in Control” and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severance benefits provided under the Executive Agreement are conditioned on Mr. Mehrotra signing a release of claims in favor of Micron and on Mr. Mehrotra’s compliance with terms of our non-competition, non-solicitation, and non-disclosure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our other Named Executive Officers has a severance agreement (together, the “Named Executive Officer Severance Agreements”). The Named Executive Officer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other than for Dr. DeBoer if termination occurs on or within 12 months following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a general release of the Company, and our officers, directors, employees, and agents from claims.</w:t>
      </w:r>
    </w:p>
    <w:p>
      <w:pPr>
        <w:spacing w:after="0" w:line="18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Provided a Named Executive Officer complies with post-employment obligations and restrictions described below and all other terms of the Named Executive Officer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and in certain cases, continued vesting of outstanding stock options and restricted equity awards, along with amounts with respect to 401(k) plan matching contributions and COBRA premiums. In addition, the Named Executive Officer Severance Agreements for Messrs. Murphy, Bhatia and Sadana provide for payment of an annual bonus with respect to the</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year of termination, based on actual performance, or, in the event of a qualifying termination in connection with a Change in Control, at target levels. With respect to cash and equity awards that are performance-based, the Named Executive Officer is entitled to receive such awards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only if the goals are achieved before or during the 12- or 18-month period following termination of employment. Terminated Named Executive Officers are not entitled to receive any new awards under our equity plans or the STI plan (although Dr. DeBoer, would be eligible to receive a bonus equal to the STI plan bonus he would have earned for the 12-month period following a qualifying termination) or to the payment of any compensation that would be deferred past the 12- or 18-month period following termination of employment due to payment criteria of an incentive program, as those criteria exist as of the date of termination. The Named Executive Officer Severance Agreements provide that upon certain terminations of employment on or within 12 months following a Change in Control, all of the Named Executive Officer’s outstanding stock options and restricted equity awards will be treated as vested and earned. Mr. Murphy’s Named Executive Officer Severance Agreement also provides that in connection with certain terminations of employment any unvested shares granted as part of his new hire equity award will continue to vest at the same time and in the same amounts as if he had remained an employee through the applicable vesting date. The Named Executive Officer Severance Agreement for Dr. DeBoer, which was amended and restated in November 2023, is described further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310"/>
        <w:spacing w:after="0"/>
        <w:tabs>
          <w:tab w:leader="none" w:pos="640" w:val="left"/>
        </w:tabs>
        <w:numPr>
          <w:ilvl w:val="0"/>
          <w:numId w:val="62"/>
        </w:numPr>
        <w:rPr>
          <w:rFonts w:ascii="Arial" w:cs="Arial" w:eastAsia="Arial" w:hAnsi="Arial"/>
          <w:sz w:val="18"/>
          <w:szCs w:val="18"/>
          <w:color w:val="BD03F7"/>
        </w:rPr>
      </w:pPr>
      <w:r>
        <w:rPr>
          <w:rFonts w:ascii="Arial" w:cs="Arial" w:eastAsia="Arial" w:hAnsi="Arial"/>
          <w:sz w:val="18"/>
          <w:szCs w:val="18"/>
          <w:color w:val="auto"/>
        </w:rPr>
        <w:t>a one-year non-competition obligation;</w:t>
      </w:r>
    </w:p>
    <w:p>
      <w:pPr>
        <w:spacing w:after="0" w:line="169" w:lineRule="exact"/>
        <w:rPr>
          <w:rFonts w:ascii="Arial" w:cs="Arial" w:eastAsia="Arial" w:hAnsi="Arial"/>
          <w:sz w:val="18"/>
          <w:szCs w:val="18"/>
          <w:color w:val="BD03F7"/>
        </w:rPr>
      </w:pPr>
    </w:p>
    <w:p>
      <w:pPr>
        <w:ind w:left="640" w:hanging="310"/>
        <w:spacing w:after="0"/>
        <w:tabs>
          <w:tab w:leader="none" w:pos="640" w:val="left"/>
        </w:tabs>
        <w:numPr>
          <w:ilvl w:val="0"/>
          <w:numId w:val="62"/>
        </w:numPr>
        <w:rPr>
          <w:rFonts w:ascii="Arial" w:cs="Arial" w:eastAsia="Arial" w:hAnsi="Arial"/>
          <w:sz w:val="18"/>
          <w:szCs w:val="18"/>
          <w:color w:val="BD03F7"/>
        </w:rPr>
      </w:pPr>
      <w:r>
        <w:rPr>
          <w:rFonts w:ascii="Arial" w:cs="Arial" w:eastAsia="Arial" w:hAnsi="Arial"/>
          <w:sz w:val="18"/>
          <w:szCs w:val="18"/>
          <w:color w:val="auto"/>
        </w:rPr>
        <w:t>confidentiality obligations related to our proprietary and confidential information that last indefinitely;</w:t>
      </w:r>
    </w:p>
    <w:p>
      <w:pPr>
        <w:spacing w:after="0" w:line="169" w:lineRule="exact"/>
        <w:rPr>
          <w:rFonts w:ascii="Arial" w:cs="Arial" w:eastAsia="Arial" w:hAnsi="Arial"/>
          <w:sz w:val="18"/>
          <w:szCs w:val="18"/>
          <w:color w:val="BD03F7"/>
        </w:rPr>
      </w:pPr>
    </w:p>
    <w:p>
      <w:pPr>
        <w:ind w:left="660" w:right="60" w:hanging="330"/>
        <w:spacing w:after="0" w:line="261" w:lineRule="auto"/>
        <w:tabs>
          <w:tab w:leader="none" w:pos="655" w:val="left"/>
        </w:tabs>
        <w:numPr>
          <w:ilvl w:val="0"/>
          <w:numId w:val="62"/>
        </w:numPr>
        <w:rPr>
          <w:rFonts w:ascii="Arial" w:cs="Arial" w:eastAsia="Arial" w:hAnsi="Arial"/>
          <w:sz w:val="18"/>
          <w:szCs w:val="18"/>
          <w:color w:val="BD03F7"/>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22" w:lineRule="exact"/>
        <w:rPr>
          <w:rFonts w:ascii="Arial" w:cs="Arial" w:eastAsia="Arial" w:hAnsi="Arial"/>
          <w:sz w:val="18"/>
          <w:szCs w:val="18"/>
          <w:color w:val="BD03F7"/>
        </w:rPr>
      </w:pPr>
    </w:p>
    <w:p>
      <w:pPr>
        <w:ind w:left="640" w:hanging="310"/>
        <w:spacing w:after="0"/>
        <w:tabs>
          <w:tab w:leader="none" w:pos="640" w:val="left"/>
        </w:tabs>
        <w:numPr>
          <w:ilvl w:val="0"/>
          <w:numId w:val="62"/>
        </w:numPr>
        <w:rPr>
          <w:rFonts w:ascii="Arial" w:cs="Arial" w:eastAsia="Arial" w:hAnsi="Arial"/>
          <w:sz w:val="18"/>
          <w:szCs w:val="18"/>
          <w:color w:val="BD03F7"/>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Upon receipt of all benefits under the Named Executive Officer Severance Agreement for Messrs. Murphy, Bhatia and Sadana,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 Dr. DeBoer’s entitlement to the severance benefits provided under his Named Executive Officer Severance Agreement are conditioned on Dr. DeBoer signing a release of claims in favor of Micron.</w:t>
      </w:r>
    </w:p>
    <w:p>
      <w:pPr>
        <w:spacing w:after="0" w:line="1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entered into an amended and restated Severance Agreement with Dr. DeBoer after the close of our Fiscal 2023. This amended and restated Severance Agreement provides for the following differences from the benefits described with respect to the Named Executive Officer Severance Agreements above:</w:t>
      </w:r>
    </w:p>
    <w:p>
      <w:pPr>
        <w:spacing w:after="0" w:line="209" w:lineRule="exact"/>
        <w:rPr>
          <w:sz w:val="20"/>
          <w:szCs w:val="20"/>
          <w:color w:val="auto"/>
        </w:rPr>
      </w:pPr>
    </w:p>
    <w:p>
      <w:pPr>
        <w:ind w:left="660" w:right="220" w:hanging="330"/>
        <w:spacing w:after="0" w:line="267" w:lineRule="auto"/>
        <w:tabs>
          <w:tab w:leader="none" w:pos="655" w:val="left"/>
        </w:tabs>
        <w:numPr>
          <w:ilvl w:val="0"/>
          <w:numId w:val="63"/>
        </w:numPr>
        <w:rPr>
          <w:rFonts w:ascii="Arial" w:cs="Arial" w:eastAsia="Arial" w:hAnsi="Arial"/>
          <w:sz w:val="18"/>
          <w:szCs w:val="18"/>
          <w:color w:val="BD03F7"/>
        </w:rPr>
      </w:pPr>
      <w:r>
        <w:rPr>
          <w:rFonts w:ascii="Arial" w:cs="Arial" w:eastAsia="Arial" w:hAnsi="Arial"/>
          <w:sz w:val="18"/>
          <w:szCs w:val="18"/>
          <w:color w:val="auto"/>
        </w:rPr>
        <w:t>it provides for an annual bonus under the STI plan for the year of termination, subject to achievement of applicable performance criteria, paid in accordance with the terms of the STI plan, along with an annual bonus that would have been payable under the STI plan based on actual attainment of performance goals for the 12-month period following termination;</w:t>
      </w:r>
    </w:p>
    <w:p>
      <w:pPr>
        <w:spacing w:after="0" w:line="116" w:lineRule="exact"/>
        <w:rPr>
          <w:rFonts w:ascii="Arial" w:cs="Arial" w:eastAsia="Arial" w:hAnsi="Arial"/>
          <w:sz w:val="18"/>
          <w:szCs w:val="18"/>
          <w:color w:val="BD03F7"/>
        </w:rPr>
      </w:pPr>
    </w:p>
    <w:p>
      <w:pPr>
        <w:ind w:left="660" w:right="20" w:hanging="330"/>
        <w:spacing w:after="0" w:line="267" w:lineRule="auto"/>
        <w:tabs>
          <w:tab w:leader="none" w:pos="655" w:val="left"/>
        </w:tabs>
        <w:numPr>
          <w:ilvl w:val="0"/>
          <w:numId w:val="63"/>
        </w:numPr>
        <w:rPr>
          <w:rFonts w:ascii="Arial" w:cs="Arial" w:eastAsia="Arial" w:hAnsi="Arial"/>
          <w:sz w:val="18"/>
          <w:szCs w:val="18"/>
          <w:color w:val="BD03F7"/>
        </w:rPr>
      </w:pPr>
      <w:r>
        <w:rPr>
          <w:rFonts w:ascii="Arial" w:cs="Arial" w:eastAsia="Arial" w:hAnsi="Arial"/>
          <w:sz w:val="18"/>
          <w:szCs w:val="18"/>
          <w:color w:val="auto"/>
        </w:rPr>
        <w:t>it provides for a cash payment equal to the additional cost to Dr. DeBoer for continuation of coverage in the Company’s non-cash benefits Dr. DeBoer would have incurred and the employer qualified plan matching contributions Dr. DeBoer would have received had Dr. DeBoer remained a participant for an additional two years, paid in a lump sum following termination;</w:t>
      </w:r>
    </w:p>
    <w:p>
      <w:pPr>
        <w:spacing w:after="0" w:line="116" w:lineRule="exact"/>
        <w:rPr>
          <w:rFonts w:ascii="Arial" w:cs="Arial" w:eastAsia="Arial" w:hAnsi="Arial"/>
          <w:sz w:val="18"/>
          <w:szCs w:val="18"/>
          <w:color w:val="BD03F7"/>
        </w:rPr>
      </w:pPr>
    </w:p>
    <w:p>
      <w:pPr>
        <w:jc w:val="both"/>
        <w:ind w:left="660" w:right="520" w:hanging="330"/>
        <w:spacing w:after="0" w:line="267" w:lineRule="auto"/>
        <w:tabs>
          <w:tab w:leader="none" w:pos="655" w:val="left"/>
        </w:tabs>
        <w:numPr>
          <w:ilvl w:val="0"/>
          <w:numId w:val="63"/>
        </w:numPr>
        <w:rPr>
          <w:rFonts w:ascii="Arial" w:cs="Arial" w:eastAsia="Arial" w:hAnsi="Arial"/>
          <w:sz w:val="18"/>
          <w:szCs w:val="18"/>
          <w:color w:val="BD03F7"/>
        </w:rPr>
      </w:pPr>
      <w:r>
        <w:rPr>
          <w:rFonts w:ascii="Arial" w:cs="Arial" w:eastAsia="Arial" w:hAnsi="Arial"/>
          <w:sz w:val="18"/>
          <w:szCs w:val="18"/>
          <w:color w:val="auto"/>
        </w:rPr>
        <w:t>it caps at Fiscal 2023 levels (prior to reduction) the salary and target bonus used to determine the compensation payable to Dr. DeBoer for the 12-month period following termination of employment in the event of a qualifying termination in the absence of a “Change in Control”;</w:t>
      </w:r>
    </w:p>
    <w:p>
      <w:pPr>
        <w:spacing w:after="0" w:line="197" w:lineRule="exact"/>
        <w:rPr>
          <w:rFonts w:ascii="Arial" w:cs="Arial" w:eastAsia="Arial" w:hAnsi="Arial"/>
          <w:sz w:val="18"/>
          <w:szCs w:val="18"/>
          <w:color w:val="BD03F7"/>
        </w:rPr>
      </w:pPr>
    </w:p>
    <w:p>
      <w:pPr>
        <w:ind w:left="660" w:right="340" w:hanging="330"/>
        <w:spacing w:after="0" w:line="285" w:lineRule="auto"/>
        <w:tabs>
          <w:tab w:leader="none" w:pos="655" w:val="left"/>
        </w:tabs>
        <w:numPr>
          <w:ilvl w:val="0"/>
          <w:numId w:val="63"/>
        </w:numPr>
        <w:rPr>
          <w:rFonts w:ascii="Arial" w:cs="Arial" w:eastAsia="Arial" w:hAnsi="Arial"/>
          <w:sz w:val="18"/>
          <w:szCs w:val="18"/>
          <w:color w:val="BD03F7"/>
        </w:rPr>
      </w:pPr>
      <w:r>
        <w:rPr>
          <w:rFonts w:ascii="Arial" w:cs="Arial" w:eastAsia="Arial" w:hAnsi="Arial"/>
          <w:sz w:val="18"/>
          <w:szCs w:val="18"/>
          <w:color w:val="auto"/>
        </w:rPr>
        <w:t>it provides that, in the event of Dr. DeBoer’s retirement, any such severance payments will be pursuant to a consulting agreement that will terminate upon Dr. DeBoer’s return from retirement;</w:t>
      </w:r>
    </w:p>
    <w:p>
      <w:pPr>
        <w:spacing w:after="0" w:line="100" w:lineRule="exact"/>
        <w:rPr>
          <w:rFonts w:ascii="Arial" w:cs="Arial" w:eastAsia="Arial" w:hAnsi="Arial"/>
          <w:sz w:val="18"/>
          <w:szCs w:val="18"/>
          <w:color w:val="BD03F7"/>
        </w:rPr>
      </w:pPr>
    </w:p>
    <w:p>
      <w:pPr>
        <w:ind w:left="660" w:right="100" w:hanging="330"/>
        <w:spacing w:after="0" w:line="267" w:lineRule="auto"/>
        <w:tabs>
          <w:tab w:leader="none" w:pos="655" w:val="left"/>
        </w:tabs>
        <w:numPr>
          <w:ilvl w:val="0"/>
          <w:numId w:val="63"/>
        </w:numPr>
        <w:rPr>
          <w:rFonts w:ascii="Arial" w:cs="Arial" w:eastAsia="Arial" w:hAnsi="Arial"/>
          <w:sz w:val="18"/>
          <w:szCs w:val="18"/>
          <w:color w:val="BD03F7"/>
        </w:rPr>
      </w:pPr>
      <w:r>
        <w:rPr>
          <w:rFonts w:ascii="Arial" w:cs="Arial" w:eastAsia="Arial" w:hAnsi="Arial"/>
          <w:sz w:val="18"/>
          <w:szCs w:val="18"/>
          <w:color w:val="auto"/>
        </w:rPr>
        <w:t>it provides that, in the event of Dr. DeBoer’s qualifying termination upon or within 12 months following a “Change in Control”, Dr. DeBoer will vest in full in his outstanding unvested options and restricted equity awards, with any unresolved performance conditions deemed to be met at target levels.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Severance Payments</w:t>
      </w:r>
    </w:p>
    <w:p>
      <w:pPr>
        <w:spacing w:after="0" w:line="17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See “Potential Payments Upon Termination or Change in Control” on page 74 for a description of the estimated severance amounts as of the end of Fiscal 2024 for Messrs. Mehrotra, Murphy, Bhatia, DeBoer, and Sadana. Any cash severance amounts that would be payable to our executive officers are subject to the Executive Officer Cash Severance Policy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Cash Severance Policy</w:t>
      </w:r>
    </w:p>
    <w:p>
      <w:pPr>
        <w:spacing w:after="0" w:line="2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262626"/>
        </w:rPr>
        <w:t xml:space="preserve">In October 2023, we adopted an Executive Officer Cash Severance Policy that provides that the Company will not enter into any new employment agreement, severance </w:t>
      </w:r>
      <w:r>
        <w:rPr>
          <w:rFonts w:ascii="Arial" w:cs="Arial" w:eastAsia="Arial" w:hAnsi="Arial"/>
          <w:sz w:val="18"/>
          <w:szCs w:val="18"/>
          <w:color w:val="000000"/>
        </w:rPr>
        <w:t>agreement or separation agreement with any executive officer – or establish any new severance plan or</w:t>
      </w:r>
      <w:r>
        <w:rPr>
          <w:rFonts w:ascii="Arial" w:cs="Arial" w:eastAsia="Arial" w:hAnsi="Arial"/>
          <w:sz w:val="18"/>
          <w:szCs w:val="18"/>
          <w:color w:val="262626"/>
        </w:rPr>
        <w:t xml:space="preserve"> </w:t>
      </w:r>
      <w:r>
        <w:rPr>
          <w:rFonts w:ascii="Arial" w:cs="Arial" w:eastAsia="Arial" w:hAnsi="Arial"/>
          <w:sz w:val="18"/>
          <w:szCs w:val="18"/>
          <w:color w:val="000000"/>
        </w:rPr>
        <w:t>policy covering any executive officer – in either case that provides for cash severance benefits exceeding 2.99 times the sum of the executive officer’s base salary plus target annual bonus opportunity, unless shareholders approve such arrangement. In addition, the Executive Officer Cash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Severance Policy provides that any cash payments that may be owed under any existing agreement, plan or policy with an executive officer that was in place prior to adoption of the policy will be reduced as necessary to not exceed the 2.99 times limit unless shareholder approval is obtained. The Executive Officer Cash Severance Policy is administered by the Compensation Committee, which has full authority to interpret and enforce such policy.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have separate Change in Control agreements for our Named Executive Officers and directors. The Executive Agreement and the Named Executive Officer Severance Agreements referenced above provide for transitional benefits in the event of termination of employment, including following a Change in Control. In addition, under the terms of our STI plan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vesting for such awards will accelerate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The estimated value that the Named Executive Officers could receive from our Change in Control provisions can be found in “Potential Payments Upon Termination or Change in Control” on page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9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280"/>
        <w:spacing w:after="0" w:line="28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by Micron under the Securities Act of 1933 or the Exchange Act.</w:t>
      </w:r>
    </w:p>
    <w:p>
      <w:pPr>
        <w:spacing w:after="0" w:line="1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that the Compensation Discussion and Analysis be included in this Proxy Statement.</w:t>
      </w: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The Compensation Committee</w:t>
      </w:r>
    </w:p>
    <w:p>
      <w:pPr>
        <w:ind w:left="5300"/>
        <w:spacing w:after="0" w:line="202" w:lineRule="auto"/>
        <w:rPr>
          <w:sz w:val="20"/>
          <w:szCs w:val="20"/>
          <w:color w:val="auto"/>
        </w:rPr>
      </w:pPr>
      <w:r>
        <w:rPr>
          <w:rFonts w:ascii="Arial" w:cs="Arial" w:eastAsia="Arial" w:hAnsi="Arial"/>
          <w:sz w:val="18"/>
          <w:szCs w:val="18"/>
          <w:color w:val="auto"/>
        </w:rPr>
        <w:t>Richard M. Beyer (Chair)</w:t>
      </w:r>
    </w:p>
    <w:p>
      <w:pPr>
        <w:ind w:left="5300"/>
        <w:spacing w:after="0" w:line="219" w:lineRule="auto"/>
        <w:rPr>
          <w:sz w:val="20"/>
          <w:szCs w:val="20"/>
          <w:color w:val="auto"/>
        </w:rPr>
      </w:pPr>
      <w:r>
        <w:rPr>
          <w:rFonts w:ascii="Arial" w:cs="Arial" w:eastAsia="Arial" w:hAnsi="Arial"/>
          <w:sz w:val="18"/>
          <w:szCs w:val="18"/>
          <w:color w:val="auto"/>
        </w:rPr>
        <w:t>Robert E. Switz</w:t>
      </w:r>
    </w:p>
    <w:p>
      <w:pPr>
        <w:ind w:left="5300"/>
        <w:spacing w:after="0"/>
        <w:rPr>
          <w:sz w:val="20"/>
          <w:szCs w:val="20"/>
          <w:color w:val="auto"/>
        </w:rPr>
      </w:pPr>
      <w:r>
        <w:rPr>
          <w:rFonts w:ascii="Arial" w:cs="Arial" w:eastAsia="Arial" w:hAnsi="Arial"/>
          <w:sz w:val="18"/>
          <w:szCs w:val="18"/>
          <w:color w:val="auto"/>
        </w:rPr>
        <w:t>MaryAnn Wright</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54"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2024. During Fiscal 2024, none of our executive officers served on the compensation committee (or equivalent) or the board of directors of another entity whose executive officer(s) served on our Compensation Committee or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643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643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2024, 2023, and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rPr>
              <w:t>Non-Equity</w:t>
            </w:r>
          </w:p>
        </w:tc>
        <w:tc>
          <w:tcPr>
            <w:tcW w:w="140" w:type="dxa"/>
            <w:vAlign w:val="bottom"/>
          </w:tcPr>
          <w:p>
            <w:pPr>
              <w:spacing w:after="0"/>
              <w:rPr>
                <w:sz w:val="16"/>
                <w:szCs w:val="16"/>
                <w:color w:val="auto"/>
              </w:rPr>
            </w:pPr>
          </w:p>
        </w:tc>
        <w:tc>
          <w:tcPr>
            <w:tcW w:w="14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Salary(1)</w:t>
            </w:r>
          </w:p>
        </w:tc>
        <w:tc>
          <w:tcPr>
            <w:tcW w:w="180" w:type="dxa"/>
            <w:vAlign w:val="bottom"/>
          </w:tcPr>
          <w:p>
            <w:pPr>
              <w:spacing w:after="0"/>
              <w:rPr>
                <w:sz w:val="14"/>
                <w:szCs w:val="14"/>
                <w:color w:val="auto"/>
              </w:rPr>
            </w:pPr>
          </w:p>
        </w:tc>
        <w:tc>
          <w:tcPr>
            <w:tcW w:w="11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Bonus (2)</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Incentive Plan</w:t>
            </w: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BD03F7"/>
            </w:tcBorders>
            <w:vMerge w:val="continue"/>
          </w:tcPr>
          <w:p>
            <w:pPr>
              <w:spacing w:after="0"/>
              <w:rPr>
                <w:sz w:val="18"/>
                <w:szCs w:val="18"/>
                <w:color w:val="auto"/>
              </w:rPr>
            </w:pPr>
          </w:p>
        </w:tc>
        <w:tc>
          <w:tcPr>
            <w:tcW w:w="700" w:type="dxa"/>
            <w:vAlign w:val="bottom"/>
            <w:tcBorders>
              <w:bottom w:val="single" w:sz="8" w:color="BD03F7"/>
            </w:tcBorders>
            <w:vMerge w:val="continue"/>
          </w:tcPr>
          <w:p>
            <w:pPr>
              <w:spacing w:after="0"/>
              <w:rPr>
                <w:sz w:val="18"/>
                <w:szCs w:val="18"/>
                <w:color w:val="auto"/>
              </w:rPr>
            </w:pPr>
          </w:p>
        </w:tc>
        <w:tc>
          <w:tcPr>
            <w:tcW w:w="160" w:type="dxa"/>
            <w:vAlign w:val="bottom"/>
            <w:tcBorders>
              <w:bottom w:val="single" w:sz="8" w:color="BD03F7"/>
            </w:tcBorders>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180" w:type="dxa"/>
            <w:vAlign w:val="bottom"/>
            <w:tcBorders>
              <w:bottom w:val="single" w:sz="8" w:color="BD03F7"/>
            </w:tcBorders>
          </w:tcPr>
          <w:p>
            <w:pPr>
              <w:spacing w:after="0"/>
              <w:rPr>
                <w:sz w:val="18"/>
                <w:szCs w:val="18"/>
                <w:color w:val="auto"/>
              </w:rPr>
            </w:pPr>
          </w:p>
        </w:tc>
        <w:tc>
          <w:tcPr>
            <w:tcW w:w="1100" w:type="dxa"/>
            <w:vAlign w:val="bottom"/>
            <w:tcBorders>
              <w:bottom w:val="single" w:sz="8" w:color="BD03F7"/>
            </w:tcBorders>
            <w:vMerge w:val="continue"/>
          </w:tcPr>
          <w:p>
            <w:pPr>
              <w:spacing w:after="0"/>
              <w:rPr>
                <w:sz w:val="18"/>
                <w:szCs w:val="18"/>
                <w:color w:val="auto"/>
              </w:rPr>
            </w:pPr>
          </w:p>
        </w:tc>
        <w:tc>
          <w:tcPr>
            <w:tcW w:w="1080" w:type="dxa"/>
            <w:vAlign w:val="bottom"/>
            <w:tcBorders>
              <w:bottom w:val="single" w:sz="8" w:color="BD03F7"/>
            </w:tcBorders>
          </w:tcPr>
          <w:p>
            <w:pPr>
              <w:jc w:val="right"/>
              <w:ind w:right="19"/>
              <w:spacing w:after="0"/>
              <w:rPr>
                <w:sz w:val="20"/>
                <w:szCs w:val="20"/>
                <w:color w:val="auto"/>
              </w:rPr>
            </w:pPr>
            <w:r>
              <w:rPr>
                <w:rFonts w:ascii="Arial" w:cs="Arial" w:eastAsia="Arial" w:hAnsi="Arial"/>
                <w:sz w:val="16"/>
                <w:szCs w:val="16"/>
                <w:b w:val="1"/>
                <w:bCs w:val="1"/>
                <w:color w:val="auto"/>
                <w:w w:val="99"/>
              </w:rPr>
              <w:t>Awards(3)(4)</w:t>
            </w:r>
          </w:p>
        </w:tc>
        <w:tc>
          <w:tcPr>
            <w:tcW w:w="140" w:type="dxa"/>
            <w:vAlign w:val="bottom"/>
            <w:tcBorders>
              <w:bottom w:val="single" w:sz="8" w:color="BD03F7"/>
            </w:tcBorders>
          </w:tcPr>
          <w:p>
            <w:pPr>
              <w:spacing w:after="0"/>
              <w:rPr>
                <w:sz w:val="18"/>
                <w:szCs w:val="18"/>
                <w:color w:val="auto"/>
              </w:rPr>
            </w:pPr>
          </w:p>
        </w:tc>
        <w:tc>
          <w:tcPr>
            <w:tcW w:w="140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Compensation(5)</w:t>
            </w:r>
          </w:p>
        </w:tc>
        <w:tc>
          <w:tcPr>
            <w:tcW w:w="140" w:type="dxa"/>
            <w:vAlign w:val="bottom"/>
            <w:tcBorders>
              <w:bottom w:val="single" w:sz="8" w:color="BD03F7"/>
            </w:tcBorders>
          </w:tcPr>
          <w:p>
            <w:pPr>
              <w:spacing w:after="0"/>
              <w:rPr>
                <w:sz w:val="18"/>
                <w:szCs w:val="18"/>
                <w:color w:val="auto"/>
              </w:rPr>
            </w:pPr>
          </w:p>
        </w:tc>
        <w:tc>
          <w:tcPr>
            <w:tcW w:w="1400" w:type="dxa"/>
            <w:vAlign w:val="bottom"/>
            <w:tcBorders>
              <w:bottom w:val="single" w:sz="8" w:color="BD03F7"/>
            </w:tcBorders>
          </w:tcPr>
          <w:p>
            <w:pPr>
              <w:jc w:val="right"/>
              <w:spacing w:after="0"/>
              <w:rPr>
                <w:sz w:val="20"/>
                <w:szCs w:val="20"/>
                <w:color w:val="auto"/>
              </w:rPr>
            </w:pPr>
            <w:r>
              <w:rPr>
                <w:rFonts w:ascii="Arial" w:cs="Arial" w:eastAsia="Arial" w:hAnsi="Arial"/>
                <w:sz w:val="16"/>
                <w:szCs w:val="16"/>
                <w:b w:val="1"/>
                <w:bCs w:val="1"/>
                <w:color w:val="auto"/>
                <w:w w:val="99"/>
              </w:rPr>
              <w:t>Compensation(6)</w:t>
            </w:r>
          </w:p>
        </w:tc>
        <w:tc>
          <w:tcPr>
            <w:tcW w:w="240" w:type="dxa"/>
            <w:vAlign w:val="bottom"/>
            <w:tcBorders>
              <w:bottom w:val="single" w:sz="8" w:color="BD03F7"/>
            </w:tcBorders>
          </w:tcPr>
          <w:p>
            <w:pPr>
              <w:spacing w:after="0"/>
              <w:rPr>
                <w:sz w:val="18"/>
                <w:szCs w:val="18"/>
                <w:color w:val="auto"/>
              </w:rPr>
            </w:pPr>
          </w:p>
        </w:tc>
        <w:tc>
          <w:tcPr>
            <w:tcW w:w="980" w:type="dxa"/>
            <w:vAlign w:val="bottom"/>
            <w:tcBorders>
              <w:bottom w:val="single" w:sz="8" w:color="BD03F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60" w:type="dxa"/>
            <w:vAlign w:val="bottom"/>
            <w:shd w:val="clear" w:color="auto" w:fill="F2F2F2"/>
          </w:tcPr>
          <w:p>
            <w:pPr>
              <w:ind w:left="20"/>
              <w:spacing w:after="0"/>
              <w:rPr>
                <w:sz w:val="20"/>
                <w:szCs w:val="20"/>
                <w:color w:val="auto"/>
              </w:rPr>
            </w:pPr>
            <w:r>
              <w:rPr>
                <w:rFonts w:ascii="Arial" w:cs="Arial" w:eastAsia="Arial" w:hAnsi="Arial"/>
                <w:sz w:val="16"/>
                <w:szCs w:val="16"/>
                <w:color w:val="auto"/>
              </w:rPr>
              <w:t>Sanjay Mehrotra</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F2F2F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1,416,909</w:t>
            </w:r>
          </w:p>
        </w:tc>
        <w:tc>
          <w:tcPr>
            <w:tcW w:w="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23,749,623</w:t>
            </w: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4,847,433</w:t>
            </w: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46,161</w:t>
            </w:r>
          </w:p>
        </w:tc>
        <w:tc>
          <w:tcPr>
            <w:tcW w:w="240" w:type="dxa"/>
            <w:vAlign w:val="bottom"/>
            <w:shd w:val="clear" w:color="auto" w:fill="F2F2F2"/>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30,060,126</w:t>
            </w:r>
          </w:p>
        </w:tc>
        <w:tc>
          <w:tcPr>
            <w:tcW w:w="0" w:type="dxa"/>
            <w:vAlign w:val="bottom"/>
          </w:tcPr>
          <w:p>
            <w:pPr>
              <w:spacing w:after="0"/>
              <w:rPr>
                <w:sz w:val="1"/>
                <w:szCs w:val="1"/>
                <w:color w:val="auto"/>
              </w:rPr>
            </w:pPr>
          </w:p>
        </w:tc>
      </w:tr>
      <w:tr>
        <w:trPr>
          <w:trHeight w:val="215"/>
        </w:trPr>
        <w:tc>
          <w:tcPr>
            <w:tcW w:w="27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President and Chief</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1,255,476</w:t>
            </w:r>
          </w:p>
        </w:tc>
        <w:tc>
          <w:tcPr>
            <w:tcW w:w="180" w:type="dxa"/>
            <w:vAlign w:val="bottom"/>
            <w:shd w:val="clear" w:color="auto" w:fill="F2F2F2"/>
          </w:tcPr>
          <w:p>
            <w:pPr>
              <w:spacing w:after="0"/>
              <w:rPr>
                <w:sz w:val="18"/>
                <w:szCs w:val="18"/>
                <w:color w:val="auto"/>
              </w:rPr>
            </w:pPr>
          </w:p>
        </w:tc>
        <w:tc>
          <w:tcPr>
            <w:tcW w:w="11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23,750,005</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271,472</w:t>
            </w:r>
          </w:p>
        </w:tc>
        <w:tc>
          <w:tcPr>
            <w:tcW w:w="24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25,276,953</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B6B6B6"/>
            </w:tcBorders>
            <w:shd w:val="clear" w:color="auto" w:fill="F2F2F2"/>
          </w:tcPr>
          <w:p>
            <w:pPr>
              <w:ind w:left="100"/>
              <w:spacing w:after="0"/>
              <w:rPr>
                <w:sz w:val="20"/>
                <w:szCs w:val="20"/>
                <w:color w:val="auto"/>
              </w:rPr>
            </w:pPr>
            <w:r>
              <w:rPr>
                <w:rFonts w:ascii="Arial" w:cs="Arial" w:eastAsia="Arial" w:hAnsi="Arial"/>
                <w:sz w:val="16"/>
                <w:szCs w:val="16"/>
                <w:color w:val="auto"/>
              </w:rPr>
              <w:t>Executive Officer</w:t>
            </w:r>
          </w:p>
        </w:tc>
        <w:tc>
          <w:tcPr>
            <w:tcW w:w="700" w:type="dxa"/>
            <w:vAlign w:val="bottom"/>
            <w:tcBorders>
              <w:bottom w:val="single" w:sz="8" w:color="B6B6B6"/>
            </w:tcBorders>
            <w:shd w:val="clear" w:color="auto" w:fill="F2F2F2"/>
          </w:tcPr>
          <w:p>
            <w:pPr>
              <w:ind w:left="16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1,409,893</w:t>
            </w:r>
          </w:p>
        </w:tc>
        <w:tc>
          <w:tcPr>
            <w:tcW w:w="180" w:type="dxa"/>
            <w:vAlign w:val="bottom"/>
            <w:tcBorders>
              <w:bottom w:val="single" w:sz="8" w:color="B6B6B6"/>
            </w:tcBorders>
            <w:shd w:val="clear" w:color="auto" w:fill="F2F2F2"/>
          </w:tcPr>
          <w:p>
            <w:pPr>
              <w:spacing w:after="0"/>
              <w:rPr>
                <w:sz w:val="18"/>
                <w:szCs w:val="18"/>
                <w:color w:val="auto"/>
              </w:rPr>
            </w:pPr>
          </w:p>
        </w:tc>
        <w:tc>
          <w:tcPr>
            <w:tcW w:w="1100" w:type="dxa"/>
            <w:vAlign w:val="bottom"/>
            <w:tcBorders>
              <w:bottom w:val="single" w:sz="8" w:color="B6B6B6"/>
            </w:tcBorders>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23,499,965</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3,435,275</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495,676</w:t>
            </w:r>
          </w:p>
        </w:tc>
        <w:tc>
          <w:tcPr>
            <w:tcW w:w="24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28,840,809</w:t>
            </w:r>
          </w:p>
        </w:tc>
        <w:tc>
          <w:tcPr>
            <w:tcW w:w="0" w:type="dxa"/>
            <w:vAlign w:val="bottom"/>
          </w:tcPr>
          <w:p>
            <w:pPr>
              <w:spacing w:after="0"/>
              <w:rPr>
                <w:sz w:val="1"/>
                <w:szCs w:val="1"/>
                <w:color w:val="auto"/>
              </w:rPr>
            </w:pPr>
          </w:p>
        </w:tc>
      </w:tr>
      <w:tr>
        <w:trPr>
          <w:trHeight w:val="208"/>
        </w:trPr>
        <w:tc>
          <w:tcPr>
            <w:tcW w:w="2760" w:type="dxa"/>
            <w:vAlign w:val="bottom"/>
          </w:tcPr>
          <w:p>
            <w:pPr>
              <w:ind w:left="20"/>
              <w:spacing w:after="0"/>
              <w:rPr>
                <w:sz w:val="20"/>
                <w:szCs w:val="20"/>
                <w:color w:val="auto"/>
              </w:rPr>
            </w:pPr>
            <w:r>
              <w:rPr>
                <w:rFonts w:ascii="Arial" w:cs="Arial" w:eastAsia="Arial" w:hAnsi="Arial"/>
                <w:sz w:val="16"/>
                <w:szCs w:val="16"/>
                <w:color w:val="auto"/>
              </w:rPr>
              <w:t>Mark Murphy</w:t>
            </w:r>
          </w:p>
        </w:tc>
        <w:tc>
          <w:tcPr>
            <w:tcW w:w="700" w:type="dxa"/>
            <w:vAlign w:val="bottom"/>
          </w:tcPr>
          <w:p>
            <w:pPr>
              <w:ind w:left="16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765,654</w:t>
            </w:r>
          </w:p>
        </w:tc>
        <w:tc>
          <w:tcPr>
            <w:tcW w:w="18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8,499,848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1,540,313</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26,188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10,832,003</w:t>
            </w:r>
          </w:p>
        </w:tc>
        <w:tc>
          <w:tcPr>
            <w:tcW w:w="0" w:type="dxa"/>
            <w:vAlign w:val="bottom"/>
          </w:tcPr>
          <w:p>
            <w:pPr>
              <w:spacing w:after="0"/>
              <w:rPr>
                <w:sz w:val="1"/>
                <w:szCs w:val="1"/>
                <w:color w:val="auto"/>
              </w:rPr>
            </w:pPr>
          </w:p>
        </w:tc>
      </w:tr>
      <w:tr>
        <w:trPr>
          <w:trHeight w:val="215"/>
        </w:trPr>
        <w:tc>
          <w:tcPr>
            <w:tcW w:w="2760" w:type="dxa"/>
            <w:vAlign w:val="bottom"/>
          </w:tcPr>
          <w:p>
            <w:pPr>
              <w:ind w:left="100"/>
              <w:spacing w:after="0"/>
              <w:rPr>
                <w:sz w:val="20"/>
                <w:szCs w:val="20"/>
                <w:color w:val="auto"/>
              </w:rPr>
            </w:pPr>
            <w:r>
              <w:rPr>
                <w:rFonts w:ascii="Arial" w:cs="Arial" w:eastAsia="Arial" w:hAnsi="Arial"/>
                <w:sz w:val="16"/>
                <w:szCs w:val="16"/>
                <w:color w:val="auto"/>
              </w:rPr>
              <w:t>Executive Vice President and</w:t>
            </w:r>
          </w:p>
        </w:tc>
        <w:tc>
          <w:tcPr>
            <w:tcW w:w="700" w:type="dxa"/>
            <w:vAlign w:val="bottom"/>
          </w:tcPr>
          <w:p>
            <w:pPr>
              <w:ind w:left="16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639,827</w:t>
            </w:r>
          </w:p>
        </w:tc>
        <w:tc>
          <w:tcPr>
            <w:tcW w:w="18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7,749,991</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14,284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8,404,102</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B6B6B6"/>
            </w:tcBorders>
          </w:tcPr>
          <w:p>
            <w:pPr>
              <w:ind w:left="16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266,538</w:t>
            </w:r>
          </w:p>
        </w:tc>
        <w:tc>
          <w:tcPr>
            <w:tcW w:w="18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99"/>
              <w:spacing w:after="0"/>
              <w:rPr>
                <w:sz w:val="20"/>
                <w:szCs w:val="20"/>
                <w:color w:val="auto"/>
              </w:rPr>
            </w:pPr>
            <w:r>
              <w:rPr>
                <w:rFonts w:ascii="Arial" w:cs="Arial" w:eastAsia="Arial" w:hAnsi="Arial"/>
                <w:sz w:val="16"/>
                <w:szCs w:val="16"/>
                <w:color w:val="auto"/>
              </w:rPr>
              <w:t>250,000</w:t>
            </w: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12,631,963</w:t>
            </w: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326,555</w:t>
            </w: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99,986</w:t>
            </w:r>
          </w:p>
        </w:tc>
        <w:tc>
          <w:tcPr>
            <w:tcW w:w="24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13,575,042</w:t>
            </w:r>
          </w:p>
        </w:tc>
        <w:tc>
          <w:tcPr>
            <w:tcW w:w="0" w:type="dxa"/>
            <w:vAlign w:val="bottom"/>
          </w:tcPr>
          <w:p>
            <w:pPr>
              <w:spacing w:after="0"/>
              <w:rPr>
                <w:sz w:val="1"/>
                <w:szCs w:val="1"/>
                <w:color w:val="auto"/>
              </w:rPr>
            </w:pPr>
          </w:p>
        </w:tc>
      </w:tr>
      <w:tr>
        <w:trPr>
          <w:trHeight w:val="208"/>
        </w:trPr>
        <w:tc>
          <w:tcPr>
            <w:tcW w:w="2760" w:type="dxa"/>
            <w:vAlign w:val="bottom"/>
            <w:shd w:val="clear" w:color="auto" w:fill="F2F2F2"/>
          </w:tcPr>
          <w:p>
            <w:pPr>
              <w:ind w:left="20"/>
              <w:spacing w:after="0"/>
              <w:rPr>
                <w:sz w:val="20"/>
                <w:szCs w:val="20"/>
                <w:color w:val="auto"/>
              </w:rPr>
            </w:pPr>
            <w:r>
              <w:rPr>
                <w:rFonts w:ascii="Arial" w:cs="Arial" w:eastAsia="Arial" w:hAnsi="Arial"/>
                <w:sz w:val="16"/>
                <w:szCs w:val="16"/>
                <w:color w:val="auto"/>
              </w:rPr>
              <w:t>Manish Bhatia</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791,203</w:t>
            </w:r>
          </w:p>
        </w:tc>
        <w:tc>
          <w:tcPr>
            <w:tcW w:w="180" w:type="dxa"/>
            <w:vAlign w:val="bottom"/>
            <w:shd w:val="clear" w:color="auto" w:fill="F2F2F2"/>
          </w:tcPr>
          <w:p>
            <w:pPr>
              <w:spacing w:after="0"/>
              <w:rPr>
                <w:sz w:val="18"/>
                <w:szCs w:val="18"/>
                <w:color w:val="auto"/>
              </w:rPr>
            </w:pPr>
          </w:p>
        </w:tc>
        <w:tc>
          <w:tcPr>
            <w:tcW w:w="11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8,999,852</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1,590,000</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17,250</w:t>
            </w:r>
          </w:p>
        </w:tc>
        <w:tc>
          <w:tcPr>
            <w:tcW w:w="24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11,398,305</w:t>
            </w:r>
          </w:p>
        </w:tc>
        <w:tc>
          <w:tcPr>
            <w:tcW w:w="0" w:type="dxa"/>
            <w:vAlign w:val="bottom"/>
          </w:tcPr>
          <w:p>
            <w:pPr>
              <w:spacing w:after="0"/>
              <w:rPr>
                <w:sz w:val="1"/>
                <w:szCs w:val="1"/>
                <w:color w:val="auto"/>
              </w:rPr>
            </w:pPr>
          </w:p>
        </w:tc>
      </w:tr>
      <w:tr>
        <w:trPr>
          <w:trHeight w:val="215"/>
        </w:trPr>
        <w:tc>
          <w:tcPr>
            <w:tcW w:w="27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667,020</w:t>
            </w:r>
          </w:p>
        </w:tc>
        <w:tc>
          <w:tcPr>
            <w:tcW w:w="180" w:type="dxa"/>
            <w:vAlign w:val="bottom"/>
            <w:shd w:val="clear" w:color="auto" w:fill="F2F2F2"/>
          </w:tcPr>
          <w:p>
            <w:pPr>
              <w:spacing w:after="0"/>
              <w:rPr>
                <w:sz w:val="18"/>
                <w:szCs w:val="18"/>
                <w:color w:val="auto"/>
              </w:rPr>
            </w:pPr>
          </w:p>
        </w:tc>
        <w:tc>
          <w:tcPr>
            <w:tcW w:w="11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8,250,009</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17,118</w:t>
            </w:r>
          </w:p>
        </w:tc>
        <w:tc>
          <w:tcPr>
            <w:tcW w:w="24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8,934,147</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B6B6B6"/>
            </w:tcBorders>
            <w:shd w:val="clear" w:color="auto" w:fill="F2F2F2"/>
          </w:tcPr>
          <w:p>
            <w:pPr>
              <w:ind w:left="100"/>
              <w:spacing w:after="0"/>
              <w:rPr>
                <w:sz w:val="20"/>
                <w:szCs w:val="20"/>
                <w:color w:val="auto"/>
              </w:rPr>
            </w:pPr>
            <w:r>
              <w:rPr>
                <w:rFonts w:ascii="Arial" w:cs="Arial" w:eastAsia="Arial" w:hAnsi="Arial"/>
                <w:sz w:val="16"/>
                <w:szCs w:val="16"/>
                <w:color w:val="auto"/>
              </w:rPr>
              <w:t>Global Operations</w:t>
            </w:r>
          </w:p>
        </w:tc>
        <w:tc>
          <w:tcPr>
            <w:tcW w:w="700" w:type="dxa"/>
            <w:vAlign w:val="bottom"/>
            <w:tcBorders>
              <w:bottom w:val="single" w:sz="8" w:color="B6B6B6"/>
            </w:tcBorders>
            <w:shd w:val="clear" w:color="auto" w:fill="F2F2F2"/>
          </w:tcPr>
          <w:p>
            <w:pPr>
              <w:ind w:left="16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725,607</w:t>
            </w:r>
          </w:p>
        </w:tc>
        <w:tc>
          <w:tcPr>
            <w:tcW w:w="180" w:type="dxa"/>
            <w:vAlign w:val="bottom"/>
            <w:tcBorders>
              <w:bottom w:val="single" w:sz="8" w:color="B6B6B6"/>
            </w:tcBorders>
            <w:shd w:val="clear" w:color="auto" w:fill="F2F2F2"/>
          </w:tcPr>
          <w:p>
            <w:pPr>
              <w:spacing w:after="0"/>
              <w:rPr>
                <w:sz w:val="18"/>
                <w:szCs w:val="18"/>
                <w:color w:val="auto"/>
              </w:rPr>
            </w:pPr>
          </w:p>
        </w:tc>
        <w:tc>
          <w:tcPr>
            <w:tcW w:w="1100" w:type="dxa"/>
            <w:vAlign w:val="bottom"/>
            <w:tcBorders>
              <w:bottom w:val="single" w:sz="8" w:color="B6B6B6"/>
            </w:tcBorders>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7,999,991</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904,511</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8,887,720</w:t>
            </w:r>
          </w:p>
        </w:tc>
        <w:tc>
          <w:tcPr>
            <w:tcW w:w="24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18,517,829</w:t>
            </w:r>
          </w:p>
        </w:tc>
        <w:tc>
          <w:tcPr>
            <w:tcW w:w="0" w:type="dxa"/>
            <w:vAlign w:val="bottom"/>
          </w:tcPr>
          <w:p>
            <w:pPr>
              <w:spacing w:after="0"/>
              <w:rPr>
                <w:sz w:val="1"/>
                <w:szCs w:val="1"/>
                <w:color w:val="auto"/>
              </w:rPr>
            </w:pPr>
          </w:p>
        </w:tc>
      </w:tr>
      <w:tr>
        <w:trPr>
          <w:trHeight w:val="208"/>
        </w:trPr>
        <w:tc>
          <w:tcPr>
            <w:tcW w:w="2760" w:type="dxa"/>
            <w:vAlign w:val="bottom"/>
          </w:tcPr>
          <w:p>
            <w:pPr>
              <w:ind w:left="20"/>
              <w:spacing w:after="0"/>
              <w:rPr>
                <w:sz w:val="20"/>
                <w:szCs w:val="20"/>
                <w:color w:val="auto"/>
              </w:rPr>
            </w:pPr>
            <w:r>
              <w:rPr>
                <w:rFonts w:ascii="Arial" w:cs="Arial" w:eastAsia="Arial" w:hAnsi="Arial"/>
                <w:sz w:val="16"/>
                <w:szCs w:val="16"/>
                <w:color w:val="auto"/>
              </w:rPr>
              <w:t>Scott DeBoer</w:t>
            </w:r>
          </w:p>
        </w:tc>
        <w:tc>
          <w:tcPr>
            <w:tcW w:w="700" w:type="dxa"/>
            <w:vAlign w:val="bottom"/>
          </w:tcPr>
          <w:p>
            <w:pPr>
              <w:ind w:left="16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690,668</w:t>
            </w:r>
          </w:p>
        </w:tc>
        <w:tc>
          <w:tcPr>
            <w:tcW w:w="18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7,249,849</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1,335,600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18,450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9,294,567</w:t>
            </w:r>
          </w:p>
        </w:tc>
        <w:tc>
          <w:tcPr>
            <w:tcW w:w="0" w:type="dxa"/>
            <w:vAlign w:val="bottom"/>
          </w:tcPr>
          <w:p>
            <w:pPr>
              <w:spacing w:after="0"/>
              <w:rPr>
                <w:sz w:val="1"/>
                <w:szCs w:val="1"/>
                <w:color w:val="auto"/>
              </w:rPr>
            </w:pPr>
          </w:p>
        </w:tc>
      </w:tr>
      <w:tr>
        <w:trPr>
          <w:trHeight w:val="215"/>
        </w:trPr>
        <w:tc>
          <w:tcPr>
            <w:tcW w:w="2760" w:type="dxa"/>
            <w:vAlign w:val="bottom"/>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tcPr>
          <w:p>
            <w:pPr>
              <w:ind w:left="16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571,046</w:t>
            </w:r>
          </w:p>
        </w:tc>
        <w:tc>
          <w:tcPr>
            <w:tcW w:w="18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6,500,022</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18,352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7,089,420</w:t>
            </w:r>
          </w:p>
        </w:tc>
        <w:tc>
          <w:tcPr>
            <w:tcW w:w="0" w:type="dxa"/>
            <w:vAlign w:val="bottom"/>
          </w:tcPr>
          <w:p>
            <w:pPr>
              <w:spacing w:after="0"/>
              <w:rPr>
                <w:sz w:val="1"/>
                <w:szCs w:val="1"/>
                <w:color w:val="auto"/>
              </w:rPr>
            </w:pPr>
          </w:p>
        </w:tc>
      </w:tr>
      <w:tr>
        <w:trPr>
          <w:trHeight w:val="163"/>
        </w:trPr>
        <w:tc>
          <w:tcPr>
            <w:tcW w:w="2760" w:type="dxa"/>
            <w:vAlign w:val="bottom"/>
          </w:tcPr>
          <w:p>
            <w:pPr>
              <w:ind w:left="100"/>
              <w:spacing w:after="0" w:line="163" w:lineRule="exact"/>
              <w:rPr>
                <w:sz w:val="20"/>
                <w:szCs w:val="20"/>
                <w:color w:val="auto"/>
              </w:rPr>
            </w:pPr>
            <w:r>
              <w:rPr>
                <w:rFonts w:ascii="Arial" w:cs="Arial" w:eastAsia="Arial" w:hAnsi="Arial"/>
                <w:sz w:val="16"/>
                <w:szCs w:val="16"/>
                <w:color w:val="auto"/>
              </w:rPr>
              <w:t>Chief Technology and Products</w:t>
            </w:r>
          </w:p>
        </w:tc>
        <w:tc>
          <w:tcPr>
            <w:tcW w:w="700" w:type="dxa"/>
            <w:vAlign w:val="bottom"/>
            <w:vMerge w:val="restart"/>
          </w:tcPr>
          <w:p>
            <w:pPr>
              <w:ind w:left="16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621,203</w:t>
            </w:r>
          </w:p>
        </w:tc>
        <w:tc>
          <w:tcPr>
            <w:tcW w:w="180" w:type="dxa"/>
            <w:vAlign w:val="bottom"/>
          </w:tcPr>
          <w:p>
            <w:pPr>
              <w:spacing w:after="0"/>
              <w:rPr>
                <w:sz w:val="14"/>
                <w:szCs w:val="14"/>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6,249,944</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703,968</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17,450</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7,592,565</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auto"/>
              </w:rPr>
              <w:t>Officer</w:t>
            </w:r>
          </w:p>
        </w:tc>
        <w:tc>
          <w:tcPr>
            <w:tcW w:w="700" w:type="dxa"/>
            <w:vAlign w:val="bottom"/>
            <w:tcBorders>
              <w:bottom w:val="single" w:sz="8" w:color="B6B6B6"/>
            </w:tcBorders>
            <w:vMerge w:val="continue"/>
          </w:tcPr>
          <w:p>
            <w:pPr>
              <w:spacing w:after="0"/>
              <w:rPr>
                <w:sz w:val="18"/>
                <w:szCs w:val="18"/>
                <w:color w:val="auto"/>
              </w:rPr>
            </w:pPr>
          </w:p>
        </w:tc>
        <w:tc>
          <w:tcPr>
            <w:tcW w:w="16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vMerge w:val="continue"/>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vMerge w:val="continue"/>
          </w:tcPr>
          <w:p>
            <w:pPr>
              <w:spacing w:after="0"/>
              <w:rPr>
                <w:sz w:val="18"/>
                <w:szCs w:val="18"/>
                <w:color w:val="auto"/>
              </w:rPr>
            </w:pPr>
          </w:p>
        </w:tc>
        <w:tc>
          <w:tcPr>
            <w:tcW w:w="1080" w:type="dxa"/>
            <w:vAlign w:val="bottom"/>
            <w:tcBorders>
              <w:bottom w:val="single" w:sz="8" w:color="B6B6B6"/>
            </w:tcBorders>
            <w:vMerge w:val="continue"/>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vMerge w:val="continue"/>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vMerge w:val="continue"/>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F2F2F2"/>
          </w:tcPr>
          <w:p>
            <w:pPr>
              <w:ind w:left="20"/>
              <w:spacing w:after="0"/>
              <w:rPr>
                <w:sz w:val="20"/>
                <w:szCs w:val="20"/>
                <w:color w:val="auto"/>
              </w:rPr>
            </w:pPr>
            <w:r>
              <w:rPr>
                <w:rFonts w:ascii="Arial" w:cs="Arial" w:eastAsia="Arial" w:hAnsi="Arial"/>
                <w:sz w:val="16"/>
                <w:szCs w:val="16"/>
                <w:color w:val="auto"/>
              </w:rPr>
              <w:t>Sumit Sadana</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819,452</w:t>
            </w:r>
          </w:p>
        </w:tc>
        <w:tc>
          <w:tcPr>
            <w:tcW w:w="180" w:type="dxa"/>
            <w:vAlign w:val="bottom"/>
            <w:shd w:val="clear" w:color="auto" w:fill="F2F2F2"/>
          </w:tcPr>
          <w:p>
            <w:pPr>
              <w:spacing w:after="0"/>
              <w:rPr>
                <w:sz w:val="18"/>
                <w:szCs w:val="18"/>
                <w:color w:val="auto"/>
              </w:rPr>
            </w:pPr>
          </w:p>
        </w:tc>
        <w:tc>
          <w:tcPr>
            <w:tcW w:w="11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8,999,852</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1,803,656</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17,250</w:t>
            </w:r>
          </w:p>
        </w:tc>
        <w:tc>
          <w:tcPr>
            <w:tcW w:w="24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11,640,210</w:t>
            </w:r>
          </w:p>
        </w:tc>
        <w:tc>
          <w:tcPr>
            <w:tcW w:w="0" w:type="dxa"/>
            <w:vAlign w:val="bottom"/>
          </w:tcPr>
          <w:p>
            <w:pPr>
              <w:spacing w:after="0"/>
              <w:rPr>
                <w:sz w:val="1"/>
                <w:szCs w:val="1"/>
                <w:color w:val="auto"/>
              </w:rPr>
            </w:pPr>
          </w:p>
        </w:tc>
      </w:tr>
      <w:tr>
        <w:trPr>
          <w:trHeight w:val="215"/>
        </w:trPr>
        <w:tc>
          <w:tcPr>
            <w:tcW w:w="27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715,007</w:t>
            </w:r>
          </w:p>
        </w:tc>
        <w:tc>
          <w:tcPr>
            <w:tcW w:w="180" w:type="dxa"/>
            <w:vAlign w:val="bottom"/>
            <w:shd w:val="clear" w:color="auto" w:fill="F2F2F2"/>
          </w:tcPr>
          <w:p>
            <w:pPr>
              <w:spacing w:after="0"/>
              <w:rPr>
                <w:sz w:val="18"/>
                <w:szCs w:val="18"/>
                <w:color w:val="auto"/>
              </w:rPr>
            </w:pPr>
          </w:p>
        </w:tc>
        <w:tc>
          <w:tcPr>
            <w:tcW w:w="11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8,500,024</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16,500</w:t>
            </w:r>
          </w:p>
        </w:tc>
        <w:tc>
          <w:tcPr>
            <w:tcW w:w="24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9,231,531</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BD03F7"/>
            </w:tcBorders>
            <w:shd w:val="clear" w:color="auto" w:fill="F2F2F2"/>
          </w:tcPr>
          <w:p>
            <w:pPr>
              <w:ind w:left="100"/>
              <w:spacing w:after="0"/>
              <w:rPr>
                <w:sz w:val="20"/>
                <w:szCs w:val="20"/>
                <w:color w:val="auto"/>
              </w:rPr>
            </w:pPr>
            <w:r>
              <w:rPr>
                <w:rFonts w:ascii="Arial" w:cs="Arial" w:eastAsia="Arial" w:hAnsi="Arial"/>
                <w:sz w:val="16"/>
                <w:szCs w:val="16"/>
                <w:color w:val="auto"/>
              </w:rPr>
              <w:t>and Chief Business Officer</w:t>
            </w:r>
          </w:p>
        </w:tc>
        <w:tc>
          <w:tcPr>
            <w:tcW w:w="700" w:type="dxa"/>
            <w:vAlign w:val="bottom"/>
            <w:tcBorders>
              <w:bottom w:val="single" w:sz="8" w:color="BD03F7"/>
            </w:tcBorders>
            <w:shd w:val="clear" w:color="auto" w:fill="F2F2F2"/>
          </w:tcPr>
          <w:p>
            <w:pPr>
              <w:ind w:left="16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777,809</w:t>
            </w:r>
          </w:p>
        </w:tc>
        <w:tc>
          <w:tcPr>
            <w:tcW w:w="180" w:type="dxa"/>
            <w:vAlign w:val="bottom"/>
            <w:tcBorders>
              <w:bottom w:val="single" w:sz="8" w:color="BD03F7"/>
            </w:tcBorders>
            <w:shd w:val="clear" w:color="auto" w:fill="F2F2F2"/>
          </w:tcPr>
          <w:p>
            <w:pPr>
              <w:spacing w:after="0"/>
              <w:rPr>
                <w:sz w:val="18"/>
                <w:szCs w:val="18"/>
                <w:color w:val="auto"/>
              </w:rPr>
            </w:pPr>
          </w:p>
        </w:tc>
        <w:tc>
          <w:tcPr>
            <w:tcW w:w="1100" w:type="dxa"/>
            <w:vAlign w:val="bottom"/>
            <w:tcBorders>
              <w:bottom w:val="single" w:sz="8" w:color="BD03F7"/>
            </w:tcBorders>
            <w:shd w:val="clear" w:color="auto" w:fill="F2F2F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8,250,001</w:t>
            </w:r>
          </w:p>
        </w:tc>
        <w:tc>
          <w:tcPr>
            <w:tcW w:w="140" w:type="dxa"/>
            <w:vAlign w:val="bottom"/>
            <w:tcBorders>
              <w:bottom w:val="single" w:sz="8" w:color="BD03F7"/>
            </w:tcBorders>
            <w:shd w:val="clear" w:color="auto" w:fill="F2F2F2"/>
          </w:tcPr>
          <w:p>
            <w:pPr>
              <w:spacing w:after="0"/>
              <w:rPr>
                <w:sz w:val="18"/>
                <w:szCs w:val="18"/>
                <w:color w:val="auto"/>
              </w:rPr>
            </w:pPr>
          </w:p>
        </w:tc>
        <w:tc>
          <w:tcPr>
            <w:tcW w:w="14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1,057,727</w:t>
            </w:r>
          </w:p>
        </w:tc>
        <w:tc>
          <w:tcPr>
            <w:tcW w:w="140" w:type="dxa"/>
            <w:vAlign w:val="bottom"/>
            <w:tcBorders>
              <w:bottom w:val="single" w:sz="8" w:color="BD03F7"/>
            </w:tcBorders>
            <w:shd w:val="clear" w:color="auto" w:fill="F2F2F2"/>
          </w:tcPr>
          <w:p>
            <w:pPr>
              <w:spacing w:after="0"/>
              <w:rPr>
                <w:sz w:val="18"/>
                <w:szCs w:val="18"/>
                <w:color w:val="auto"/>
              </w:rPr>
            </w:pPr>
          </w:p>
        </w:tc>
        <w:tc>
          <w:tcPr>
            <w:tcW w:w="14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15,893</w:t>
            </w:r>
          </w:p>
        </w:tc>
        <w:tc>
          <w:tcPr>
            <w:tcW w:w="240" w:type="dxa"/>
            <w:vAlign w:val="bottom"/>
            <w:tcBorders>
              <w:bottom w:val="single" w:sz="8" w:color="BD03F7"/>
            </w:tcBorders>
            <w:shd w:val="clear" w:color="auto" w:fill="F2F2F2"/>
          </w:tcPr>
          <w:p>
            <w:pPr>
              <w:spacing w:after="0"/>
              <w:rPr>
                <w:sz w:val="18"/>
                <w:szCs w:val="18"/>
                <w:color w:val="auto"/>
              </w:rPr>
            </w:pP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10,101,430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40" w:hanging="332"/>
        <w:spacing w:after="0" w:line="285"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fiscal year is the 52-week period ending on the Thursday closest to August 31. Fiscal 2024, 2023, and 2022 each contained 52 weeks.</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Murphy received a cash signing bonus in Fiscal 2022 upon joining the Company.</w:t>
      </w:r>
    </w:p>
    <w:p>
      <w:pPr>
        <w:spacing w:after="0" w:line="250" w:lineRule="exact"/>
        <w:rPr>
          <w:rFonts w:ascii="Arial" w:cs="Arial" w:eastAsia="Arial" w:hAnsi="Arial"/>
          <w:sz w:val="18"/>
          <w:szCs w:val="18"/>
          <w:color w:val="auto"/>
        </w:rPr>
      </w:pPr>
    </w:p>
    <w:p>
      <w:pPr>
        <w:ind w:left="340" w:right="260" w:hanging="332"/>
        <w:spacing w:after="0" w:line="255"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grant date fair values for the stock awards are based on the closing price on the last market trading day prior to the date of grant. The grant date fair value of the performance-based awards granted in Fiscal 2024, 2023, and 2022 was computed by multiplying (i) the target number of restricted shares or units awarded to each Named Executive Officer, which was the assumed probable outcome as of the grant date, by (ii) either (a) the closing price of our Common Stock on the last market trading day prior to the date of grant; or (b) the fair value per share as calculated by the use of a Monte Carlo simulation, which represents the most likely value, if the award had a market condition performance goal. The following table includes the assumptions used in the Monte Carlo simulation to calculate the grant date fair value of the rTSR PRSU awards for Fiscal 2024, 2023 and 2022.</w:t>
      </w:r>
    </w:p>
    <w:tbl>
      <w:tblPr>
        <w:tblLayout w:type="fixed"/>
        <w:tblInd w:w="66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w w:val="99"/>
              </w:rPr>
              <w:t>Fair Value ($)</w:t>
            </w:r>
          </w:p>
        </w:tc>
        <w:tc>
          <w:tcPr>
            <w:tcW w:w="1380" w:type="dxa"/>
            <w:vAlign w:val="bottom"/>
          </w:tcPr>
          <w:p>
            <w:pPr>
              <w:jc w:val="right"/>
              <w:ind w:right="353"/>
              <w:spacing w:after="0" w:line="175" w:lineRule="exact"/>
              <w:rPr>
                <w:sz w:val="20"/>
                <w:szCs w:val="20"/>
                <w:color w:val="auto"/>
              </w:rPr>
            </w:pPr>
            <w:r>
              <w:rPr>
                <w:rFonts w:ascii="Arial" w:cs="Arial" w:eastAsia="Arial" w:hAnsi="Arial"/>
                <w:sz w:val="16"/>
                <w:szCs w:val="16"/>
                <w:b w:val="1"/>
                <w:bCs w:val="1"/>
                <w:color w:val="auto"/>
              </w:rPr>
              <w:t>Historical</w:t>
            </w:r>
          </w:p>
        </w:tc>
        <w:tc>
          <w:tcPr>
            <w:tcW w:w="1440" w:type="dxa"/>
            <w:vAlign w:val="bottom"/>
          </w:tcPr>
          <w:p>
            <w:pPr>
              <w:jc w:val="right"/>
              <w:ind w:right="193"/>
              <w:spacing w:after="0" w:line="175" w:lineRule="exact"/>
              <w:rPr>
                <w:sz w:val="20"/>
                <w:szCs w:val="20"/>
                <w:color w:val="auto"/>
              </w:rPr>
            </w:pPr>
            <w:r>
              <w:rPr>
                <w:rFonts w:ascii="Arial" w:cs="Arial" w:eastAsia="Arial" w:hAnsi="Arial"/>
                <w:sz w:val="16"/>
                <w:szCs w:val="16"/>
                <w:b w:val="1"/>
                <w:bCs w:val="1"/>
                <w:color w:val="auto"/>
              </w:rPr>
              <w:t>Compounded</w:t>
            </w:r>
          </w:p>
        </w:tc>
        <w:tc>
          <w:tcPr>
            <w:tcW w:w="14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Dividend Yield</w:t>
            </w:r>
          </w:p>
        </w:tc>
        <w:tc>
          <w:tcPr>
            <w:tcW w:w="25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Remaining Performance Period</w:t>
            </w:r>
          </w:p>
        </w:tc>
        <w:tc>
          <w:tcPr>
            <w:tcW w:w="0" w:type="dxa"/>
            <w:vAlign w:val="bottom"/>
          </w:tcPr>
          <w:p>
            <w:pPr>
              <w:spacing w:after="0"/>
              <w:rPr>
                <w:sz w:val="1"/>
                <w:szCs w:val="1"/>
                <w:color w:val="auto"/>
              </w:rPr>
            </w:pPr>
          </w:p>
        </w:tc>
      </w:tr>
      <w:tr>
        <w:trPr>
          <w:trHeight w:val="215"/>
        </w:trPr>
        <w:tc>
          <w:tcPr>
            <w:tcW w:w="2120" w:type="dxa"/>
            <w:vAlign w:val="bottom"/>
            <w:tcBorders>
              <w:bottom w:val="single" w:sz="8" w:color="BD03F7"/>
            </w:tcBorders>
          </w:tcPr>
          <w:p>
            <w:pPr>
              <w:spacing w:after="0"/>
              <w:rPr>
                <w:sz w:val="18"/>
                <w:szCs w:val="18"/>
                <w:color w:val="auto"/>
              </w:rPr>
            </w:pPr>
          </w:p>
        </w:tc>
        <w:tc>
          <w:tcPr>
            <w:tcW w:w="5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vMerge w:val="continue"/>
          </w:tcPr>
          <w:p>
            <w:pPr>
              <w:spacing w:after="0"/>
              <w:rPr>
                <w:sz w:val="18"/>
                <w:szCs w:val="18"/>
                <w:color w:val="auto"/>
              </w:rPr>
            </w:pPr>
          </w:p>
        </w:tc>
        <w:tc>
          <w:tcPr>
            <w:tcW w:w="1380" w:type="dxa"/>
            <w:vAlign w:val="bottom"/>
            <w:tcBorders>
              <w:bottom w:val="single" w:sz="8" w:color="BD03F7"/>
            </w:tcBorders>
          </w:tcPr>
          <w:p>
            <w:pPr>
              <w:jc w:val="right"/>
              <w:ind w:right="373"/>
              <w:spacing w:after="0"/>
              <w:rPr>
                <w:sz w:val="20"/>
                <w:szCs w:val="20"/>
                <w:color w:val="auto"/>
              </w:rPr>
            </w:pPr>
            <w:r>
              <w:rPr>
                <w:rFonts w:ascii="Arial" w:cs="Arial" w:eastAsia="Arial" w:hAnsi="Arial"/>
                <w:sz w:val="16"/>
                <w:szCs w:val="16"/>
                <w:b w:val="1"/>
                <w:bCs w:val="1"/>
                <w:color w:val="auto"/>
              </w:rPr>
              <w:t>Volatility</w:t>
            </w:r>
          </w:p>
        </w:tc>
        <w:tc>
          <w:tcPr>
            <w:tcW w:w="1440" w:type="dxa"/>
            <w:vAlign w:val="bottom"/>
            <w:tcBorders>
              <w:bottom w:val="single" w:sz="8" w:color="BD03F7"/>
            </w:tcBorders>
          </w:tcPr>
          <w:p>
            <w:pPr>
              <w:jc w:val="right"/>
              <w:ind w:right="173"/>
              <w:spacing w:after="0"/>
              <w:rPr>
                <w:sz w:val="20"/>
                <w:szCs w:val="20"/>
                <w:color w:val="auto"/>
              </w:rPr>
            </w:pPr>
            <w:r>
              <w:rPr>
                <w:rFonts w:ascii="Arial" w:cs="Arial" w:eastAsia="Arial" w:hAnsi="Arial"/>
                <w:sz w:val="16"/>
                <w:szCs w:val="16"/>
                <w:b w:val="1"/>
                <w:bCs w:val="1"/>
                <w:color w:val="auto"/>
              </w:rPr>
              <w:t>Risk-free Rate</w:t>
            </w:r>
          </w:p>
        </w:tc>
        <w:tc>
          <w:tcPr>
            <w:tcW w:w="1400" w:type="dxa"/>
            <w:vAlign w:val="bottom"/>
            <w:tcBorders>
              <w:bottom w:val="single" w:sz="8" w:color="BD03F7"/>
            </w:tcBorders>
            <w:vMerge w:val="continue"/>
          </w:tcPr>
          <w:p>
            <w:pPr>
              <w:spacing w:after="0"/>
              <w:rPr>
                <w:sz w:val="18"/>
                <w:szCs w:val="18"/>
                <w:color w:val="auto"/>
              </w:rPr>
            </w:pPr>
          </w:p>
        </w:tc>
        <w:tc>
          <w:tcPr>
            <w:tcW w:w="2540" w:type="dxa"/>
            <w:vAlign w:val="bottom"/>
            <w:tcBorders>
              <w:bottom w:val="single" w:sz="8" w:color="BD03F7"/>
            </w:tcBorders>
          </w:tcPr>
          <w:p>
            <w:pPr>
              <w:jc w:val="right"/>
              <w:ind w:right="213"/>
              <w:spacing w:after="0"/>
              <w:rPr>
                <w:sz w:val="20"/>
                <w:szCs w:val="20"/>
                <w:color w:val="auto"/>
              </w:rPr>
            </w:pPr>
            <w:r>
              <w:rPr>
                <w:rFonts w:ascii="Arial" w:cs="Arial" w:eastAsia="Arial" w:hAnsi="Arial"/>
                <w:sz w:val="16"/>
                <w:szCs w:val="16"/>
                <w:b w:val="1"/>
                <w:bCs w:val="1"/>
                <w:color w:val="auto"/>
              </w:rPr>
              <w:t>on the Grant Date (years)</w:t>
            </w:r>
          </w:p>
        </w:tc>
        <w:tc>
          <w:tcPr>
            <w:tcW w:w="0" w:type="dxa"/>
            <w:vAlign w:val="bottom"/>
          </w:tcPr>
          <w:p>
            <w:pPr>
              <w:spacing w:after="0"/>
              <w:rPr>
                <w:sz w:val="1"/>
                <w:szCs w:val="1"/>
                <w:color w:val="auto"/>
              </w:rPr>
            </w:pPr>
          </w:p>
        </w:tc>
      </w:tr>
      <w:tr>
        <w:trPr>
          <w:trHeight w:val="217"/>
        </w:trPr>
        <w:tc>
          <w:tcPr>
            <w:tcW w:w="2120" w:type="dxa"/>
            <w:vAlign w:val="bottom"/>
          </w:tcPr>
          <w:p>
            <w:pPr>
              <w:ind w:left="20"/>
              <w:spacing w:after="0"/>
              <w:rPr>
                <w:sz w:val="20"/>
                <w:szCs w:val="20"/>
                <w:color w:val="auto"/>
              </w:rPr>
            </w:pPr>
            <w:r>
              <w:rPr>
                <w:rFonts w:ascii="Arial" w:cs="Arial" w:eastAsia="Arial" w:hAnsi="Arial"/>
                <w:sz w:val="18"/>
                <w:szCs w:val="18"/>
                <w:color w:val="auto"/>
              </w:rPr>
              <w:t>10/13/23 rTSR PRSU</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77.85</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41.86 %</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4.74 %</w:t>
            </w:r>
          </w:p>
        </w:tc>
        <w:tc>
          <w:tcPr>
            <w:tcW w:w="1400" w:type="dxa"/>
            <w:vAlign w:val="bottom"/>
          </w:tcPr>
          <w:p>
            <w:pPr>
              <w:ind w:left="940"/>
              <w:spacing w:after="0"/>
              <w:rPr>
                <w:sz w:val="20"/>
                <w:szCs w:val="20"/>
                <w:color w:val="auto"/>
              </w:rPr>
            </w:pPr>
            <w:r>
              <w:rPr>
                <w:rFonts w:ascii="Arial" w:cs="Arial" w:eastAsia="Arial" w:hAnsi="Arial"/>
                <w:sz w:val="18"/>
                <w:szCs w:val="18"/>
                <w:color w:val="auto"/>
              </w:rPr>
              <w:t>— %</w:t>
            </w:r>
          </w:p>
        </w:tc>
        <w:tc>
          <w:tcPr>
            <w:tcW w:w="25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10/13/22 rTSR PRSU</w:t>
            </w:r>
          </w:p>
        </w:tc>
        <w:tc>
          <w:tcPr>
            <w:tcW w:w="52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66.89</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49.08 %</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4.22 %</w:t>
            </w:r>
          </w:p>
        </w:tc>
        <w:tc>
          <w:tcPr>
            <w:tcW w:w="1400" w:type="dxa"/>
            <w:vAlign w:val="bottom"/>
          </w:tcPr>
          <w:p>
            <w:pPr>
              <w:ind w:left="940"/>
              <w:spacing w:after="0"/>
              <w:rPr>
                <w:sz w:val="20"/>
                <w:szCs w:val="20"/>
                <w:color w:val="auto"/>
              </w:rPr>
            </w:pPr>
            <w:r>
              <w:rPr>
                <w:rFonts w:ascii="Arial" w:cs="Arial" w:eastAsia="Arial" w:hAnsi="Arial"/>
                <w:sz w:val="18"/>
                <w:szCs w:val="18"/>
                <w:color w:val="auto"/>
              </w:rPr>
              <w:t>— %</w:t>
            </w:r>
          </w:p>
        </w:tc>
        <w:tc>
          <w:tcPr>
            <w:tcW w:w="254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04/18/22 rTSR PRSU</w:t>
            </w:r>
          </w:p>
        </w:tc>
        <w:tc>
          <w:tcPr>
            <w:tcW w:w="52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84.48</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49.77 %</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2.52 %</w:t>
            </w:r>
          </w:p>
        </w:tc>
        <w:tc>
          <w:tcPr>
            <w:tcW w:w="1400" w:type="dxa"/>
            <w:vAlign w:val="bottom"/>
          </w:tcPr>
          <w:p>
            <w:pPr>
              <w:ind w:left="940"/>
              <w:spacing w:after="0"/>
              <w:rPr>
                <w:sz w:val="20"/>
                <w:szCs w:val="20"/>
                <w:color w:val="auto"/>
              </w:rPr>
            </w:pPr>
            <w:r>
              <w:rPr>
                <w:rFonts w:ascii="Arial" w:cs="Arial" w:eastAsia="Arial" w:hAnsi="Arial"/>
                <w:sz w:val="18"/>
                <w:szCs w:val="18"/>
                <w:color w:val="auto"/>
              </w:rPr>
              <w:t>— %</w:t>
            </w:r>
          </w:p>
        </w:tc>
        <w:tc>
          <w:tcPr>
            <w:tcW w:w="25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10/13/21 rTSR PRSU</w:t>
            </w:r>
          </w:p>
        </w:tc>
        <w:tc>
          <w:tcPr>
            <w:tcW w:w="520" w:type="dxa"/>
            <w:vAlign w:val="bottom"/>
            <w:tcBorders>
              <w:bottom w:val="single" w:sz="8" w:color="BD03F7"/>
            </w:tcBorders>
          </w:tcPr>
          <w:p>
            <w:pPr>
              <w:spacing w:after="0"/>
              <w:rPr>
                <w:sz w:val="20"/>
                <w:szCs w:val="20"/>
                <w:color w:val="auto"/>
              </w:rPr>
            </w:pPr>
          </w:p>
        </w:tc>
        <w:tc>
          <w:tcPr>
            <w:tcW w:w="1280" w:type="dxa"/>
            <w:vAlign w:val="bottom"/>
            <w:tcBorders>
              <w:bottom w:val="single" w:sz="8" w:color="BD03F7"/>
            </w:tcBorders>
          </w:tcPr>
          <w:p>
            <w:pPr>
              <w:jc w:val="right"/>
              <w:ind w:right="112"/>
              <w:spacing w:after="0"/>
              <w:rPr>
                <w:sz w:val="20"/>
                <w:szCs w:val="20"/>
                <w:color w:val="auto"/>
              </w:rPr>
            </w:pPr>
            <w:r>
              <w:rPr>
                <w:rFonts w:ascii="Arial" w:cs="Arial" w:eastAsia="Arial" w:hAnsi="Arial"/>
                <w:sz w:val="18"/>
                <w:szCs w:val="18"/>
                <w:color w:val="auto"/>
              </w:rPr>
              <w:t>79.45</w:t>
            </w:r>
          </w:p>
        </w:tc>
        <w:tc>
          <w:tcPr>
            <w:tcW w:w="1380" w:type="dxa"/>
            <w:vAlign w:val="bottom"/>
            <w:tcBorders>
              <w:bottom w:val="single" w:sz="8" w:color="BD03F7"/>
            </w:tcBorders>
          </w:tcPr>
          <w:p>
            <w:pPr>
              <w:jc w:val="right"/>
              <w:ind w:right="13"/>
              <w:spacing w:after="0"/>
              <w:rPr>
                <w:sz w:val="20"/>
                <w:szCs w:val="20"/>
                <w:color w:val="auto"/>
              </w:rPr>
            </w:pPr>
            <w:r>
              <w:rPr>
                <w:rFonts w:ascii="Arial" w:cs="Arial" w:eastAsia="Arial" w:hAnsi="Arial"/>
                <w:sz w:val="18"/>
                <w:szCs w:val="18"/>
                <w:color w:val="auto"/>
              </w:rPr>
              <w:t>48.88 %</w:t>
            </w:r>
          </w:p>
        </w:tc>
        <w:tc>
          <w:tcPr>
            <w:tcW w:w="1440" w:type="dxa"/>
            <w:vAlign w:val="bottom"/>
            <w:tcBorders>
              <w:bottom w:val="single" w:sz="8" w:color="BD03F7"/>
            </w:tcBorders>
          </w:tcPr>
          <w:p>
            <w:pPr>
              <w:jc w:val="right"/>
              <w:ind w:right="13"/>
              <w:spacing w:after="0"/>
              <w:rPr>
                <w:sz w:val="20"/>
                <w:szCs w:val="20"/>
                <w:color w:val="auto"/>
              </w:rPr>
            </w:pPr>
            <w:r>
              <w:rPr>
                <w:rFonts w:ascii="Arial" w:cs="Arial" w:eastAsia="Arial" w:hAnsi="Arial"/>
                <w:sz w:val="18"/>
                <w:szCs w:val="18"/>
                <w:color w:val="auto"/>
              </w:rPr>
              <w:t>0.56 %</w:t>
            </w:r>
          </w:p>
        </w:tc>
        <w:tc>
          <w:tcPr>
            <w:tcW w:w="1400" w:type="dxa"/>
            <w:vAlign w:val="bottom"/>
            <w:tcBorders>
              <w:bottom w:val="single" w:sz="8" w:color="BD03F7"/>
            </w:tcBorders>
          </w:tcPr>
          <w:p>
            <w:pPr>
              <w:ind w:left="940"/>
              <w:spacing w:after="0"/>
              <w:rPr>
                <w:sz w:val="20"/>
                <w:szCs w:val="20"/>
                <w:color w:val="auto"/>
              </w:rPr>
            </w:pPr>
            <w:r>
              <w:rPr>
                <w:rFonts w:ascii="Arial" w:cs="Arial" w:eastAsia="Arial" w:hAnsi="Arial"/>
                <w:sz w:val="18"/>
                <w:szCs w:val="18"/>
                <w:color w:val="auto"/>
              </w:rPr>
              <w:t>— %</w:t>
            </w:r>
          </w:p>
        </w:tc>
        <w:tc>
          <w:tcPr>
            <w:tcW w:w="254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380"/>
        <w:spacing w:after="0" w:line="267" w:lineRule="auto"/>
        <w:rPr>
          <w:sz w:val="20"/>
          <w:szCs w:val="20"/>
          <w:color w:val="auto"/>
        </w:rPr>
      </w:pPr>
      <w:r>
        <w:rPr>
          <w:rFonts w:ascii="Arial" w:cs="Arial" w:eastAsia="Arial" w:hAnsi="Arial"/>
          <w:sz w:val="18"/>
          <w:szCs w:val="18"/>
          <w:color w:val="auto"/>
        </w:rPr>
        <w:t>Although the assumed probable outcome as of the grant date was achievement at the target level, the terms of the awards for performance-based restricted stock unit awards granted in Fiscal 2024, 2023, and 2022 also provide for achievement of up to 200% of the target amount (“maximum”).</w:t>
      </w:r>
    </w:p>
    <w:p>
      <w:pPr>
        <w:spacing w:after="0" w:line="200" w:lineRule="exact"/>
        <w:rPr>
          <w:sz w:val="20"/>
          <w:szCs w:val="20"/>
          <w:color w:val="auto"/>
        </w:rPr>
      </w:pPr>
    </w:p>
    <w:p>
      <w:pPr>
        <w:spacing w:after="0" w:line="37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8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right="300"/>
        <w:spacing w:after="0" w:line="267" w:lineRule="auto"/>
        <w:rPr>
          <w:sz w:val="20"/>
          <w:szCs w:val="20"/>
          <w:color w:val="auto"/>
        </w:rPr>
      </w:pPr>
      <w:r>
        <w:rPr>
          <w:rFonts w:ascii="Arial" w:cs="Arial" w:eastAsia="Arial" w:hAnsi="Arial"/>
          <w:sz w:val="18"/>
          <w:szCs w:val="18"/>
          <w:color w:val="auto"/>
        </w:rPr>
        <w:t>The table below presents the aggregate grant 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1520" w:type="dxa"/>
            <w:vAlign w:val="bottom"/>
          </w:tcPr>
          <w:p>
            <w:pPr>
              <w:spacing w:after="0"/>
              <w:rPr>
                <w:sz w:val="17"/>
                <w:szCs w:val="17"/>
                <w:color w:val="auto"/>
              </w:rPr>
            </w:pPr>
          </w:p>
        </w:tc>
        <w:tc>
          <w:tcPr>
            <w:tcW w:w="940" w:type="dxa"/>
            <w:vAlign w:val="bottom"/>
            <w:tcBorders>
              <w:bottom w:val="single" w:sz="8" w:color="BD03F7"/>
            </w:tcBorders>
          </w:tcPr>
          <w:p>
            <w:pPr>
              <w:spacing w:after="0"/>
              <w:rPr>
                <w:sz w:val="17"/>
                <w:szCs w:val="17"/>
                <w:color w:val="auto"/>
              </w:rPr>
            </w:pP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BD03F7"/>
            </w:tcBorders>
          </w:tcPr>
          <w:p>
            <w:pPr>
              <w:spacing w:after="0"/>
              <w:rPr>
                <w:sz w:val="17"/>
                <w:szCs w:val="17"/>
                <w:color w:val="auto"/>
              </w:rPr>
            </w:pPr>
          </w:p>
        </w:tc>
        <w:tc>
          <w:tcPr>
            <w:tcW w:w="980" w:type="dxa"/>
            <w:vAlign w:val="bottom"/>
            <w:tcBorders>
              <w:bottom w:val="single" w:sz="8" w:color="BD03F7"/>
            </w:tcBorders>
          </w:tcPr>
          <w:p>
            <w:pPr>
              <w:spacing w:after="0"/>
              <w:rPr>
                <w:sz w:val="17"/>
                <w:szCs w:val="17"/>
                <w:color w:val="auto"/>
              </w:rPr>
            </w:pP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960" w:type="dxa"/>
            <w:vAlign w:val="bottom"/>
            <w:tcBorders>
              <w:bottom w:val="single" w:sz="8" w:color="BD03F7"/>
            </w:tcBorders>
          </w:tcPr>
          <w:p>
            <w:pPr>
              <w:spacing w:after="0"/>
              <w:rPr>
                <w:sz w:val="17"/>
                <w:szCs w:val="17"/>
                <w:color w:val="auto"/>
              </w:rPr>
            </w:pPr>
          </w:p>
        </w:tc>
        <w:tc>
          <w:tcPr>
            <w:tcW w:w="980" w:type="dxa"/>
            <w:vAlign w:val="bottom"/>
            <w:tcBorders>
              <w:bottom w:val="single" w:sz="8" w:color="BD03F7"/>
            </w:tcBorders>
          </w:tcPr>
          <w:p>
            <w:pPr>
              <w:spacing w:after="0"/>
              <w:rPr>
                <w:sz w:val="17"/>
                <w:szCs w:val="17"/>
                <w:color w:val="auto"/>
              </w:rPr>
            </w:pP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980" w:type="dxa"/>
            <w:vAlign w:val="bottom"/>
            <w:tcBorders>
              <w:bottom w:val="single" w:sz="8" w:color="BD03F7"/>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Time-based</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Time-based</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Stock</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940" w:type="dxa"/>
            <w:vAlign w:val="bottom"/>
            <w:vMerge w:val="continue"/>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20" w:type="dxa"/>
            <w:vAlign w:val="bottom"/>
            <w:tcBorders>
              <w:bottom w:val="single" w:sz="8" w:color="BD03F7"/>
            </w:tcBorders>
            <w:vMerge w:val="continue"/>
          </w:tcPr>
          <w:p>
            <w:pPr>
              <w:spacing w:after="0"/>
              <w:rPr>
                <w:sz w:val="16"/>
                <w:szCs w:val="16"/>
                <w:color w:val="auto"/>
              </w:rPr>
            </w:pPr>
          </w:p>
        </w:tc>
        <w:tc>
          <w:tcPr>
            <w:tcW w:w="94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60" w:type="dxa"/>
            <w:vAlign w:val="bottom"/>
            <w:tcBorders>
              <w:bottom w:val="single" w:sz="8" w:color="BD03F7"/>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98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60" w:type="dxa"/>
            <w:vAlign w:val="bottom"/>
            <w:tcBorders>
              <w:bottom w:val="single" w:sz="8" w:color="BD03F7"/>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98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BD03F7"/>
            </w:tcBorders>
          </w:tcPr>
          <w:p>
            <w:pPr>
              <w:jc w:val="right"/>
              <w:ind w:right="16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20" w:type="dxa"/>
            <w:vAlign w:val="bottom"/>
            <w:shd w:val="clear" w:color="auto" w:fill="F2F2F2"/>
          </w:tcPr>
          <w:p>
            <w:pPr>
              <w:spacing w:after="0"/>
              <w:rPr>
                <w:sz w:val="20"/>
                <w:szCs w:val="20"/>
                <w:color w:val="auto"/>
              </w:rPr>
            </w:pPr>
            <w:r>
              <w:rPr>
                <w:rFonts w:ascii="Arial" w:cs="Arial" w:eastAsia="Arial" w:hAnsi="Arial"/>
                <w:sz w:val="14"/>
                <w:szCs w:val="14"/>
                <w:color w:val="auto"/>
              </w:rPr>
              <w:t>Sanjay Mehrotra</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8,312,526</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28,250,328</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$ 36,562,854</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$ 11,874,975</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21,731,347</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$ 33,606,322</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$ 11,749,992</w:t>
            </w:r>
          </w:p>
        </w:tc>
        <w:tc>
          <w:tcPr>
            <w:tcW w:w="10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21,502,435</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$ 33,252,427</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20"/>
                <w:szCs w:val="20"/>
                <w:color w:val="auto"/>
              </w:rPr>
            </w:pPr>
            <w:r>
              <w:rPr>
                <w:rFonts w:ascii="Arial" w:cs="Arial" w:eastAsia="Arial" w:hAnsi="Arial"/>
                <w:sz w:val="14"/>
                <w:szCs w:val="14"/>
                <w:color w:val="auto"/>
              </w:rPr>
              <w:t>Mark Murphy</w:t>
            </w:r>
          </w:p>
        </w:tc>
        <w:tc>
          <w:tcPr>
            <w:tcW w:w="940" w:type="dxa"/>
            <w:vAlign w:val="bottom"/>
          </w:tcPr>
          <w:p>
            <w:pPr>
              <w:jc w:val="right"/>
              <w:spacing w:after="0"/>
              <w:rPr>
                <w:sz w:val="20"/>
                <w:szCs w:val="20"/>
                <w:color w:val="auto"/>
              </w:rPr>
            </w:pPr>
            <w:r>
              <w:rPr>
                <w:rFonts w:ascii="Arial" w:cs="Arial" w:eastAsia="Arial" w:hAnsi="Arial"/>
                <w:sz w:val="14"/>
                <w:szCs w:val="14"/>
                <w:color w:val="auto"/>
              </w:rPr>
              <w:t>4,250,007</w:t>
            </w:r>
          </w:p>
        </w:tc>
        <w:tc>
          <w:tcPr>
            <w:tcW w:w="1060" w:type="dxa"/>
            <w:vAlign w:val="bottom"/>
          </w:tcPr>
          <w:p>
            <w:pPr>
              <w:jc w:val="right"/>
              <w:spacing w:after="0"/>
              <w:rPr>
                <w:sz w:val="20"/>
                <w:szCs w:val="20"/>
                <w:color w:val="auto"/>
              </w:rPr>
            </w:pPr>
            <w:r>
              <w:rPr>
                <w:rFonts w:ascii="Arial" w:cs="Arial" w:eastAsia="Arial" w:hAnsi="Arial"/>
                <w:sz w:val="14"/>
                <w:szCs w:val="14"/>
                <w:color w:val="auto"/>
              </w:rPr>
              <w:t>7,777,347</w:t>
            </w:r>
          </w:p>
        </w:tc>
        <w:tc>
          <w:tcPr>
            <w:tcW w:w="960" w:type="dxa"/>
            <w:vAlign w:val="bottom"/>
          </w:tcPr>
          <w:p>
            <w:pPr>
              <w:jc w:val="right"/>
              <w:spacing w:after="0"/>
              <w:rPr>
                <w:sz w:val="20"/>
                <w:szCs w:val="20"/>
                <w:color w:val="auto"/>
              </w:rPr>
            </w:pPr>
            <w:r>
              <w:rPr>
                <w:rFonts w:ascii="Arial" w:cs="Arial" w:eastAsia="Arial" w:hAnsi="Arial"/>
                <w:sz w:val="14"/>
                <w:szCs w:val="14"/>
                <w:color w:val="auto"/>
              </w:rPr>
              <w:t>12,027,354</w:t>
            </w:r>
          </w:p>
        </w:tc>
        <w:tc>
          <w:tcPr>
            <w:tcW w:w="980" w:type="dxa"/>
            <w:vAlign w:val="bottom"/>
          </w:tcPr>
          <w:p>
            <w:pPr>
              <w:jc w:val="right"/>
              <w:spacing w:after="0"/>
              <w:rPr>
                <w:sz w:val="20"/>
                <w:szCs w:val="20"/>
                <w:color w:val="auto"/>
              </w:rPr>
            </w:pPr>
            <w:r>
              <w:rPr>
                <w:rFonts w:ascii="Arial" w:cs="Arial" w:eastAsia="Arial" w:hAnsi="Arial"/>
                <w:sz w:val="14"/>
                <w:szCs w:val="14"/>
                <w:color w:val="auto"/>
              </w:rPr>
              <w:t>3,875,015</w:t>
            </w:r>
          </w:p>
        </w:tc>
        <w:tc>
          <w:tcPr>
            <w:tcW w:w="1060" w:type="dxa"/>
            <w:vAlign w:val="bottom"/>
          </w:tcPr>
          <w:p>
            <w:pPr>
              <w:jc w:val="right"/>
              <w:spacing w:after="0"/>
              <w:rPr>
                <w:sz w:val="20"/>
                <w:szCs w:val="20"/>
                <w:color w:val="auto"/>
              </w:rPr>
            </w:pPr>
            <w:r>
              <w:rPr>
                <w:rFonts w:ascii="Arial" w:cs="Arial" w:eastAsia="Arial" w:hAnsi="Arial"/>
                <w:sz w:val="14"/>
                <w:szCs w:val="14"/>
                <w:color w:val="auto"/>
              </w:rPr>
              <w:t>7,091,239</w:t>
            </w:r>
          </w:p>
        </w:tc>
        <w:tc>
          <w:tcPr>
            <w:tcW w:w="960" w:type="dxa"/>
            <w:vAlign w:val="bottom"/>
          </w:tcPr>
          <w:p>
            <w:pPr>
              <w:jc w:val="right"/>
              <w:spacing w:after="0"/>
              <w:rPr>
                <w:sz w:val="20"/>
                <w:szCs w:val="20"/>
                <w:color w:val="auto"/>
              </w:rPr>
            </w:pPr>
            <w:r>
              <w:rPr>
                <w:rFonts w:ascii="Arial" w:cs="Arial" w:eastAsia="Arial" w:hAnsi="Arial"/>
                <w:sz w:val="14"/>
                <w:szCs w:val="14"/>
                <w:color w:val="auto"/>
              </w:rPr>
              <w:t>10,966,254</w:t>
            </w:r>
          </w:p>
        </w:tc>
        <w:tc>
          <w:tcPr>
            <w:tcW w:w="980" w:type="dxa"/>
            <w:vAlign w:val="bottom"/>
          </w:tcPr>
          <w:p>
            <w:pPr>
              <w:jc w:val="right"/>
              <w:spacing w:after="0"/>
              <w:rPr>
                <w:sz w:val="20"/>
                <w:szCs w:val="20"/>
                <w:color w:val="auto"/>
              </w:rPr>
            </w:pPr>
            <w:r>
              <w:rPr>
                <w:rFonts w:ascii="Arial" w:cs="Arial" w:eastAsia="Arial" w:hAnsi="Arial"/>
                <w:sz w:val="14"/>
                <w:szCs w:val="14"/>
                <w:color w:val="auto"/>
              </w:rPr>
              <w:t>6,315,978</w:t>
            </w:r>
          </w:p>
        </w:tc>
        <w:tc>
          <w:tcPr>
            <w:tcW w:w="1080" w:type="dxa"/>
            <w:vAlign w:val="bottom"/>
          </w:tcPr>
          <w:p>
            <w:pPr>
              <w:jc w:val="right"/>
              <w:spacing w:after="0"/>
              <w:rPr>
                <w:sz w:val="20"/>
                <w:szCs w:val="20"/>
                <w:color w:val="auto"/>
              </w:rPr>
            </w:pPr>
            <w:r>
              <w:rPr>
                <w:rFonts w:ascii="Arial" w:cs="Arial" w:eastAsia="Arial" w:hAnsi="Arial"/>
                <w:sz w:val="14"/>
                <w:szCs w:val="14"/>
                <w:color w:val="auto"/>
              </w:rPr>
              <w:t>11,558,203</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17,874,181</w:t>
            </w:r>
          </w:p>
        </w:tc>
        <w:tc>
          <w:tcPr>
            <w:tcW w:w="0" w:type="dxa"/>
            <w:vAlign w:val="bottom"/>
          </w:tcPr>
          <w:p>
            <w:pPr>
              <w:spacing w:after="0"/>
              <w:rPr>
                <w:sz w:val="1"/>
                <w:szCs w:val="1"/>
                <w:color w:val="auto"/>
              </w:rPr>
            </w:pPr>
          </w:p>
        </w:tc>
      </w:tr>
      <w:tr>
        <w:trPr>
          <w:trHeight w:val="206"/>
        </w:trPr>
        <w:tc>
          <w:tcPr>
            <w:tcW w:w="1520" w:type="dxa"/>
            <w:vAlign w:val="bottom"/>
            <w:shd w:val="clear" w:color="auto" w:fill="F2F2F2"/>
          </w:tcPr>
          <w:p>
            <w:pPr>
              <w:spacing w:after="0"/>
              <w:rPr>
                <w:sz w:val="20"/>
                <w:szCs w:val="20"/>
                <w:color w:val="auto"/>
              </w:rPr>
            </w:pPr>
            <w:r>
              <w:rPr>
                <w:rFonts w:ascii="Arial" w:cs="Arial" w:eastAsia="Arial" w:hAnsi="Arial"/>
                <w:sz w:val="14"/>
                <w:szCs w:val="14"/>
                <w:color w:val="auto"/>
              </w:rPr>
              <w:t>Manish Bhatia</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4,499,991</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8,234,853</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12,734,844</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4,124,997</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7,548,803</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11,673,800</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3,999,997</w:t>
            </w:r>
          </w:p>
        </w:tc>
        <w:tc>
          <w:tcPr>
            <w:tcW w:w="10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7,319,981</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11,319,978</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20"/>
                <w:szCs w:val="20"/>
                <w:color w:val="auto"/>
              </w:rPr>
            </w:pPr>
            <w:r>
              <w:rPr>
                <w:rFonts w:ascii="Arial" w:cs="Arial" w:eastAsia="Arial" w:hAnsi="Arial"/>
                <w:sz w:val="14"/>
                <w:szCs w:val="14"/>
                <w:color w:val="auto"/>
              </w:rPr>
              <w:t>Scott DeBoer</w:t>
            </w:r>
          </w:p>
        </w:tc>
        <w:tc>
          <w:tcPr>
            <w:tcW w:w="940" w:type="dxa"/>
            <w:vAlign w:val="bottom"/>
          </w:tcPr>
          <w:p>
            <w:pPr>
              <w:jc w:val="right"/>
              <w:spacing w:after="0"/>
              <w:rPr>
                <w:sz w:val="20"/>
                <w:szCs w:val="20"/>
                <w:color w:val="auto"/>
              </w:rPr>
            </w:pPr>
            <w:r>
              <w:rPr>
                <w:rFonts w:ascii="Arial" w:cs="Arial" w:eastAsia="Arial" w:hAnsi="Arial"/>
                <w:sz w:val="14"/>
                <w:szCs w:val="14"/>
                <w:color w:val="auto"/>
              </w:rPr>
              <w:t>3,624,977</w:t>
            </w:r>
          </w:p>
        </w:tc>
        <w:tc>
          <w:tcPr>
            <w:tcW w:w="1060" w:type="dxa"/>
            <w:vAlign w:val="bottom"/>
          </w:tcPr>
          <w:p>
            <w:pPr>
              <w:jc w:val="right"/>
              <w:spacing w:after="0"/>
              <w:rPr>
                <w:sz w:val="20"/>
                <w:szCs w:val="20"/>
                <w:color w:val="auto"/>
              </w:rPr>
            </w:pPr>
            <w:r>
              <w:rPr>
                <w:rFonts w:ascii="Arial" w:cs="Arial" w:eastAsia="Arial" w:hAnsi="Arial"/>
                <w:sz w:val="14"/>
                <w:szCs w:val="14"/>
                <w:color w:val="auto"/>
              </w:rPr>
              <w:t>6,633,661</w:t>
            </w:r>
          </w:p>
        </w:tc>
        <w:tc>
          <w:tcPr>
            <w:tcW w:w="960" w:type="dxa"/>
            <w:vAlign w:val="bottom"/>
          </w:tcPr>
          <w:p>
            <w:pPr>
              <w:jc w:val="right"/>
              <w:spacing w:after="0"/>
              <w:rPr>
                <w:sz w:val="20"/>
                <w:szCs w:val="20"/>
                <w:color w:val="auto"/>
              </w:rPr>
            </w:pPr>
            <w:r>
              <w:rPr>
                <w:rFonts w:ascii="Arial" w:cs="Arial" w:eastAsia="Arial" w:hAnsi="Arial"/>
                <w:sz w:val="14"/>
                <w:szCs w:val="14"/>
                <w:color w:val="auto"/>
              </w:rPr>
              <w:t>10,258,638</w:t>
            </w:r>
          </w:p>
        </w:tc>
        <w:tc>
          <w:tcPr>
            <w:tcW w:w="980" w:type="dxa"/>
            <w:vAlign w:val="bottom"/>
          </w:tcPr>
          <w:p>
            <w:pPr>
              <w:jc w:val="right"/>
              <w:spacing w:after="0"/>
              <w:rPr>
                <w:sz w:val="20"/>
                <w:szCs w:val="20"/>
                <w:color w:val="auto"/>
              </w:rPr>
            </w:pPr>
            <w:r>
              <w:rPr>
                <w:rFonts w:ascii="Arial" w:cs="Arial" w:eastAsia="Arial" w:hAnsi="Arial"/>
                <w:sz w:val="14"/>
                <w:szCs w:val="14"/>
                <w:color w:val="auto"/>
              </w:rPr>
              <w:t>3,249,980</w:t>
            </w:r>
          </w:p>
        </w:tc>
        <w:tc>
          <w:tcPr>
            <w:tcW w:w="1060" w:type="dxa"/>
            <w:vAlign w:val="bottom"/>
          </w:tcPr>
          <w:p>
            <w:pPr>
              <w:jc w:val="right"/>
              <w:spacing w:after="0"/>
              <w:rPr>
                <w:sz w:val="20"/>
                <w:szCs w:val="20"/>
                <w:color w:val="auto"/>
              </w:rPr>
            </w:pPr>
            <w:r>
              <w:rPr>
                <w:rFonts w:ascii="Arial" w:cs="Arial" w:eastAsia="Arial" w:hAnsi="Arial"/>
                <w:sz w:val="14"/>
                <w:szCs w:val="14"/>
                <w:color w:val="auto"/>
              </w:rPr>
              <w:t>5,947,570</w:t>
            </w:r>
          </w:p>
        </w:tc>
        <w:tc>
          <w:tcPr>
            <w:tcW w:w="960" w:type="dxa"/>
            <w:vAlign w:val="bottom"/>
          </w:tcPr>
          <w:p>
            <w:pPr>
              <w:jc w:val="right"/>
              <w:spacing w:after="0"/>
              <w:rPr>
                <w:sz w:val="20"/>
                <w:szCs w:val="20"/>
                <w:color w:val="auto"/>
              </w:rPr>
            </w:pPr>
            <w:r>
              <w:rPr>
                <w:rFonts w:ascii="Arial" w:cs="Arial" w:eastAsia="Arial" w:hAnsi="Arial"/>
                <w:sz w:val="14"/>
                <w:szCs w:val="14"/>
                <w:color w:val="auto"/>
              </w:rPr>
              <w:t>9,197,550</w:t>
            </w:r>
          </w:p>
        </w:tc>
        <w:tc>
          <w:tcPr>
            <w:tcW w:w="980" w:type="dxa"/>
            <w:vAlign w:val="bottom"/>
          </w:tcPr>
          <w:p>
            <w:pPr>
              <w:jc w:val="right"/>
              <w:spacing w:after="0"/>
              <w:rPr>
                <w:sz w:val="20"/>
                <w:szCs w:val="20"/>
                <w:color w:val="auto"/>
              </w:rPr>
            </w:pPr>
            <w:r>
              <w:rPr>
                <w:rFonts w:ascii="Arial" w:cs="Arial" w:eastAsia="Arial" w:hAnsi="Arial"/>
                <w:sz w:val="14"/>
                <w:szCs w:val="14"/>
                <w:color w:val="auto"/>
              </w:rPr>
              <w:t>3,125,031</w:t>
            </w:r>
          </w:p>
        </w:tc>
        <w:tc>
          <w:tcPr>
            <w:tcW w:w="1080" w:type="dxa"/>
            <w:vAlign w:val="bottom"/>
          </w:tcPr>
          <w:p>
            <w:pPr>
              <w:jc w:val="right"/>
              <w:spacing w:after="0"/>
              <w:rPr>
                <w:sz w:val="20"/>
                <w:szCs w:val="20"/>
                <w:color w:val="auto"/>
              </w:rPr>
            </w:pPr>
            <w:r>
              <w:rPr>
                <w:rFonts w:ascii="Arial" w:cs="Arial" w:eastAsia="Arial" w:hAnsi="Arial"/>
                <w:sz w:val="14"/>
                <w:szCs w:val="14"/>
                <w:color w:val="auto"/>
              </w:rPr>
              <w:t>5,718,586</w:t>
            </w:r>
          </w:p>
        </w:tc>
        <w:tc>
          <w:tcPr>
            <w:tcW w:w="980" w:type="dxa"/>
            <w:vAlign w:val="bottom"/>
          </w:tcPr>
          <w:p>
            <w:pPr>
              <w:jc w:val="right"/>
              <w:spacing w:after="0"/>
              <w:rPr>
                <w:sz w:val="20"/>
                <w:szCs w:val="20"/>
                <w:color w:val="auto"/>
              </w:rPr>
            </w:pPr>
            <w:r>
              <w:rPr>
                <w:rFonts w:ascii="Arial" w:cs="Arial" w:eastAsia="Arial" w:hAnsi="Arial"/>
                <w:sz w:val="14"/>
                <w:szCs w:val="14"/>
                <w:color w:val="auto"/>
              </w:rPr>
              <w:t>8,843,617</w:t>
            </w:r>
          </w:p>
        </w:tc>
        <w:tc>
          <w:tcPr>
            <w:tcW w:w="0" w:type="dxa"/>
            <w:vAlign w:val="bottom"/>
          </w:tcPr>
          <w:p>
            <w:pPr>
              <w:spacing w:after="0"/>
              <w:rPr>
                <w:sz w:val="1"/>
                <w:szCs w:val="1"/>
                <w:color w:val="auto"/>
              </w:rPr>
            </w:pPr>
          </w:p>
        </w:tc>
      </w:tr>
      <w:tr>
        <w:trPr>
          <w:trHeight w:val="202"/>
        </w:trPr>
        <w:tc>
          <w:tcPr>
            <w:tcW w:w="152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4"/>
                <w:szCs w:val="14"/>
                <w:color w:val="auto"/>
              </w:rPr>
              <w:t>Sumit Sadana</w:t>
            </w:r>
          </w:p>
        </w:tc>
        <w:tc>
          <w:tcPr>
            <w:tcW w:w="9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4,499,991</w:t>
            </w:r>
          </w:p>
        </w:tc>
        <w:tc>
          <w:tcPr>
            <w:tcW w:w="1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8,234,853</w:t>
            </w: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12,734,844</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4,250,015</w:t>
            </w:r>
          </w:p>
        </w:tc>
        <w:tc>
          <w:tcPr>
            <w:tcW w:w="1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7,777,478</w:t>
            </w: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12,027,493</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4,125,031</w:t>
            </w:r>
          </w:p>
        </w:tc>
        <w:tc>
          <w:tcPr>
            <w:tcW w:w="10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7,548,641</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11,673,672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2"/>
        <w:spacing w:after="0" w:line="285"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 shown for Mr. Murphy for Fiscal 2022 includes $9,999,999 in respect of his new hire equity awards, in the form of both time-based restricted stock and performance-based restricted units.</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Fiscal 2023 STI plan for all Named Executive Officers was suspended in February 2023 and no amounts were paid.</w:t>
      </w:r>
    </w:p>
    <w:p>
      <w:pPr>
        <w:spacing w:after="0" w:line="250" w:lineRule="exact"/>
        <w:rPr>
          <w:rFonts w:ascii="Arial" w:cs="Arial" w:eastAsia="Arial" w:hAnsi="Arial"/>
          <w:sz w:val="18"/>
          <w:szCs w:val="18"/>
          <w:color w:val="auto"/>
        </w:rPr>
      </w:pPr>
    </w:p>
    <w:p>
      <w:pPr>
        <w:ind w:left="340" w:right="180" w:hanging="332"/>
        <w:spacing w:after="0" w:line="261"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2024, $17,250 was contributed for each of Messrs. Mehrotra, Bhatia, DeBoer, and Sadana, and $24,138 for Mr. Murphy. Includes matching contributions paid by us for health savings accounts in Fiscal 2024 for Messrs. Murphy, and DeBoer and de minimis non-cash benefits and related tax gross-ups paid by us for Mr. Murphy.</w:t>
      </w:r>
    </w:p>
    <w:p>
      <w:pPr>
        <w:spacing w:after="0" w:line="20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Compensation also includes the following for the Named Executive Officers mentioned below:</w:t>
      </w:r>
    </w:p>
    <w:p>
      <w:pPr>
        <w:spacing w:after="0" w:line="250" w:lineRule="exact"/>
        <w:rPr>
          <w:rFonts w:ascii="Arial" w:cs="Arial" w:eastAsia="Arial" w:hAnsi="Arial"/>
          <w:sz w:val="18"/>
          <w:szCs w:val="18"/>
          <w:color w:val="auto"/>
        </w:rPr>
      </w:pPr>
    </w:p>
    <w:p>
      <w:pPr>
        <w:ind w:left="660" w:right="40" w:hanging="330"/>
        <w:spacing w:after="0" w:line="251" w:lineRule="auto"/>
        <w:tabs>
          <w:tab w:leader="none" w:pos="655" w:val="left"/>
        </w:tabs>
        <w:numPr>
          <w:ilvl w:val="1"/>
          <w:numId w:val="65"/>
        </w:numPr>
        <w:rPr>
          <w:rFonts w:ascii="Arial" w:cs="Arial" w:eastAsia="Arial" w:hAnsi="Arial"/>
          <w:sz w:val="18"/>
          <w:szCs w:val="18"/>
          <w:color w:val="BD03F7"/>
        </w:rPr>
      </w:pPr>
      <w:r>
        <w:rPr>
          <w:rFonts w:ascii="Arial" w:cs="Arial" w:eastAsia="Arial" w:hAnsi="Arial"/>
          <w:sz w:val="18"/>
          <w:szCs w:val="18"/>
          <w:color w:val="auto"/>
        </w:rPr>
        <w:t>Amount for Mr. Mehrotra’s Fiscal 2024 compensation includes $4,100 for the use of Company aircraft for personal travel and $24,811 for personal security arrangements paid by us. While we do not consider personal security measures to be a personal benefit, but instead appropriate expenses for the benefit of the Company that arise out of our executive’s employment responsibilities and that are necessary to his or her job performance and to ensure the safety of our executives and their families, SEC regulations require the costs of certain personal security arrangements to be reported as personal benefits.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6" w:lineRule="exact"/>
        <w:rPr>
          <w:rFonts w:ascii="Arial" w:cs="Arial" w:eastAsia="Arial" w:hAnsi="Arial"/>
          <w:sz w:val="18"/>
          <w:szCs w:val="18"/>
          <w:color w:val="BD03F7"/>
        </w:rPr>
      </w:pPr>
    </w:p>
    <w:p>
      <w:pPr>
        <w:ind w:left="660" w:right="20" w:hanging="330"/>
        <w:spacing w:after="0" w:line="264" w:lineRule="auto"/>
        <w:tabs>
          <w:tab w:leader="none" w:pos="655" w:val="left"/>
        </w:tabs>
        <w:numPr>
          <w:ilvl w:val="1"/>
          <w:numId w:val="65"/>
        </w:numPr>
        <w:rPr>
          <w:rFonts w:ascii="Arial" w:cs="Arial" w:eastAsia="Arial" w:hAnsi="Arial"/>
          <w:sz w:val="18"/>
          <w:szCs w:val="18"/>
          <w:color w:val="BD03F7"/>
        </w:rPr>
      </w:pPr>
      <w:r>
        <w:rPr>
          <w:rFonts w:ascii="Arial" w:cs="Arial" w:eastAsia="Arial" w:hAnsi="Arial"/>
          <w:sz w:val="18"/>
          <w:szCs w:val="18"/>
          <w:color w:val="auto"/>
        </w:rPr>
        <w:t>Amount for Mr. Bhatia’s Fiscal 2022 compensation includes a tax equalization of $8,388,304 paid by us for him, which have been fully recovered with foreign tax credits or Singapore tax refund.</w:t>
      </w:r>
    </w:p>
    <w:p>
      <w:pPr>
        <w:spacing w:after="0" w:line="199" w:lineRule="exact"/>
        <w:rPr>
          <w:rFonts w:ascii="Arial" w:cs="Arial" w:eastAsia="Arial" w:hAnsi="Arial"/>
          <w:sz w:val="18"/>
          <w:szCs w:val="18"/>
          <w:color w:val="BD03F7"/>
        </w:rPr>
      </w:pPr>
    </w:p>
    <w:p>
      <w:pPr>
        <w:ind w:left="660"/>
        <w:spacing w:after="0" w:line="255" w:lineRule="auto"/>
        <w:rPr>
          <w:rFonts w:ascii="Arial" w:cs="Arial" w:eastAsia="Arial" w:hAnsi="Arial"/>
          <w:sz w:val="18"/>
          <w:szCs w:val="18"/>
          <w:color w:val="BD03F7"/>
        </w:rPr>
      </w:pPr>
      <w:r>
        <w:rPr>
          <w:rFonts w:ascii="Arial" w:cs="Arial" w:eastAsia="Arial" w:hAnsi="Arial"/>
          <w:sz w:val="18"/>
          <w:szCs w:val="18"/>
          <w:color w:val="auto"/>
        </w:rPr>
        <w:t>Employees who participate in our expatriate programs are responsible for substantially the same income tax liability as they would have been had they worked exclusively in the United States. Each expatriate employee is responsible for a hypothetical U.S. income tax liability based on an estimate of their anticipated U.S. income tax liability on their stay-at-home income, and we are responsible for income tax liabilities associated with the assignment or host country taxes, as applicable, and any additional taxes attributed to the international assignment. To the extent that tax years differ from the fiscal year in which the compensation was earned that gave rise to the expatriates’ income tax liability, or in the case that we have not reached the end of the tax year, the amount of tax equalization has been estimated.</w:t>
      </w:r>
    </w:p>
    <w:p>
      <w:pPr>
        <w:spacing w:after="0" w:line="209" w:lineRule="exact"/>
        <w:rPr>
          <w:rFonts w:ascii="Arial" w:cs="Arial" w:eastAsia="Arial" w:hAnsi="Arial"/>
          <w:sz w:val="18"/>
          <w:szCs w:val="18"/>
          <w:color w:val="BD03F7"/>
        </w:rPr>
      </w:pPr>
    </w:p>
    <w:p>
      <w:pPr>
        <w:ind w:left="660" w:right="60"/>
        <w:spacing w:after="0" w:line="261" w:lineRule="auto"/>
        <w:rPr>
          <w:rFonts w:ascii="Arial" w:cs="Arial" w:eastAsia="Arial" w:hAnsi="Arial"/>
          <w:sz w:val="18"/>
          <w:szCs w:val="18"/>
          <w:color w:val="BD03F7"/>
        </w:rPr>
      </w:pPr>
      <w:r>
        <w:rPr>
          <w:rFonts w:ascii="Arial" w:cs="Arial" w:eastAsia="Arial" w:hAnsi="Arial"/>
          <w:sz w:val="18"/>
          <w:szCs w:val="18"/>
          <w:color w:val="auto"/>
        </w:rPr>
        <w:t>Mr. Bhatia completed his expatriate assignment in Singapore in Fiscal 2022. As a result, he is subject to the deemed exercise rule upon exit with respect to his unvested restricted equity awards granted during his Singapore expatriate assignment and is required to pay Singapore taxes as if gains were realized. All or most of the taxes paid on his unvested awards are expected to be recovered when those restricted equity awards granted during his Singapore expatriate assignment vest or forfeit.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GRANTS OF PLAN-BASED AWARDS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643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All Other Stock</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Estimated Future Payouts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Awards: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2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5"/>
                <w:szCs w:val="5"/>
                <w:color w:val="auto"/>
              </w:rPr>
            </w:pPr>
          </w:p>
        </w:tc>
        <w:tc>
          <w:tcPr>
            <w:tcW w:w="1120" w:type="dxa"/>
            <w:vAlign w:val="bottom"/>
            <w:vMerge w:val="restart"/>
          </w:tcPr>
          <w:p>
            <w:pPr>
              <w:jc w:val="center"/>
              <w:ind w:right="59"/>
              <w:spacing w:after="0" w:line="161"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2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under Non-Equity Incentive</w:t>
            </w:r>
          </w:p>
        </w:tc>
        <w:tc>
          <w:tcPr>
            <w:tcW w:w="278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Estimated Future Payouts under</w:t>
            </w:r>
          </w:p>
        </w:tc>
        <w:tc>
          <w:tcPr>
            <w:tcW w:w="12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20" w:type="dxa"/>
            <w:vAlign w:val="bottom"/>
            <w:gridSpan w:val="3"/>
            <w:vMerge w:val="continue"/>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Shares of</w:t>
            </w:r>
          </w:p>
        </w:tc>
        <w:tc>
          <w:tcPr>
            <w:tcW w:w="160" w:type="dxa"/>
            <w:vAlign w:val="bottom"/>
          </w:tcPr>
          <w:p>
            <w:pPr>
              <w:spacing w:after="0"/>
              <w:rPr>
                <w:sz w:val="5"/>
                <w:szCs w:val="5"/>
                <w:color w:val="auto"/>
              </w:rPr>
            </w:pPr>
          </w:p>
        </w:tc>
        <w:tc>
          <w:tcPr>
            <w:tcW w:w="1120" w:type="dxa"/>
            <w:vAlign w:val="bottom"/>
            <w:vMerge w:val="restart"/>
          </w:tcPr>
          <w:p>
            <w:pPr>
              <w:jc w:val="center"/>
              <w:ind w:right="79"/>
              <w:spacing w:after="0" w:line="161"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Plan Awards(1)</w:t>
            </w:r>
          </w:p>
        </w:tc>
        <w:tc>
          <w:tcPr>
            <w:tcW w:w="2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Equity Incentive Plan Awards(2)</w:t>
            </w:r>
          </w:p>
        </w:tc>
        <w:tc>
          <w:tcPr>
            <w:tcW w:w="12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20" w:type="dxa"/>
            <w:vAlign w:val="bottom"/>
            <w:tcBorders>
              <w:bottom w:val="single" w:sz="8" w:color="BD03F7"/>
            </w:tcBorders>
            <w:gridSpan w:val="3"/>
            <w:vMerge w:val="continue"/>
          </w:tcPr>
          <w:p>
            <w:pPr>
              <w:spacing w:after="0"/>
              <w:rPr>
                <w:sz w:val="10"/>
                <w:szCs w:val="10"/>
                <w:color w:val="auto"/>
              </w:rPr>
            </w:pPr>
          </w:p>
        </w:tc>
        <w:tc>
          <w:tcPr>
            <w:tcW w:w="2780" w:type="dxa"/>
            <w:vAlign w:val="bottom"/>
            <w:tcBorders>
              <w:bottom w:val="single" w:sz="8" w:color="BD03F7"/>
            </w:tcBorders>
            <w:gridSpan w:val="3"/>
            <w:vMerge w:val="continue"/>
          </w:tcPr>
          <w:p>
            <w:pPr>
              <w:spacing w:after="0"/>
              <w:rPr>
                <w:sz w:val="10"/>
                <w:szCs w:val="10"/>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Stock or</w:t>
            </w:r>
          </w:p>
        </w:tc>
        <w:tc>
          <w:tcPr>
            <w:tcW w:w="160" w:type="dxa"/>
            <w:vAlign w:val="bottom"/>
          </w:tcPr>
          <w:p>
            <w:pPr>
              <w:spacing w:after="0"/>
              <w:rPr>
                <w:sz w:val="10"/>
                <w:szCs w:val="10"/>
                <w:color w:val="auto"/>
              </w:rPr>
            </w:pPr>
          </w:p>
        </w:tc>
        <w:tc>
          <w:tcPr>
            <w:tcW w:w="1120" w:type="dxa"/>
            <w:vAlign w:val="bottom"/>
            <w:vMerge w:val="restart"/>
          </w:tcPr>
          <w:p>
            <w:pPr>
              <w:jc w:val="center"/>
              <w:ind w:right="59"/>
              <w:spacing w:after="0" w:line="161" w:lineRule="exact"/>
              <w:rPr>
                <w:sz w:val="20"/>
                <w:szCs w:val="20"/>
                <w:color w:val="auto"/>
              </w:rPr>
            </w:pPr>
            <w:r>
              <w:rPr>
                <w:rFonts w:ascii="Arial" w:cs="Arial" w:eastAsia="Arial" w:hAnsi="Arial"/>
                <w:sz w:val="16"/>
                <w:szCs w:val="16"/>
                <w:b w:val="1"/>
                <w:bCs w:val="1"/>
                <w:color w:val="auto"/>
              </w:rPr>
              <w:t>of Stock (or</w:t>
            </w: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Threshold</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w:t>
            </w: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Max</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Threshold</w:t>
            </w:r>
          </w:p>
        </w:tc>
        <w:tc>
          <w:tcPr>
            <w:tcW w:w="9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8"/>
              </w:rPr>
              <w:t>Target</w:t>
            </w: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00" w:type="dxa"/>
            <w:vAlign w:val="bottom"/>
            <w:tcBorders>
              <w:bottom w:val="single" w:sz="8" w:color="BD03F7"/>
            </w:tcBorders>
            <w:vMerge w:val="continue"/>
          </w:tcPr>
          <w:p>
            <w:pPr>
              <w:spacing w:after="0"/>
              <w:rPr>
                <w:sz w:val="18"/>
                <w:szCs w:val="18"/>
                <w:color w:val="auto"/>
              </w:rPr>
            </w:pPr>
          </w:p>
        </w:tc>
        <w:tc>
          <w:tcPr>
            <w:tcW w:w="980" w:type="dxa"/>
            <w:vAlign w:val="bottom"/>
            <w:tcBorders>
              <w:bottom w:val="single" w:sz="8" w:color="BD03F7"/>
            </w:tcBorders>
            <w:vMerge w:val="continue"/>
          </w:tcPr>
          <w:p>
            <w:pPr>
              <w:spacing w:after="0"/>
              <w:rPr>
                <w:sz w:val="18"/>
                <w:szCs w:val="18"/>
                <w:color w:val="auto"/>
              </w:rPr>
            </w:pPr>
          </w:p>
        </w:tc>
        <w:tc>
          <w:tcPr>
            <w:tcW w:w="900" w:type="dxa"/>
            <w:vAlign w:val="bottom"/>
            <w:tcBorders>
              <w:bottom w:val="single" w:sz="8" w:color="BD03F7"/>
            </w:tcBorders>
            <w:vMerge w:val="continue"/>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1000" w:type="dxa"/>
            <w:vAlign w:val="bottom"/>
            <w:tcBorders>
              <w:bottom w:val="single" w:sz="8" w:color="BD03F7"/>
            </w:tcBorders>
            <w:vMerge w:val="continue"/>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820" w:type="dxa"/>
            <w:vAlign w:val="bottom"/>
            <w:tcBorders>
              <w:bottom w:val="single" w:sz="8" w:color="BD03F7"/>
            </w:tcBorders>
            <w:vMerge w:val="continue"/>
          </w:tcPr>
          <w:p>
            <w:pPr>
              <w:spacing w:after="0"/>
              <w:rPr>
                <w:sz w:val="18"/>
                <w:szCs w:val="18"/>
                <w:color w:val="auto"/>
              </w:rPr>
            </w:pPr>
          </w:p>
        </w:tc>
        <w:tc>
          <w:tcPr>
            <w:tcW w:w="12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Units(3)</w:t>
            </w:r>
          </w:p>
        </w:tc>
        <w:tc>
          <w:tcPr>
            <w:tcW w:w="16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tcPr>
          <w:p>
            <w:pPr>
              <w:jc w:val="center"/>
              <w:ind w:right="59"/>
              <w:spacing w:after="0"/>
              <w:rPr>
                <w:sz w:val="20"/>
                <w:szCs w:val="20"/>
                <w:color w:val="auto"/>
              </w:rPr>
            </w:pPr>
            <w:r>
              <w:rPr>
                <w:rFonts w:ascii="Arial" w:cs="Arial" w:eastAsia="Arial" w:hAnsi="Arial"/>
                <w:sz w:val="16"/>
                <w:szCs w:val="16"/>
                <w:b w:val="1"/>
                <w:bCs w:val="1"/>
                <w:color w:val="auto"/>
              </w:rPr>
              <w:t>Units)(4)</w:t>
            </w:r>
          </w:p>
        </w:tc>
        <w:tc>
          <w:tcPr>
            <w:tcW w:w="0" w:type="dxa"/>
            <w:vAlign w:val="bottom"/>
          </w:tcPr>
          <w:p>
            <w:pPr>
              <w:spacing w:after="0"/>
              <w:rPr>
                <w:sz w:val="1"/>
                <w:szCs w:val="1"/>
                <w:color w:val="auto"/>
              </w:rPr>
            </w:pPr>
          </w:p>
        </w:tc>
      </w:tr>
      <w:tr>
        <w:trPr>
          <w:trHeight w:val="34"/>
        </w:trPr>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Sanjay Mehrotra</w:t>
            </w:r>
          </w:p>
        </w:tc>
        <w:tc>
          <w:tcPr>
            <w:tcW w:w="980" w:type="dxa"/>
            <w:vAlign w:val="bottom"/>
            <w:shd w:val="clear" w:color="auto" w:fill="F2F2F2"/>
          </w:tcPr>
          <w:p>
            <w:pPr>
              <w:spacing w:after="0"/>
              <w:rPr>
                <w:sz w:val="18"/>
                <w:szCs w:val="18"/>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99"/>
              </w:rPr>
              <w:t>$ 1,524,350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$ 3,048,700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$ 6,097,400</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49,572</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209,807</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419,614</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15,437,097</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10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820" w:type="dxa"/>
            <w:vAlign w:val="bottom"/>
            <w:tcBorders>
              <w:bottom w:val="single" w:sz="8" w:color="B6B6B6"/>
            </w:tcBorders>
            <w:shd w:val="clear" w:color="auto" w:fill="F2F2F2"/>
          </w:tcPr>
          <w:p>
            <w:pPr>
              <w:spacing w:after="0"/>
              <w:rPr>
                <w:sz w:val="18"/>
                <w:szCs w:val="18"/>
                <w:color w:val="auto"/>
              </w:rPr>
            </w:pPr>
          </w:p>
        </w:tc>
        <w:tc>
          <w:tcPr>
            <w:tcW w:w="12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119,176</w:t>
            </w:r>
          </w:p>
        </w:tc>
        <w:tc>
          <w:tcPr>
            <w:tcW w:w="160" w:type="dxa"/>
            <w:vAlign w:val="bottom"/>
            <w:tcBorders>
              <w:bottom w:val="single" w:sz="8" w:color="B6B6B6"/>
            </w:tcBorders>
            <w:shd w:val="clear" w:color="auto" w:fill="F2F2F2"/>
          </w:tcPr>
          <w:p>
            <w:pPr>
              <w:spacing w:after="0"/>
              <w:rPr>
                <w:sz w:val="18"/>
                <w:szCs w:val="18"/>
                <w:color w:val="auto"/>
              </w:rPr>
            </w:pPr>
          </w:p>
        </w:tc>
        <w:tc>
          <w:tcPr>
            <w:tcW w:w="11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8,312,526</w:t>
            </w:r>
          </w:p>
        </w:tc>
        <w:tc>
          <w:tcPr>
            <w:tcW w:w="0" w:type="dxa"/>
            <w:vAlign w:val="bottom"/>
          </w:tcPr>
          <w:p>
            <w:pPr>
              <w:spacing w:after="0"/>
              <w:rPr>
                <w:sz w:val="1"/>
                <w:szCs w:val="1"/>
                <w:color w:val="auto"/>
              </w:rPr>
            </w:pPr>
          </w:p>
        </w:tc>
      </w:tr>
      <w:tr>
        <w:trPr>
          <w:trHeight w:val="208"/>
        </w:trPr>
        <w:tc>
          <w:tcPr>
            <w:tcW w:w="2100" w:type="dxa"/>
            <w:vAlign w:val="bottom"/>
          </w:tcPr>
          <w:p>
            <w:pPr>
              <w:ind w:left="20"/>
              <w:spacing w:after="0"/>
              <w:rPr>
                <w:sz w:val="20"/>
                <w:szCs w:val="20"/>
                <w:color w:val="auto"/>
              </w:rPr>
            </w:pPr>
            <w:r>
              <w:rPr>
                <w:rFonts w:ascii="Arial" w:cs="Arial" w:eastAsia="Arial" w:hAnsi="Arial"/>
                <w:sz w:val="16"/>
                <w:szCs w:val="16"/>
                <w:color w:val="auto"/>
              </w:rPr>
              <w:t>Mark Murphy</w:t>
            </w:r>
          </w:p>
        </w:tc>
        <w:tc>
          <w:tcPr>
            <w:tcW w:w="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484,375</w:t>
            </w:r>
          </w:p>
        </w:tc>
        <w:tc>
          <w:tcPr>
            <w:tcW w:w="960" w:type="dxa"/>
            <w:vAlign w:val="bottom"/>
          </w:tcPr>
          <w:p>
            <w:pPr>
              <w:jc w:val="right"/>
              <w:spacing w:after="0"/>
              <w:rPr>
                <w:sz w:val="20"/>
                <w:szCs w:val="20"/>
                <w:color w:val="auto"/>
              </w:rPr>
            </w:pPr>
            <w:r>
              <w:rPr>
                <w:rFonts w:ascii="Arial" w:cs="Arial" w:eastAsia="Arial" w:hAnsi="Arial"/>
                <w:sz w:val="16"/>
                <w:szCs w:val="16"/>
                <w:color w:val="auto"/>
              </w:rPr>
              <w:t>968,750</w:t>
            </w:r>
          </w:p>
        </w:tc>
        <w:tc>
          <w:tcPr>
            <w:tcW w:w="960" w:type="dxa"/>
            <w:vAlign w:val="bottom"/>
          </w:tcPr>
          <w:p>
            <w:pPr>
              <w:jc w:val="right"/>
              <w:spacing w:after="0"/>
              <w:rPr>
                <w:sz w:val="20"/>
                <w:szCs w:val="20"/>
                <w:color w:val="auto"/>
              </w:rPr>
            </w:pPr>
            <w:r>
              <w:rPr>
                <w:rFonts w:ascii="Arial" w:cs="Arial" w:eastAsia="Arial" w:hAnsi="Arial"/>
                <w:sz w:val="16"/>
                <w:szCs w:val="16"/>
                <w:color w:val="auto"/>
              </w:rPr>
              <w:t>1,937,500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13,647</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57,760</w:t>
            </w:r>
          </w:p>
        </w:tc>
        <w:tc>
          <w:tcPr>
            <w:tcW w:w="820" w:type="dxa"/>
            <w:vAlign w:val="bottom"/>
          </w:tcPr>
          <w:p>
            <w:pPr>
              <w:jc w:val="right"/>
              <w:spacing w:after="0"/>
              <w:rPr>
                <w:sz w:val="20"/>
                <w:szCs w:val="20"/>
                <w:color w:val="auto"/>
              </w:rPr>
            </w:pPr>
            <w:r>
              <w:rPr>
                <w:rFonts w:ascii="Arial" w:cs="Arial" w:eastAsia="Arial" w:hAnsi="Arial"/>
                <w:sz w:val="16"/>
                <w:szCs w:val="16"/>
                <w:color w:val="auto"/>
              </w:rPr>
              <w:t>115,520</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4,249,841</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820" w:type="dxa"/>
            <w:vAlign w:val="bottom"/>
            <w:tcBorders>
              <w:bottom w:val="single" w:sz="8" w:color="B6B6B6"/>
            </w:tcBorders>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60,932</w:t>
            </w:r>
          </w:p>
        </w:tc>
        <w:tc>
          <w:tcPr>
            <w:tcW w:w="1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4,250,007</w:t>
            </w:r>
          </w:p>
        </w:tc>
        <w:tc>
          <w:tcPr>
            <w:tcW w:w="0" w:type="dxa"/>
            <w:vAlign w:val="bottom"/>
          </w:tcPr>
          <w:p>
            <w:pPr>
              <w:spacing w:after="0"/>
              <w:rPr>
                <w:sz w:val="1"/>
                <w:szCs w:val="1"/>
                <w:color w:val="auto"/>
              </w:rPr>
            </w:pPr>
          </w:p>
        </w:tc>
      </w:tr>
      <w:tr>
        <w:trPr>
          <w:trHeight w:val="208"/>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Manish Bhatia</w:t>
            </w:r>
          </w:p>
        </w:tc>
        <w:tc>
          <w:tcPr>
            <w:tcW w:w="980" w:type="dxa"/>
            <w:vAlign w:val="bottom"/>
            <w:shd w:val="clear" w:color="auto" w:fill="F2F2F2"/>
          </w:tcPr>
          <w:p>
            <w:pPr>
              <w:spacing w:after="0"/>
              <w:rPr>
                <w:sz w:val="18"/>
                <w:szCs w:val="18"/>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2,000,000</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14,450</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61,158</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122,316</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4,499,861</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10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820" w:type="dxa"/>
            <w:vAlign w:val="bottom"/>
            <w:tcBorders>
              <w:bottom w:val="single" w:sz="8" w:color="B6B6B6"/>
            </w:tcBorders>
            <w:shd w:val="clear" w:color="auto" w:fill="F2F2F2"/>
          </w:tcPr>
          <w:p>
            <w:pPr>
              <w:spacing w:after="0"/>
              <w:rPr>
                <w:sz w:val="18"/>
                <w:szCs w:val="18"/>
                <w:color w:val="auto"/>
              </w:rPr>
            </w:pPr>
          </w:p>
        </w:tc>
        <w:tc>
          <w:tcPr>
            <w:tcW w:w="12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64,516</w:t>
            </w:r>
          </w:p>
        </w:tc>
        <w:tc>
          <w:tcPr>
            <w:tcW w:w="160" w:type="dxa"/>
            <w:vAlign w:val="bottom"/>
            <w:tcBorders>
              <w:bottom w:val="single" w:sz="8" w:color="B6B6B6"/>
            </w:tcBorders>
            <w:shd w:val="clear" w:color="auto" w:fill="F2F2F2"/>
          </w:tcPr>
          <w:p>
            <w:pPr>
              <w:spacing w:after="0"/>
              <w:rPr>
                <w:sz w:val="18"/>
                <w:szCs w:val="18"/>
                <w:color w:val="auto"/>
              </w:rPr>
            </w:pPr>
          </w:p>
        </w:tc>
        <w:tc>
          <w:tcPr>
            <w:tcW w:w="11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4,499,991</w:t>
            </w:r>
          </w:p>
        </w:tc>
        <w:tc>
          <w:tcPr>
            <w:tcW w:w="0" w:type="dxa"/>
            <w:vAlign w:val="bottom"/>
          </w:tcPr>
          <w:p>
            <w:pPr>
              <w:spacing w:after="0"/>
              <w:rPr>
                <w:sz w:val="1"/>
                <w:szCs w:val="1"/>
                <w:color w:val="auto"/>
              </w:rPr>
            </w:pPr>
          </w:p>
        </w:tc>
      </w:tr>
      <w:tr>
        <w:trPr>
          <w:trHeight w:val="208"/>
        </w:trPr>
        <w:tc>
          <w:tcPr>
            <w:tcW w:w="2100" w:type="dxa"/>
            <w:vAlign w:val="bottom"/>
          </w:tcPr>
          <w:p>
            <w:pPr>
              <w:ind w:left="20"/>
              <w:spacing w:after="0"/>
              <w:rPr>
                <w:sz w:val="20"/>
                <w:szCs w:val="20"/>
                <w:color w:val="auto"/>
              </w:rPr>
            </w:pPr>
            <w:r>
              <w:rPr>
                <w:rFonts w:ascii="Arial" w:cs="Arial" w:eastAsia="Arial" w:hAnsi="Arial"/>
                <w:sz w:val="16"/>
                <w:szCs w:val="16"/>
                <w:color w:val="auto"/>
              </w:rPr>
              <w:t>Scott DeBoer</w:t>
            </w:r>
          </w:p>
        </w:tc>
        <w:tc>
          <w:tcPr>
            <w:tcW w:w="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420,000</w:t>
            </w:r>
          </w:p>
        </w:tc>
        <w:tc>
          <w:tcPr>
            <w:tcW w:w="960" w:type="dxa"/>
            <w:vAlign w:val="bottom"/>
          </w:tcPr>
          <w:p>
            <w:pPr>
              <w:jc w:val="right"/>
              <w:spacing w:after="0"/>
              <w:rPr>
                <w:sz w:val="20"/>
                <w:szCs w:val="20"/>
                <w:color w:val="auto"/>
              </w:rPr>
            </w:pPr>
            <w:r>
              <w:rPr>
                <w:rFonts w:ascii="Arial" w:cs="Arial" w:eastAsia="Arial" w:hAnsi="Arial"/>
                <w:sz w:val="16"/>
                <w:szCs w:val="16"/>
                <w:color w:val="auto"/>
              </w:rPr>
              <w:t>840,000</w:t>
            </w:r>
          </w:p>
        </w:tc>
        <w:tc>
          <w:tcPr>
            <w:tcW w:w="960" w:type="dxa"/>
            <w:vAlign w:val="bottom"/>
          </w:tcPr>
          <w:p>
            <w:pPr>
              <w:jc w:val="right"/>
              <w:spacing w:after="0"/>
              <w:rPr>
                <w:sz w:val="20"/>
                <w:szCs w:val="20"/>
                <w:color w:val="auto"/>
              </w:rPr>
            </w:pPr>
            <w:r>
              <w:rPr>
                <w:rFonts w:ascii="Arial" w:cs="Arial" w:eastAsia="Arial" w:hAnsi="Arial"/>
                <w:sz w:val="16"/>
                <w:szCs w:val="16"/>
                <w:color w:val="auto"/>
              </w:rPr>
              <w:t>1,680,000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11,640</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49,266</w:t>
            </w:r>
          </w:p>
        </w:tc>
        <w:tc>
          <w:tcPr>
            <w:tcW w:w="820" w:type="dxa"/>
            <w:vAlign w:val="bottom"/>
          </w:tcPr>
          <w:p>
            <w:pPr>
              <w:jc w:val="right"/>
              <w:spacing w:after="0"/>
              <w:rPr>
                <w:sz w:val="20"/>
                <w:szCs w:val="20"/>
                <w:color w:val="auto"/>
              </w:rPr>
            </w:pPr>
            <w:r>
              <w:rPr>
                <w:rFonts w:ascii="Arial" w:cs="Arial" w:eastAsia="Arial" w:hAnsi="Arial"/>
                <w:sz w:val="16"/>
                <w:szCs w:val="16"/>
                <w:color w:val="auto"/>
              </w:rPr>
              <w:t>98,532</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3,624,872</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820" w:type="dxa"/>
            <w:vAlign w:val="bottom"/>
            <w:tcBorders>
              <w:bottom w:val="single" w:sz="8" w:color="B6B6B6"/>
            </w:tcBorders>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51,971</w:t>
            </w:r>
          </w:p>
        </w:tc>
        <w:tc>
          <w:tcPr>
            <w:tcW w:w="1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3,624,977</w:t>
            </w:r>
          </w:p>
        </w:tc>
        <w:tc>
          <w:tcPr>
            <w:tcW w:w="0" w:type="dxa"/>
            <w:vAlign w:val="bottom"/>
          </w:tcPr>
          <w:p>
            <w:pPr>
              <w:spacing w:after="0"/>
              <w:rPr>
                <w:sz w:val="1"/>
                <w:szCs w:val="1"/>
                <w:color w:val="auto"/>
              </w:rPr>
            </w:pPr>
          </w:p>
        </w:tc>
      </w:tr>
      <w:tr>
        <w:trPr>
          <w:trHeight w:val="208"/>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Sumit Sadana</w:t>
            </w:r>
          </w:p>
        </w:tc>
        <w:tc>
          <w:tcPr>
            <w:tcW w:w="980" w:type="dxa"/>
            <w:vAlign w:val="bottom"/>
            <w:shd w:val="clear" w:color="auto" w:fill="F2F2F2"/>
          </w:tcPr>
          <w:p>
            <w:pPr>
              <w:spacing w:after="0"/>
              <w:rPr>
                <w:sz w:val="18"/>
                <w:szCs w:val="18"/>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515,625</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1,031,250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2,062,500</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14,450</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61,158</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122,316</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4,499,861</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D03F7"/>
            </w:tcBorders>
            <w:shd w:val="clear" w:color="auto" w:fill="F2F2F2"/>
          </w:tcPr>
          <w:p>
            <w:pPr>
              <w:spacing w:after="0"/>
              <w:rPr>
                <w:sz w:val="18"/>
                <w:szCs w:val="18"/>
                <w:color w:val="auto"/>
              </w:rPr>
            </w:pP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10/13/23</w:t>
            </w:r>
          </w:p>
        </w:tc>
        <w:tc>
          <w:tcPr>
            <w:tcW w:w="90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spacing w:after="0"/>
              <w:rPr>
                <w:sz w:val="18"/>
                <w:szCs w:val="18"/>
                <w:color w:val="auto"/>
              </w:rPr>
            </w:pPr>
          </w:p>
        </w:tc>
        <w:tc>
          <w:tcPr>
            <w:tcW w:w="100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spacing w:after="0"/>
              <w:rPr>
                <w:sz w:val="18"/>
                <w:szCs w:val="18"/>
                <w:color w:val="auto"/>
              </w:rPr>
            </w:pPr>
          </w:p>
        </w:tc>
        <w:tc>
          <w:tcPr>
            <w:tcW w:w="820" w:type="dxa"/>
            <w:vAlign w:val="bottom"/>
            <w:tcBorders>
              <w:bottom w:val="single" w:sz="8" w:color="BD03F7"/>
            </w:tcBorders>
            <w:shd w:val="clear" w:color="auto" w:fill="F2F2F2"/>
          </w:tcPr>
          <w:p>
            <w:pPr>
              <w:spacing w:after="0"/>
              <w:rPr>
                <w:sz w:val="18"/>
                <w:szCs w:val="18"/>
                <w:color w:val="auto"/>
              </w:rPr>
            </w:pPr>
          </w:p>
        </w:tc>
        <w:tc>
          <w:tcPr>
            <w:tcW w:w="12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64,516</w:t>
            </w:r>
          </w:p>
        </w:tc>
        <w:tc>
          <w:tcPr>
            <w:tcW w:w="160" w:type="dxa"/>
            <w:vAlign w:val="bottom"/>
            <w:tcBorders>
              <w:bottom w:val="single" w:sz="8" w:color="BD03F7"/>
            </w:tcBorders>
            <w:shd w:val="clear" w:color="auto" w:fill="F2F2F2"/>
          </w:tcPr>
          <w:p>
            <w:pPr>
              <w:spacing w:after="0"/>
              <w:rPr>
                <w:sz w:val="18"/>
                <w:szCs w:val="18"/>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4,499,991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40" w:hanging="332"/>
        <w:spacing w:after="0" w:line="261" w:lineRule="auto"/>
        <w:tabs>
          <w:tab w:leader="none" w:pos="3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 estimated possible payouts for Fiscal 2024 under the STI plan. Payment of bonuses under the STI plan is dependent upon meeting specified performance goals. A description of the performance milestones associated with such bonuses is included in the “Compensation Discussion and Analysis.” Actual payouts received by the Named Executive Officers for Fiscal 2024 under the STI plan are reported in the Summary Compensation Table under the column titled “Non-Equity Incentive Plan Compensation.”</w:t>
      </w:r>
    </w:p>
    <w:p>
      <w:pPr>
        <w:spacing w:after="0" w:line="202" w:lineRule="exact"/>
        <w:rPr>
          <w:rFonts w:ascii="Arial" w:cs="Arial" w:eastAsia="Arial" w:hAnsi="Arial"/>
          <w:sz w:val="18"/>
          <w:szCs w:val="18"/>
          <w:color w:val="auto"/>
        </w:rPr>
      </w:pPr>
    </w:p>
    <w:p>
      <w:pPr>
        <w:ind w:left="340" w:right="60" w:hanging="332"/>
        <w:spacing w:after="0" w:line="273" w:lineRule="auto"/>
        <w:tabs>
          <w:tab w:leader="none" w:pos="3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restricted stock units awarded in Fiscal 2024 under the 2007 Plan with performance-based and market-based vesting conditions. The threshold amounts shown relate solely to the 2024 rTSR PRSU Award. For the 2024 HBM3E+ PRSU Award and the 2024 High-Growth Segment Revenue PRSU Award, achievement at the relevant threshold level results in no payout. For all PRSU awards, achievement between the threshold level and the maximum level is paid out based on interpolation between performance levels. Information related to the performance-based and market-based conditions associated with these awards is contained in “Compensation Discussion and Analysis.” All of the PRSUs include the potential to receive dividends at the same rate as other holders of Common Stock. Any such dividends initially will be unvested and will accumulate and pay out in cash only if and when the underlying PRSUs vest.</w:t>
      </w:r>
    </w:p>
    <w:p>
      <w:pPr>
        <w:spacing w:after="0" w:line="192" w:lineRule="exact"/>
        <w:rPr>
          <w:rFonts w:ascii="Arial" w:cs="Arial" w:eastAsia="Arial" w:hAnsi="Arial"/>
          <w:sz w:val="17"/>
          <w:szCs w:val="17"/>
          <w:color w:val="auto"/>
        </w:rPr>
      </w:pPr>
    </w:p>
    <w:p>
      <w:pPr>
        <w:ind w:left="340" w:right="20" w:hanging="332"/>
        <w:spacing w:after="0" w:line="261" w:lineRule="auto"/>
        <w:tabs>
          <w:tab w:leader="none" w:pos="3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restricted stock awarded in Fiscal 2024 under the 2007 Plan with time-based restrictions. Time-based restrictions on these awards lapse in three equal installments over a three-year period from the date of the award. The restricted stock includes the potential to receive dividends at the same rate as other holders of Common Stock. Any such dividends initially will be unvested and will accumulate and pay out in cash only if and when the underlying shares of restricted stock vest.</w:t>
      </w:r>
    </w:p>
    <w:p>
      <w:pPr>
        <w:spacing w:after="0" w:line="202" w:lineRule="exact"/>
        <w:rPr>
          <w:rFonts w:ascii="Arial" w:cs="Arial" w:eastAsia="Arial" w:hAnsi="Arial"/>
          <w:sz w:val="18"/>
          <w:szCs w:val="18"/>
          <w:color w:val="auto"/>
        </w:rPr>
      </w:pPr>
    </w:p>
    <w:p>
      <w:pPr>
        <w:ind w:left="340" w:right="380" w:hanging="332"/>
        <w:spacing w:after="0" w:line="261" w:lineRule="auto"/>
        <w:tabs>
          <w:tab w:leader="none" w:pos="3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INFORMATION</w:t>
      </w: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securities granted to our Named Executive Officers in Fiscal 2024 were granted pursuant to our 2007 Plan. 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options, restricted stock, restricted stock units, and dividend equivalent rights under the 2007 Plan. For purposes of share counting, each restricted stock unit or share of restricted stock issued under the 2007 Plan reduces the number of shares available for issuance by two.</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LAPSING OF RESTRICTIONS ASSOCIATED WITH EQUITY AND CASH AWARDS</w:t>
      </w:r>
    </w:p>
    <w:p>
      <w:pPr>
        <w:spacing w:after="0" w:line="24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vesting conditions. Restrictions on time-based equity awards lapse in three equal installments over a three-year period. The performance conditions associated with performance-based equity and cash awards are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AND VESTING OF PERFORMANCE-BASED EQUITY AWARDS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 Units</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executive officers received awards related to three performance goals: a HBM3E+ market share or shipment metric, a high-growth, more stable market segment metric and a rTSR metric. Please see “Components of our Executive Compensation Program —Long-Term Equity Incentives”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Unless the threshold targets are achieved or exceeded, the vesting conditions will not be met and the awards will be forfeited.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Cash Awards</w:t>
      </w:r>
    </w:p>
    <w:p>
      <w:pPr>
        <w:spacing w:after="0" w:line="25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Bonuses were paid to the Named Executive Officers for Fiscal 2024 as a result of achievement of certain goals. Please see the “Components of our Executive Compensation Program – Short-Term Incentives”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OUTSTANDING EQUITY AWARDS AT FISCAL 2024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046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following table provides information with respect to outstanding restricted stock and restricted stock units held as of August 29, 2024, by our Named Executive Officers.</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23495</wp:posOffset>
            </wp:positionV>
            <wp:extent cx="57486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4865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020" w:type="dxa"/>
            <w:vAlign w:val="bottom"/>
          </w:tcPr>
          <w:p>
            <w:pPr>
              <w:spacing w:after="0"/>
              <w:rPr>
                <w:sz w:val="17"/>
                <w:szCs w:val="17"/>
                <w:color w:val="auto"/>
              </w:rPr>
            </w:pPr>
          </w:p>
        </w:tc>
        <w:tc>
          <w:tcPr>
            <w:tcW w:w="3880" w:type="dxa"/>
            <w:vAlign w:val="bottom"/>
            <w:tcBorders>
              <w:bottom w:val="single" w:sz="8" w:color="BD03F7"/>
            </w:tcBorders>
            <w:gridSpan w:val="2"/>
          </w:tcPr>
          <w:p>
            <w:pPr>
              <w:ind w:left="360"/>
              <w:spacing w:after="0"/>
              <w:rPr>
                <w:sz w:val="20"/>
                <w:szCs w:val="20"/>
                <w:color w:val="auto"/>
              </w:rPr>
            </w:pPr>
            <w:r>
              <w:rPr>
                <w:rFonts w:ascii="Arial" w:cs="Arial" w:eastAsia="Arial" w:hAnsi="Arial"/>
                <w:sz w:val="14"/>
                <w:szCs w:val="14"/>
                <w:b w:val="1"/>
                <w:bCs w:val="1"/>
                <w:color w:val="auto"/>
              </w:rPr>
              <w:t>Shares or Units of Stock That Have Not Vested</w:t>
            </w: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jc w:val="center"/>
              <w:ind w:left="268"/>
              <w:spacing w:after="0"/>
              <w:rPr>
                <w:sz w:val="20"/>
                <w:szCs w:val="20"/>
                <w:color w:val="auto"/>
              </w:rPr>
            </w:pPr>
            <w:r>
              <w:rPr>
                <w:rFonts w:ascii="Arial" w:cs="Arial" w:eastAsia="Arial" w:hAnsi="Arial"/>
                <w:sz w:val="14"/>
                <w:szCs w:val="14"/>
                <w:b w:val="1"/>
                <w:bCs w:val="1"/>
                <w:color w:val="auto"/>
              </w:rPr>
              <w:t>Number</w:t>
            </w:r>
          </w:p>
        </w:tc>
        <w:tc>
          <w:tcPr>
            <w:tcW w:w="1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Market Value($)(1)</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96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9398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39"/>
        </w:trPr>
        <w:tc>
          <w:tcPr>
            <w:tcW w:w="3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Equity Incentive Plan Awards: Number of</w:t>
            </w:r>
          </w:p>
        </w:tc>
        <w:tc>
          <w:tcPr>
            <w:tcW w:w="1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Awards: Market or Payout</w:t>
            </w:r>
          </w:p>
        </w:tc>
        <w:tc>
          <w:tcPr>
            <w:tcW w:w="0" w:type="dxa"/>
            <w:vAlign w:val="bottom"/>
          </w:tcPr>
          <w:p>
            <w:pPr>
              <w:spacing w:after="0"/>
              <w:rPr>
                <w:sz w:val="1"/>
                <w:szCs w:val="1"/>
                <w:color w:val="auto"/>
              </w:rPr>
            </w:pPr>
          </w:p>
        </w:tc>
      </w:tr>
      <w:tr>
        <w:trPr>
          <w:trHeight w:val="144"/>
        </w:trPr>
        <w:tc>
          <w:tcPr>
            <w:tcW w:w="3120" w:type="dxa"/>
            <w:vAlign w:val="bottom"/>
            <w:vMerge w:val="continue"/>
          </w:tcPr>
          <w:p>
            <w:pPr>
              <w:spacing w:after="0"/>
              <w:rPr>
                <w:sz w:val="12"/>
                <w:szCs w:val="12"/>
                <w:color w:val="auto"/>
              </w:rPr>
            </w:pPr>
          </w:p>
        </w:tc>
        <w:tc>
          <w:tcPr>
            <w:tcW w:w="1900" w:type="dxa"/>
            <w:vAlign w:val="bottom"/>
          </w:tcPr>
          <w:p>
            <w:pPr>
              <w:jc w:val="center"/>
              <w:ind w:left="8"/>
              <w:spacing w:after="0" w:line="144" w:lineRule="exact"/>
              <w:rPr>
                <w:sz w:val="20"/>
                <w:szCs w:val="20"/>
                <w:color w:val="auto"/>
              </w:rPr>
            </w:pPr>
            <w:r>
              <w:rPr>
                <w:rFonts w:ascii="Arial" w:cs="Arial" w:eastAsia="Arial" w:hAnsi="Arial"/>
                <w:sz w:val="14"/>
                <w:szCs w:val="14"/>
                <w:b w:val="1"/>
                <w:bCs w:val="1"/>
                <w:color w:val="auto"/>
              </w:rPr>
              <w:t>Value of Unearned Shares,</w:t>
            </w:r>
          </w:p>
        </w:tc>
        <w:tc>
          <w:tcPr>
            <w:tcW w:w="0" w:type="dxa"/>
            <w:vAlign w:val="bottom"/>
          </w:tcPr>
          <w:p>
            <w:pPr>
              <w:spacing w:after="0"/>
              <w:rPr>
                <w:sz w:val="1"/>
                <w:szCs w:val="1"/>
                <w:color w:val="auto"/>
              </w:rPr>
            </w:pPr>
          </w:p>
        </w:tc>
      </w:tr>
      <w:tr>
        <w:trPr>
          <w:trHeight w:val="148"/>
        </w:trPr>
        <w:tc>
          <w:tcPr>
            <w:tcW w:w="312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rPr>
              <w:t>Unearned Shares, Units or Other Rights That</w:t>
            </w:r>
          </w:p>
        </w:tc>
        <w:tc>
          <w:tcPr>
            <w:tcW w:w="190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Units or Other Rights That</w:t>
            </w:r>
          </w:p>
        </w:tc>
        <w:tc>
          <w:tcPr>
            <w:tcW w:w="0" w:type="dxa"/>
            <w:vAlign w:val="bottom"/>
          </w:tcPr>
          <w:p>
            <w:pPr>
              <w:spacing w:after="0"/>
              <w:rPr>
                <w:sz w:val="1"/>
                <w:szCs w:val="1"/>
                <w:color w:val="auto"/>
              </w:rPr>
            </w:pPr>
          </w:p>
        </w:tc>
      </w:tr>
      <w:tr>
        <w:trPr>
          <w:trHeight w:val="196"/>
        </w:trPr>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Have Not Vested(#)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-3810</wp:posOffset>
            </wp:positionV>
            <wp:extent cx="57486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48655"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460" w:space="60"/>
            <w:col w:w="5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Sanjay Mehrotra</w:t>
            </w: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58,703</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4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5,610,246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109,848</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660" w:type="dxa"/>
            <w:vAlign w:val="bottom"/>
            <w:shd w:val="clear" w:color="auto" w:fill="F2F2F2"/>
          </w:tcPr>
          <w:p>
            <w:pPr>
              <w:jc w:val="right"/>
              <w:ind w:right="4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10,498,173</w:t>
            </w:r>
          </w:p>
        </w:tc>
      </w:tr>
      <w:tr>
        <w:trPr>
          <w:trHeight w:val="194"/>
        </w:trPr>
        <w:tc>
          <w:tcPr>
            <w:tcW w:w="1480" w:type="dxa"/>
            <w:vAlign w:val="bottom"/>
            <w:shd w:val="clear" w:color="auto" w:fill="F2F2F2"/>
          </w:tcPr>
          <w:p>
            <w:pPr>
              <w:spacing w:after="0"/>
              <w:rPr>
                <w:sz w:val="16"/>
                <w:szCs w:val="16"/>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93,800</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460" w:type="dxa"/>
            <w:vAlign w:val="bottom"/>
            <w:shd w:val="clear" w:color="auto" w:fill="F2F2F2"/>
          </w:tcPr>
          <w:p>
            <w:pPr>
              <w:spacing w:after="0"/>
              <w:rPr>
                <w:sz w:val="16"/>
                <w:szCs w:val="16"/>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8,964,466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109,848</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660" w:type="dxa"/>
            <w:vAlign w:val="bottom"/>
            <w:shd w:val="clear" w:color="auto" w:fill="F2F2F2"/>
          </w:tcPr>
          <w:p>
            <w:pPr>
              <w:spacing w:after="0"/>
              <w:rPr>
                <w:sz w:val="16"/>
                <w:szCs w:val="16"/>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10,498,173</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119,176</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11,389,650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45,477</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4,346,237</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56,280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5,378,680</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56,280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5,378,680</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88,765</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8,483,271</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55,332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5,288,079</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55,332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5,288,079</w:t>
            </w:r>
          </w:p>
        </w:tc>
      </w:tr>
      <w:tr>
        <w:trPr>
          <w:trHeight w:val="206"/>
        </w:trPr>
        <w:tc>
          <w:tcPr>
            <w:tcW w:w="1480" w:type="dxa"/>
            <w:vAlign w:val="bottom"/>
            <w:tcBorders>
              <w:bottom w:val="single" w:sz="8" w:color="B6B6B6"/>
            </w:tcBorders>
            <w:shd w:val="clear" w:color="auto" w:fill="F2F2F2"/>
          </w:tcPr>
          <w:p>
            <w:pPr>
              <w:spacing w:after="0"/>
              <w:rPr>
                <w:sz w:val="17"/>
                <w:szCs w:val="17"/>
                <w:color w:val="auto"/>
              </w:rPr>
            </w:pPr>
          </w:p>
        </w:tc>
        <w:tc>
          <w:tcPr>
            <w:tcW w:w="1260" w:type="dxa"/>
            <w:vAlign w:val="bottom"/>
            <w:tcBorders>
              <w:bottom w:val="single" w:sz="8" w:color="B6B6B6"/>
            </w:tcBorders>
            <w:shd w:val="clear" w:color="auto" w:fill="F2F2F2"/>
          </w:tcPr>
          <w:p>
            <w:pPr>
              <w:spacing w:after="0"/>
              <w:rPr>
                <w:sz w:val="17"/>
                <w:szCs w:val="17"/>
                <w:color w:val="auto"/>
              </w:rPr>
            </w:pPr>
          </w:p>
        </w:tc>
        <w:tc>
          <w:tcPr>
            <w:tcW w:w="1140" w:type="dxa"/>
            <w:vAlign w:val="bottom"/>
            <w:tcBorders>
              <w:bottom w:val="single" w:sz="8" w:color="B6B6B6"/>
            </w:tcBorders>
            <w:shd w:val="clear" w:color="auto" w:fill="F2F2F2"/>
          </w:tcPr>
          <w:p>
            <w:pPr>
              <w:spacing w:after="0"/>
              <w:rPr>
                <w:sz w:val="17"/>
                <w:szCs w:val="17"/>
                <w:color w:val="auto"/>
              </w:rPr>
            </w:pPr>
          </w:p>
        </w:tc>
        <w:tc>
          <w:tcPr>
            <w:tcW w:w="460" w:type="dxa"/>
            <w:vAlign w:val="bottom"/>
            <w:tcBorders>
              <w:bottom w:val="single" w:sz="8" w:color="B6B6B6"/>
            </w:tcBorders>
            <w:shd w:val="clear" w:color="auto" w:fill="F2F2F2"/>
          </w:tcPr>
          <w:p>
            <w:pPr>
              <w:spacing w:after="0"/>
              <w:rPr>
                <w:sz w:val="17"/>
                <w:szCs w:val="17"/>
                <w:color w:val="auto"/>
              </w:rPr>
            </w:pPr>
          </w:p>
        </w:tc>
        <w:tc>
          <w:tcPr>
            <w:tcW w:w="1120" w:type="dxa"/>
            <w:vAlign w:val="bottom"/>
            <w:tcBorders>
              <w:bottom w:val="single" w:sz="8" w:color="B6B6B6"/>
            </w:tcBorders>
            <w:shd w:val="clear" w:color="auto" w:fill="F2F2F2"/>
          </w:tcPr>
          <w:p>
            <w:pPr>
              <w:spacing w:after="0"/>
              <w:rPr>
                <w:sz w:val="17"/>
                <w:szCs w:val="17"/>
                <w:color w:val="auto"/>
              </w:rPr>
            </w:pP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99,143</w:t>
            </w: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shd w:val="clear" w:color="auto" w:fill="F2F2F2"/>
          </w:tcPr>
          <w:p>
            <w:pPr>
              <w:spacing w:after="0"/>
              <w:rPr>
                <w:sz w:val="17"/>
                <w:szCs w:val="17"/>
                <w:color w:val="auto"/>
              </w:rPr>
            </w:pPr>
          </w:p>
        </w:tc>
        <w:tc>
          <w:tcPr>
            <w:tcW w:w="1360" w:type="dxa"/>
            <w:vAlign w:val="bottom"/>
            <w:tcBorders>
              <w:bottom w:val="single" w:sz="8" w:color="B6B6B6"/>
            </w:tcBorders>
            <w:shd w:val="clear" w:color="auto" w:fill="F2F2F2"/>
          </w:tcPr>
          <w:p>
            <w:pPr>
              <w:jc w:val="right"/>
              <w:ind w:right="8"/>
              <w:spacing w:after="0"/>
              <w:rPr>
                <w:sz w:val="20"/>
                <w:szCs w:val="20"/>
                <w:color w:val="auto"/>
              </w:rPr>
            </w:pPr>
            <w:r>
              <w:rPr>
                <w:rFonts w:ascii="Arial" w:cs="Arial" w:eastAsia="Arial" w:hAnsi="Arial"/>
                <w:sz w:val="14"/>
                <w:szCs w:val="14"/>
                <w:color w:val="auto"/>
              </w:rPr>
              <w:t>9,475,097</w:t>
            </w: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rPr>
              <w:t>Mark Murphy</w:t>
            </w:r>
          </w:p>
        </w:tc>
        <w:tc>
          <w:tcPr>
            <w:tcW w:w="1260" w:type="dxa"/>
            <w:vAlign w:val="bottom"/>
          </w:tcPr>
          <w:p>
            <w:pPr>
              <w:jc w:val="right"/>
              <w:spacing w:after="0"/>
              <w:rPr>
                <w:sz w:val="20"/>
                <w:szCs w:val="20"/>
                <w:color w:val="auto"/>
              </w:rPr>
            </w:pPr>
            <w:r>
              <w:rPr>
                <w:rFonts w:ascii="Arial" w:cs="Arial" w:eastAsia="Arial" w:hAnsi="Arial"/>
                <w:sz w:val="14"/>
                <w:szCs w:val="14"/>
                <w:color w:val="auto"/>
              </w:rPr>
              <w:t>30,020</w:t>
            </w: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2,869,011</w:t>
            </w:r>
          </w:p>
        </w:tc>
        <w:tc>
          <w:tcPr>
            <w:tcW w:w="1580" w:type="dxa"/>
            <w:vAlign w:val="bottom"/>
          </w:tcPr>
          <w:p>
            <w:pPr>
              <w:jc w:val="right"/>
              <w:spacing w:after="0"/>
              <w:rPr>
                <w:sz w:val="20"/>
                <w:szCs w:val="20"/>
                <w:color w:val="auto"/>
              </w:rPr>
            </w:pPr>
            <w:r>
              <w:rPr>
                <w:rFonts w:ascii="Arial" w:cs="Arial" w:eastAsia="Arial" w:hAnsi="Arial"/>
                <w:sz w:val="14"/>
                <w:szCs w:val="14"/>
                <w:color w:val="auto"/>
              </w:rPr>
              <w:t>56,175</w:t>
            </w:r>
          </w:p>
        </w:tc>
        <w:tc>
          <w:tcPr>
            <w:tcW w:w="1580" w:type="dxa"/>
            <w:vAlign w:val="bottom"/>
          </w:tcPr>
          <w:p>
            <w:pPr>
              <w:jc w:val="right"/>
              <w:spacing w:after="0"/>
              <w:rPr>
                <w:sz w:val="20"/>
                <w:szCs w:val="20"/>
                <w:color w:val="auto"/>
              </w:rPr>
            </w:pPr>
            <w:r>
              <w:rPr>
                <w:rFonts w:ascii="Arial" w:cs="Arial" w:eastAsia="Arial" w:hAnsi="Arial"/>
                <w:sz w:val="14"/>
                <w:szCs w:val="14"/>
                <w:color w:val="auto"/>
              </w:rPr>
              <w:t>(3)</w:t>
            </w:r>
          </w:p>
        </w:tc>
        <w:tc>
          <w:tcPr>
            <w:tcW w:w="6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5,368,644</w:t>
            </w:r>
          </w:p>
        </w:tc>
      </w:tr>
      <w:tr>
        <w:trPr>
          <w:trHeight w:val="202"/>
        </w:trPr>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30,609</w:t>
            </w: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2,925,302</w:t>
            </w:r>
          </w:p>
        </w:tc>
        <w:tc>
          <w:tcPr>
            <w:tcW w:w="1580" w:type="dxa"/>
            <w:vAlign w:val="bottom"/>
          </w:tcPr>
          <w:p>
            <w:pPr>
              <w:jc w:val="right"/>
              <w:spacing w:after="0"/>
              <w:rPr>
                <w:sz w:val="20"/>
                <w:szCs w:val="20"/>
                <w:color w:val="auto"/>
              </w:rPr>
            </w:pPr>
            <w:r>
              <w:rPr>
                <w:rFonts w:ascii="Arial" w:cs="Arial" w:eastAsia="Arial" w:hAnsi="Arial"/>
                <w:sz w:val="14"/>
                <w:szCs w:val="14"/>
                <w:color w:val="auto"/>
              </w:rPr>
              <w:t>56,175</w:t>
            </w:r>
          </w:p>
        </w:tc>
        <w:tc>
          <w:tcPr>
            <w:tcW w:w="1580" w:type="dxa"/>
            <w:vAlign w:val="bottom"/>
          </w:tcPr>
          <w:p>
            <w:pPr>
              <w:jc w:val="right"/>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5,368,644</w:t>
            </w:r>
          </w:p>
        </w:tc>
      </w:tr>
      <w:tr>
        <w:trPr>
          <w:trHeight w:val="202"/>
        </w:trPr>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60,932</w:t>
            </w: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5,823,271</w:t>
            </w:r>
          </w:p>
        </w:tc>
        <w:tc>
          <w:tcPr>
            <w:tcW w:w="1580" w:type="dxa"/>
            <w:vAlign w:val="bottom"/>
          </w:tcPr>
          <w:p>
            <w:pPr>
              <w:jc w:val="right"/>
              <w:spacing w:after="0"/>
              <w:rPr>
                <w:sz w:val="20"/>
                <w:szCs w:val="20"/>
                <w:color w:val="auto"/>
              </w:rPr>
            </w:pPr>
            <w:r>
              <w:rPr>
                <w:rFonts w:ascii="Arial" w:cs="Arial" w:eastAsia="Arial" w:hAnsi="Arial"/>
                <w:sz w:val="14"/>
                <w:szCs w:val="14"/>
                <w:color w:val="auto"/>
              </w:rPr>
              <w:t>22,990</w:t>
            </w:r>
          </w:p>
        </w:tc>
        <w:tc>
          <w:tcPr>
            <w:tcW w:w="1580" w:type="dxa"/>
            <w:vAlign w:val="bottom"/>
          </w:tcPr>
          <w:p>
            <w:pPr>
              <w:jc w:val="right"/>
              <w:spacing w:after="0"/>
              <w:rPr>
                <w:sz w:val="20"/>
                <w:szCs w:val="20"/>
                <w:color w:val="auto"/>
              </w:rPr>
            </w:pPr>
            <w:r>
              <w:rPr>
                <w:rFonts w:ascii="Arial" w:cs="Arial" w:eastAsia="Arial" w:hAnsi="Arial"/>
                <w:sz w:val="14"/>
                <w:szCs w:val="14"/>
                <w:color w:val="auto"/>
              </w:rPr>
              <w:t>(7)</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2,197,154</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18,365</w:t>
            </w:r>
          </w:p>
        </w:tc>
        <w:tc>
          <w:tcPr>
            <w:tcW w:w="1580" w:type="dxa"/>
            <w:vAlign w:val="bottom"/>
          </w:tcPr>
          <w:p>
            <w:pPr>
              <w:jc w:val="right"/>
              <w:spacing w:after="0"/>
              <w:rPr>
                <w:sz w:val="20"/>
                <w:szCs w:val="20"/>
                <w:color w:val="auto"/>
              </w:rPr>
            </w:pPr>
            <w:r>
              <w:rPr>
                <w:rFonts w:ascii="Arial" w:cs="Arial" w:eastAsia="Arial" w:hAnsi="Arial"/>
                <w:sz w:val="14"/>
                <w:szCs w:val="14"/>
                <w:color w:val="auto"/>
              </w:rPr>
              <w:t>(8)</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1,755,143</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18,365</w:t>
            </w:r>
          </w:p>
        </w:tc>
        <w:tc>
          <w:tcPr>
            <w:tcW w:w="1580" w:type="dxa"/>
            <w:vAlign w:val="bottom"/>
          </w:tcPr>
          <w:p>
            <w:pPr>
              <w:jc w:val="right"/>
              <w:spacing w:after="0"/>
              <w:rPr>
                <w:sz w:val="20"/>
                <w:szCs w:val="20"/>
                <w:color w:val="auto"/>
              </w:rPr>
            </w:pPr>
            <w:r>
              <w:rPr>
                <w:rFonts w:ascii="Arial" w:cs="Arial" w:eastAsia="Arial" w:hAnsi="Arial"/>
                <w:sz w:val="14"/>
                <w:szCs w:val="14"/>
                <w:color w:val="auto"/>
              </w:rPr>
              <w:t>(9)</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1,755,143</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28,965</w:t>
            </w:r>
          </w:p>
        </w:tc>
        <w:tc>
          <w:tcPr>
            <w:tcW w:w="1580" w:type="dxa"/>
            <w:vAlign w:val="bottom"/>
          </w:tcPr>
          <w:p>
            <w:pPr>
              <w:jc w:val="right"/>
              <w:spacing w:after="0"/>
              <w:rPr>
                <w:sz w:val="20"/>
                <w:szCs w:val="20"/>
                <w:color w:val="auto"/>
              </w:rPr>
            </w:pPr>
            <w:r>
              <w:rPr>
                <w:rFonts w:ascii="Arial" w:cs="Arial" w:eastAsia="Arial" w:hAnsi="Arial"/>
                <w:sz w:val="14"/>
                <w:szCs w:val="14"/>
                <w:color w:val="auto"/>
              </w:rPr>
              <w:t>(10)</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2,768,185</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15,233</w:t>
            </w:r>
          </w:p>
        </w:tc>
        <w:tc>
          <w:tcPr>
            <w:tcW w:w="1580" w:type="dxa"/>
            <w:vAlign w:val="bottom"/>
          </w:tcPr>
          <w:p>
            <w:pPr>
              <w:jc w:val="right"/>
              <w:spacing w:after="0"/>
              <w:rPr>
                <w:sz w:val="20"/>
                <w:szCs w:val="20"/>
                <w:color w:val="auto"/>
              </w:rPr>
            </w:pPr>
            <w:r>
              <w:rPr>
                <w:rFonts w:ascii="Arial" w:cs="Arial" w:eastAsia="Arial" w:hAnsi="Arial"/>
                <w:sz w:val="14"/>
                <w:szCs w:val="14"/>
                <w:color w:val="auto"/>
              </w:rPr>
              <w:t>(11)</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1,455,818</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15,233</w:t>
            </w:r>
          </w:p>
        </w:tc>
        <w:tc>
          <w:tcPr>
            <w:tcW w:w="1580" w:type="dxa"/>
            <w:vAlign w:val="bottom"/>
          </w:tcPr>
          <w:p>
            <w:pPr>
              <w:jc w:val="right"/>
              <w:spacing w:after="0"/>
              <w:rPr>
                <w:sz w:val="20"/>
                <w:szCs w:val="20"/>
                <w:color w:val="auto"/>
              </w:rPr>
            </w:pPr>
            <w:r>
              <w:rPr>
                <w:rFonts w:ascii="Arial" w:cs="Arial" w:eastAsia="Arial" w:hAnsi="Arial"/>
                <w:sz w:val="14"/>
                <w:szCs w:val="14"/>
                <w:color w:val="auto"/>
              </w:rPr>
              <w:t>(12)</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1,455,818</w:t>
            </w:r>
          </w:p>
        </w:tc>
      </w:tr>
      <w:tr>
        <w:trPr>
          <w:trHeight w:val="206"/>
        </w:trPr>
        <w:tc>
          <w:tcPr>
            <w:tcW w:w="148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spacing w:after="0"/>
              <w:rPr>
                <w:sz w:val="17"/>
                <w:szCs w:val="17"/>
                <w:color w:val="auto"/>
              </w:rPr>
            </w:pPr>
          </w:p>
        </w:tc>
        <w:tc>
          <w:tcPr>
            <w:tcW w:w="4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spacing w:after="0"/>
              <w:rPr>
                <w:sz w:val="17"/>
                <w:szCs w:val="17"/>
                <w:color w:val="auto"/>
              </w:rPr>
            </w:pPr>
          </w:p>
        </w:tc>
        <w:tc>
          <w:tcPr>
            <w:tcW w:w="15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27,294</w:t>
            </w:r>
          </w:p>
        </w:tc>
        <w:tc>
          <w:tcPr>
            <w:tcW w:w="15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tcPr>
          <w:p>
            <w:pPr>
              <w:spacing w:after="0"/>
              <w:rPr>
                <w:sz w:val="17"/>
                <w:szCs w:val="17"/>
                <w:color w:val="auto"/>
              </w:rPr>
            </w:pPr>
          </w:p>
        </w:tc>
        <w:tc>
          <w:tcPr>
            <w:tcW w:w="13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2,608,488</w:t>
            </w:r>
          </w:p>
        </w:tc>
      </w:tr>
      <w:tr>
        <w:trPr>
          <w:trHeight w:val="191"/>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Manish Bhatia</w:t>
            </w: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19,984</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460" w:type="dxa"/>
            <w:vAlign w:val="bottom"/>
            <w:shd w:val="clear" w:color="auto" w:fill="F2F2F2"/>
          </w:tcPr>
          <w:p>
            <w:pPr>
              <w:spacing w:after="0"/>
              <w:rPr>
                <w:sz w:val="16"/>
                <w:szCs w:val="16"/>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1,909,871</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37,395</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660" w:type="dxa"/>
            <w:vAlign w:val="bottom"/>
            <w:shd w:val="clear" w:color="auto" w:fill="F2F2F2"/>
          </w:tcPr>
          <w:p>
            <w:pPr>
              <w:spacing w:after="0"/>
              <w:rPr>
                <w:sz w:val="16"/>
                <w:szCs w:val="16"/>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3,573,840</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32,583</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3,113,957</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37,395</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3,573,840</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64,516</w:t>
            </w:r>
          </w:p>
        </w:tc>
        <w:tc>
          <w:tcPr>
            <w:tcW w:w="1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6,165,794</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15,482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1,479,615</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19,550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1,868,394</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19,550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1,868,394</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30,834</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2,946,805</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16,129</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1,541,449</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16,129</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1,541,449</w:t>
            </w:r>
          </w:p>
        </w:tc>
      </w:tr>
      <w:tr>
        <w:trPr>
          <w:trHeight w:val="206"/>
        </w:trPr>
        <w:tc>
          <w:tcPr>
            <w:tcW w:w="1480" w:type="dxa"/>
            <w:vAlign w:val="bottom"/>
            <w:tcBorders>
              <w:bottom w:val="single" w:sz="8" w:color="B6B6B6"/>
            </w:tcBorders>
            <w:shd w:val="clear" w:color="auto" w:fill="F2F2F2"/>
          </w:tcPr>
          <w:p>
            <w:pPr>
              <w:spacing w:after="0"/>
              <w:rPr>
                <w:sz w:val="17"/>
                <w:szCs w:val="17"/>
                <w:color w:val="auto"/>
              </w:rPr>
            </w:pPr>
          </w:p>
        </w:tc>
        <w:tc>
          <w:tcPr>
            <w:tcW w:w="1260" w:type="dxa"/>
            <w:vAlign w:val="bottom"/>
            <w:tcBorders>
              <w:bottom w:val="single" w:sz="8" w:color="B6B6B6"/>
            </w:tcBorders>
            <w:shd w:val="clear" w:color="auto" w:fill="F2F2F2"/>
          </w:tcPr>
          <w:p>
            <w:pPr>
              <w:spacing w:after="0"/>
              <w:rPr>
                <w:sz w:val="17"/>
                <w:szCs w:val="17"/>
                <w:color w:val="auto"/>
              </w:rPr>
            </w:pPr>
          </w:p>
        </w:tc>
        <w:tc>
          <w:tcPr>
            <w:tcW w:w="1140" w:type="dxa"/>
            <w:vAlign w:val="bottom"/>
            <w:tcBorders>
              <w:bottom w:val="single" w:sz="8" w:color="B6B6B6"/>
            </w:tcBorders>
            <w:shd w:val="clear" w:color="auto" w:fill="F2F2F2"/>
          </w:tcPr>
          <w:p>
            <w:pPr>
              <w:spacing w:after="0"/>
              <w:rPr>
                <w:sz w:val="17"/>
                <w:szCs w:val="17"/>
                <w:color w:val="auto"/>
              </w:rPr>
            </w:pPr>
          </w:p>
        </w:tc>
        <w:tc>
          <w:tcPr>
            <w:tcW w:w="460" w:type="dxa"/>
            <w:vAlign w:val="bottom"/>
            <w:tcBorders>
              <w:bottom w:val="single" w:sz="8" w:color="B6B6B6"/>
            </w:tcBorders>
            <w:shd w:val="clear" w:color="auto" w:fill="F2F2F2"/>
          </w:tcPr>
          <w:p>
            <w:pPr>
              <w:spacing w:after="0"/>
              <w:rPr>
                <w:sz w:val="17"/>
                <w:szCs w:val="17"/>
                <w:color w:val="auto"/>
              </w:rPr>
            </w:pPr>
          </w:p>
        </w:tc>
        <w:tc>
          <w:tcPr>
            <w:tcW w:w="1120" w:type="dxa"/>
            <w:vAlign w:val="bottom"/>
            <w:tcBorders>
              <w:bottom w:val="single" w:sz="8" w:color="B6B6B6"/>
            </w:tcBorders>
            <w:shd w:val="clear" w:color="auto" w:fill="F2F2F2"/>
          </w:tcPr>
          <w:p>
            <w:pPr>
              <w:spacing w:after="0"/>
              <w:rPr>
                <w:sz w:val="17"/>
                <w:szCs w:val="17"/>
                <w:color w:val="auto"/>
              </w:rPr>
            </w:pP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28,900</w:t>
            </w: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shd w:val="clear" w:color="auto" w:fill="F2F2F2"/>
          </w:tcPr>
          <w:p>
            <w:pPr>
              <w:spacing w:after="0"/>
              <w:rPr>
                <w:sz w:val="17"/>
                <w:szCs w:val="17"/>
                <w:color w:val="auto"/>
              </w:rPr>
            </w:pPr>
          </w:p>
        </w:tc>
        <w:tc>
          <w:tcPr>
            <w:tcW w:w="1360" w:type="dxa"/>
            <w:vAlign w:val="bottom"/>
            <w:tcBorders>
              <w:bottom w:val="single" w:sz="8" w:color="B6B6B6"/>
            </w:tcBorders>
            <w:shd w:val="clear" w:color="auto" w:fill="F2F2F2"/>
          </w:tcPr>
          <w:p>
            <w:pPr>
              <w:jc w:val="right"/>
              <w:ind w:right="8"/>
              <w:spacing w:after="0"/>
              <w:rPr>
                <w:sz w:val="20"/>
                <w:szCs w:val="20"/>
                <w:color w:val="auto"/>
              </w:rPr>
            </w:pPr>
            <w:r>
              <w:rPr>
                <w:rFonts w:ascii="Arial" w:cs="Arial" w:eastAsia="Arial" w:hAnsi="Arial"/>
                <w:sz w:val="14"/>
                <w:szCs w:val="14"/>
                <w:color w:val="auto"/>
              </w:rPr>
              <w:t>2,761,973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777240" cy="1625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0" w:type="dxa"/>
            <w:vAlign w:val="bottom"/>
            <w:gridSpan w:val="3"/>
          </w:tcPr>
          <w:p>
            <w:pPr>
              <w:ind w:left="1240"/>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85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BD03F7"/>
            </w:tcBorders>
          </w:tcPr>
          <w:p>
            <w:pPr>
              <w:spacing w:after="0"/>
              <w:rPr>
                <w:sz w:val="24"/>
                <w:szCs w:val="24"/>
                <w:color w:val="auto"/>
              </w:rPr>
            </w:pPr>
          </w:p>
        </w:tc>
        <w:tc>
          <w:tcPr>
            <w:tcW w:w="540" w:type="dxa"/>
            <w:vAlign w:val="bottom"/>
            <w:tcBorders>
              <w:bottom w:val="single" w:sz="8" w:color="BD03F7"/>
            </w:tcBorders>
          </w:tcPr>
          <w:p>
            <w:pPr>
              <w:spacing w:after="0"/>
              <w:rPr>
                <w:sz w:val="24"/>
                <w:szCs w:val="24"/>
                <w:color w:val="auto"/>
              </w:rPr>
            </w:pPr>
          </w:p>
        </w:tc>
        <w:tc>
          <w:tcPr>
            <w:tcW w:w="1580" w:type="dxa"/>
            <w:vAlign w:val="bottom"/>
            <w:tcBorders>
              <w:bottom w:val="single" w:sz="8" w:color="BD03F7"/>
            </w:tcBorders>
          </w:tcPr>
          <w:p>
            <w:pPr>
              <w:spacing w:after="0"/>
              <w:rPr>
                <w:sz w:val="24"/>
                <w:szCs w:val="24"/>
                <w:color w:val="auto"/>
              </w:rPr>
            </w:pPr>
          </w:p>
        </w:tc>
        <w:tc>
          <w:tcPr>
            <w:tcW w:w="2560" w:type="dxa"/>
            <w:vAlign w:val="bottom"/>
            <w:tcBorders>
              <w:bottom w:val="single" w:sz="8" w:color="BD03F7"/>
            </w:tcBorders>
          </w:tcPr>
          <w:p>
            <w:pPr>
              <w:jc w:val="right"/>
              <w:ind w:right="1389"/>
              <w:spacing w:after="0"/>
              <w:rPr>
                <w:sz w:val="20"/>
                <w:szCs w:val="20"/>
                <w:color w:val="auto"/>
              </w:rPr>
            </w:pPr>
            <w:r>
              <w:rPr>
                <w:rFonts w:ascii="Arial" w:cs="Arial" w:eastAsia="Arial" w:hAnsi="Arial"/>
                <w:sz w:val="14"/>
                <w:szCs w:val="14"/>
                <w:b w:val="1"/>
                <w:bCs w:val="1"/>
                <w:color w:val="auto"/>
              </w:rPr>
              <w:t>Stock Awards</w:t>
            </w:r>
          </w:p>
        </w:tc>
        <w:tc>
          <w:tcPr>
            <w:tcW w:w="600" w:type="dxa"/>
            <w:vAlign w:val="bottom"/>
            <w:tcBorders>
              <w:bottom w:val="single" w:sz="8" w:color="BD03F7"/>
            </w:tcBorders>
          </w:tcPr>
          <w:p>
            <w:pPr>
              <w:spacing w:after="0"/>
              <w:rPr>
                <w:sz w:val="24"/>
                <w:szCs w:val="24"/>
                <w:color w:val="auto"/>
              </w:rPr>
            </w:pPr>
          </w:p>
        </w:tc>
        <w:tc>
          <w:tcPr>
            <w:tcW w:w="1240" w:type="dxa"/>
            <w:vAlign w:val="bottom"/>
            <w:tcBorders>
              <w:bottom w:val="single" w:sz="8" w:color="BD03F7"/>
            </w:tcBorders>
          </w:tcPr>
          <w:p>
            <w:pPr>
              <w:spacing w:after="0"/>
              <w:rPr>
                <w:sz w:val="24"/>
                <w:szCs w:val="24"/>
                <w:color w:val="auto"/>
              </w:rPr>
            </w:pPr>
          </w:p>
        </w:tc>
        <w:tc>
          <w:tcPr>
            <w:tcW w:w="760" w:type="dxa"/>
            <w:vAlign w:val="bottom"/>
            <w:tcBorders>
              <w:top w:val="single" w:sz="8" w:color="BD03F7"/>
              <w:bottom w:val="single" w:sz="8" w:color="BD03F7"/>
            </w:tcBorders>
          </w:tcPr>
          <w:p>
            <w:pPr>
              <w:spacing w:after="0"/>
              <w:rPr>
                <w:sz w:val="24"/>
                <w:szCs w:val="24"/>
                <w:color w:val="auto"/>
              </w:rPr>
            </w:pPr>
          </w:p>
        </w:tc>
        <w:tc>
          <w:tcPr>
            <w:tcW w:w="6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Shares or Units of Stock That Have Not Vested</w:t>
            </w:r>
          </w:p>
        </w:tc>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Awards: Market or Payout</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bottom w:val="single" w:sz="8" w:color="BD03F7"/>
            </w:tcBorders>
          </w:tcPr>
          <w:p>
            <w:pPr>
              <w:spacing w:after="0"/>
              <w:rPr>
                <w:sz w:val="4"/>
                <w:szCs w:val="4"/>
                <w:color w:val="auto"/>
              </w:rPr>
            </w:pPr>
          </w:p>
        </w:tc>
        <w:tc>
          <w:tcPr>
            <w:tcW w:w="540" w:type="dxa"/>
            <w:vAlign w:val="bottom"/>
            <w:tcBorders>
              <w:bottom w:val="single" w:sz="8" w:color="BD03F7"/>
            </w:tcBorders>
          </w:tcPr>
          <w:p>
            <w:pPr>
              <w:spacing w:after="0"/>
              <w:rPr>
                <w:sz w:val="4"/>
                <w:szCs w:val="4"/>
                <w:color w:val="auto"/>
              </w:rPr>
            </w:pPr>
          </w:p>
        </w:tc>
        <w:tc>
          <w:tcPr>
            <w:tcW w:w="1580" w:type="dxa"/>
            <w:vAlign w:val="bottom"/>
            <w:tcBorders>
              <w:bottom w:val="single" w:sz="8" w:color="BD03F7"/>
            </w:tcBorders>
          </w:tcPr>
          <w:p>
            <w:pPr>
              <w:spacing w:after="0"/>
              <w:rPr>
                <w:sz w:val="4"/>
                <w:szCs w:val="4"/>
                <w:color w:val="auto"/>
              </w:rPr>
            </w:pPr>
          </w:p>
        </w:tc>
        <w:tc>
          <w:tcPr>
            <w:tcW w:w="3160" w:type="dxa"/>
            <w:vAlign w:val="bottom"/>
            <w:gridSpan w:val="2"/>
            <w:vMerge w:val="restart"/>
          </w:tcPr>
          <w:p>
            <w:pPr>
              <w:jc w:val="center"/>
              <w:spacing w:after="0" w:line="99" w:lineRule="exact"/>
              <w:rPr>
                <w:sz w:val="20"/>
                <w:szCs w:val="20"/>
                <w:color w:val="auto"/>
              </w:rPr>
            </w:pPr>
            <w:r>
              <w:rPr>
                <w:rFonts w:ascii="Arial" w:cs="Arial" w:eastAsia="Arial" w:hAnsi="Arial"/>
                <w:sz w:val="11"/>
                <w:szCs w:val="11"/>
                <w:b w:val="1"/>
                <w:bCs w:val="1"/>
                <w:color w:val="auto"/>
              </w:rPr>
              <w:t>Equity Incentive Plan Awards: Number of</w:t>
            </w:r>
          </w:p>
        </w:tc>
        <w:tc>
          <w:tcPr>
            <w:tcW w:w="2600" w:type="dxa"/>
            <w:vAlign w:val="bottom"/>
            <w:gridSpan w:val="3"/>
            <w:vMerge w:val="restart"/>
          </w:tcPr>
          <w:p>
            <w:pPr>
              <w:jc w:val="center"/>
              <w:ind w:right="620"/>
              <w:spacing w:after="0" w:line="99" w:lineRule="exact"/>
              <w:rPr>
                <w:sz w:val="20"/>
                <w:szCs w:val="20"/>
                <w:color w:val="auto"/>
              </w:rPr>
            </w:pPr>
            <w:r>
              <w:rPr>
                <w:rFonts w:ascii="Arial" w:cs="Arial" w:eastAsia="Arial" w:hAnsi="Arial"/>
                <w:sz w:val="11"/>
                <w:szCs w:val="11"/>
                <w:b w:val="1"/>
                <w:bCs w:val="1"/>
                <w:color w:val="auto"/>
              </w:rPr>
              <w:t>Value of Unearned Shares,</w:t>
            </w:r>
          </w:p>
        </w:tc>
        <w:tc>
          <w:tcPr>
            <w:tcW w:w="0" w:type="dxa"/>
            <w:vAlign w:val="bottom"/>
          </w:tcPr>
          <w:p>
            <w:pPr>
              <w:spacing w:after="0"/>
              <w:rPr>
                <w:sz w:val="1"/>
                <w:szCs w:val="1"/>
                <w:color w:val="auto"/>
              </w:rPr>
            </w:pPr>
          </w:p>
        </w:tc>
      </w:tr>
      <w:tr>
        <w:trPr>
          <w:trHeight w:val="25"/>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160" w:type="dxa"/>
            <w:vAlign w:val="bottom"/>
            <w:gridSpan w:val="2"/>
            <w:vMerge w:val="continue"/>
          </w:tcPr>
          <w:p>
            <w:pPr>
              <w:spacing w:after="0"/>
              <w:rPr>
                <w:sz w:val="2"/>
                <w:szCs w:val="2"/>
                <w:color w:val="auto"/>
              </w:rPr>
            </w:pPr>
          </w:p>
        </w:tc>
        <w:tc>
          <w:tcPr>
            <w:tcW w:w="26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Market Value($)(1)</w:t>
            </w:r>
          </w:p>
        </w:tc>
        <w:tc>
          <w:tcPr>
            <w:tcW w:w="3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rPr>
              <w:t>Unearned Shares, Units or Other Rights That</w:t>
            </w:r>
          </w:p>
        </w:tc>
        <w:tc>
          <w:tcPr>
            <w:tcW w:w="2600" w:type="dxa"/>
            <w:vAlign w:val="bottom"/>
            <w:gridSpan w:val="3"/>
          </w:tcPr>
          <w:p>
            <w:pPr>
              <w:jc w:val="center"/>
              <w:ind w:right="620"/>
              <w:spacing w:after="0" w:line="144" w:lineRule="exact"/>
              <w:rPr>
                <w:sz w:val="20"/>
                <w:szCs w:val="20"/>
                <w:color w:val="auto"/>
              </w:rPr>
            </w:pPr>
            <w:r>
              <w:rPr>
                <w:rFonts w:ascii="Arial" w:cs="Arial" w:eastAsia="Arial" w:hAnsi="Arial"/>
                <w:sz w:val="14"/>
                <w:szCs w:val="14"/>
                <w:b w:val="1"/>
                <w:bCs w:val="1"/>
                <w:color w:val="auto"/>
              </w:rPr>
              <w:t>Units or Other Rights That</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BD03F7"/>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BD03F7"/>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BD03F7"/>
            </w:tcBorders>
          </w:tcPr>
          <w:p>
            <w:pPr>
              <w:spacing w:after="0"/>
              <w:rPr>
                <w:sz w:val="16"/>
                <w:szCs w:val="16"/>
                <w:color w:val="auto"/>
              </w:rPr>
            </w:pPr>
          </w:p>
        </w:tc>
        <w:tc>
          <w:tcPr>
            <w:tcW w:w="1580" w:type="dxa"/>
            <w:vAlign w:val="bottom"/>
            <w:tcBorders>
              <w:bottom w:val="single" w:sz="8" w:color="BD03F7"/>
            </w:tcBorders>
            <w:vMerge w:val="continue"/>
          </w:tcPr>
          <w:p>
            <w:pPr>
              <w:spacing w:after="0"/>
              <w:rPr>
                <w:sz w:val="16"/>
                <w:szCs w:val="16"/>
                <w:color w:val="auto"/>
              </w:rPr>
            </w:pPr>
          </w:p>
        </w:tc>
        <w:tc>
          <w:tcPr>
            <w:tcW w:w="2560" w:type="dxa"/>
            <w:vAlign w:val="bottom"/>
            <w:tcBorders>
              <w:bottom w:val="single" w:sz="8" w:color="BD03F7"/>
            </w:tcBorders>
          </w:tcPr>
          <w:p>
            <w:pPr>
              <w:jc w:val="center"/>
              <w:ind w:left="509"/>
              <w:spacing w:after="0"/>
              <w:rPr>
                <w:sz w:val="20"/>
                <w:szCs w:val="20"/>
                <w:color w:val="auto"/>
              </w:rPr>
            </w:pPr>
            <w:r>
              <w:rPr>
                <w:rFonts w:ascii="Arial" w:cs="Arial" w:eastAsia="Arial" w:hAnsi="Arial"/>
                <w:sz w:val="14"/>
                <w:szCs w:val="14"/>
                <w:b w:val="1"/>
                <w:bCs w:val="1"/>
                <w:color w:val="auto"/>
              </w:rPr>
              <w:t>Have Not Vested(#)</w:t>
            </w:r>
          </w:p>
        </w:tc>
        <w:tc>
          <w:tcPr>
            <w:tcW w:w="600" w:type="dxa"/>
            <w:vAlign w:val="bottom"/>
            <w:tcBorders>
              <w:bottom w:val="single" w:sz="8" w:color="BD03F7"/>
            </w:tcBorders>
          </w:tcPr>
          <w:p>
            <w:pPr>
              <w:spacing w:after="0"/>
              <w:rPr>
                <w:sz w:val="16"/>
                <w:szCs w:val="16"/>
                <w:color w:val="auto"/>
              </w:rPr>
            </w:pPr>
          </w:p>
        </w:tc>
        <w:tc>
          <w:tcPr>
            <w:tcW w:w="2000" w:type="dxa"/>
            <w:vAlign w:val="bottom"/>
            <w:tcBorders>
              <w:bottom w:val="single" w:sz="8" w:color="BD03F7"/>
            </w:tcBorders>
            <w:gridSpan w:val="2"/>
          </w:tcPr>
          <w:p>
            <w:pPr>
              <w:jc w:val="center"/>
              <w:ind w:right="20"/>
              <w:spacing w:after="0"/>
              <w:rPr>
                <w:sz w:val="20"/>
                <w:szCs w:val="20"/>
                <w:color w:val="auto"/>
              </w:rPr>
            </w:pPr>
            <w:r>
              <w:rPr>
                <w:rFonts w:ascii="Arial" w:cs="Arial" w:eastAsia="Arial" w:hAnsi="Arial"/>
                <w:sz w:val="14"/>
                <w:szCs w:val="14"/>
                <w:b w:val="1"/>
                <w:bCs w:val="1"/>
                <w:color w:val="auto"/>
              </w:rPr>
              <w:t>Have Not Vested($)(1)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00" w:type="dxa"/>
            <w:vAlign w:val="bottom"/>
          </w:tcPr>
          <w:p>
            <w:pPr>
              <w:ind w:left="20"/>
              <w:spacing w:after="0"/>
              <w:rPr>
                <w:sz w:val="20"/>
                <w:szCs w:val="20"/>
                <w:color w:val="auto"/>
              </w:rPr>
            </w:pPr>
            <w:r>
              <w:rPr>
                <w:rFonts w:ascii="Arial" w:cs="Arial" w:eastAsia="Arial" w:hAnsi="Arial"/>
                <w:sz w:val="14"/>
                <w:szCs w:val="14"/>
                <w:color w:val="auto"/>
              </w:rPr>
              <w:t>Scott DeBoer</w:t>
            </w:r>
          </w:p>
        </w:tc>
        <w:tc>
          <w:tcPr>
            <w:tcW w:w="1860" w:type="dxa"/>
            <w:vAlign w:val="bottom"/>
            <w:gridSpan w:val="2"/>
          </w:tcPr>
          <w:p>
            <w:pPr>
              <w:jc w:val="right"/>
              <w:ind w:right="548"/>
              <w:spacing w:after="0"/>
              <w:rPr>
                <w:sz w:val="20"/>
                <w:szCs w:val="20"/>
                <w:color w:val="auto"/>
              </w:rPr>
            </w:pPr>
            <w:r>
              <w:rPr>
                <w:rFonts w:ascii="Arial" w:cs="Arial" w:eastAsia="Arial" w:hAnsi="Arial"/>
                <w:sz w:val="14"/>
                <w:szCs w:val="14"/>
                <w:color w:val="auto"/>
              </w:rPr>
              <w:t>15,613</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580" w:type="dxa"/>
            <w:vAlign w:val="bottom"/>
          </w:tcPr>
          <w:p>
            <w:pPr>
              <w:jc w:val="right"/>
              <w:spacing w:after="0"/>
              <w:rPr>
                <w:sz w:val="20"/>
                <w:szCs w:val="20"/>
                <w:color w:val="auto"/>
              </w:rPr>
            </w:pPr>
            <w:r>
              <w:rPr>
                <w:rFonts w:ascii="Arial" w:cs="Arial" w:eastAsia="Arial" w:hAnsi="Arial"/>
                <w:sz w:val="14"/>
                <w:szCs w:val="14"/>
                <w:color w:val="auto"/>
              </w:rPr>
              <w:t>1,492,134</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29,214</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2,791,982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860" w:type="dxa"/>
            <w:vAlign w:val="bottom"/>
            <w:gridSpan w:val="2"/>
          </w:tcPr>
          <w:p>
            <w:pPr>
              <w:jc w:val="right"/>
              <w:ind w:right="548"/>
              <w:spacing w:after="0"/>
              <w:rPr>
                <w:sz w:val="20"/>
                <w:szCs w:val="20"/>
                <w:color w:val="auto"/>
              </w:rPr>
            </w:pPr>
            <w:r>
              <w:rPr>
                <w:rFonts w:ascii="Arial" w:cs="Arial" w:eastAsia="Arial" w:hAnsi="Arial"/>
                <w:sz w:val="14"/>
                <w:szCs w:val="14"/>
                <w:color w:val="auto"/>
              </w:rPr>
              <w:t>25,672</w:t>
            </w: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580" w:type="dxa"/>
            <w:vAlign w:val="bottom"/>
          </w:tcPr>
          <w:p>
            <w:pPr>
              <w:jc w:val="right"/>
              <w:spacing w:after="0"/>
              <w:rPr>
                <w:sz w:val="20"/>
                <w:szCs w:val="20"/>
                <w:color w:val="auto"/>
              </w:rPr>
            </w:pPr>
            <w:r>
              <w:rPr>
                <w:rFonts w:ascii="Arial" w:cs="Arial" w:eastAsia="Arial" w:hAnsi="Arial"/>
                <w:sz w:val="14"/>
                <w:szCs w:val="14"/>
                <w:color w:val="auto"/>
              </w:rPr>
              <w:t>2,453,473</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29,214</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2,791,982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860" w:type="dxa"/>
            <w:vAlign w:val="bottom"/>
            <w:gridSpan w:val="2"/>
          </w:tcPr>
          <w:p>
            <w:pPr>
              <w:jc w:val="right"/>
              <w:ind w:right="548"/>
              <w:spacing w:after="0"/>
              <w:rPr>
                <w:sz w:val="20"/>
                <w:szCs w:val="20"/>
                <w:color w:val="auto"/>
              </w:rPr>
            </w:pPr>
            <w:r>
              <w:rPr>
                <w:rFonts w:ascii="Arial" w:cs="Arial" w:eastAsia="Arial" w:hAnsi="Arial"/>
                <w:sz w:val="14"/>
                <w:szCs w:val="14"/>
                <w:color w:val="auto"/>
              </w:rPr>
              <w:t>51,971</w:t>
            </w: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1580" w:type="dxa"/>
            <w:vAlign w:val="bottom"/>
          </w:tcPr>
          <w:p>
            <w:pPr>
              <w:jc w:val="right"/>
              <w:spacing w:after="0"/>
              <w:rPr>
                <w:sz w:val="20"/>
                <w:szCs w:val="20"/>
                <w:color w:val="auto"/>
              </w:rPr>
            </w:pPr>
            <w:r>
              <w:rPr>
                <w:rFonts w:ascii="Arial" w:cs="Arial" w:eastAsia="Arial" w:hAnsi="Arial"/>
                <w:sz w:val="14"/>
                <w:szCs w:val="14"/>
                <w:color w:val="auto"/>
              </w:rPr>
              <w:t>4,966,868</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12,095</w:t>
            </w: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1,155,919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15,403</w:t>
            </w: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1,472,065</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15,403</w:t>
            </w: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1,472,065</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24,294</w:t>
            </w: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2,321,778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12,993</w:t>
            </w: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1,241,741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12,993</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1,241,741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Borders>
              <w:bottom w:val="single" w:sz="8" w:color="B6B6B6"/>
            </w:tcBorders>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76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spacing w:after="0"/>
              <w:rPr>
                <w:sz w:val="17"/>
                <w:szCs w:val="17"/>
                <w:color w:val="auto"/>
              </w:rPr>
            </w:pPr>
          </w:p>
        </w:tc>
        <w:tc>
          <w:tcPr>
            <w:tcW w:w="1580" w:type="dxa"/>
            <w:vAlign w:val="bottom"/>
            <w:tcBorders>
              <w:bottom w:val="single" w:sz="8" w:color="B6B6B6"/>
            </w:tcBorders>
          </w:tcPr>
          <w:p>
            <w:pPr>
              <w:spacing w:after="0"/>
              <w:rPr>
                <w:sz w:val="17"/>
                <w:szCs w:val="17"/>
                <w:color w:val="auto"/>
              </w:rPr>
            </w:pPr>
          </w:p>
        </w:tc>
        <w:tc>
          <w:tcPr>
            <w:tcW w:w="2560" w:type="dxa"/>
            <w:vAlign w:val="bottom"/>
            <w:tcBorders>
              <w:bottom w:val="single" w:sz="8" w:color="B6B6B6"/>
            </w:tcBorders>
          </w:tcPr>
          <w:p>
            <w:pPr>
              <w:jc w:val="right"/>
              <w:ind w:right="929"/>
              <w:spacing w:after="0"/>
              <w:rPr>
                <w:sz w:val="20"/>
                <w:szCs w:val="20"/>
                <w:color w:val="auto"/>
              </w:rPr>
            </w:pPr>
            <w:r>
              <w:rPr>
                <w:rFonts w:ascii="Arial" w:cs="Arial" w:eastAsia="Arial" w:hAnsi="Arial"/>
                <w:sz w:val="14"/>
                <w:szCs w:val="14"/>
                <w:color w:val="auto"/>
              </w:rPr>
              <w:t>23,280</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w:t>
            </w:r>
          </w:p>
        </w:tc>
        <w:tc>
          <w:tcPr>
            <w:tcW w:w="2000" w:type="dxa"/>
            <w:vAlign w:val="bottom"/>
            <w:tcBorders>
              <w:bottom w:val="single" w:sz="8" w:color="B6B6B6"/>
            </w:tcBorders>
            <w:gridSpan w:val="2"/>
          </w:tcPr>
          <w:p>
            <w:pPr>
              <w:jc w:val="right"/>
              <w:ind w:right="80"/>
              <w:spacing w:after="0"/>
              <w:rPr>
                <w:sz w:val="20"/>
                <w:szCs w:val="20"/>
                <w:color w:val="auto"/>
              </w:rPr>
            </w:pPr>
            <w:r>
              <w:rPr>
                <w:rFonts w:ascii="Arial" w:cs="Arial" w:eastAsia="Arial" w:hAnsi="Arial"/>
                <w:sz w:val="14"/>
                <w:szCs w:val="14"/>
                <w:color w:val="auto"/>
              </w:rPr>
              <w:t>2,224,870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Sumit Sadana</w:t>
            </w:r>
          </w:p>
        </w:tc>
        <w:tc>
          <w:tcPr>
            <w:tcW w:w="1860" w:type="dxa"/>
            <w:vAlign w:val="bottom"/>
            <w:gridSpan w:val="2"/>
            <w:shd w:val="clear" w:color="auto" w:fill="F2F2F2"/>
          </w:tcPr>
          <w:p>
            <w:pPr>
              <w:jc w:val="right"/>
              <w:ind w:right="548"/>
              <w:spacing w:after="0"/>
              <w:rPr>
                <w:sz w:val="20"/>
                <w:szCs w:val="20"/>
                <w:color w:val="auto"/>
              </w:rPr>
            </w:pPr>
            <w:r>
              <w:rPr>
                <w:rFonts w:ascii="Arial" w:cs="Arial" w:eastAsia="Arial" w:hAnsi="Arial"/>
                <w:sz w:val="14"/>
                <w:szCs w:val="14"/>
                <w:color w:val="auto"/>
              </w:rPr>
              <w:t>20,609</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1,969,602</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38,563</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3,685,466</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jc w:val="right"/>
              <w:ind w:right="548"/>
              <w:spacing w:after="0"/>
              <w:rPr>
                <w:sz w:val="20"/>
                <w:szCs w:val="20"/>
                <w:color w:val="auto"/>
              </w:rPr>
            </w:pPr>
            <w:r>
              <w:rPr>
                <w:rFonts w:ascii="Arial" w:cs="Arial" w:eastAsia="Arial" w:hAnsi="Arial"/>
                <w:sz w:val="14"/>
                <w:szCs w:val="14"/>
                <w:color w:val="auto"/>
              </w:rPr>
              <w:t>33,571</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3,208,380</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38,563</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3,685,466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jc w:val="right"/>
              <w:ind w:right="548"/>
              <w:spacing w:after="0"/>
              <w:rPr>
                <w:sz w:val="20"/>
                <w:szCs w:val="20"/>
                <w:color w:val="auto"/>
              </w:rPr>
            </w:pPr>
            <w:r>
              <w:rPr>
                <w:rFonts w:ascii="Arial" w:cs="Arial" w:eastAsia="Arial" w:hAnsi="Arial"/>
                <w:sz w:val="14"/>
                <w:szCs w:val="14"/>
                <w:color w:val="auto"/>
              </w:rPr>
              <w:t>64,516</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6,165,794</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15,966</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1,525,871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20,142</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1,924,971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20,142</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1,924,971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31,769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3,036,163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16,129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1,541,449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16,129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20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1,541,449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Borders>
              <w:bottom w:val="single" w:sz="8" w:color="B6B6B6"/>
            </w:tcBorders>
            <w:shd w:val="clear" w:color="auto" w:fill="F2F2F2"/>
          </w:tcPr>
          <w:p>
            <w:pPr>
              <w:spacing w:after="0"/>
              <w:rPr>
                <w:sz w:val="17"/>
                <w:szCs w:val="17"/>
                <w:color w:val="auto"/>
              </w:rPr>
            </w:pPr>
          </w:p>
        </w:tc>
        <w:tc>
          <w:tcPr>
            <w:tcW w:w="100" w:type="dxa"/>
            <w:vAlign w:val="bottom"/>
            <w:tcBorders>
              <w:bottom w:val="single" w:sz="8" w:color="B6B6B6"/>
            </w:tcBorders>
            <w:shd w:val="clear" w:color="auto" w:fill="F2F2F2"/>
          </w:tcPr>
          <w:p>
            <w:pPr>
              <w:spacing w:after="0"/>
              <w:rPr>
                <w:sz w:val="17"/>
                <w:szCs w:val="17"/>
                <w:color w:val="auto"/>
              </w:rPr>
            </w:pPr>
          </w:p>
        </w:tc>
        <w:tc>
          <w:tcPr>
            <w:tcW w:w="1760" w:type="dxa"/>
            <w:vAlign w:val="bottom"/>
            <w:tcBorders>
              <w:bottom w:val="single" w:sz="8" w:color="B6B6B6"/>
            </w:tcBorders>
            <w:shd w:val="clear" w:color="auto" w:fill="F2F2F2"/>
          </w:tcPr>
          <w:p>
            <w:pPr>
              <w:spacing w:after="0"/>
              <w:rPr>
                <w:sz w:val="17"/>
                <w:szCs w:val="17"/>
                <w:color w:val="auto"/>
              </w:rPr>
            </w:pPr>
          </w:p>
        </w:tc>
        <w:tc>
          <w:tcPr>
            <w:tcW w:w="540" w:type="dxa"/>
            <w:vAlign w:val="bottom"/>
            <w:tcBorders>
              <w:bottom w:val="single" w:sz="8" w:color="B6B6B6"/>
            </w:tcBorders>
            <w:shd w:val="clear" w:color="auto" w:fill="F2F2F2"/>
          </w:tcPr>
          <w:p>
            <w:pPr>
              <w:spacing w:after="0"/>
              <w:rPr>
                <w:sz w:val="17"/>
                <w:szCs w:val="17"/>
                <w:color w:val="auto"/>
              </w:rPr>
            </w:pPr>
          </w:p>
        </w:tc>
        <w:tc>
          <w:tcPr>
            <w:tcW w:w="1580" w:type="dxa"/>
            <w:vAlign w:val="bottom"/>
            <w:tcBorders>
              <w:bottom w:val="single" w:sz="8" w:color="B6B6B6"/>
            </w:tcBorders>
            <w:shd w:val="clear" w:color="auto" w:fill="F2F2F2"/>
          </w:tcPr>
          <w:p>
            <w:pPr>
              <w:spacing w:after="0"/>
              <w:rPr>
                <w:sz w:val="17"/>
                <w:szCs w:val="17"/>
                <w:color w:val="auto"/>
              </w:rPr>
            </w:pPr>
          </w:p>
        </w:tc>
        <w:tc>
          <w:tcPr>
            <w:tcW w:w="2560" w:type="dxa"/>
            <w:vAlign w:val="bottom"/>
            <w:tcBorders>
              <w:bottom w:val="single" w:sz="8" w:color="B6B6B6"/>
            </w:tcBorders>
            <w:shd w:val="clear" w:color="auto" w:fill="F2F2F2"/>
          </w:tcPr>
          <w:p>
            <w:pPr>
              <w:jc w:val="right"/>
              <w:ind w:right="929"/>
              <w:spacing w:after="0"/>
              <w:rPr>
                <w:sz w:val="20"/>
                <w:szCs w:val="20"/>
                <w:color w:val="auto"/>
              </w:rPr>
            </w:pPr>
            <w:r>
              <w:rPr>
                <w:rFonts w:ascii="Arial" w:cs="Arial" w:eastAsia="Arial" w:hAnsi="Arial"/>
                <w:sz w:val="14"/>
                <w:szCs w:val="14"/>
                <w:color w:val="auto"/>
              </w:rPr>
              <w:t>28,900</w:t>
            </w:r>
          </w:p>
        </w:tc>
        <w:tc>
          <w:tcPr>
            <w:tcW w:w="6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2000" w:type="dxa"/>
            <w:vAlign w:val="bottom"/>
            <w:tcBorders>
              <w:bottom w:val="single" w:sz="8" w:color="B6B6B6"/>
            </w:tcBorders>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2,761,973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00" w:right="26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$95.57, the closing price of our Common Stock on August 29, 2024.</w:t>
      </w:r>
    </w:p>
    <w:p>
      <w:pPr>
        <w:spacing w:after="0" w:line="113" w:lineRule="exact"/>
        <w:rPr>
          <w:rFonts w:ascii="Arial" w:cs="Arial" w:eastAsia="Arial" w:hAnsi="Arial"/>
          <w:sz w:val="18"/>
          <w:szCs w:val="18"/>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Time-based restricted stock awards vested on October 13, 2024.</w:t>
      </w:r>
    </w:p>
    <w:p>
      <w:pPr>
        <w:spacing w:after="0" w:line="183" w:lineRule="exact"/>
        <w:rPr>
          <w:rFonts w:ascii="Arial" w:cs="Arial" w:eastAsia="Arial" w:hAnsi="Arial"/>
          <w:sz w:val="18"/>
          <w:szCs w:val="18"/>
          <w:color w:val="auto"/>
        </w:rPr>
      </w:pPr>
    </w:p>
    <w:p>
      <w:pPr>
        <w:ind w:left="400" w:right="34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2022 Market Segment NAND PRSU Award. Performance-based restricted stock units vested in October 2024 based on the achievement of a NAND market segment goal through Fiscal 2024.</w:t>
      </w:r>
    </w:p>
    <w:p>
      <w:pPr>
        <w:spacing w:after="0" w:line="127" w:lineRule="exact"/>
        <w:rPr>
          <w:rFonts w:ascii="Arial" w:cs="Arial" w:eastAsia="Arial" w:hAnsi="Arial"/>
          <w:sz w:val="18"/>
          <w:szCs w:val="18"/>
          <w:color w:val="auto"/>
        </w:rPr>
      </w:pPr>
    </w:p>
    <w:p>
      <w:pPr>
        <w:ind w:left="400" w:right="6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Time-based restricted stock awards vested or will vest, as applicable, in equal installments on October 15, 2024, January 15, 2025, April 15, 2025, July 15, 2025, and October 15, 2025.</w:t>
      </w:r>
    </w:p>
    <w:p>
      <w:pPr>
        <w:spacing w:after="0" w:line="113" w:lineRule="exact"/>
        <w:rPr>
          <w:rFonts w:ascii="Arial" w:cs="Arial" w:eastAsia="Arial" w:hAnsi="Arial"/>
          <w:sz w:val="18"/>
          <w:szCs w:val="18"/>
          <w:color w:val="auto"/>
        </w:rPr>
      </w:pPr>
    </w:p>
    <w:p>
      <w:pPr>
        <w:ind w:left="400" w:right="36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2022 High-Value NAND PRSU Award. Performance-based restricted stock units vested in October 2024 based on the achievement of a high-value NAND shipment goal through Fiscal 2024.</w:t>
      </w:r>
    </w:p>
    <w:p>
      <w:pPr>
        <w:spacing w:after="0" w:line="113" w:lineRule="exact"/>
        <w:rPr>
          <w:rFonts w:ascii="Arial" w:cs="Arial" w:eastAsia="Arial" w:hAnsi="Arial"/>
          <w:sz w:val="18"/>
          <w:szCs w:val="18"/>
          <w:color w:val="auto"/>
        </w:rPr>
      </w:pPr>
    </w:p>
    <w:p>
      <w:pPr>
        <w:ind w:left="400" w:right="12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Time-based restricted stock awards vested or will vest, as applicable, in equal installments on October 13, 2024, October 13, 2025, and October 13, 2026.</w:t>
      </w:r>
    </w:p>
    <w:p>
      <w:pPr>
        <w:spacing w:after="0" w:line="127" w:lineRule="exact"/>
        <w:rPr>
          <w:rFonts w:ascii="Arial" w:cs="Arial" w:eastAsia="Arial" w:hAnsi="Arial"/>
          <w:sz w:val="18"/>
          <w:szCs w:val="18"/>
          <w:color w:val="auto"/>
        </w:rPr>
      </w:pPr>
    </w:p>
    <w:p>
      <w:pPr>
        <w:ind w:left="400" w:right="600" w:hanging="392"/>
        <w:spacing w:after="0" w:line="285"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2022 rTSR PRSU Award. Performance-based restricted stock units vested in October 2024 based on the achievement of a rTSR goal through Fiscal 2024.</w:t>
      </w:r>
    </w:p>
    <w:p>
      <w:pPr>
        <w:spacing w:after="0" w:line="113" w:lineRule="exact"/>
        <w:rPr>
          <w:rFonts w:ascii="Arial" w:cs="Arial" w:eastAsia="Arial" w:hAnsi="Arial"/>
          <w:sz w:val="18"/>
          <w:szCs w:val="18"/>
          <w:color w:val="auto"/>
        </w:rPr>
      </w:pPr>
    </w:p>
    <w:p>
      <w:pPr>
        <w:ind w:left="400" w:right="100" w:hanging="392"/>
        <w:spacing w:after="0" w:line="267"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2023 NAND PRSU Award. Performance-based restricted stock units vested or will vest, as applicable, in October 2024 and October 2025 based on the achievement of a NAND market segment goal through Fiscal 2024 and 2025.</w:t>
      </w:r>
    </w:p>
    <w:p>
      <w:pPr>
        <w:spacing w:after="0" w:line="129" w:lineRule="exact"/>
        <w:rPr>
          <w:rFonts w:ascii="Arial" w:cs="Arial" w:eastAsia="Arial" w:hAnsi="Arial"/>
          <w:sz w:val="18"/>
          <w:szCs w:val="18"/>
          <w:color w:val="auto"/>
        </w:rPr>
      </w:pPr>
    </w:p>
    <w:p>
      <w:pPr>
        <w:ind w:left="400" w:right="80" w:hanging="392"/>
        <w:spacing w:after="0" w:line="267" w:lineRule="auto"/>
        <w:tabs>
          <w:tab w:leader="none" w:pos="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2023 DRAM PRSU Award. Performance-based restricted stock units vested or will vest, as applicable, in October 2024 and October 2025 based on the achievement of a DRAM market segment goal through Fiscal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right="400" w:hanging="392"/>
        <w:spacing w:after="0" w:line="316" w:lineRule="auto"/>
        <w:tabs>
          <w:tab w:leader="none" w:pos="399"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the target number of shares under the 2023 rTSR PRSU Award. Performance-based restricted stock units vested or will vest, as applicable, in October 2024 and October 2025 based on the achievement of a rTSR goal through Fiscal 2024 and 2025.</w:t>
      </w:r>
    </w:p>
    <w:p>
      <w:pPr>
        <w:spacing w:after="0" w:line="90" w:lineRule="exact"/>
        <w:rPr>
          <w:rFonts w:ascii="Arial" w:cs="Arial" w:eastAsia="Arial" w:hAnsi="Arial"/>
          <w:sz w:val="17"/>
          <w:szCs w:val="17"/>
          <w:color w:val="auto"/>
        </w:rPr>
      </w:pPr>
    </w:p>
    <w:p>
      <w:pPr>
        <w:ind w:left="400" w:right="340" w:hanging="392"/>
        <w:spacing w:after="0" w:line="285" w:lineRule="auto"/>
        <w:tabs>
          <w:tab w:leader="none" w:pos="3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2024 HBM3E+ PRSU Award. Performance-based restricted stock units will vest in October 2025 and October 2026 based on the achievement of a HBM3E+ shipments goal through Fiscal 2025 and 2026.</w:t>
      </w:r>
    </w:p>
    <w:p>
      <w:pPr>
        <w:spacing w:after="0" w:line="127" w:lineRule="exact"/>
        <w:rPr>
          <w:rFonts w:ascii="Arial" w:cs="Arial" w:eastAsia="Arial" w:hAnsi="Arial"/>
          <w:sz w:val="18"/>
          <w:szCs w:val="18"/>
          <w:color w:val="auto"/>
        </w:rPr>
      </w:pPr>
    </w:p>
    <w:p>
      <w:pPr>
        <w:ind w:left="400" w:right="260" w:hanging="392"/>
        <w:spacing w:after="0" w:line="267" w:lineRule="auto"/>
        <w:tabs>
          <w:tab w:leader="none" w:pos="3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2024 High-Growth Segment Revenue PRSU Award. Performance-based restricted stock units will vest in October 2025 and October 2026 based on the achievement of a high-growth and more stable market segment goal through Fiscal 2025 and 2026.</w:t>
      </w:r>
    </w:p>
    <w:p>
      <w:pPr>
        <w:spacing w:after="0" w:line="129" w:lineRule="exact"/>
        <w:rPr>
          <w:rFonts w:ascii="Arial" w:cs="Arial" w:eastAsia="Arial" w:hAnsi="Arial"/>
          <w:sz w:val="18"/>
          <w:szCs w:val="18"/>
          <w:color w:val="auto"/>
        </w:rPr>
      </w:pPr>
    </w:p>
    <w:p>
      <w:pPr>
        <w:ind w:left="400" w:right="620" w:hanging="392"/>
        <w:spacing w:after="0" w:line="285" w:lineRule="auto"/>
        <w:tabs>
          <w:tab w:leader="none" w:pos="3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2024 rTSR PRSU Award. Performance-based restricted stock units will vest in October 2025 and October 2026 based on the achievement of a rTSR goal through Fiscal 2025 and 2026.</w:t>
      </w:r>
    </w:p>
    <w:p>
      <w:pPr>
        <w:spacing w:after="0" w:line="113" w:lineRule="exact"/>
        <w:rPr>
          <w:rFonts w:ascii="Arial" w:cs="Arial" w:eastAsia="Arial" w:hAnsi="Arial"/>
          <w:sz w:val="18"/>
          <w:szCs w:val="18"/>
          <w:color w:val="auto"/>
        </w:rPr>
      </w:pPr>
    </w:p>
    <w:p>
      <w:pPr>
        <w:ind w:left="400" w:hanging="392"/>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Time-based restricted stock awards will vest on April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OPTION EXERCISES AND STOCK VESTED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046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2024 and the value realized.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20" w:type="dxa"/>
            <w:vAlign w:val="bottom"/>
            <w:gridSpan w:val="4"/>
          </w:tcPr>
          <w:p>
            <w:pPr>
              <w:ind w:left="780"/>
              <w:spacing w:after="0"/>
              <w:rPr>
                <w:sz w:val="20"/>
                <w:szCs w:val="20"/>
                <w:color w:val="auto"/>
              </w:rPr>
            </w:pPr>
            <w:r>
              <w:rPr>
                <w:rFonts w:ascii="Arial" w:cs="Arial" w:eastAsia="Arial" w:hAnsi="Arial"/>
                <w:sz w:val="16"/>
                <w:szCs w:val="16"/>
                <w:b w:val="1"/>
                <w:bCs w:val="1"/>
                <w:color w:val="auto"/>
              </w:rPr>
              <w:t>Option Awards</w:t>
            </w:r>
          </w:p>
        </w:tc>
        <w:tc>
          <w:tcPr>
            <w:tcW w:w="276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126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240" w:type="dxa"/>
            <w:vAlign w:val="bottom"/>
            <w:tcBorders>
              <w:top w:val="single" w:sz="8" w:color="BD03F7"/>
            </w:tcBorders>
          </w:tcPr>
          <w:p>
            <w:pPr>
              <w:spacing w:after="0"/>
              <w:rPr>
                <w:sz w:val="13"/>
                <w:szCs w:val="13"/>
                <w:color w:val="auto"/>
              </w:rPr>
            </w:pPr>
          </w:p>
        </w:tc>
        <w:tc>
          <w:tcPr>
            <w:tcW w:w="1240" w:type="dxa"/>
            <w:vAlign w:val="bottom"/>
            <w:tcBorders>
              <w:top w:val="single" w:sz="8" w:color="BD03F7"/>
            </w:tcBorders>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top w:val="single" w:sz="8" w:color="BD03F7"/>
            </w:tcBorders>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260" w:type="dxa"/>
            <w:vAlign w:val="bottom"/>
            <w:tcBorders>
              <w:top w:val="single" w:sz="8" w:color="BD03F7"/>
            </w:tcBorders>
          </w:tcPr>
          <w:p>
            <w:pPr>
              <w:spacing w:after="0"/>
              <w:rPr>
                <w:sz w:val="13"/>
                <w:szCs w:val="13"/>
                <w:color w:val="auto"/>
              </w:rPr>
            </w:pPr>
          </w:p>
        </w:tc>
        <w:tc>
          <w:tcPr>
            <w:tcW w:w="1220" w:type="dxa"/>
            <w:vAlign w:val="bottom"/>
            <w:tcBorders>
              <w:top w:val="single" w:sz="8" w:color="BD03F7"/>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Shares</w:t>
            </w:r>
          </w:p>
        </w:tc>
        <w:tc>
          <w:tcPr>
            <w:tcW w:w="15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Value Realized on</w:t>
            </w:r>
          </w:p>
        </w:tc>
        <w:tc>
          <w:tcPr>
            <w:tcW w:w="12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Shares</w:t>
            </w: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Value Realized on</w:t>
            </w:r>
          </w:p>
        </w:tc>
        <w:tc>
          <w:tcPr>
            <w:tcW w:w="0" w:type="dxa"/>
            <w:vAlign w:val="bottom"/>
          </w:tcPr>
          <w:p>
            <w:pPr>
              <w:spacing w:after="0"/>
              <w:rPr>
                <w:sz w:val="1"/>
                <w:szCs w:val="1"/>
                <w:color w:val="auto"/>
              </w:rPr>
            </w:pPr>
          </w:p>
        </w:tc>
      </w:tr>
      <w:tr>
        <w:trPr>
          <w:trHeight w:val="161"/>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Acquired on</w:t>
            </w:r>
          </w:p>
        </w:tc>
        <w:tc>
          <w:tcPr>
            <w:tcW w:w="1560" w:type="dxa"/>
            <w:vAlign w:val="bottom"/>
            <w:gridSpan w:val="3"/>
            <w:vMerge w:val="continue"/>
          </w:tcPr>
          <w:p>
            <w:pPr>
              <w:spacing w:after="0"/>
              <w:rPr>
                <w:sz w:val="14"/>
                <w:szCs w:val="14"/>
                <w:color w:val="auto"/>
              </w:rPr>
            </w:pPr>
          </w:p>
        </w:tc>
        <w:tc>
          <w:tcPr>
            <w:tcW w:w="12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Acquired on</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56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c>
          <w:tcPr>
            <w:tcW w:w="24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Vesting(2)</w:t>
            </w:r>
          </w:p>
        </w:tc>
        <w:tc>
          <w:tcPr>
            <w:tcW w:w="260" w:type="dxa"/>
            <w:vAlign w:val="bottom"/>
          </w:tcPr>
          <w:p>
            <w:pPr>
              <w:spacing w:after="0"/>
              <w:rPr>
                <w:sz w:val="18"/>
                <w:szCs w:val="18"/>
                <w:color w:val="auto"/>
              </w:rPr>
            </w:pPr>
          </w:p>
        </w:tc>
        <w:tc>
          <w:tcPr>
            <w:tcW w:w="1220" w:type="dxa"/>
            <w:vAlign w:val="bottom"/>
          </w:tcPr>
          <w:p>
            <w:pPr>
              <w:jc w:val="right"/>
              <w:ind w:right="252"/>
              <w:spacing w:after="0"/>
              <w:rPr>
                <w:sz w:val="20"/>
                <w:szCs w:val="20"/>
                <w:color w:val="auto"/>
              </w:rPr>
            </w:pPr>
            <w:r>
              <w:rPr>
                <w:rFonts w:ascii="Arial" w:cs="Arial" w:eastAsia="Arial" w:hAnsi="Arial"/>
                <w:sz w:val="16"/>
                <w:szCs w:val="16"/>
                <w:b w:val="1"/>
                <w:bCs w:val="1"/>
                <w:color w:val="auto"/>
              </w:rPr>
              <w:t>Vesting(3)</w:t>
            </w:r>
          </w:p>
        </w:tc>
        <w:tc>
          <w:tcPr>
            <w:tcW w:w="0" w:type="dxa"/>
            <w:vAlign w:val="bottom"/>
          </w:tcPr>
          <w:p>
            <w:pPr>
              <w:spacing w:after="0"/>
              <w:rPr>
                <w:sz w:val="1"/>
                <w:szCs w:val="1"/>
                <w:color w:val="auto"/>
              </w:rPr>
            </w:pPr>
          </w:p>
        </w:tc>
      </w:tr>
      <w:tr>
        <w:trPr>
          <w:trHeight w:val="34"/>
        </w:trPr>
        <w:tc>
          <w:tcPr>
            <w:tcW w:w="5560" w:type="dxa"/>
            <w:vAlign w:val="bottom"/>
            <w:tcBorders>
              <w:top w:val="single" w:sz="8" w:color="BD03F7"/>
            </w:tcBorders>
          </w:tcPr>
          <w:p>
            <w:pPr>
              <w:spacing w:after="0"/>
              <w:rPr>
                <w:sz w:val="2"/>
                <w:szCs w:val="2"/>
                <w:color w:val="auto"/>
              </w:rPr>
            </w:pPr>
          </w:p>
        </w:tc>
        <w:tc>
          <w:tcPr>
            <w:tcW w:w="1260" w:type="dxa"/>
            <w:vAlign w:val="bottom"/>
            <w:tcBorders>
              <w:top w:val="single" w:sz="8" w:color="BD03F7"/>
            </w:tcBorders>
          </w:tcPr>
          <w:p>
            <w:pPr>
              <w:spacing w:after="0"/>
              <w:rPr>
                <w:sz w:val="2"/>
                <w:szCs w:val="2"/>
                <w:color w:val="auto"/>
              </w:rPr>
            </w:pPr>
          </w:p>
        </w:tc>
        <w:tc>
          <w:tcPr>
            <w:tcW w:w="240" w:type="dxa"/>
            <w:vAlign w:val="bottom"/>
            <w:tcBorders>
              <w:top w:val="single" w:sz="8" w:color="BD03F7"/>
            </w:tcBorders>
          </w:tcPr>
          <w:p>
            <w:pPr>
              <w:spacing w:after="0"/>
              <w:rPr>
                <w:sz w:val="2"/>
                <w:szCs w:val="2"/>
                <w:color w:val="auto"/>
              </w:rPr>
            </w:pPr>
          </w:p>
        </w:tc>
        <w:tc>
          <w:tcPr>
            <w:tcW w:w="1240" w:type="dxa"/>
            <w:vAlign w:val="bottom"/>
            <w:tcBorders>
              <w:top w:val="single" w:sz="8" w:color="BD03F7"/>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BD03F7"/>
            </w:tcBorders>
          </w:tcPr>
          <w:p>
            <w:pPr>
              <w:spacing w:after="0"/>
              <w:rPr>
                <w:sz w:val="2"/>
                <w:szCs w:val="2"/>
                <w:color w:val="auto"/>
              </w:rPr>
            </w:pPr>
          </w:p>
        </w:tc>
        <w:tc>
          <w:tcPr>
            <w:tcW w:w="260" w:type="dxa"/>
            <w:vAlign w:val="bottom"/>
            <w:tcBorders>
              <w:top w:val="single" w:sz="8" w:color="BD03F7"/>
            </w:tcBorders>
          </w:tcPr>
          <w:p>
            <w:pPr>
              <w:spacing w:after="0"/>
              <w:rPr>
                <w:sz w:val="2"/>
                <w:szCs w:val="2"/>
                <w:color w:val="auto"/>
              </w:rPr>
            </w:pPr>
          </w:p>
        </w:tc>
        <w:tc>
          <w:tcPr>
            <w:tcW w:w="1220" w:type="dxa"/>
            <w:vAlign w:val="bottom"/>
            <w:tcBorders>
              <w:top w:val="single" w:sz="8" w:color="BD03F7"/>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531,284</w:t>
            </w:r>
          </w:p>
        </w:tc>
        <w:tc>
          <w:tcPr>
            <w:tcW w:w="240" w:type="dxa"/>
            <w:vAlign w:val="bottom"/>
            <w:shd w:val="clear" w:color="auto" w:fill="F2F2F2"/>
          </w:tcPr>
          <w:p>
            <w:pPr>
              <w:ind w:lef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38,982,386</w:t>
            </w:r>
          </w:p>
        </w:tc>
        <w:tc>
          <w:tcPr>
            <w:tcW w:w="8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634,810</w:t>
            </w:r>
          </w:p>
        </w:tc>
        <w:tc>
          <w:tcPr>
            <w:tcW w:w="260" w:type="dxa"/>
            <w:vAlign w:val="bottom"/>
            <w:shd w:val="clear" w:color="auto" w:fill="F2F2F2"/>
          </w:tcPr>
          <w:p>
            <w:pPr>
              <w:ind w:lef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60,955,621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247,452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25,925,031</w:t>
            </w:r>
          </w:p>
        </w:tc>
        <w:tc>
          <w:tcPr>
            <w:tcW w:w="0" w:type="dxa"/>
            <w:vAlign w:val="bottom"/>
          </w:tcPr>
          <w:p>
            <w:pPr>
              <w:spacing w:after="0"/>
              <w:rPr>
                <w:sz w:val="1"/>
                <w:szCs w:val="1"/>
                <w:color w:val="auto"/>
              </w:rPr>
            </w:pPr>
          </w:p>
        </w:tc>
      </w:tr>
      <w:tr>
        <w:trPr>
          <w:trHeight w:val="229"/>
        </w:trPr>
        <w:tc>
          <w:tcPr>
            <w:tcW w:w="556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53,317</w:t>
            </w:r>
          </w:p>
        </w:tc>
        <w:tc>
          <w:tcPr>
            <w:tcW w:w="240" w:type="dxa"/>
            <w:vAlign w:val="bottom"/>
            <w:shd w:val="clear" w:color="auto" w:fill="F2F2F2"/>
          </w:tcPr>
          <w:p>
            <w:pPr>
              <w:spacing w:after="0"/>
              <w:rPr>
                <w:sz w:val="19"/>
                <w:szCs w:val="19"/>
                <w:color w:val="auto"/>
              </w:rPr>
            </w:pP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4,138,532</w:t>
            </w:r>
          </w:p>
        </w:tc>
        <w:tc>
          <w:tcPr>
            <w:tcW w:w="8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216,897</w:t>
            </w:r>
          </w:p>
        </w:tc>
        <w:tc>
          <w:tcPr>
            <w:tcW w:w="260" w:type="dxa"/>
            <w:vAlign w:val="bottom"/>
            <w:shd w:val="clear" w:color="auto" w:fill="F2F2F2"/>
          </w:tcPr>
          <w:p>
            <w:pPr>
              <w:spacing w:after="0"/>
              <w:rPr>
                <w:sz w:val="19"/>
                <w:szCs w:val="19"/>
                <w:color w:val="auto"/>
              </w:rPr>
            </w:pP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20,854,218</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260" w:type="dxa"/>
            <w:vAlign w:val="bottom"/>
          </w:tcPr>
          <w:p>
            <w:pPr>
              <w:jc w:val="right"/>
              <w:spacing w:after="0"/>
              <w:rPr>
                <w:sz w:val="20"/>
                <w:szCs w:val="20"/>
                <w:color w:val="auto"/>
              </w:rPr>
            </w:pPr>
            <w:r>
              <w:rPr>
                <w:rFonts w:ascii="Arial" w:cs="Arial" w:eastAsia="Arial" w:hAnsi="Arial"/>
                <w:sz w:val="18"/>
                <w:szCs w:val="18"/>
                <w:color w:val="auto"/>
              </w:rPr>
              <w:t>8,770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400,266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171,030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16,417,632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2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14,031</w:t>
            </w:r>
          </w:p>
        </w:tc>
        <w:tc>
          <w:tcPr>
            <w:tcW w:w="240" w:type="dxa"/>
            <w:vAlign w:val="bottom"/>
            <w:tcBorders>
              <w:bottom w:val="single" w:sz="8" w:color="BD03F7"/>
            </w:tcBorders>
            <w:shd w:val="clear" w:color="auto" w:fill="F2F2F2"/>
          </w:tcPr>
          <w:p>
            <w:pPr>
              <w:spacing w:after="0"/>
              <w:rPr>
                <w:sz w:val="19"/>
                <w:szCs w:val="19"/>
                <w:color w:val="auto"/>
              </w:rPr>
            </w:pPr>
          </w:p>
        </w:tc>
        <w:tc>
          <w:tcPr>
            <w:tcW w:w="12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1,091,267</w:t>
            </w:r>
          </w:p>
        </w:tc>
        <w:tc>
          <w:tcPr>
            <w:tcW w:w="80" w:type="dxa"/>
            <w:vAlign w:val="bottom"/>
            <w:shd w:val="clear" w:color="auto" w:fill="F2F2F2"/>
          </w:tcPr>
          <w:p>
            <w:pPr>
              <w:spacing w:after="0"/>
              <w:rPr>
                <w:sz w:val="19"/>
                <w:szCs w:val="19"/>
                <w:color w:val="auto"/>
              </w:rPr>
            </w:pPr>
          </w:p>
        </w:tc>
        <w:tc>
          <w:tcPr>
            <w:tcW w:w="12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224,592</w:t>
            </w:r>
          </w:p>
        </w:tc>
        <w:tc>
          <w:tcPr>
            <w:tcW w:w="260" w:type="dxa"/>
            <w:vAlign w:val="bottom"/>
            <w:tcBorders>
              <w:bottom w:val="single" w:sz="8" w:color="BD03F7"/>
            </w:tcBorders>
            <w:shd w:val="clear" w:color="auto" w:fill="F2F2F2"/>
          </w:tcPr>
          <w:p>
            <w:pPr>
              <w:spacing w:after="0"/>
              <w:rPr>
                <w:sz w:val="19"/>
                <w:szCs w:val="19"/>
                <w:color w:val="auto"/>
              </w:rPr>
            </w:pPr>
          </w:p>
        </w:tc>
        <w:tc>
          <w:tcPr>
            <w:tcW w:w="12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21,566,958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500" w:hanging="332"/>
        <w:spacing w:after="0" w:line="285"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as the aggregate value of the number of options exercised multiplied by the difference between the fair market value per share at the time of the exercise and the exercise price of the option.</w:t>
      </w:r>
    </w:p>
    <w:p>
      <w:pPr>
        <w:spacing w:after="0" w:line="181" w:lineRule="exact"/>
        <w:rPr>
          <w:rFonts w:ascii="Arial" w:cs="Arial" w:eastAsia="Arial" w:hAnsi="Arial"/>
          <w:sz w:val="18"/>
          <w:szCs w:val="18"/>
          <w:color w:val="auto"/>
        </w:rPr>
      </w:pPr>
    </w:p>
    <w:p>
      <w:pPr>
        <w:ind w:left="340" w:right="40" w:hanging="332"/>
        <w:spacing w:after="0" w:line="258"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2024 based on performance completed by the end of Fiscal 2024 and performance-based restricted units for which time-based restrictions lapsed in Fiscal 2024 but for which the performance condition had been met in prior years. Excludes performance-based restricted units vested in October 2023 based on performance completed by the end of Fiscal 2023 and performance-based restricted units with time-based restrictions that had met the performance-based condition but for which the time-based restriction had not lapsed by the end of Fiscal 2024.</w:t>
      </w:r>
    </w:p>
    <w:p>
      <w:pPr>
        <w:spacing w:after="0" w:line="205"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2024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046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Mr. Mehrotra is the only Named Executive Officer who has participated in the Micron Technology, Inc. Deferred Compensation Plan (the “Deferred Compensation Plan”) through the end of Fiscal 2024.</w:t>
      </w:r>
    </w:p>
    <w:tbl>
      <w:tblPr>
        <w:tblLayout w:type="fixed"/>
        <w:tblInd w:w="0" w:type="dxa"/>
        <w:tblCellMar>
          <w:top w:w="0" w:type="dxa"/>
          <w:left w:w="0" w:type="dxa"/>
          <w:bottom w:w="0" w:type="dxa"/>
          <w:right w:w="0" w:type="dxa"/>
        </w:tblCellMar>
      </w:tblPr>
      <w:tr>
        <w:trPr>
          <w:trHeight w:val="163"/>
        </w:trPr>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8"/>
              </w:rPr>
              <w:t>Executive</w:t>
            </w:r>
          </w:p>
        </w:tc>
        <w:tc>
          <w:tcPr>
            <w:tcW w:w="180" w:type="dxa"/>
            <w:vAlign w:val="bottom"/>
          </w:tcPr>
          <w:p>
            <w:pPr>
              <w:spacing w:after="0"/>
              <w:rPr>
                <w:sz w:val="14"/>
                <w:szCs w:val="1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Registrant</w:t>
            </w:r>
          </w:p>
        </w:tc>
        <w:tc>
          <w:tcPr>
            <w:tcW w:w="1120" w:type="dxa"/>
            <w:vAlign w:val="bottom"/>
          </w:tcPr>
          <w:p>
            <w:pPr>
              <w:jc w:val="center"/>
              <w:ind w:right="79"/>
              <w:spacing w:after="0" w:line="164" w:lineRule="exact"/>
              <w:rPr>
                <w:sz w:val="20"/>
                <w:szCs w:val="20"/>
                <w:color w:val="auto"/>
              </w:rPr>
            </w:pPr>
            <w:r>
              <w:rPr>
                <w:rFonts w:ascii="Arial" w:cs="Arial" w:eastAsia="Arial" w:hAnsi="Arial"/>
                <w:sz w:val="16"/>
                <w:szCs w:val="16"/>
                <w:b w:val="1"/>
                <w:bCs w:val="1"/>
                <w:color w:val="auto"/>
              </w:rPr>
              <w:t>Aggregate</w:t>
            </w: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tcPr>
          <w:p>
            <w:pPr>
              <w:jc w:val="center"/>
              <w:ind w:right="99"/>
              <w:spacing w:after="0" w:line="161" w:lineRule="exact"/>
              <w:rPr>
                <w:sz w:val="20"/>
                <w:szCs w:val="20"/>
                <w:color w:val="auto"/>
              </w:rPr>
            </w:pPr>
            <w:r>
              <w:rPr>
                <w:rFonts w:ascii="Arial" w:cs="Arial" w:eastAsia="Arial" w:hAnsi="Arial"/>
                <w:sz w:val="16"/>
                <w:szCs w:val="16"/>
                <w:b w:val="1"/>
                <w:bCs w:val="1"/>
                <w:color w:val="auto"/>
              </w:rPr>
              <w:t>Earnings</w:t>
            </w:r>
          </w:p>
        </w:tc>
        <w:tc>
          <w:tcPr>
            <w:tcW w:w="360" w:type="dxa"/>
            <w:vAlign w:val="bottom"/>
          </w:tcPr>
          <w:p>
            <w:pPr>
              <w:spacing w:after="0"/>
              <w:rPr>
                <w:sz w:val="14"/>
                <w:szCs w:val="14"/>
                <w:color w:val="auto"/>
              </w:rPr>
            </w:pPr>
          </w:p>
        </w:tc>
        <w:tc>
          <w:tcPr>
            <w:tcW w:w="16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Aggregate</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40" w:type="dxa"/>
            <w:vAlign w:val="bottom"/>
          </w:tcPr>
          <w:p>
            <w:pPr>
              <w:spacing w:after="0"/>
              <w:rPr>
                <w:sz w:val="14"/>
                <w:szCs w:val="14"/>
                <w:color w:val="auto"/>
              </w:rPr>
            </w:pPr>
          </w:p>
        </w:tc>
        <w:tc>
          <w:tcPr>
            <w:tcW w:w="150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rPr>
              <w:t>Contributions in</w:t>
            </w:r>
          </w:p>
        </w:tc>
        <w:tc>
          <w:tcPr>
            <w:tcW w:w="2640" w:type="dxa"/>
            <w:vAlign w:val="bottom"/>
            <w:gridSpan w:val="3"/>
          </w:tcPr>
          <w:p>
            <w:pPr>
              <w:ind w:left="40"/>
              <w:spacing w:after="0" w:line="161" w:lineRule="exact"/>
              <w:rPr>
                <w:sz w:val="20"/>
                <w:szCs w:val="20"/>
                <w:color w:val="auto"/>
              </w:rPr>
            </w:pPr>
            <w:r>
              <w:rPr>
                <w:rFonts w:ascii="Arial" w:cs="Arial" w:eastAsia="Arial" w:hAnsi="Arial"/>
                <w:sz w:val="16"/>
                <w:szCs w:val="16"/>
                <w:b w:val="1"/>
                <w:bCs w:val="1"/>
                <w:color w:val="auto"/>
              </w:rPr>
              <w:t>Contributions in (Losses) in Last</w:t>
            </w:r>
          </w:p>
        </w:tc>
        <w:tc>
          <w:tcPr>
            <w:tcW w:w="3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at Last Fiscal Year-</w:t>
            </w:r>
          </w:p>
        </w:tc>
        <w:tc>
          <w:tcPr>
            <w:tcW w:w="0" w:type="dxa"/>
            <w:vAlign w:val="bottom"/>
          </w:tcPr>
          <w:p>
            <w:pPr>
              <w:spacing w:after="0"/>
              <w:rPr>
                <w:sz w:val="1"/>
                <w:szCs w:val="1"/>
                <w:color w:val="auto"/>
              </w:rPr>
            </w:pPr>
          </w:p>
        </w:tc>
      </w:tr>
      <w:tr>
        <w:trPr>
          <w:trHeight w:val="215"/>
        </w:trPr>
        <w:tc>
          <w:tcPr>
            <w:tcW w:w="2260" w:type="dxa"/>
            <w:vAlign w:val="bottom"/>
            <w:tcBorders>
              <w:bottom w:val="single" w:sz="8" w:color="BD03F7"/>
            </w:tcBorders>
            <w:vMerge w:val="continue"/>
          </w:tcPr>
          <w:p>
            <w:pPr>
              <w:spacing w:after="0"/>
              <w:rPr>
                <w:sz w:val="18"/>
                <w:szCs w:val="18"/>
                <w:color w:val="auto"/>
              </w:rPr>
            </w:pPr>
          </w:p>
        </w:tc>
        <w:tc>
          <w:tcPr>
            <w:tcW w:w="1040" w:type="dxa"/>
            <w:vAlign w:val="bottom"/>
            <w:tcBorders>
              <w:bottom w:val="single" w:sz="8" w:color="BD03F7"/>
            </w:tcBorders>
          </w:tcPr>
          <w:p>
            <w:pPr>
              <w:spacing w:after="0"/>
              <w:rPr>
                <w:sz w:val="18"/>
                <w:szCs w:val="18"/>
                <w:color w:val="auto"/>
              </w:rPr>
            </w:pPr>
          </w:p>
        </w:tc>
        <w:tc>
          <w:tcPr>
            <w:tcW w:w="1500" w:type="dxa"/>
            <w:vAlign w:val="bottom"/>
            <w:tcBorders>
              <w:bottom w:val="single" w:sz="8" w:color="BD03F7"/>
            </w:tcBorders>
          </w:tcPr>
          <w:p>
            <w:pPr>
              <w:jc w:val="center"/>
              <w:ind w:right="79"/>
              <w:spacing w:after="0"/>
              <w:rPr>
                <w:sz w:val="20"/>
                <w:szCs w:val="20"/>
                <w:color w:val="auto"/>
              </w:rPr>
            </w:pPr>
            <w:r>
              <w:rPr>
                <w:rFonts w:ascii="Arial" w:cs="Arial" w:eastAsia="Arial" w:hAnsi="Arial"/>
                <w:sz w:val="16"/>
                <w:szCs w:val="16"/>
                <w:b w:val="1"/>
                <w:bCs w:val="1"/>
                <w:color w:val="auto"/>
              </w:rPr>
              <w:t>Last Fiscal Year</w:t>
            </w:r>
          </w:p>
        </w:tc>
        <w:tc>
          <w:tcPr>
            <w:tcW w:w="1520" w:type="dxa"/>
            <w:vAlign w:val="bottom"/>
            <w:tcBorders>
              <w:bottom w:val="single" w:sz="8" w:color="BD03F7"/>
            </w:tcBorders>
            <w:gridSpan w:val="2"/>
          </w:tcPr>
          <w:p>
            <w:pPr>
              <w:ind w:left="60"/>
              <w:spacing w:after="0"/>
              <w:rPr>
                <w:sz w:val="20"/>
                <w:szCs w:val="20"/>
                <w:color w:val="auto"/>
              </w:rPr>
            </w:pPr>
            <w:r>
              <w:rPr>
                <w:rFonts w:ascii="Arial" w:cs="Arial" w:eastAsia="Arial" w:hAnsi="Arial"/>
                <w:sz w:val="16"/>
                <w:szCs w:val="16"/>
                <w:b w:val="1"/>
                <w:bCs w:val="1"/>
                <w:color w:val="auto"/>
              </w:rPr>
              <w:t>Last Fiscal Year</w:t>
            </w:r>
          </w:p>
        </w:tc>
        <w:tc>
          <w:tcPr>
            <w:tcW w:w="1120" w:type="dxa"/>
            <w:vAlign w:val="bottom"/>
            <w:tcBorders>
              <w:bottom w:val="single" w:sz="8" w:color="BD03F7"/>
            </w:tcBorders>
          </w:tcPr>
          <w:p>
            <w:pPr>
              <w:jc w:val="center"/>
              <w:ind w:right="79"/>
              <w:spacing w:after="0"/>
              <w:rPr>
                <w:sz w:val="20"/>
                <w:szCs w:val="20"/>
                <w:color w:val="auto"/>
              </w:rPr>
            </w:pPr>
            <w:r>
              <w:rPr>
                <w:rFonts w:ascii="Arial" w:cs="Arial" w:eastAsia="Arial" w:hAnsi="Arial"/>
                <w:sz w:val="16"/>
                <w:szCs w:val="16"/>
                <w:b w:val="1"/>
                <w:bCs w:val="1"/>
                <w:color w:val="auto"/>
                <w:w w:val="99"/>
              </w:rPr>
              <w:t>Fiscal Year</w:t>
            </w:r>
          </w:p>
        </w:tc>
        <w:tc>
          <w:tcPr>
            <w:tcW w:w="2040" w:type="dxa"/>
            <w:vAlign w:val="bottom"/>
            <w:tcBorders>
              <w:bottom w:val="single" w:sz="8" w:color="BD03F7"/>
            </w:tcBorders>
            <w:gridSpan w:val="2"/>
          </w:tcPr>
          <w:p>
            <w:pPr>
              <w:ind w:left="20"/>
              <w:spacing w:after="0"/>
              <w:rPr>
                <w:sz w:val="20"/>
                <w:szCs w:val="20"/>
                <w:color w:val="auto"/>
              </w:rPr>
            </w:pPr>
            <w:r>
              <w:rPr>
                <w:rFonts w:ascii="Arial" w:cs="Arial" w:eastAsia="Arial" w:hAnsi="Arial"/>
                <w:sz w:val="16"/>
                <w:szCs w:val="16"/>
                <w:b w:val="1"/>
                <w:bCs w:val="1"/>
                <w:color w:val="auto"/>
              </w:rPr>
              <w:t>Withdrawals/Distributions</w:t>
            </w:r>
          </w:p>
        </w:tc>
        <w:tc>
          <w:tcPr>
            <w:tcW w:w="320" w:type="dxa"/>
            <w:vAlign w:val="bottom"/>
            <w:tcBorders>
              <w:bottom w:val="single" w:sz="8" w:color="BD03F7"/>
            </w:tcBorders>
          </w:tcPr>
          <w:p>
            <w:pPr>
              <w:spacing w:after="0"/>
              <w:rPr>
                <w:sz w:val="18"/>
                <w:szCs w:val="18"/>
                <w:color w:val="auto"/>
              </w:rPr>
            </w:pPr>
          </w:p>
        </w:tc>
        <w:tc>
          <w:tcPr>
            <w:tcW w:w="1340" w:type="dxa"/>
            <w:vAlign w:val="bottom"/>
            <w:tcBorders>
              <w:bottom w:val="single" w:sz="8" w:color="BD03F7"/>
            </w:tcBorders>
          </w:tcPr>
          <w:p>
            <w:pPr>
              <w:jc w:val="center"/>
              <w:ind w:right="239"/>
              <w:spacing w:after="0"/>
              <w:rPr>
                <w:sz w:val="20"/>
                <w:szCs w:val="20"/>
                <w:color w:val="auto"/>
              </w:rPr>
            </w:pPr>
            <w:r>
              <w:rPr>
                <w:rFonts w:ascii="Arial" w:cs="Arial" w:eastAsia="Arial" w:hAnsi="Arial"/>
                <w:sz w:val="16"/>
                <w:szCs w:val="16"/>
                <w:b w:val="1"/>
                <w:bCs w:val="1"/>
                <w:color w:val="auto"/>
                <w:w w:val="99"/>
              </w:rPr>
              <w:t>End</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Sanjay Mehrotra</w:t>
            </w:r>
          </w:p>
        </w:tc>
        <w:tc>
          <w:tcPr>
            <w:tcW w:w="104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455,724  (1)</w:t>
            </w:r>
          </w:p>
        </w:tc>
        <w:tc>
          <w:tcPr>
            <w:tcW w:w="18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D03F7"/>
            </w:tcBorders>
          </w:tcPr>
          <w:p>
            <w:pPr>
              <w:ind w:left="9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1,333,464</w:t>
            </w:r>
          </w:p>
        </w:tc>
        <w:tc>
          <w:tcPr>
            <w:tcW w:w="36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(3,318,006)</w:t>
            </w:r>
          </w:p>
        </w:tc>
        <w:tc>
          <w:tcPr>
            <w:tcW w:w="320" w:type="dxa"/>
            <w:vAlign w:val="bottom"/>
            <w:tcBorders>
              <w:bottom w:val="single" w:sz="8" w:color="BD03F7"/>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6,535,730  (2)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Included in the Summary Compensation table in the “Salary” column for Fiscal 2024.</w:t>
      </w:r>
    </w:p>
    <w:p>
      <w:pPr>
        <w:spacing w:after="0" w:line="250"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Balance as of the beginning of Fiscal 2024 was $8,064,548.</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MATERIAL TERMS OF DEFERRED COMPENSATION PLAN</w:t>
      </w:r>
    </w:p>
    <w:p>
      <w:pPr>
        <w:spacing w:after="0" w:line="241"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w:t>
      </w:r>
    </w:p>
    <w:p>
      <w:pPr>
        <w:spacing w:after="0" w:line="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Compensation Plan and selected by the participants. Incentive compensation that is subject to our Recoupment Policy remains subject to that policy when deferred under the Deferred Compensation Plan. Compensation deferred under the Deferred Compensation Plan represents an</w:t>
      </w:r>
    </w:p>
    <w:p>
      <w:pPr>
        <w:spacing w:after="0" w:line="1" w:lineRule="exact"/>
        <w:rPr>
          <w:sz w:val="20"/>
          <w:szCs w:val="20"/>
          <w:color w:val="auto"/>
        </w:rPr>
      </w:pPr>
    </w:p>
    <w:p>
      <w:pPr>
        <w:ind w:right="940"/>
        <w:spacing w:after="0" w:line="249" w:lineRule="auto"/>
        <w:rPr>
          <w:sz w:val="20"/>
          <w:szCs w:val="20"/>
          <w:color w:val="auto"/>
        </w:rPr>
      </w:pPr>
      <w:r>
        <w:rPr>
          <w:rFonts w:ascii="Arial" w:cs="Arial" w:eastAsia="Arial" w:hAnsi="Arial"/>
          <w:sz w:val="18"/>
          <w:szCs w:val="18"/>
          <w:color w:val="auto"/>
        </w:rPr>
        <w:t>unsecured obligation of the Company. Amounts deferred under the Deferred Compensation Plan are held in a separate rabbi trust established to pay Plan benefits.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046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Chief Executive Officer to the annual total compensation of our median compensated employee.</w:t>
      </w:r>
    </w:p>
    <w:p>
      <w:pPr>
        <w:spacing w:after="0" w:line="181" w:lineRule="exact"/>
        <w:rPr>
          <w:sz w:val="20"/>
          <w:szCs w:val="20"/>
          <w:color w:val="auto"/>
        </w:rPr>
      </w:pPr>
    </w:p>
    <w:p>
      <w:pPr>
        <w:ind w:left="640" w:hanging="310"/>
        <w:spacing w:after="0"/>
        <w:tabs>
          <w:tab w:leader="none" w:pos="640" w:val="left"/>
        </w:tabs>
        <w:numPr>
          <w:ilvl w:val="0"/>
          <w:numId w:val="71"/>
        </w:numPr>
        <w:rPr>
          <w:rFonts w:ascii="Arial" w:cs="Arial" w:eastAsia="Arial" w:hAnsi="Arial"/>
          <w:sz w:val="18"/>
          <w:szCs w:val="18"/>
          <w:color w:val="BD03F7"/>
        </w:rPr>
      </w:pPr>
      <w:r>
        <w:rPr>
          <w:rFonts w:ascii="Arial" w:cs="Arial" w:eastAsia="Arial" w:hAnsi="Arial"/>
          <w:sz w:val="18"/>
          <w:szCs w:val="18"/>
          <w:color w:val="auto"/>
        </w:rPr>
        <w:t>The annual total compensation of our median compensated employee for Fiscal 2024 was $64,042.</w:t>
      </w:r>
    </w:p>
    <w:p>
      <w:pPr>
        <w:spacing w:after="0" w:line="26" w:lineRule="exact"/>
        <w:rPr>
          <w:rFonts w:ascii="Arial" w:cs="Arial" w:eastAsia="Arial" w:hAnsi="Arial"/>
          <w:sz w:val="18"/>
          <w:szCs w:val="18"/>
          <w:color w:val="BD03F7"/>
        </w:rPr>
      </w:pPr>
    </w:p>
    <w:p>
      <w:pPr>
        <w:ind w:left="640" w:hanging="310"/>
        <w:spacing w:after="0"/>
        <w:tabs>
          <w:tab w:leader="none" w:pos="640" w:val="left"/>
        </w:tabs>
        <w:numPr>
          <w:ilvl w:val="0"/>
          <w:numId w:val="71"/>
        </w:numPr>
        <w:rPr>
          <w:rFonts w:ascii="Arial" w:cs="Arial" w:eastAsia="Arial" w:hAnsi="Arial"/>
          <w:sz w:val="18"/>
          <w:szCs w:val="18"/>
          <w:color w:val="BD03F7"/>
        </w:rPr>
      </w:pPr>
      <w:r>
        <w:rPr>
          <w:rFonts w:ascii="Arial" w:cs="Arial" w:eastAsia="Arial" w:hAnsi="Arial"/>
          <w:sz w:val="18"/>
          <w:szCs w:val="18"/>
          <w:color w:val="auto"/>
        </w:rPr>
        <w:t>The annual total compensation of our Chief Executive Officer for Fiscal 2024 was $30,060,126.</w:t>
      </w:r>
    </w:p>
    <w:p>
      <w:pPr>
        <w:spacing w:after="0" w:line="8" w:lineRule="exact"/>
        <w:rPr>
          <w:rFonts w:ascii="Arial" w:cs="Arial" w:eastAsia="Arial" w:hAnsi="Arial"/>
          <w:sz w:val="18"/>
          <w:szCs w:val="18"/>
          <w:color w:val="BD03F7"/>
        </w:rPr>
      </w:pPr>
    </w:p>
    <w:p>
      <w:pPr>
        <w:ind w:left="660" w:right="740" w:hanging="330"/>
        <w:spacing w:after="0" w:line="264" w:lineRule="auto"/>
        <w:tabs>
          <w:tab w:leader="none" w:pos="655" w:val="left"/>
        </w:tabs>
        <w:numPr>
          <w:ilvl w:val="0"/>
          <w:numId w:val="71"/>
        </w:numPr>
        <w:rPr>
          <w:rFonts w:ascii="Arial" w:cs="Arial" w:eastAsia="Arial" w:hAnsi="Arial"/>
          <w:sz w:val="18"/>
          <w:szCs w:val="18"/>
          <w:color w:val="BD03F7"/>
        </w:rPr>
      </w:pPr>
      <w:r>
        <w:rPr>
          <w:rFonts w:ascii="Arial" w:cs="Arial" w:eastAsia="Arial" w:hAnsi="Arial"/>
          <w:sz w:val="18"/>
          <w:szCs w:val="18"/>
          <w:color w:val="auto"/>
        </w:rPr>
        <w:t>The ratio of the annual total compensation of our Chief Executive Officer to that of our median employee for Fiscal 2024 was estimated to be 469 to 1.</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median compensated employee generally is the employee whose annual total compensation is at the midpoint of our employees (excluding our Chief Executive Officer), ranked in order of their compensation amounts. As permitted by the SEC rules, we used base salary, bonuses, and grant date fair value of equity awards granted to employees in Fiscal 2024, as reported in our payroll data, to identify our median employee. When calculating our median compensation for Fiscal 2024, we utilized our global employee population and exchange rates as of August 29, 2024. As of August 29, 2024, our employee population was approximately 48,000. This includes all regular, part-time, and temporary employees. No exclusions were made for countries, employee types, or acquisitions.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median compensated employee for Fiscal 2024 was a Manufacturing Engineer in Taiwan. We determined actual annual total compensation in accordance with Item 402(c)(2)(x) of Regulation S-K and in the same manner as our Chief Executive Officer in the Summary Compensation Table using the daily average Taiwan dollar exchange rates for compensation paid to the median compensated employee during Fiscal 2024. We compared this value to the annual total compensation of our Chief Executive Officer for purposes of the ratio set forth above. We did not make any cost-of-living adjustments.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of the annual total compensation of our Chief Executive Officer to the annual total compensation of the median compensated employee for Fiscal 2024 is a reasonable estimate calculated in a manner consistent with Item 402(u) of Regulation S-K.</w:t>
      </w:r>
    </w:p>
    <w:p>
      <w:pPr>
        <w:spacing w:after="0" w:line="258" w:lineRule="exact"/>
        <w:rPr>
          <w:sz w:val="20"/>
          <w:szCs w:val="20"/>
          <w:color w:val="auto"/>
        </w:rPr>
      </w:pPr>
    </w:p>
    <w:p>
      <w:pPr>
        <w:ind w:left="20" w:right="700"/>
        <w:spacing w:after="0" w:line="296" w:lineRule="auto"/>
        <w:rPr>
          <w:sz w:val="20"/>
          <w:szCs w:val="20"/>
          <w:color w:val="auto"/>
        </w:rPr>
      </w:pPr>
      <w:r>
        <w:rPr>
          <w:rFonts w:ascii="Arial" w:cs="Arial" w:eastAsia="Arial" w:hAnsi="Arial"/>
          <w:sz w:val="36"/>
          <w:szCs w:val="36"/>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046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following tables quantify the estimated payments and benefits for each of our Named Executive Officers pursuant to the Executive Agreement and Named Executive Officer Severance Agreements and in the event of a Change in Control as described in the “Severance and Change in Control Arrangements” section of the “Compensation Discussion and Analysis.” The amounts listed for the continuing Named Executive Officers are estimated amounts that were calculated as if a Change in Control occurred on August 29, 2024, or the Named Executive Officers separated from service on August 29, 2024, the last day of Fiscal 2024.</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WITHOUT CHANGE IN CONTROL</w:t>
      </w:r>
    </w:p>
    <w:p>
      <w:pPr>
        <w:spacing w:after="0" w:line="241"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All the Named Executive Officers have severance agreements. Payments and benefits upon termination for Messrs. Mehrotra, Murphy, Bhatia, DeBoer and Sadana are payable only if their employment with the Company terminates as a result of death or disability (for Messrs. Mehrotra, Murphy, Bhatia and Sadana) the Company terminates their employment without cause, or they resign for good reason.</w:t>
      </w:r>
    </w:p>
    <w:p>
      <w:pPr>
        <w:spacing w:after="0" w:line="1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subject to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06"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“Bonus” portion of the severance payments includes a component that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would receive a separate bonus severance payment equal to two times his target annual bonus under the STI plan for the year of termination paid on the anniversary of his termination.</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with the exception of Mr. Mehrotra, who would receive two times this amount. These “Cash in Lieu of Benefits” payments will be made in a lump sum within 60 days after the Named Executive Officer’s separation from service for Dr. DeBoer or Mr. Mehrotra, and in roughly equal installments over the Transition Period for our other Named Executive Officers, subject to the possibility of a six-month delay that may be required by Section 409A. To the extent that Section 409A imposes a six-month delay, these payments would commence on the first day of the seventh month following the officer’s separation from service.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tbl>
      <w:tblPr>
        <w:tblLayout w:type="fixed"/>
        <w:tblInd w:w="12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814"/>
        </w:trPr>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Value of</w:t>
            </w:r>
          </w:p>
        </w:tc>
        <w:tc>
          <w:tcPr>
            <w:tcW w:w="120" w:type="dxa"/>
            <w:vAlign w:val="bottom"/>
          </w:tcPr>
          <w:p>
            <w:pPr>
              <w:spacing w:after="0"/>
              <w:rPr>
                <w:sz w:val="24"/>
                <w:szCs w:val="24"/>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Value of</w:t>
            </w:r>
          </w:p>
        </w:tc>
        <w:tc>
          <w:tcPr>
            <w:tcW w:w="100" w:type="dxa"/>
            <w:vAlign w:val="bottom"/>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Cash in Lieu of</w:t>
            </w: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
              <w:spacing w:after="0" w:line="161" w:lineRule="exact"/>
              <w:rPr>
                <w:sz w:val="20"/>
                <w:szCs w:val="20"/>
                <w:color w:val="auto"/>
              </w:rPr>
            </w:pPr>
            <w:r>
              <w:rPr>
                <w:rFonts w:ascii="Arial" w:cs="Arial" w:eastAsia="Arial" w:hAnsi="Arial"/>
                <w:sz w:val="16"/>
                <w:szCs w:val="16"/>
                <w:b w:val="1"/>
                <w:bCs w:val="1"/>
                <w:color w:val="auto"/>
              </w:rPr>
              <w:t>Unearned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9"/>
              <w:spacing w:after="0" w:line="161" w:lineRule="exact"/>
              <w:rPr>
                <w:sz w:val="20"/>
                <w:szCs w:val="20"/>
                <w:color w:val="auto"/>
              </w:rPr>
            </w:pPr>
            <w:r>
              <w:rPr>
                <w:rFonts w:ascii="Arial" w:cs="Arial" w:eastAsia="Arial" w:hAnsi="Arial"/>
                <w:sz w:val="16"/>
                <w:szCs w:val="16"/>
                <w:b w:val="1"/>
                <w:bCs w:val="1"/>
                <w:color w:val="auto"/>
                <w:w w:val="99"/>
              </w:rPr>
              <w:t>Extended</w:t>
            </w:r>
          </w:p>
        </w:tc>
        <w:tc>
          <w:tcPr>
            <w:tcW w:w="120" w:type="dxa"/>
            <w:vAlign w:val="bottom"/>
          </w:tcPr>
          <w:p>
            <w:pPr>
              <w:spacing w:after="0"/>
              <w:rPr>
                <w:sz w:val="14"/>
                <w:szCs w:val="14"/>
                <w:color w:val="auto"/>
              </w:rPr>
            </w:pP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Performance -</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40" w:type="dxa"/>
            <w:vAlign w:val="bottom"/>
          </w:tcPr>
          <w:p>
            <w:pPr>
              <w:spacing w:after="0"/>
              <w:rPr>
                <w:sz w:val="14"/>
                <w:szCs w:val="14"/>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Salary(1)(3)</w:t>
            </w:r>
          </w:p>
        </w:tc>
        <w:tc>
          <w:tcPr>
            <w:tcW w:w="180" w:type="dxa"/>
            <w:vAlign w:val="bottom"/>
          </w:tcPr>
          <w:p>
            <w:pPr>
              <w:spacing w:after="0"/>
              <w:rPr>
                <w:sz w:val="14"/>
                <w:szCs w:val="14"/>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Bonus(2)(3)</w:t>
            </w:r>
          </w:p>
        </w:tc>
        <w:tc>
          <w:tcPr>
            <w:tcW w:w="200" w:type="dxa"/>
            <w:vAlign w:val="bottom"/>
          </w:tcPr>
          <w:p>
            <w:pPr>
              <w:spacing w:after="0"/>
              <w:rPr>
                <w:sz w:val="14"/>
                <w:szCs w:val="14"/>
                <w:color w:val="auto"/>
              </w:rPr>
            </w:pPr>
          </w:p>
        </w:tc>
        <w:tc>
          <w:tcPr>
            <w:tcW w:w="112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rPr>
              <w:t>Benefits</w:t>
            </w:r>
          </w:p>
        </w:tc>
        <w:tc>
          <w:tcPr>
            <w:tcW w:w="134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4"/>
                <w:szCs w:val="14"/>
                <w:color w:val="auto"/>
              </w:rPr>
            </w:pP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Based Stock</w:t>
            </w:r>
          </w:p>
        </w:tc>
        <w:tc>
          <w:tcPr>
            <w:tcW w:w="100" w:type="dxa"/>
            <w:vAlign w:val="bottom"/>
          </w:tcPr>
          <w:p>
            <w:pPr>
              <w:spacing w:after="0"/>
              <w:rPr>
                <w:sz w:val="14"/>
                <w:szCs w:val="14"/>
                <w:color w:val="auto"/>
              </w:rPr>
            </w:pPr>
          </w:p>
        </w:tc>
        <w:tc>
          <w:tcPr>
            <w:tcW w:w="13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Payment(4)</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Vesting(5)</w:t>
            </w:r>
          </w:p>
        </w:tc>
        <w:tc>
          <w:tcPr>
            <w:tcW w:w="120" w:type="dxa"/>
            <w:vAlign w:val="bottom"/>
          </w:tcPr>
          <w:p>
            <w:pPr>
              <w:spacing w:after="0"/>
              <w:rPr>
                <w:sz w:val="18"/>
                <w:szCs w:val="18"/>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auto"/>
              </w:rPr>
              <w:t>Awards(6)</w:t>
            </w: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40" w:type="dxa"/>
            <w:vAlign w:val="bottom"/>
            <w:tcBorders>
              <w:top w:val="single" w:sz="8" w:color="BD03F7"/>
            </w:tcBorders>
          </w:tcPr>
          <w:p>
            <w:pPr>
              <w:spacing w:after="0"/>
              <w:rPr>
                <w:sz w:val="2"/>
                <w:szCs w:val="2"/>
                <w:color w:val="auto"/>
              </w:rPr>
            </w:pPr>
          </w:p>
        </w:tc>
        <w:tc>
          <w:tcPr>
            <w:tcW w:w="1040" w:type="dxa"/>
            <w:vAlign w:val="bottom"/>
            <w:tcBorders>
              <w:top w:val="single" w:sz="8" w:color="BD03F7"/>
            </w:tcBorders>
          </w:tcPr>
          <w:p>
            <w:pPr>
              <w:spacing w:after="0"/>
              <w:rPr>
                <w:sz w:val="2"/>
                <w:szCs w:val="2"/>
                <w:color w:val="auto"/>
              </w:rPr>
            </w:pPr>
          </w:p>
        </w:tc>
        <w:tc>
          <w:tcPr>
            <w:tcW w:w="1120" w:type="dxa"/>
            <w:vAlign w:val="bottom"/>
            <w:tcBorders>
              <w:top w:val="single" w:sz="8" w:color="BD03F7"/>
            </w:tcBorders>
          </w:tcPr>
          <w:p>
            <w:pPr>
              <w:spacing w:after="0"/>
              <w:rPr>
                <w:sz w:val="2"/>
                <w:szCs w:val="2"/>
                <w:color w:val="auto"/>
              </w:rPr>
            </w:pPr>
          </w:p>
        </w:tc>
        <w:tc>
          <w:tcPr>
            <w:tcW w:w="180" w:type="dxa"/>
            <w:vAlign w:val="bottom"/>
            <w:tcBorders>
              <w:top w:val="single" w:sz="8" w:color="BD03F7"/>
            </w:tcBorders>
          </w:tcPr>
          <w:p>
            <w:pPr>
              <w:spacing w:after="0"/>
              <w:rPr>
                <w:sz w:val="2"/>
                <w:szCs w:val="2"/>
                <w:color w:val="auto"/>
              </w:rPr>
            </w:pPr>
          </w:p>
        </w:tc>
        <w:tc>
          <w:tcPr>
            <w:tcW w:w="1140" w:type="dxa"/>
            <w:vAlign w:val="bottom"/>
            <w:tcBorders>
              <w:top w:val="single" w:sz="8" w:color="BD03F7"/>
            </w:tcBorders>
          </w:tcPr>
          <w:p>
            <w:pPr>
              <w:spacing w:after="0"/>
              <w:rPr>
                <w:sz w:val="2"/>
                <w:szCs w:val="2"/>
                <w:color w:val="auto"/>
              </w:rPr>
            </w:pPr>
          </w:p>
        </w:tc>
        <w:tc>
          <w:tcPr>
            <w:tcW w:w="200" w:type="dxa"/>
            <w:vAlign w:val="bottom"/>
            <w:tcBorders>
              <w:top w:val="single" w:sz="8" w:color="BD03F7"/>
            </w:tcBorders>
          </w:tcPr>
          <w:p>
            <w:pPr>
              <w:spacing w:after="0"/>
              <w:rPr>
                <w:sz w:val="2"/>
                <w:szCs w:val="2"/>
                <w:color w:val="auto"/>
              </w:rPr>
            </w:pPr>
          </w:p>
        </w:tc>
        <w:tc>
          <w:tcPr>
            <w:tcW w:w="1120" w:type="dxa"/>
            <w:vAlign w:val="bottom"/>
            <w:tcBorders>
              <w:top w:val="single" w:sz="8" w:color="BD03F7"/>
            </w:tcBorders>
          </w:tcPr>
          <w:p>
            <w:pPr>
              <w:spacing w:after="0"/>
              <w:rPr>
                <w:sz w:val="2"/>
                <w:szCs w:val="2"/>
                <w:color w:val="auto"/>
              </w:rPr>
            </w:pPr>
          </w:p>
        </w:tc>
        <w:tc>
          <w:tcPr>
            <w:tcW w:w="220" w:type="dxa"/>
            <w:vAlign w:val="bottom"/>
            <w:tcBorders>
              <w:top w:val="single" w:sz="8" w:color="BD03F7"/>
            </w:tcBorders>
          </w:tcPr>
          <w:p>
            <w:pPr>
              <w:spacing w:after="0"/>
              <w:rPr>
                <w:sz w:val="2"/>
                <w:szCs w:val="2"/>
                <w:color w:val="auto"/>
              </w:rPr>
            </w:pPr>
          </w:p>
        </w:tc>
        <w:tc>
          <w:tcPr>
            <w:tcW w:w="1120" w:type="dxa"/>
            <w:vAlign w:val="bottom"/>
            <w:tcBorders>
              <w:top w:val="single" w:sz="8" w:color="BD03F7"/>
            </w:tcBorders>
          </w:tcPr>
          <w:p>
            <w:pPr>
              <w:spacing w:after="0"/>
              <w:rPr>
                <w:sz w:val="2"/>
                <w:szCs w:val="2"/>
                <w:color w:val="auto"/>
              </w:rPr>
            </w:pPr>
          </w:p>
        </w:tc>
        <w:tc>
          <w:tcPr>
            <w:tcW w:w="120" w:type="dxa"/>
            <w:vAlign w:val="bottom"/>
            <w:tcBorders>
              <w:top w:val="single" w:sz="8" w:color="BD03F7"/>
            </w:tcBorders>
          </w:tcPr>
          <w:p>
            <w:pPr>
              <w:spacing w:after="0"/>
              <w:rPr>
                <w:sz w:val="2"/>
                <w:szCs w:val="2"/>
                <w:color w:val="auto"/>
              </w:rPr>
            </w:pPr>
          </w:p>
        </w:tc>
        <w:tc>
          <w:tcPr>
            <w:tcW w:w="1160" w:type="dxa"/>
            <w:vAlign w:val="bottom"/>
            <w:tcBorders>
              <w:top w:val="single" w:sz="8" w:color="BD03F7"/>
            </w:tcBorders>
          </w:tcPr>
          <w:p>
            <w:pPr>
              <w:spacing w:after="0"/>
              <w:rPr>
                <w:sz w:val="2"/>
                <w:szCs w:val="2"/>
                <w:color w:val="auto"/>
              </w:rPr>
            </w:pPr>
          </w:p>
        </w:tc>
        <w:tc>
          <w:tcPr>
            <w:tcW w:w="100" w:type="dxa"/>
            <w:vAlign w:val="bottom"/>
            <w:tcBorders>
              <w:top w:val="single" w:sz="8" w:color="BD03F7"/>
            </w:tcBorders>
          </w:tcPr>
          <w:p>
            <w:pPr>
              <w:spacing w:after="0"/>
              <w:rPr>
                <w:sz w:val="2"/>
                <w:szCs w:val="2"/>
                <w:color w:val="auto"/>
              </w:rPr>
            </w:pPr>
          </w:p>
        </w:tc>
        <w:tc>
          <w:tcPr>
            <w:tcW w:w="1260" w:type="dxa"/>
            <w:vAlign w:val="bottom"/>
            <w:tcBorders>
              <w:top w:val="single" w:sz="8" w:color="BD03F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0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2,836,000</w:t>
            </w:r>
          </w:p>
        </w:tc>
        <w:tc>
          <w:tcPr>
            <w:tcW w:w="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10,944,834</w:t>
            </w:r>
          </w:p>
        </w:tc>
        <w:tc>
          <w:tcPr>
            <w:tcW w:w="2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338,700</w:t>
            </w:r>
          </w:p>
        </w:tc>
        <w:tc>
          <w:tcPr>
            <w:tcW w:w="2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16,578,337</w:t>
            </w: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70,691,810</w:t>
            </w:r>
          </w:p>
        </w:tc>
        <w:tc>
          <w:tcPr>
            <w:tcW w:w="136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   101,389,681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0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775,000</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1,540,313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40,648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7,150,356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26,709,636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36,215,953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04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800,000</w:t>
            </w:r>
          </w:p>
        </w:tc>
        <w:tc>
          <w:tcPr>
            <w:tcW w:w="18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1,590,000</w:t>
            </w:r>
          </w:p>
        </w:tc>
        <w:tc>
          <w:tcPr>
            <w:tcW w:w="20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39,816</w:t>
            </w:r>
          </w:p>
        </w:tc>
        <w:tc>
          <w:tcPr>
            <w:tcW w:w="2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6,456,231</w:t>
            </w: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23,259,895</w:t>
            </w:r>
          </w:p>
        </w:tc>
        <w:tc>
          <w:tcPr>
            <w:tcW w:w="136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32,145,942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0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624,750</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1,618,103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82,176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5,110,510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18,371,949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25,807,488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04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825,000</w:t>
            </w:r>
          </w:p>
        </w:tc>
        <w:tc>
          <w:tcPr>
            <w:tcW w:w="180" w:type="dxa"/>
            <w:vAlign w:val="bottom"/>
            <w:tcBorders>
              <w:bottom w:val="single" w:sz="8" w:color="BD03F7"/>
            </w:tcBorders>
            <w:shd w:val="clear" w:color="auto" w:fill="F2F2F2"/>
          </w:tcPr>
          <w:p>
            <w:pPr>
              <w:spacing w:after="0"/>
              <w:rPr>
                <w:sz w:val="19"/>
                <w:szCs w:val="19"/>
                <w:color w:val="auto"/>
              </w:rPr>
            </w:pPr>
          </w:p>
        </w:tc>
        <w:tc>
          <w:tcPr>
            <w:tcW w:w="11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1,803,656</w:t>
            </w:r>
          </w:p>
        </w:tc>
        <w:tc>
          <w:tcPr>
            <w:tcW w:w="20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34,822</w:t>
            </w:r>
          </w:p>
        </w:tc>
        <w:tc>
          <w:tcPr>
            <w:tcW w:w="22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6,591,463</w:t>
            </w:r>
          </w:p>
        </w:tc>
        <w:tc>
          <w:tcPr>
            <w:tcW w:w="120" w:type="dxa"/>
            <w:vAlign w:val="bottom"/>
            <w:tcBorders>
              <w:bottom w:val="single" w:sz="8" w:color="BD03F7"/>
            </w:tcBorders>
            <w:shd w:val="clear" w:color="auto" w:fill="F2F2F2"/>
          </w:tcPr>
          <w:p>
            <w:pPr>
              <w:spacing w:after="0"/>
              <w:rPr>
                <w:sz w:val="19"/>
                <w:szCs w:val="19"/>
                <w:color w:val="auto"/>
              </w:rPr>
            </w:pPr>
          </w:p>
        </w:tc>
        <w:tc>
          <w:tcPr>
            <w:tcW w:w="11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23,795,642</w:t>
            </w:r>
          </w:p>
        </w:tc>
        <w:tc>
          <w:tcPr>
            <w:tcW w:w="1360" w:type="dxa"/>
            <w:vAlign w:val="bottom"/>
            <w:tcBorders>
              <w:bottom w:val="single" w:sz="8" w:color="BD03F7"/>
            </w:tcBorders>
            <w:gridSpan w:val="2"/>
            <w:shd w:val="clear" w:color="auto" w:fill="F2F2F2"/>
          </w:tcPr>
          <w:p>
            <w:pPr>
              <w:jc w:val="right"/>
              <w:spacing w:after="0"/>
              <w:rPr>
                <w:sz w:val="20"/>
                <w:szCs w:val="20"/>
                <w:color w:val="auto"/>
              </w:rPr>
            </w:pPr>
            <w:r>
              <w:rPr>
                <w:rFonts w:ascii="Arial" w:cs="Arial" w:eastAsia="Arial" w:hAnsi="Arial"/>
                <w:sz w:val="16"/>
                <w:szCs w:val="16"/>
                <w:color w:val="auto"/>
              </w:rPr>
              <w:t>33,050,583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0" w:hanging="332"/>
        <w:spacing w:after="0" w:line="267"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August 29, 2024, except the figure for Mr. Mehrotra, which represents two years of salary as of August 29, 2024, and the figure for Dr. DeBoer, which represents one year of his Fiscal 2023 salary prior to reduction.</w:t>
      </w:r>
    </w:p>
    <w:p>
      <w:pPr>
        <w:spacing w:after="0" w:line="197" w:lineRule="exact"/>
        <w:rPr>
          <w:rFonts w:ascii="Arial" w:cs="Arial" w:eastAsia="Arial" w:hAnsi="Arial"/>
          <w:sz w:val="18"/>
          <w:szCs w:val="18"/>
          <w:color w:val="auto"/>
        </w:rPr>
      </w:pPr>
    </w:p>
    <w:p>
      <w:pPr>
        <w:ind w:left="340" w:right="40" w:hanging="332"/>
        <w:spacing w:after="0" w:line="258"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for Mr. Mehrotra, a bonus severance payment equal to two times his target annual bonus, and for Dr. DeBoer, a bonus severance payment equal to the actual bonus he would earn for Fiscal 2025 (assuming, for purposes of this disclosure, that attainment of the Fiscal 2025 bonus would be at target levels). This column also includes the actual STI bonus paid for Fiscal 2024 for each Named Executive Officer. The bonus severance payments for Dr. DeBoer are limited to the amounts that would have been payable for the relevant periods based on his Fiscal 2023 salary and bonus opportunity percentage prior to reduction.</w:t>
      </w:r>
    </w:p>
    <w:p>
      <w:pPr>
        <w:spacing w:after="0" w:line="205" w:lineRule="exact"/>
        <w:rPr>
          <w:rFonts w:ascii="Arial" w:cs="Arial" w:eastAsia="Arial" w:hAnsi="Arial"/>
          <w:sz w:val="18"/>
          <w:szCs w:val="18"/>
          <w:color w:val="auto"/>
        </w:rPr>
      </w:pPr>
    </w:p>
    <w:p>
      <w:pPr>
        <w:ind w:left="340" w:right="80" w:hanging="332"/>
        <w:spacing w:after="0" w:line="285"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severance benefits payable to Mr. Mehrotra (subject to certain exceptions) would be reduced to the extent necessary not to exceed 2.99 times the sum of his base salary plus target bonus opportunity under our Executive Officer Cash Severance Policy.</w:t>
      </w:r>
    </w:p>
    <w:p>
      <w:pPr>
        <w:spacing w:after="0" w:line="167" w:lineRule="exact"/>
        <w:rPr>
          <w:rFonts w:ascii="Arial" w:cs="Arial" w:eastAsia="Arial" w:hAnsi="Arial"/>
          <w:sz w:val="18"/>
          <w:szCs w:val="18"/>
          <w:color w:val="auto"/>
        </w:rPr>
      </w:pPr>
    </w:p>
    <w:p>
      <w:pPr>
        <w:ind w:left="340" w:right="160" w:hanging="332"/>
        <w:spacing w:after="0" w:line="239"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Mr. Mehrotra and Dr. DeBoer, represents a cash payment in an amount estimated to allow the Named Executive Officer to purchase during the Transition Period benefits similar to those received while an employee, except for Mr. Mehrotra, which represents twice that amount. For Messrs. Murphy, Bhatia and Sadana, represents matching contributions under our 401(k) Plan and the cost of COBRA premiums at the benefit level in effect at the time of termination, reduced by the employee portion for that benefit level, in each case for the Transition Period.</w:t>
      </w:r>
    </w:p>
    <w:p>
      <w:pPr>
        <w:spacing w:after="0" w:line="220" w:lineRule="exact"/>
        <w:rPr>
          <w:rFonts w:ascii="Arial" w:cs="Arial" w:eastAsia="Arial" w:hAnsi="Arial"/>
          <w:sz w:val="18"/>
          <w:szCs w:val="18"/>
          <w:color w:val="auto"/>
        </w:rPr>
      </w:pPr>
    </w:p>
    <w:p>
      <w:pPr>
        <w:ind w:left="340" w:right="60" w:hanging="332"/>
        <w:spacing w:after="0" w:line="267"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$95.57, our closing stock price on August 29, 2024.</w:t>
      </w:r>
    </w:p>
    <w:p>
      <w:pPr>
        <w:spacing w:after="0" w:line="183" w:lineRule="exact"/>
        <w:rPr>
          <w:rFonts w:ascii="Arial" w:cs="Arial" w:eastAsia="Arial" w:hAnsi="Arial"/>
          <w:sz w:val="18"/>
          <w:szCs w:val="18"/>
          <w:color w:val="auto"/>
        </w:rPr>
      </w:pPr>
    </w:p>
    <w:p>
      <w:pPr>
        <w:ind w:left="340" w:right="120" w:hanging="332"/>
        <w:spacing w:after="0" w:line="241"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value resulting from the vesting of performance-based restricted awards during the Named Executive Officer’s Transition Period, the banking of performance-based restricted awards in connection with the Named Executive Officer’s termination, and the vesting of banked performance-based awards in connection with the Named Executive Officer’s termination. The amount shown is calculated as the number of additional shares that would vest during the Transition Period based on actual attainment of performance goals through the end of such Transition Period (assuming, for purposes of this disclosure, that this attainment will be at target levels), multiplied by $95.57, our closing stock price on August 29, 2024.</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 UPON TERMINATION WITH CHANGE IN CONTROL</w:t>
      </w:r>
    </w:p>
    <w:p>
      <w:pPr>
        <w:spacing w:after="0" w:line="24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purposes of the Named Executive Officers’ Severance Agreements, a Change in Control is generally defined as a change in the majority of the members of the Board within a specified time period, the acquisition of 35% or more of our outstanding Common Stock, or a reorganization or sale of assets after which the holders of the Company stock before the transaction do not hold a majority of the stock of the surviving entity.</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equity plans, grant agreements, and STI plan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271145</wp:posOffset>
            </wp:positionV>
            <wp:extent cx="77724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7240" cy="16256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spacing w:after="0" w:line="20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Under the STI plan, a Change in Control results in an early payout of awards, to the extent earned. Upon a Change in Control, performance achievement is measured as of the last day of the month preceding the Change in Control.</w:t>
      </w:r>
    </w:p>
    <w:p>
      <w:pPr>
        <w:ind w:right="120"/>
        <w:spacing w:after="0" w:line="252"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Murphy, Bhatia, DeBoer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for these Named Executive Officers on a Change in Control separation are paid in a lump sum within 60 days from the date of separation, other than salary severance payable to Dr. DeBoer, which will be payable bi-weekly during the Transition Period, in each case subject to the possibility of a six-month delay that may be required by Section 409A. All outstanding time-based and performance-based awards would become fully vested.</w:t>
      </w:r>
    </w:p>
    <w:p>
      <w:pPr>
        <w:spacing w:after="0" w:line="20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compensation that executive officers could receive if a Change in Control occurs is intended to enable them to objectively evaluate whether a potential Change in Control is in the best interest of us and our shareholders.</w:t>
      </w:r>
    </w:p>
    <w:p>
      <w:pPr>
        <w:ind w:right="200"/>
        <w:spacing w:after="0" w:line="264"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August 29,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Cash in Lieu of</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Value of Stock</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spacing w:after="0"/>
              <w:rPr>
                <w:sz w:val="15"/>
                <w:szCs w:val="1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Salary(1)</w:t>
            </w:r>
          </w:p>
        </w:tc>
        <w:tc>
          <w:tcPr>
            <w:tcW w:w="24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Bonus(2)</w:t>
            </w:r>
          </w:p>
        </w:tc>
        <w:tc>
          <w:tcPr>
            <w:tcW w:w="200" w:type="dxa"/>
            <w:vAlign w:val="bottom"/>
          </w:tcPr>
          <w:p>
            <w:pPr>
              <w:spacing w:after="0"/>
              <w:rPr>
                <w:sz w:val="15"/>
                <w:szCs w:val="15"/>
                <w:color w:val="auto"/>
              </w:rPr>
            </w:pPr>
          </w:p>
        </w:tc>
        <w:tc>
          <w:tcPr>
            <w:tcW w:w="1240" w:type="dxa"/>
            <w:vAlign w:val="bottom"/>
          </w:tcPr>
          <w:p>
            <w:pPr>
              <w:jc w:val="center"/>
              <w:ind w:right="70"/>
              <w:spacing w:after="0" w:line="175" w:lineRule="exact"/>
              <w:rPr>
                <w:sz w:val="20"/>
                <w:szCs w:val="20"/>
                <w:color w:val="auto"/>
              </w:rPr>
            </w:pPr>
            <w:r>
              <w:rPr>
                <w:rFonts w:ascii="Arial" w:cs="Arial" w:eastAsia="Arial" w:hAnsi="Arial"/>
                <w:sz w:val="18"/>
                <w:szCs w:val="18"/>
                <w:b w:val="1"/>
                <w:bCs w:val="1"/>
                <w:color w:val="auto"/>
              </w:rPr>
              <w:t>Benefits</w:t>
            </w: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2"/>
        </w:trPr>
        <w:tc>
          <w:tcPr>
            <w:tcW w:w="2700" w:type="dxa"/>
            <w:vAlign w:val="bottom"/>
            <w:tcBorders>
              <w:bottom w:val="single" w:sz="8" w:color="BD03F7"/>
            </w:tcBorders>
            <w:vMerge w:val="continue"/>
          </w:tcPr>
          <w:p>
            <w:pPr>
              <w:spacing w:after="0"/>
              <w:rPr>
                <w:sz w:val="21"/>
                <w:szCs w:val="21"/>
                <w:color w:val="auto"/>
              </w:rPr>
            </w:pPr>
          </w:p>
        </w:tc>
        <w:tc>
          <w:tcPr>
            <w:tcW w:w="1580" w:type="dxa"/>
            <w:vAlign w:val="bottom"/>
            <w:tcBorders>
              <w:bottom w:val="single" w:sz="8" w:color="BD03F7"/>
            </w:tcBorders>
          </w:tcPr>
          <w:p>
            <w:pPr>
              <w:spacing w:after="0"/>
              <w:rPr>
                <w:sz w:val="21"/>
                <w:szCs w:val="21"/>
                <w:color w:val="auto"/>
              </w:rPr>
            </w:pPr>
          </w:p>
        </w:tc>
        <w:tc>
          <w:tcPr>
            <w:tcW w:w="1180" w:type="dxa"/>
            <w:vAlign w:val="bottom"/>
            <w:tcBorders>
              <w:bottom w:val="single" w:sz="8" w:color="BD03F7"/>
            </w:tcBorders>
            <w:vMerge w:val="continue"/>
          </w:tcPr>
          <w:p>
            <w:pPr>
              <w:spacing w:after="0"/>
              <w:rPr>
                <w:sz w:val="21"/>
                <w:szCs w:val="21"/>
                <w:color w:val="auto"/>
              </w:rPr>
            </w:pPr>
          </w:p>
        </w:tc>
        <w:tc>
          <w:tcPr>
            <w:tcW w:w="240" w:type="dxa"/>
            <w:vAlign w:val="bottom"/>
            <w:tcBorders>
              <w:bottom w:val="single" w:sz="8" w:color="BD03F7"/>
            </w:tcBorders>
          </w:tcPr>
          <w:p>
            <w:pPr>
              <w:spacing w:after="0"/>
              <w:rPr>
                <w:sz w:val="21"/>
                <w:szCs w:val="21"/>
                <w:color w:val="auto"/>
              </w:rPr>
            </w:pPr>
          </w:p>
        </w:tc>
        <w:tc>
          <w:tcPr>
            <w:tcW w:w="1200" w:type="dxa"/>
            <w:vAlign w:val="bottom"/>
            <w:tcBorders>
              <w:bottom w:val="single" w:sz="8" w:color="BD03F7"/>
            </w:tcBorders>
            <w:vMerge w:val="continue"/>
          </w:tcPr>
          <w:p>
            <w:pPr>
              <w:spacing w:after="0"/>
              <w:rPr>
                <w:sz w:val="21"/>
                <w:szCs w:val="21"/>
                <w:color w:val="auto"/>
              </w:rPr>
            </w:pPr>
          </w:p>
        </w:tc>
        <w:tc>
          <w:tcPr>
            <w:tcW w:w="200" w:type="dxa"/>
            <w:vAlign w:val="bottom"/>
            <w:tcBorders>
              <w:bottom w:val="single" w:sz="8" w:color="BD03F7"/>
            </w:tcBorders>
          </w:tcPr>
          <w:p>
            <w:pPr>
              <w:spacing w:after="0"/>
              <w:rPr>
                <w:sz w:val="21"/>
                <w:szCs w:val="21"/>
                <w:color w:val="auto"/>
              </w:rPr>
            </w:pPr>
          </w:p>
        </w:tc>
        <w:tc>
          <w:tcPr>
            <w:tcW w:w="1240" w:type="dxa"/>
            <w:vAlign w:val="bottom"/>
            <w:tcBorders>
              <w:bottom w:val="single" w:sz="8" w:color="BD03F7"/>
            </w:tcBorders>
          </w:tcPr>
          <w:p>
            <w:pPr>
              <w:jc w:val="center"/>
              <w:ind w:right="70"/>
              <w:spacing w:after="0"/>
              <w:rPr>
                <w:sz w:val="20"/>
                <w:szCs w:val="20"/>
                <w:color w:val="auto"/>
              </w:rPr>
            </w:pPr>
            <w:r>
              <w:rPr>
                <w:rFonts w:ascii="Arial" w:cs="Arial" w:eastAsia="Arial" w:hAnsi="Arial"/>
                <w:sz w:val="18"/>
                <w:szCs w:val="18"/>
                <w:b w:val="1"/>
                <w:bCs w:val="1"/>
                <w:color w:val="auto"/>
                <w:w w:val="98"/>
              </w:rPr>
              <w:t>Payment(3)</w:t>
            </w:r>
          </w:p>
        </w:tc>
        <w:tc>
          <w:tcPr>
            <w:tcW w:w="220" w:type="dxa"/>
            <w:vAlign w:val="bottom"/>
            <w:tcBorders>
              <w:bottom w:val="single" w:sz="8" w:color="BD03F7"/>
            </w:tcBorders>
          </w:tcPr>
          <w:p>
            <w:pPr>
              <w:spacing w:after="0"/>
              <w:rPr>
                <w:sz w:val="21"/>
                <w:szCs w:val="21"/>
                <w:color w:val="auto"/>
              </w:rPr>
            </w:pPr>
          </w:p>
        </w:tc>
        <w:tc>
          <w:tcPr>
            <w:tcW w:w="1220" w:type="dxa"/>
            <w:vAlign w:val="bottom"/>
            <w:tcBorders>
              <w:bottom w:val="single" w:sz="8" w:color="BD03F7"/>
            </w:tcBorders>
          </w:tcPr>
          <w:p>
            <w:pPr>
              <w:jc w:val="right"/>
              <w:ind w:right="170"/>
              <w:spacing w:after="0"/>
              <w:rPr>
                <w:sz w:val="20"/>
                <w:szCs w:val="20"/>
                <w:color w:val="auto"/>
              </w:rPr>
            </w:pPr>
            <w:r>
              <w:rPr>
                <w:rFonts w:ascii="Arial" w:cs="Arial" w:eastAsia="Arial" w:hAnsi="Arial"/>
                <w:sz w:val="18"/>
                <w:szCs w:val="18"/>
                <w:b w:val="1"/>
                <w:bCs w:val="1"/>
                <w:color w:val="auto"/>
              </w:rPr>
              <w:t>Awards(4)</w:t>
            </w:r>
          </w:p>
        </w:tc>
        <w:tc>
          <w:tcPr>
            <w:tcW w:w="260" w:type="dxa"/>
            <w:vAlign w:val="bottom"/>
            <w:tcBorders>
              <w:bottom w:val="single" w:sz="8" w:color="BD03F7"/>
            </w:tcBorders>
          </w:tcPr>
          <w:p>
            <w:pPr>
              <w:spacing w:after="0"/>
              <w:rPr>
                <w:sz w:val="21"/>
                <w:szCs w:val="21"/>
                <w:color w:val="auto"/>
              </w:rPr>
            </w:pPr>
          </w:p>
        </w:tc>
        <w:tc>
          <w:tcPr>
            <w:tcW w:w="1200" w:type="dxa"/>
            <w:vAlign w:val="bottom"/>
            <w:tcBorders>
              <w:bottom w:val="single" w:sz="8" w:color="BD03F7"/>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5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2,836,000</w:t>
            </w:r>
          </w:p>
        </w:tc>
        <w:tc>
          <w:tcPr>
            <w:tcW w:w="24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10,944,834</w:t>
            </w:r>
          </w:p>
        </w:tc>
        <w:tc>
          <w:tcPr>
            <w:tcW w:w="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338,700</w:t>
            </w:r>
          </w:p>
        </w:tc>
        <w:tc>
          <w:tcPr>
            <w:tcW w:w="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96,656,172</w:t>
            </w:r>
          </w:p>
        </w:tc>
        <w:tc>
          <w:tcPr>
            <w:tcW w:w="2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110,775,706</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1,162,500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968,750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60,972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38,327,221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40,519,443</w:t>
            </w:r>
          </w:p>
        </w:tc>
        <w:tc>
          <w:tcPr>
            <w:tcW w:w="0" w:type="dxa"/>
            <w:vAlign w:val="bottom"/>
          </w:tcPr>
          <w:p>
            <w:pPr>
              <w:spacing w:after="0"/>
              <w:rPr>
                <w:sz w:val="1"/>
                <w:szCs w:val="1"/>
                <w:color w:val="auto"/>
              </w:rPr>
            </w:pPr>
          </w:p>
        </w:tc>
      </w:tr>
      <w:tr>
        <w:trPr>
          <w:trHeight w:val="229"/>
        </w:trPr>
        <w:tc>
          <w:tcPr>
            <w:tcW w:w="27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580" w:type="dxa"/>
            <w:vAlign w:val="bottom"/>
            <w:shd w:val="clear" w:color="auto" w:fill="F2F2F2"/>
          </w:tcPr>
          <w:p>
            <w:pPr>
              <w:spacing w:after="0"/>
              <w:rPr>
                <w:sz w:val="19"/>
                <w:szCs w:val="19"/>
                <w:color w:val="auto"/>
              </w:rPr>
            </w:pP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1,200,000</w:t>
            </w:r>
          </w:p>
        </w:tc>
        <w:tc>
          <w:tcPr>
            <w:tcW w:w="24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F2F2F2"/>
          </w:tcPr>
          <w:p>
            <w:pPr>
              <w:spacing w:after="0"/>
              <w:rPr>
                <w:sz w:val="19"/>
                <w:szCs w:val="19"/>
                <w:color w:val="auto"/>
              </w:rPr>
            </w:pP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59,724</w:t>
            </w:r>
          </w:p>
        </w:tc>
        <w:tc>
          <w:tcPr>
            <w:tcW w:w="220" w:type="dxa"/>
            <w:vAlign w:val="bottom"/>
            <w:shd w:val="clear" w:color="auto" w:fill="F2F2F2"/>
          </w:tcPr>
          <w:p>
            <w:pPr>
              <w:spacing w:after="0"/>
              <w:rPr>
                <w:sz w:val="19"/>
                <w:szCs w:val="19"/>
                <w:color w:val="auto"/>
              </w:rPr>
            </w:pP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34,449,518</w:t>
            </w:r>
          </w:p>
        </w:tc>
        <w:tc>
          <w:tcPr>
            <w:tcW w:w="26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36,709,242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2,318,400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82,176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27,284,425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30,385,001</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580" w:type="dxa"/>
            <w:vAlign w:val="bottom"/>
            <w:tcBorders>
              <w:bottom w:val="single" w:sz="8" w:color="BD03F7"/>
            </w:tcBorders>
            <w:shd w:val="clear" w:color="auto" w:fill="F2F2F2"/>
          </w:tcPr>
          <w:p>
            <w:pPr>
              <w:spacing w:after="0"/>
              <w:rPr>
                <w:sz w:val="19"/>
                <w:szCs w:val="19"/>
                <w:color w:val="auto"/>
              </w:rPr>
            </w:pPr>
          </w:p>
        </w:tc>
        <w:tc>
          <w:tcPr>
            <w:tcW w:w="11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1,237,500</w:t>
            </w:r>
          </w:p>
        </w:tc>
        <w:tc>
          <w:tcPr>
            <w:tcW w:w="240" w:type="dxa"/>
            <w:vAlign w:val="bottom"/>
            <w:tcBorders>
              <w:bottom w:val="single" w:sz="8" w:color="BD03F7"/>
            </w:tcBorders>
            <w:shd w:val="clear" w:color="auto" w:fill="F2F2F2"/>
          </w:tcPr>
          <w:p>
            <w:pPr>
              <w:spacing w:after="0"/>
              <w:rPr>
                <w:sz w:val="19"/>
                <w:szCs w:val="19"/>
                <w:color w:val="auto"/>
              </w:rPr>
            </w:pPr>
          </w:p>
        </w:tc>
        <w:tc>
          <w:tcPr>
            <w:tcW w:w="12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1,031,250</w:t>
            </w:r>
          </w:p>
        </w:tc>
        <w:tc>
          <w:tcPr>
            <w:tcW w:w="200" w:type="dxa"/>
            <w:vAlign w:val="bottom"/>
            <w:tcBorders>
              <w:bottom w:val="single" w:sz="8" w:color="BD03F7"/>
            </w:tcBorders>
            <w:shd w:val="clear" w:color="auto" w:fill="F2F2F2"/>
          </w:tcPr>
          <w:p>
            <w:pPr>
              <w:spacing w:after="0"/>
              <w:rPr>
                <w:sz w:val="19"/>
                <w:szCs w:val="19"/>
                <w:color w:val="auto"/>
              </w:rPr>
            </w:pPr>
          </w:p>
        </w:tc>
        <w:tc>
          <w:tcPr>
            <w:tcW w:w="12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52,234</w:t>
            </w:r>
          </w:p>
        </w:tc>
        <w:tc>
          <w:tcPr>
            <w:tcW w:w="220" w:type="dxa"/>
            <w:vAlign w:val="bottom"/>
            <w:tcBorders>
              <w:bottom w:val="single" w:sz="8" w:color="BD03F7"/>
            </w:tcBorders>
            <w:shd w:val="clear" w:color="auto" w:fill="F2F2F2"/>
          </w:tcPr>
          <w:p>
            <w:pPr>
              <w:spacing w:after="0"/>
              <w:rPr>
                <w:sz w:val="19"/>
                <w:szCs w:val="19"/>
                <w:color w:val="auto"/>
              </w:rPr>
            </w:pPr>
          </w:p>
        </w:tc>
        <w:tc>
          <w:tcPr>
            <w:tcW w:w="12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35,139,418</w:t>
            </w:r>
          </w:p>
        </w:tc>
        <w:tc>
          <w:tcPr>
            <w:tcW w:w="260" w:type="dxa"/>
            <w:vAlign w:val="bottom"/>
            <w:tcBorders>
              <w:bottom w:val="single" w:sz="8" w:color="BD03F7"/>
            </w:tcBorders>
            <w:shd w:val="clear" w:color="auto" w:fill="F2F2F2"/>
          </w:tcPr>
          <w:p>
            <w:pPr>
              <w:spacing w:after="0"/>
              <w:rPr>
                <w:sz w:val="19"/>
                <w:szCs w:val="19"/>
                <w:color w:val="auto"/>
              </w:rPr>
            </w:pPr>
          </w:p>
        </w:tc>
        <w:tc>
          <w:tcPr>
            <w:tcW w:w="12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37,460,402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100" w:hanging="332"/>
        <w:spacing w:after="0" w:line="267"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one-and-a-half years of the Named Executive Officer’s salary as of August 29, 2024, except the figure for Mr. Mehrotra, which represents two years of his salary as of August 29, 2024, and the figure for Dr. DeBoer, which represents one year of his salary as of August 29, 2024.</w:t>
      </w:r>
    </w:p>
    <w:p>
      <w:pPr>
        <w:spacing w:after="0" w:line="197" w:lineRule="exact"/>
        <w:rPr>
          <w:rFonts w:ascii="Arial" w:cs="Arial" w:eastAsia="Arial" w:hAnsi="Arial"/>
          <w:sz w:val="18"/>
          <w:szCs w:val="18"/>
          <w:color w:val="auto"/>
        </w:rPr>
      </w:pPr>
    </w:p>
    <w:p>
      <w:pPr>
        <w:ind w:left="340" w:right="160" w:hanging="332"/>
        <w:spacing w:after="0" w:line="261"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target STI bonus opportunity for Fiscal 2024, except the figure for Mr. Mehrotra, which also includes two times his target annual bonus, subject to the maximum award limit imposed by the STI plan, and the figure for Dr. DeBoer, which includes his actual STI bonus paid for Fiscal 2024 together with a bonus severance payment equal to the actual bonus Dr. DeBoer would earn for Fiscal 2025 (assuming, for purposes of this disclosure, that attainment of the Fiscal 2025 bonus would be at target levels).</w:t>
      </w:r>
    </w:p>
    <w:p>
      <w:pPr>
        <w:spacing w:after="0" w:line="189" w:lineRule="exact"/>
        <w:rPr>
          <w:rFonts w:ascii="Arial" w:cs="Arial" w:eastAsia="Arial" w:hAnsi="Arial"/>
          <w:sz w:val="18"/>
          <w:szCs w:val="18"/>
          <w:color w:val="auto"/>
        </w:rPr>
      </w:pPr>
    </w:p>
    <w:p>
      <w:pPr>
        <w:ind w:left="340" w:right="60" w:hanging="332"/>
        <w:spacing w:after="0" w:line="239"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Mr. Mehrotra and Dr, DeBoer, represents a cash payment in an amount estimated to allow the Named Executive Officer to purchase 12 months of benefits similar to those received while an employee, except the figure for Mr. Mehrotra, which represents 24 months of such benefits. For Messrs. Murphy, Bhatia and Sadana, represents matching contributions under our 401(k) Plan and the cost of COBRA premiums at the benefit level in effect at the time of termination, reduced by the employee portion for that benefit level, in each case for the 18-month Transition Period.</w:t>
      </w:r>
    </w:p>
    <w:p>
      <w:pPr>
        <w:spacing w:after="0" w:line="220" w:lineRule="exact"/>
        <w:rPr>
          <w:rFonts w:ascii="Arial" w:cs="Arial" w:eastAsia="Arial" w:hAnsi="Arial"/>
          <w:sz w:val="18"/>
          <w:szCs w:val="18"/>
          <w:color w:val="auto"/>
        </w:rPr>
      </w:pPr>
    </w:p>
    <w:p>
      <w:pPr>
        <w:ind w:left="340" w:right="300" w:hanging="332"/>
        <w:spacing w:after="0" w:line="267"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value of all outstanding time-based and performance-based restricted stock awards vesting in full at target or actual achievement level on August 29, 2024. The amount shown is calculated as the number of shares upon which restrictions would lapse, multiplied by $95.57, the closing price of our Common Stock on August 29, 2024.</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046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following table provides information as of August 29, 2024 regarding shares of Common Stock that may be issued pursuant to our equity compensation plans:</w:t>
      </w:r>
    </w:p>
    <w:tbl>
      <w:tblPr>
        <w:tblLayout w:type="fixed"/>
        <w:tblInd w:w="0" w:type="dxa"/>
        <w:tblCellMar>
          <w:top w:w="0" w:type="dxa"/>
          <w:left w:w="0" w:type="dxa"/>
          <w:bottom w:w="0" w:type="dxa"/>
          <w:right w:w="0" w:type="dxa"/>
        </w:tblCellMar>
      </w:tblPr>
      <w:tr>
        <w:trPr>
          <w:trHeight w:val="163"/>
        </w:trPr>
        <w:tc>
          <w:tcPr>
            <w:tcW w:w="536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9"/>
              </w:rPr>
              <w:t>(a) Number of</w:t>
            </w:r>
          </w:p>
        </w:tc>
        <w:tc>
          <w:tcPr>
            <w:tcW w:w="120" w:type="dxa"/>
            <w:vAlign w:val="bottom"/>
          </w:tcPr>
          <w:p>
            <w:pPr>
              <w:spacing w:after="0"/>
              <w:rPr>
                <w:sz w:val="14"/>
                <w:szCs w:val="14"/>
                <w:color w:val="auto"/>
              </w:rPr>
            </w:pPr>
          </w:p>
        </w:tc>
        <w:tc>
          <w:tcPr>
            <w:tcW w:w="15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9"/>
              </w:rPr>
              <w:t>(b) Weighted</w:t>
            </w:r>
          </w:p>
        </w:tc>
        <w:tc>
          <w:tcPr>
            <w:tcW w:w="2340" w:type="dxa"/>
            <w:vAlign w:val="bottom"/>
            <w:gridSpan w:val="3"/>
          </w:tcPr>
          <w:p>
            <w:pPr>
              <w:jc w:val="center"/>
              <w:spacing w:after="0" w:line="164" w:lineRule="exact"/>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Securities to be</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234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Issued Upon Exercise</w:t>
            </w:r>
          </w:p>
        </w:tc>
        <w:tc>
          <w:tcPr>
            <w:tcW w:w="120" w:type="dxa"/>
            <w:vAlign w:val="bottom"/>
          </w:tcPr>
          <w:p>
            <w:pPr>
              <w:spacing w:after="0"/>
              <w:rPr>
                <w:sz w:val="14"/>
                <w:szCs w:val="14"/>
                <w:color w:val="auto"/>
              </w:rPr>
            </w:pPr>
          </w:p>
        </w:tc>
        <w:tc>
          <w:tcPr>
            <w:tcW w:w="1560" w:type="dxa"/>
            <w:vAlign w:val="bottom"/>
          </w:tcPr>
          <w:p>
            <w:pPr>
              <w:jc w:val="center"/>
              <w:ind w:right="59"/>
              <w:spacing w:after="0" w:line="161" w:lineRule="exact"/>
              <w:rPr>
                <w:sz w:val="20"/>
                <w:szCs w:val="20"/>
                <w:color w:val="auto"/>
              </w:rPr>
            </w:pPr>
            <w:r>
              <w:rPr>
                <w:rFonts w:ascii="Arial" w:cs="Arial" w:eastAsia="Arial" w:hAnsi="Arial"/>
                <w:sz w:val="16"/>
                <w:szCs w:val="16"/>
                <w:b w:val="1"/>
                <w:bCs w:val="1"/>
                <w:color w:val="auto"/>
              </w:rPr>
              <w:t>Average Exercise</w:t>
            </w:r>
          </w:p>
        </w:tc>
        <w:tc>
          <w:tcPr>
            <w:tcW w:w="234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of Outstanding</w:t>
            </w:r>
          </w:p>
        </w:tc>
        <w:tc>
          <w:tcPr>
            <w:tcW w:w="168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Price of Outstanding</w:t>
            </w:r>
          </w:p>
        </w:tc>
        <w:tc>
          <w:tcPr>
            <w:tcW w:w="1960" w:type="dxa"/>
            <w:vAlign w:val="bottom"/>
            <w:gridSpan w:val="2"/>
          </w:tcPr>
          <w:p>
            <w:pPr>
              <w:jc w:val="center"/>
              <w:ind w:left="279"/>
              <w:spacing w:after="0" w:line="161" w:lineRule="exact"/>
              <w:rPr>
                <w:sz w:val="20"/>
                <w:szCs w:val="20"/>
                <w:color w:val="auto"/>
              </w:rPr>
            </w:pPr>
            <w:r>
              <w:rPr>
                <w:rFonts w:ascii="Arial" w:cs="Arial" w:eastAsia="Arial" w:hAnsi="Arial"/>
                <w:sz w:val="16"/>
                <w:szCs w:val="16"/>
                <w:b w:val="1"/>
                <w:bCs w:val="1"/>
                <w:color w:val="auto"/>
              </w:rPr>
              <w:t>Compensation Plans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Options, Warrants and</w:t>
            </w:r>
          </w:p>
        </w:tc>
        <w:tc>
          <w:tcPr>
            <w:tcW w:w="120" w:type="dxa"/>
            <w:vAlign w:val="bottom"/>
          </w:tcPr>
          <w:p>
            <w:pPr>
              <w:spacing w:after="0"/>
              <w:rPr>
                <w:sz w:val="14"/>
                <w:szCs w:val="14"/>
                <w:color w:val="auto"/>
              </w:rPr>
            </w:pPr>
          </w:p>
        </w:tc>
        <w:tc>
          <w:tcPr>
            <w:tcW w:w="156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rPr>
              <w:t>Options, Warrants</w:t>
            </w:r>
          </w:p>
        </w:tc>
        <w:tc>
          <w:tcPr>
            <w:tcW w:w="234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BD03F7"/>
            </w:tcBorders>
          </w:tcPr>
          <w:p>
            <w:pPr>
              <w:spacing w:after="0"/>
              <w:rPr>
                <w:sz w:val="18"/>
                <w:szCs w:val="18"/>
                <w:color w:val="auto"/>
              </w:rPr>
            </w:pPr>
          </w:p>
        </w:tc>
        <w:tc>
          <w:tcPr>
            <w:tcW w:w="176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20" w:type="dxa"/>
            <w:vAlign w:val="bottom"/>
            <w:tcBorders>
              <w:bottom w:val="single" w:sz="8" w:color="BD03F7"/>
            </w:tcBorders>
          </w:tcPr>
          <w:p>
            <w:pPr>
              <w:spacing w:after="0"/>
              <w:rPr>
                <w:sz w:val="18"/>
                <w:szCs w:val="18"/>
                <w:color w:val="auto"/>
              </w:rPr>
            </w:pPr>
          </w:p>
        </w:tc>
        <w:tc>
          <w:tcPr>
            <w:tcW w:w="1560" w:type="dxa"/>
            <w:vAlign w:val="bottom"/>
            <w:tcBorders>
              <w:bottom w:val="single" w:sz="8" w:color="BD03F7"/>
            </w:tcBorders>
          </w:tcPr>
          <w:p>
            <w:pPr>
              <w:jc w:val="center"/>
              <w:ind w:right="39"/>
              <w:spacing w:after="0"/>
              <w:rPr>
                <w:sz w:val="20"/>
                <w:szCs w:val="20"/>
                <w:color w:val="auto"/>
              </w:rPr>
            </w:pPr>
            <w:r>
              <w:rPr>
                <w:rFonts w:ascii="Arial" w:cs="Arial" w:eastAsia="Arial" w:hAnsi="Arial"/>
                <w:sz w:val="16"/>
                <w:szCs w:val="16"/>
                <w:b w:val="1"/>
                <w:bCs w:val="1"/>
                <w:color w:val="auto"/>
              </w:rPr>
              <w:t>and Rights(1)</w:t>
            </w:r>
          </w:p>
        </w:tc>
        <w:tc>
          <w:tcPr>
            <w:tcW w:w="2340" w:type="dxa"/>
            <w:vAlign w:val="bottom"/>
            <w:tcBorders>
              <w:bottom w:val="single" w:sz="8" w:color="BD03F7"/>
            </w:tcBorders>
            <w:gridSpan w:val="3"/>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5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F2F2F2"/>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7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29,275,338</w:t>
            </w: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32.20</w:t>
            </w:r>
          </w:p>
        </w:tc>
        <w:tc>
          <w:tcPr>
            <w:tcW w:w="19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66,194,966</w:t>
            </w:r>
          </w:p>
        </w:tc>
        <w:tc>
          <w:tcPr>
            <w:tcW w:w="20" w:type="dxa"/>
            <w:vAlign w:val="bottom"/>
            <w:shd w:val="clear" w:color="auto" w:fill="F2F2F2"/>
          </w:tcPr>
          <w:p>
            <w:pPr>
              <w:spacing w:after="0"/>
              <w:rPr>
                <w:sz w:val="19"/>
                <w:szCs w:val="19"/>
                <w:color w:val="auto"/>
              </w:rPr>
            </w:pPr>
          </w:p>
        </w:tc>
        <w:tc>
          <w:tcPr>
            <w:tcW w:w="38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28"/>
        </w:trPr>
        <w:tc>
          <w:tcPr>
            <w:tcW w:w="5360" w:type="dxa"/>
            <w:vAlign w:val="bottom"/>
            <w:tcBorders>
              <w:bottom w:val="single" w:sz="8" w:color="F2F2F2"/>
            </w:tcBorders>
          </w:tcPr>
          <w:p>
            <w:pPr>
              <w:ind w:left="20"/>
              <w:spacing w:after="0"/>
              <w:rPr>
                <w:sz w:val="20"/>
                <w:szCs w:val="20"/>
                <w:color w:val="auto"/>
              </w:rPr>
            </w:pPr>
            <w:r>
              <w:rPr>
                <w:rFonts w:ascii="Arial" w:cs="Arial" w:eastAsia="Arial" w:hAnsi="Arial"/>
                <w:sz w:val="16"/>
                <w:szCs w:val="16"/>
                <w:color w:val="auto"/>
              </w:rPr>
              <w:t>Equity Compensation Plans Not Approved by Shareholders(4)</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235,383</w:t>
            </w:r>
          </w:p>
        </w:tc>
        <w:tc>
          <w:tcPr>
            <w:tcW w:w="120" w:type="dxa"/>
            <w:vAlign w:val="bottom"/>
            <w:tcBorders>
              <w:bottom w:val="single" w:sz="8" w:color="F2F2F2"/>
            </w:tcBorders>
          </w:tcPr>
          <w:p>
            <w:pPr>
              <w:spacing w:after="0"/>
              <w:rPr>
                <w:sz w:val="19"/>
                <w:szCs w:val="19"/>
                <w:color w:val="auto"/>
              </w:rPr>
            </w:pPr>
          </w:p>
        </w:tc>
        <w:tc>
          <w:tcPr>
            <w:tcW w:w="1560" w:type="dxa"/>
            <w:vAlign w:val="bottom"/>
            <w:tcBorders>
              <w:bottom w:val="single" w:sz="8" w:color="F2F2F2"/>
            </w:tcBorders>
          </w:tcPr>
          <w:p>
            <w:pPr>
              <w:jc w:val="right"/>
              <w:spacing w:after="0"/>
              <w:rPr>
                <w:sz w:val="20"/>
                <w:szCs w:val="20"/>
                <w:color w:val="auto"/>
              </w:rPr>
            </w:pPr>
            <w:r>
              <w:rPr>
                <w:rFonts w:ascii="Arial" w:cs="Arial" w:eastAsia="Arial" w:hAnsi="Arial"/>
                <w:sz w:val="16"/>
                <w:szCs w:val="16"/>
                <w:color w:val="auto"/>
              </w:rPr>
              <w:t>28.17</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3,253,144</w:t>
            </w:r>
          </w:p>
        </w:tc>
        <w:tc>
          <w:tcPr>
            <w:tcW w:w="20" w:type="dxa"/>
            <w:vAlign w:val="bottom"/>
            <w:tcBorders>
              <w:bottom w:val="single" w:sz="8" w:color="F2F2F2"/>
            </w:tcBorders>
          </w:tcPr>
          <w:p>
            <w:pPr>
              <w:spacing w:after="0"/>
              <w:rPr>
                <w:sz w:val="19"/>
                <w:szCs w:val="19"/>
                <w:color w:val="auto"/>
              </w:rPr>
            </w:pPr>
          </w:p>
        </w:tc>
        <w:tc>
          <w:tcPr>
            <w:tcW w:w="380" w:type="dxa"/>
            <w:vAlign w:val="bottom"/>
            <w:tcBorders>
              <w:bottom w:val="single" w:sz="8" w:color="F2F2F2"/>
            </w:tcBorders>
          </w:tcPr>
          <w:p>
            <w:pPr>
              <w:jc w:val="right"/>
              <w:ind w:right="9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6"/>
                <w:szCs w:val="16"/>
                <w:color w:val="auto"/>
              </w:rPr>
              <w:t>Totals(6)</w:t>
            </w:r>
          </w:p>
        </w:tc>
        <w:tc>
          <w:tcPr>
            <w:tcW w:w="17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29,510,721</w:t>
            </w:r>
          </w:p>
        </w:tc>
        <w:tc>
          <w:tcPr>
            <w:tcW w:w="120" w:type="dxa"/>
            <w:vAlign w:val="bottom"/>
            <w:tcBorders>
              <w:bottom w:val="single" w:sz="8" w:color="BD03F7"/>
            </w:tcBorders>
            <w:shd w:val="clear" w:color="auto" w:fill="F2F2F2"/>
          </w:tcPr>
          <w:p>
            <w:pPr>
              <w:spacing w:after="0"/>
              <w:rPr>
                <w:sz w:val="18"/>
                <w:szCs w:val="18"/>
                <w:color w:val="auto"/>
              </w:rPr>
            </w:pPr>
          </w:p>
        </w:tc>
        <w:tc>
          <w:tcPr>
            <w:tcW w:w="15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29.46</w:t>
            </w:r>
          </w:p>
        </w:tc>
        <w:tc>
          <w:tcPr>
            <w:tcW w:w="19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69,448,110</w:t>
            </w:r>
          </w:p>
        </w:tc>
        <w:tc>
          <w:tcPr>
            <w:tcW w:w="20" w:type="dxa"/>
            <w:vAlign w:val="bottom"/>
            <w:tcBorders>
              <w:bottom w:val="single" w:sz="8" w:color="BD03F7"/>
            </w:tcBorders>
            <w:shd w:val="clear" w:color="auto" w:fill="F2F2F2"/>
          </w:tcPr>
          <w:p>
            <w:pPr>
              <w:spacing w:after="0"/>
              <w:rPr>
                <w:sz w:val="18"/>
                <w:szCs w:val="18"/>
                <w:color w:val="auto"/>
              </w:rPr>
            </w:pPr>
          </w:p>
        </w:tc>
        <w:tc>
          <w:tcPr>
            <w:tcW w:w="380" w:type="dxa"/>
            <w:vAlign w:val="bottom"/>
            <w:tcBorders>
              <w:bottom w:val="single" w:sz="8" w:color="BD03F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-443865</wp:posOffset>
            </wp:positionV>
            <wp:extent cx="1118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42" w:lineRule="exact"/>
        <w:rPr>
          <w:sz w:val="20"/>
          <w:szCs w:val="20"/>
          <w:color w:val="auto"/>
        </w:rPr>
      </w:pPr>
    </w:p>
    <w:p>
      <w:pPr>
        <w:ind w:left="340" w:right="60" w:hanging="332"/>
        <w:spacing w:after="0" w:line="285"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Excludes restricted stock that is issued for no consideration and upon vesting, all restrictions lapse without payment of consideration, and excludes ESPP shares for which the exercise price will not be fixed until the purchase date.</w:t>
      </w:r>
    </w:p>
    <w:p>
      <w:pPr>
        <w:spacing w:after="0" w:line="46" w:lineRule="exact"/>
        <w:rPr>
          <w:rFonts w:ascii="Arial" w:cs="Arial" w:eastAsia="Arial" w:hAnsi="Arial"/>
          <w:sz w:val="18"/>
          <w:szCs w:val="18"/>
          <w:color w:val="auto"/>
        </w:rPr>
      </w:pPr>
    </w:p>
    <w:p>
      <w:pPr>
        <w:ind w:left="340" w:right="20" w:hanging="332"/>
        <w:spacing w:after="0" w:line="256"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74" w:lineRule="exact"/>
        <w:rPr>
          <w:rFonts w:ascii="Arial" w:cs="Arial" w:eastAsia="Arial" w:hAnsi="Arial"/>
          <w:sz w:val="18"/>
          <w:szCs w:val="18"/>
          <w:color w:val="auto"/>
        </w:rPr>
      </w:pPr>
    </w:p>
    <w:p>
      <w:pPr>
        <w:ind w:left="340" w:right="120" w:hanging="332"/>
        <w:spacing w:after="0" w:line="285"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issuing full-value awards, the number of available shares is 38,422,864. The 2007 Plan permits granting options and full-value awards. The 2004 Plan expired in January 2023.</w:t>
      </w:r>
    </w:p>
    <w:p>
      <w:pPr>
        <w:spacing w:after="0" w:line="46" w:lineRule="exact"/>
        <w:rPr>
          <w:rFonts w:ascii="Arial" w:cs="Arial" w:eastAsia="Arial" w:hAnsi="Arial"/>
          <w:sz w:val="18"/>
          <w:szCs w:val="18"/>
          <w:color w:val="auto"/>
        </w:rPr>
      </w:pPr>
    </w:p>
    <w:p>
      <w:pPr>
        <w:ind w:left="340" w:right="340" w:hanging="332"/>
        <w:spacing w:after="0" w:line="267"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Options granted under the NSOP have terms ranging from six to ten years. The exercise price and the vesting schedule of the options granted under this plan are determined by the administrators of the plan or our Board. Executive officers and directors do not participate in the NSOP.</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full-value awards.</w:t>
      </w:r>
    </w:p>
    <w:p>
      <w:pPr>
        <w:spacing w:after="0" w:line="115" w:lineRule="exact"/>
        <w:rPr>
          <w:rFonts w:ascii="Arial" w:cs="Arial" w:eastAsia="Arial" w:hAnsi="Arial"/>
          <w:sz w:val="18"/>
          <w:szCs w:val="18"/>
          <w:color w:val="auto"/>
        </w:rPr>
      </w:pPr>
    </w:p>
    <w:p>
      <w:pPr>
        <w:ind w:left="340" w:right="140" w:hanging="332"/>
        <w:spacing w:after="0" w:line="285"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 as of August 29, 2024:</w:t>
      </w:r>
    </w:p>
    <w:p>
      <w:pPr>
        <w:spacing w:after="0" w:line="7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400" w:type="dxa"/>
            <w:vAlign w:val="bottom"/>
          </w:tcPr>
          <w:p>
            <w:pPr>
              <w:spacing w:after="0"/>
              <w:rPr>
                <w:sz w:val="16"/>
                <w:szCs w:val="16"/>
                <w:color w:val="auto"/>
              </w:rPr>
            </w:pPr>
          </w:p>
        </w:tc>
        <w:tc>
          <w:tcPr>
            <w:tcW w:w="3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(b)</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Number of Securities to be</w:t>
            </w:r>
          </w:p>
        </w:tc>
        <w:tc>
          <w:tcPr>
            <w:tcW w:w="400" w:type="dxa"/>
            <w:vAlign w:val="bottom"/>
          </w:tcPr>
          <w:p>
            <w:pPr>
              <w:spacing w:after="0"/>
              <w:rPr>
                <w:sz w:val="14"/>
                <w:szCs w:val="14"/>
                <w:color w:val="auto"/>
              </w:rPr>
            </w:pPr>
          </w:p>
        </w:tc>
        <w:tc>
          <w:tcPr>
            <w:tcW w:w="3020" w:type="dxa"/>
            <w:vAlign w:val="bottom"/>
            <w:gridSpan w:val="2"/>
          </w:tcPr>
          <w:p>
            <w:pPr>
              <w:jc w:val="center"/>
              <w:ind w:right="420"/>
              <w:spacing w:after="0" w:line="161" w:lineRule="exact"/>
              <w:rPr>
                <w:sz w:val="20"/>
                <w:szCs w:val="20"/>
                <w:color w:val="auto"/>
              </w:rPr>
            </w:pPr>
            <w:r>
              <w:rPr>
                <w:rFonts w:ascii="Arial" w:cs="Arial" w:eastAsia="Arial" w:hAnsi="Arial"/>
                <w:sz w:val="16"/>
                <w:szCs w:val="16"/>
                <w:b w:val="1"/>
                <w:bCs w:val="1"/>
                <w:color w:val="auto"/>
              </w:rPr>
              <w:t>Number of Securities Available</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Issued upon Exercise of</w:t>
            </w:r>
          </w:p>
        </w:tc>
        <w:tc>
          <w:tcPr>
            <w:tcW w:w="400" w:type="dxa"/>
            <w:vAlign w:val="bottom"/>
          </w:tcPr>
          <w:p>
            <w:pPr>
              <w:spacing w:after="0"/>
              <w:rPr>
                <w:sz w:val="14"/>
                <w:szCs w:val="14"/>
                <w:color w:val="auto"/>
              </w:rPr>
            </w:pPr>
          </w:p>
        </w:tc>
        <w:tc>
          <w:tcPr>
            <w:tcW w:w="3020" w:type="dxa"/>
            <w:vAlign w:val="bottom"/>
            <w:gridSpan w:val="2"/>
          </w:tcPr>
          <w:p>
            <w:pPr>
              <w:jc w:val="center"/>
              <w:ind w:right="400"/>
              <w:spacing w:after="0" w:line="161" w:lineRule="exact"/>
              <w:rPr>
                <w:sz w:val="20"/>
                <w:szCs w:val="20"/>
                <w:color w:val="auto"/>
              </w:rPr>
            </w:pPr>
            <w:r>
              <w:rPr>
                <w:rFonts w:ascii="Arial" w:cs="Arial" w:eastAsia="Arial" w:hAnsi="Arial"/>
                <w:sz w:val="16"/>
                <w:szCs w:val="16"/>
                <w:b w:val="1"/>
                <w:bCs w:val="1"/>
                <w:color w:val="auto"/>
              </w:rPr>
              <w:t>for Issuance (Excluding</w:t>
            </w:r>
          </w:p>
        </w:tc>
        <w:tc>
          <w:tcPr>
            <w:tcW w:w="0" w:type="dxa"/>
            <w:vAlign w:val="bottom"/>
          </w:tcPr>
          <w:p>
            <w:pPr>
              <w:spacing w:after="0"/>
              <w:rPr>
                <w:sz w:val="1"/>
                <w:szCs w:val="1"/>
                <w:color w:val="auto"/>
              </w:rPr>
            </w:pPr>
          </w:p>
        </w:tc>
      </w:tr>
      <w:tr>
        <w:trPr>
          <w:trHeight w:val="161"/>
        </w:trPr>
        <w:tc>
          <w:tcPr>
            <w:tcW w:w="3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Equity Plan</w:t>
            </w: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Outstanding Options,</w:t>
            </w:r>
          </w:p>
        </w:tc>
        <w:tc>
          <w:tcPr>
            <w:tcW w:w="400" w:type="dxa"/>
            <w:vAlign w:val="bottom"/>
          </w:tcPr>
          <w:p>
            <w:pPr>
              <w:spacing w:after="0"/>
              <w:rPr>
                <w:sz w:val="14"/>
                <w:szCs w:val="14"/>
                <w:color w:val="auto"/>
              </w:rPr>
            </w:pPr>
          </w:p>
        </w:tc>
        <w:tc>
          <w:tcPr>
            <w:tcW w:w="3020" w:type="dxa"/>
            <w:vAlign w:val="bottom"/>
            <w:gridSpan w:val="2"/>
          </w:tcPr>
          <w:p>
            <w:pPr>
              <w:jc w:val="center"/>
              <w:ind w:right="400"/>
              <w:spacing w:after="0" w:line="161" w:lineRule="exact"/>
              <w:rPr>
                <w:sz w:val="20"/>
                <w:szCs w:val="20"/>
                <w:color w:val="auto"/>
              </w:rPr>
            </w:pPr>
            <w:r>
              <w:rPr>
                <w:rFonts w:ascii="Arial" w:cs="Arial" w:eastAsia="Arial" w:hAnsi="Arial"/>
                <w:sz w:val="16"/>
                <w:szCs w:val="16"/>
                <w:b w:val="1"/>
                <w:bCs w:val="1"/>
                <w:color w:val="auto"/>
              </w:rPr>
              <w:t>Securities Reflected in Column</w:t>
            </w:r>
          </w:p>
        </w:tc>
        <w:tc>
          <w:tcPr>
            <w:tcW w:w="0" w:type="dxa"/>
            <w:vAlign w:val="bottom"/>
          </w:tcPr>
          <w:p>
            <w:pPr>
              <w:spacing w:after="0"/>
              <w:rPr>
                <w:sz w:val="1"/>
                <w:szCs w:val="1"/>
                <w:color w:val="auto"/>
              </w:rPr>
            </w:pPr>
          </w:p>
        </w:tc>
      </w:tr>
      <w:tr>
        <w:trPr>
          <w:trHeight w:val="215"/>
        </w:trPr>
        <w:tc>
          <w:tcPr>
            <w:tcW w:w="3300" w:type="dxa"/>
            <w:vAlign w:val="bottom"/>
            <w:vMerge w:val="continue"/>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9"/>
              </w:rPr>
              <w:t>Warrants and Rights</w:t>
            </w:r>
          </w:p>
        </w:tc>
        <w:tc>
          <w:tcPr>
            <w:tcW w:w="400" w:type="dxa"/>
            <w:vAlign w:val="bottom"/>
          </w:tcPr>
          <w:p>
            <w:pPr>
              <w:spacing w:after="0"/>
              <w:rPr>
                <w:sz w:val="18"/>
                <w:szCs w:val="18"/>
                <w:color w:val="auto"/>
              </w:rPr>
            </w:pPr>
          </w:p>
        </w:tc>
        <w:tc>
          <w:tcPr>
            <w:tcW w:w="3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w:t>
            </w:r>
          </w:p>
        </w:tc>
        <w:tc>
          <w:tcPr>
            <w:tcW w:w="0" w:type="dxa"/>
            <w:vAlign w:val="bottom"/>
          </w:tcPr>
          <w:p>
            <w:pPr>
              <w:spacing w:after="0"/>
              <w:rPr>
                <w:sz w:val="1"/>
                <w:szCs w:val="1"/>
                <w:color w:val="auto"/>
              </w:rPr>
            </w:pPr>
          </w:p>
        </w:tc>
      </w:tr>
      <w:tr>
        <w:trPr>
          <w:trHeight w:val="34"/>
        </w:trPr>
        <w:tc>
          <w:tcPr>
            <w:tcW w:w="3300" w:type="dxa"/>
            <w:vAlign w:val="bottom"/>
            <w:tcBorders>
              <w:top w:val="single" w:sz="8" w:color="BD03F7"/>
            </w:tcBorders>
          </w:tcPr>
          <w:p>
            <w:pPr>
              <w:spacing w:after="0"/>
              <w:rPr>
                <w:sz w:val="2"/>
                <w:szCs w:val="2"/>
                <w:color w:val="auto"/>
              </w:rPr>
            </w:pPr>
          </w:p>
        </w:tc>
        <w:tc>
          <w:tcPr>
            <w:tcW w:w="2600" w:type="dxa"/>
            <w:vAlign w:val="bottom"/>
            <w:tcBorders>
              <w:top w:val="single" w:sz="8" w:color="BD03F7"/>
            </w:tcBorders>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Borders>
              <w:top w:val="single" w:sz="8" w:color="BD03F7"/>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00" w:type="dxa"/>
            <w:vAlign w:val="bottom"/>
            <w:shd w:val="clear" w:color="auto" w:fill="F2F2F2"/>
          </w:tcPr>
          <w:p>
            <w:pPr>
              <w:ind w:left="120"/>
              <w:spacing w:after="0"/>
              <w:rPr>
                <w:sz w:val="20"/>
                <w:szCs w:val="20"/>
                <w:color w:val="auto"/>
              </w:rPr>
            </w:pPr>
            <w:r>
              <w:rPr>
                <w:rFonts w:ascii="Arial" w:cs="Arial" w:eastAsia="Arial" w:hAnsi="Arial"/>
                <w:sz w:val="16"/>
                <w:szCs w:val="16"/>
                <w:color w:val="auto"/>
              </w:rPr>
              <w:t>Plans Approved by Shareholders</w:t>
            </w:r>
          </w:p>
        </w:tc>
        <w:tc>
          <w:tcPr>
            <w:tcW w:w="2600" w:type="dxa"/>
            <w:vAlign w:val="bottom"/>
            <w:shd w:val="clear" w:color="auto" w:fill="F2F2F2"/>
          </w:tcPr>
          <w:p>
            <w:pPr>
              <w:spacing w:after="0"/>
              <w:rPr>
                <w:sz w:val="18"/>
                <w:szCs w:val="18"/>
                <w:color w:val="auto"/>
              </w:rPr>
            </w:pPr>
          </w:p>
        </w:tc>
        <w:tc>
          <w:tcPr>
            <w:tcW w:w="400" w:type="dxa"/>
            <w:vAlign w:val="bottom"/>
            <w:shd w:val="clear" w:color="auto" w:fill="F2F2F2"/>
          </w:tcPr>
          <w:p>
            <w:pPr>
              <w:spacing w:after="0"/>
              <w:rPr>
                <w:sz w:val="18"/>
                <w:szCs w:val="18"/>
                <w:color w:val="auto"/>
              </w:rPr>
            </w:pPr>
          </w:p>
        </w:tc>
        <w:tc>
          <w:tcPr>
            <w:tcW w:w="260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2600" w:type="dxa"/>
            <w:vAlign w:val="bottom"/>
          </w:tcPr>
          <w:p>
            <w:pPr>
              <w:jc w:val="right"/>
              <w:ind w:right="59"/>
              <w:spacing w:after="0"/>
              <w:rPr>
                <w:sz w:val="20"/>
                <w:szCs w:val="20"/>
                <w:color w:val="auto"/>
              </w:rPr>
            </w:pPr>
            <w:r>
              <w:rPr>
                <w:rFonts w:ascii="Arial" w:cs="Arial" w:eastAsia="Arial" w:hAnsi="Arial"/>
                <w:sz w:val="16"/>
                <w:szCs w:val="16"/>
                <w:color w:val="auto"/>
              </w:rPr>
              <w:t>651,817</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3020" w:type="dxa"/>
            <w:vAlign w:val="bottom"/>
            <w:gridSpan w:val="2"/>
          </w:tcPr>
          <w:p>
            <w:pPr>
              <w:ind w:left="2320"/>
              <w:spacing w:after="0"/>
              <w:rPr>
                <w:sz w:val="20"/>
                <w:szCs w:val="20"/>
                <w:color w:val="auto"/>
              </w:rPr>
            </w:pPr>
            <w:r>
              <w:rPr>
                <w:rFonts w:ascii="Arial" w:cs="Arial" w:eastAsia="Arial" w:hAnsi="Arial"/>
                <w:sz w:val="16"/>
                <w:szCs w:val="16"/>
                <w:color w:val="auto"/>
              </w:rPr>
              <w:t>—   (3)</w:t>
            </w:r>
          </w:p>
        </w:tc>
        <w:tc>
          <w:tcPr>
            <w:tcW w:w="0" w:type="dxa"/>
            <w:vAlign w:val="bottom"/>
          </w:tcPr>
          <w:p>
            <w:pPr>
              <w:spacing w:after="0"/>
              <w:rPr>
                <w:sz w:val="1"/>
                <w:szCs w:val="1"/>
                <w:color w:val="auto"/>
              </w:rPr>
            </w:pPr>
          </w:p>
        </w:tc>
      </w:tr>
      <w:tr>
        <w:trPr>
          <w:trHeight w:val="216"/>
        </w:trPr>
        <w:tc>
          <w:tcPr>
            <w:tcW w:w="33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2007 Plan</w:t>
            </w:r>
          </w:p>
        </w:tc>
        <w:tc>
          <w:tcPr>
            <w:tcW w:w="26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26,738,549</w:t>
            </w:r>
          </w:p>
        </w:tc>
        <w:tc>
          <w:tcPr>
            <w:tcW w:w="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w:t>
            </w:r>
          </w:p>
        </w:tc>
        <w:tc>
          <w:tcPr>
            <w:tcW w:w="26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55,544,263</w:t>
            </w:r>
          </w:p>
        </w:tc>
        <w:tc>
          <w:tcPr>
            <w:tcW w:w="4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Borders>
              <w:bottom w:val="single" w:sz="8" w:color="F2F2F2"/>
            </w:tcBorders>
          </w:tcPr>
          <w:p>
            <w:pPr>
              <w:ind w:left="140"/>
              <w:spacing w:after="0"/>
              <w:rPr>
                <w:sz w:val="20"/>
                <w:szCs w:val="20"/>
                <w:color w:val="auto"/>
              </w:rPr>
            </w:pPr>
            <w:r>
              <w:rPr>
                <w:rFonts w:ascii="Arial" w:cs="Arial" w:eastAsia="Arial" w:hAnsi="Arial"/>
                <w:sz w:val="16"/>
                <w:szCs w:val="16"/>
                <w:color w:val="auto"/>
              </w:rPr>
              <w:t>ESPP</w:t>
            </w:r>
          </w:p>
        </w:tc>
        <w:tc>
          <w:tcPr>
            <w:tcW w:w="2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1,884,972</w:t>
            </w:r>
          </w:p>
        </w:tc>
        <w:tc>
          <w:tcPr>
            <w:tcW w:w="400" w:type="dxa"/>
            <w:vAlign w:val="bottom"/>
            <w:tcBorders>
              <w:bottom w:val="single" w:sz="8" w:color="F2F2F2"/>
            </w:tcBorders>
          </w:tcPr>
          <w:p>
            <w:pPr>
              <w:spacing w:after="0"/>
              <w:rPr>
                <w:sz w:val="18"/>
                <w:szCs w:val="18"/>
                <w:color w:val="auto"/>
              </w:rPr>
            </w:pP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10,650,733</w:t>
            </w:r>
          </w:p>
        </w:tc>
        <w:tc>
          <w:tcPr>
            <w:tcW w:w="420" w:type="dxa"/>
            <w:vAlign w:val="bottom"/>
            <w:tcBorders>
              <w:bottom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F2F2F2"/>
          </w:tcPr>
          <w:p>
            <w:pPr>
              <w:ind w:left="300"/>
              <w:spacing w:after="0"/>
              <w:rPr>
                <w:sz w:val="20"/>
                <w:szCs w:val="20"/>
                <w:color w:val="auto"/>
              </w:rPr>
            </w:pPr>
            <w:r>
              <w:rPr>
                <w:rFonts w:ascii="Arial" w:cs="Arial" w:eastAsia="Arial" w:hAnsi="Arial"/>
                <w:sz w:val="16"/>
                <w:szCs w:val="16"/>
                <w:color w:val="auto"/>
              </w:rPr>
              <w:t>Approved Plan Total</w:t>
            </w:r>
          </w:p>
        </w:tc>
        <w:tc>
          <w:tcPr>
            <w:tcW w:w="260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29,275,338</w:t>
            </w:r>
          </w:p>
        </w:tc>
        <w:tc>
          <w:tcPr>
            <w:tcW w:w="400" w:type="dxa"/>
            <w:vAlign w:val="bottom"/>
            <w:shd w:val="clear" w:color="auto" w:fill="F2F2F2"/>
          </w:tcPr>
          <w:p>
            <w:pPr>
              <w:spacing w:after="0"/>
              <w:rPr>
                <w:sz w:val="18"/>
                <w:szCs w:val="18"/>
                <w:color w:val="auto"/>
              </w:rPr>
            </w:pPr>
          </w:p>
        </w:tc>
        <w:tc>
          <w:tcPr>
            <w:tcW w:w="260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66,194,996</w:t>
            </w:r>
          </w:p>
        </w:tc>
        <w:tc>
          <w:tcPr>
            <w:tcW w:w="4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00" w:type="dxa"/>
            <w:vAlign w:val="bottom"/>
            <w:shd w:val="clear" w:color="auto" w:fill="F2F2F2"/>
          </w:tcPr>
          <w:p>
            <w:pPr>
              <w:ind w:left="120"/>
              <w:spacing w:after="0"/>
              <w:rPr>
                <w:sz w:val="20"/>
                <w:szCs w:val="20"/>
                <w:color w:val="auto"/>
              </w:rPr>
            </w:pPr>
            <w:r>
              <w:rPr>
                <w:rFonts w:ascii="Arial" w:cs="Arial" w:eastAsia="Arial" w:hAnsi="Arial"/>
                <w:sz w:val="16"/>
                <w:szCs w:val="16"/>
                <w:color w:val="auto"/>
              </w:rPr>
              <w:t>Plans Not Approved by Shareholders</w:t>
            </w:r>
          </w:p>
        </w:tc>
        <w:tc>
          <w:tcPr>
            <w:tcW w:w="2600" w:type="dxa"/>
            <w:vAlign w:val="bottom"/>
            <w:shd w:val="clear" w:color="auto" w:fill="F2F2F2"/>
          </w:tcPr>
          <w:p>
            <w:pPr>
              <w:spacing w:after="0"/>
              <w:rPr>
                <w:sz w:val="18"/>
                <w:szCs w:val="18"/>
                <w:color w:val="auto"/>
              </w:rPr>
            </w:pPr>
          </w:p>
        </w:tc>
        <w:tc>
          <w:tcPr>
            <w:tcW w:w="400" w:type="dxa"/>
            <w:vAlign w:val="bottom"/>
            <w:shd w:val="clear" w:color="auto" w:fill="F2F2F2"/>
          </w:tcPr>
          <w:p>
            <w:pPr>
              <w:spacing w:after="0"/>
              <w:rPr>
                <w:sz w:val="18"/>
                <w:szCs w:val="18"/>
                <w:color w:val="auto"/>
              </w:rPr>
            </w:pPr>
          </w:p>
        </w:tc>
        <w:tc>
          <w:tcPr>
            <w:tcW w:w="260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Borders>
              <w:bottom w:val="single" w:sz="8" w:color="F2F2F2"/>
            </w:tcBorders>
          </w:tcPr>
          <w:p>
            <w:pPr>
              <w:ind w:left="140"/>
              <w:spacing w:after="0"/>
              <w:rPr>
                <w:sz w:val="20"/>
                <w:szCs w:val="20"/>
                <w:color w:val="auto"/>
              </w:rPr>
            </w:pPr>
            <w:r>
              <w:rPr>
                <w:rFonts w:ascii="Arial" w:cs="Arial" w:eastAsia="Arial" w:hAnsi="Arial"/>
                <w:sz w:val="16"/>
                <w:szCs w:val="16"/>
                <w:color w:val="auto"/>
              </w:rPr>
              <w:t>NSOP</w:t>
            </w:r>
          </w:p>
        </w:tc>
        <w:tc>
          <w:tcPr>
            <w:tcW w:w="2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235,383</w:t>
            </w:r>
          </w:p>
        </w:tc>
        <w:tc>
          <w:tcPr>
            <w:tcW w:w="400" w:type="dxa"/>
            <w:vAlign w:val="bottom"/>
            <w:tcBorders>
              <w:bottom w:val="single" w:sz="8" w:color="F2F2F2"/>
            </w:tcBorders>
          </w:tcPr>
          <w:p>
            <w:pPr>
              <w:spacing w:after="0"/>
              <w:rPr>
                <w:sz w:val="18"/>
                <w:szCs w:val="18"/>
                <w:color w:val="auto"/>
              </w:rPr>
            </w:pP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3,253,144</w:t>
            </w:r>
          </w:p>
        </w:tc>
        <w:tc>
          <w:tcPr>
            <w:tcW w:w="420" w:type="dxa"/>
            <w:vAlign w:val="bottom"/>
            <w:tcBorders>
              <w:bottom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F2F2F2"/>
          </w:tcPr>
          <w:p>
            <w:pPr>
              <w:ind w:left="300"/>
              <w:spacing w:after="0"/>
              <w:rPr>
                <w:sz w:val="20"/>
                <w:szCs w:val="20"/>
                <w:color w:val="auto"/>
              </w:rPr>
            </w:pPr>
            <w:r>
              <w:rPr>
                <w:rFonts w:ascii="Arial" w:cs="Arial" w:eastAsia="Arial" w:hAnsi="Arial"/>
                <w:sz w:val="16"/>
                <w:szCs w:val="16"/>
                <w:color w:val="auto"/>
              </w:rPr>
              <w:t>Not Approved Plan Total</w:t>
            </w:r>
          </w:p>
        </w:tc>
        <w:tc>
          <w:tcPr>
            <w:tcW w:w="260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235,383</w:t>
            </w:r>
          </w:p>
        </w:tc>
        <w:tc>
          <w:tcPr>
            <w:tcW w:w="400" w:type="dxa"/>
            <w:vAlign w:val="bottom"/>
            <w:shd w:val="clear" w:color="auto" w:fill="F2F2F2"/>
          </w:tcPr>
          <w:p>
            <w:pPr>
              <w:spacing w:after="0"/>
              <w:rPr>
                <w:sz w:val="18"/>
                <w:szCs w:val="18"/>
                <w:color w:val="auto"/>
              </w:rPr>
            </w:pPr>
          </w:p>
        </w:tc>
        <w:tc>
          <w:tcPr>
            <w:tcW w:w="260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3,253,144</w:t>
            </w:r>
          </w:p>
        </w:tc>
        <w:tc>
          <w:tcPr>
            <w:tcW w:w="4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460"/>
              <w:spacing w:after="0"/>
              <w:rPr>
                <w:sz w:val="20"/>
                <w:szCs w:val="20"/>
                <w:color w:val="auto"/>
              </w:rPr>
            </w:pPr>
            <w:r>
              <w:rPr>
                <w:rFonts w:ascii="Arial" w:cs="Arial" w:eastAsia="Arial" w:hAnsi="Arial"/>
                <w:sz w:val="16"/>
                <w:szCs w:val="16"/>
                <w:color w:val="auto"/>
              </w:rPr>
              <w:t>Grand Total</w:t>
            </w:r>
          </w:p>
        </w:tc>
        <w:tc>
          <w:tcPr>
            <w:tcW w:w="2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29,510,721</w:t>
            </w:r>
          </w:p>
        </w:tc>
        <w:tc>
          <w:tcPr>
            <w:tcW w:w="400" w:type="dxa"/>
            <w:vAlign w:val="bottom"/>
          </w:tcPr>
          <w:p>
            <w:pPr>
              <w:spacing w:after="0"/>
              <w:rPr>
                <w:sz w:val="18"/>
                <w:szCs w:val="18"/>
                <w:color w:val="auto"/>
              </w:rPr>
            </w:pP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69,448,140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BD03F7"/>
            </w:tcBorders>
          </w:tcPr>
          <w:p>
            <w:pPr>
              <w:spacing w:after="0" w:line="20" w:lineRule="exact"/>
              <w:rPr>
                <w:sz w:val="1"/>
                <w:szCs w:val="1"/>
                <w:color w:val="auto"/>
              </w:rPr>
            </w:pPr>
          </w:p>
        </w:tc>
        <w:tc>
          <w:tcPr>
            <w:tcW w:w="2600" w:type="dxa"/>
            <w:vAlign w:val="bottom"/>
            <w:tcBorders>
              <w:bottom w:val="single" w:sz="8" w:color="BD03F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Borders>
              <w:bottom w:val="single" w:sz="8" w:color="BD03F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120" w:hanging="305"/>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614,149 restricted stock units.</w:t>
      </w:r>
    </w:p>
    <w:p>
      <w:pPr>
        <w:spacing w:after="0" w:line="115" w:lineRule="exact"/>
        <w:rPr>
          <w:rFonts w:ascii="Arial" w:cs="Arial" w:eastAsia="Arial" w:hAnsi="Arial"/>
          <w:sz w:val="18"/>
          <w:szCs w:val="18"/>
          <w:color w:val="auto"/>
        </w:rPr>
      </w:pPr>
    </w:p>
    <w:p>
      <w:pPr>
        <w:ind w:left="1120" w:hanging="305"/>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26,664,164 restricted stock units and excludes 1,013,164 shares of restricted stock.</w:t>
      </w:r>
    </w:p>
    <w:p>
      <w:pPr>
        <w:spacing w:after="0" w:line="115" w:lineRule="exact"/>
        <w:rPr>
          <w:rFonts w:ascii="Arial" w:cs="Arial" w:eastAsia="Arial" w:hAnsi="Arial"/>
          <w:sz w:val="18"/>
          <w:szCs w:val="18"/>
          <w:color w:val="auto"/>
        </w:rPr>
      </w:pPr>
    </w:p>
    <w:p>
      <w:pPr>
        <w:ind w:left="1120" w:hanging="305"/>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2004 Plan expired in January 2023.</w:t>
      </w:r>
    </w:p>
    <w:p>
      <w:pPr>
        <w:spacing w:after="0" w:line="200" w:lineRule="exact"/>
        <w:rPr>
          <w:sz w:val="20"/>
          <w:szCs w:val="20"/>
          <w:color w:val="auto"/>
        </w:rPr>
      </w:pPr>
    </w:p>
    <w:p>
      <w:pPr>
        <w:spacing w:after="0" w:line="37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ind w:left="880"/>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1150"/>
        </w:trPr>
        <w:tc>
          <w:tcPr>
            <w:tcW w:w="5240" w:type="dxa"/>
            <w:vAlign w:val="bottom"/>
            <w:gridSpan w:val="8"/>
          </w:tcPr>
          <w:p>
            <w:pPr>
              <w:jc w:val="right"/>
              <w:spacing w:after="0"/>
              <w:rPr>
                <w:sz w:val="20"/>
                <w:szCs w:val="20"/>
                <w:color w:val="auto"/>
              </w:rPr>
            </w:pPr>
            <w:r>
              <w:rPr>
                <w:rFonts w:ascii="Arial" w:cs="Arial" w:eastAsia="Arial" w:hAnsi="Arial"/>
                <w:sz w:val="36"/>
                <w:szCs w:val="36"/>
                <w:b w:val="1"/>
                <w:bCs w:val="1"/>
                <w:color w:val="auto"/>
                <w:w w:val="98"/>
              </w:rPr>
              <w:t>PAY VERSUS PERFORMANCE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top w:val="single" w:sz="8" w:color="BD03F7"/>
            </w:tcBorders>
          </w:tcPr>
          <w:p>
            <w:pPr>
              <w:spacing w:after="0"/>
              <w:rPr>
                <w:sz w:val="24"/>
                <w:szCs w:val="24"/>
                <w:color w:val="auto"/>
              </w:rPr>
            </w:pPr>
          </w:p>
        </w:tc>
        <w:tc>
          <w:tcPr>
            <w:tcW w:w="180" w:type="dxa"/>
            <w:vAlign w:val="bottom"/>
            <w:tcBorders>
              <w:top w:val="single" w:sz="8" w:color="BD03F7"/>
            </w:tcBorders>
          </w:tcPr>
          <w:p>
            <w:pPr>
              <w:spacing w:after="0"/>
              <w:rPr>
                <w:sz w:val="24"/>
                <w:szCs w:val="24"/>
                <w:color w:val="auto"/>
              </w:rPr>
            </w:pPr>
          </w:p>
        </w:tc>
        <w:tc>
          <w:tcPr>
            <w:tcW w:w="960" w:type="dxa"/>
            <w:vAlign w:val="bottom"/>
            <w:tcBorders>
              <w:top w:val="single" w:sz="8" w:color="BD03F7"/>
            </w:tcBorders>
          </w:tcPr>
          <w:p>
            <w:pPr>
              <w:spacing w:after="0"/>
              <w:rPr>
                <w:sz w:val="24"/>
                <w:szCs w:val="24"/>
                <w:color w:val="auto"/>
              </w:rPr>
            </w:pPr>
          </w:p>
        </w:tc>
        <w:tc>
          <w:tcPr>
            <w:tcW w:w="80" w:type="dxa"/>
            <w:vAlign w:val="bottom"/>
            <w:tcBorders>
              <w:top w:val="single" w:sz="8" w:color="BD03F7"/>
            </w:tcBorders>
          </w:tcPr>
          <w:p>
            <w:pPr>
              <w:spacing w:after="0"/>
              <w:rPr>
                <w:sz w:val="24"/>
                <w:szCs w:val="24"/>
                <w:color w:val="auto"/>
              </w:rPr>
            </w:pPr>
          </w:p>
        </w:tc>
        <w:tc>
          <w:tcPr>
            <w:tcW w:w="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8"/>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center"/>
              <w:ind w:right="35"/>
              <w:spacing w:after="0"/>
              <w:rPr>
                <w:sz w:val="20"/>
                <w:szCs w:val="20"/>
                <w:color w:val="auto"/>
              </w:rPr>
            </w:pPr>
            <w:r>
              <w:rPr>
                <w:rFonts w:ascii="Arial" w:cs="Arial" w:eastAsia="Arial" w:hAnsi="Arial"/>
                <w:sz w:val="16"/>
                <w:szCs w:val="16"/>
                <w:b w:val="1"/>
                <w:bCs w:val="1"/>
                <w:color w:val="auto"/>
                <w:w w:val="99"/>
              </w:rPr>
              <w:t>Value of Initial Fixed $100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8"/>
              </w:rPr>
              <w:t>Company</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center"/>
              <w:ind w:right="35"/>
              <w:spacing w:after="0" w:line="161" w:lineRule="exact"/>
              <w:rPr>
                <w:sz w:val="20"/>
                <w:szCs w:val="20"/>
                <w:color w:val="auto"/>
              </w:rPr>
            </w:pPr>
            <w:r>
              <w:rPr>
                <w:rFonts w:ascii="Arial" w:cs="Arial" w:eastAsia="Arial" w:hAnsi="Arial"/>
                <w:sz w:val="16"/>
                <w:szCs w:val="16"/>
                <w:b w:val="1"/>
                <w:bCs w:val="1"/>
                <w:color w:val="auto"/>
              </w:rPr>
              <w:t>Investment Based on:(4)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BD03F7"/>
            </w:tcBorders>
          </w:tcPr>
          <w:p>
            <w:pPr>
              <w:spacing w:after="0"/>
              <w:rPr>
                <w:sz w:val="4"/>
                <w:szCs w:val="4"/>
                <w:color w:val="auto"/>
              </w:rPr>
            </w:pPr>
          </w:p>
        </w:tc>
        <w:tc>
          <w:tcPr>
            <w:tcW w:w="960" w:type="dxa"/>
            <w:vAlign w:val="bottom"/>
            <w:tcBorders>
              <w:bottom w:val="single" w:sz="8" w:color="BD03F7"/>
            </w:tcBorders>
          </w:tcPr>
          <w:p>
            <w:pPr>
              <w:spacing w:after="0"/>
              <w:rPr>
                <w:sz w:val="4"/>
                <w:szCs w:val="4"/>
                <w:color w:val="auto"/>
              </w:rPr>
            </w:pPr>
          </w:p>
        </w:tc>
        <w:tc>
          <w:tcPr>
            <w:tcW w:w="240" w:type="dxa"/>
            <w:vAlign w:val="bottom"/>
            <w:tcBorders>
              <w:bottom w:val="single" w:sz="8" w:color="BD03F7"/>
            </w:tcBorders>
          </w:tcPr>
          <w:p>
            <w:pPr>
              <w:spacing w:after="0"/>
              <w:rPr>
                <w:sz w:val="4"/>
                <w:szCs w:val="4"/>
                <w:color w:val="auto"/>
              </w:rPr>
            </w:pPr>
          </w:p>
        </w:tc>
        <w:tc>
          <w:tcPr>
            <w:tcW w:w="900" w:type="dxa"/>
            <w:vAlign w:val="bottom"/>
            <w:tcBorders>
              <w:bottom w:val="single" w:sz="8" w:color="BD03F7"/>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3"/>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Selected</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Company</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Average Summary</w:t>
            </w:r>
          </w:p>
        </w:tc>
        <w:tc>
          <w:tcPr>
            <w:tcW w:w="160" w:type="dxa"/>
            <w:vAlign w:val="bottom"/>
          </w:tcPr>
          <w:p>
            <w:pPr>
              <w:spacing w:after="0"/>
              <w:rPr>
                <w:sz w:val="14"/>
                <w:szCs w:val="14"/>
                <w:color w:val="auto"/>
              </w:rPr>
            </w:pPr>
          </w:p>
        </w:tc>
        <w:tc>
          <w:tcPr>
            <w:tcW w:w="1400" w:type="dxa"/>
            <w:vAlign w:val="bottom"/>
            <w:vMerge w:val="restart"/>
          </w:tcPr>
          <w:p>
            <w:pPr>
              <w:jc w:val="center"/>
              <w:ind w:right="57"/>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center"/>
              <w:spacing w:after="0" w:line="161" w:lineRule="exact"/>
              <w:rPr>
                <w:sz w:val="20"/>
                <w:szCs w:val="20"/>
                <w:color w:val="auto"/>
              </w:rPr>
            </w:pPr>
            <w:r>
              <w:rPr>
                <w:rFonts w:ascii="Arial" w:cs="Arial" w:eastAsia="Arial" w:hAnsi="Arial"/>
                <w:sz w:val="16"/>
                <w:szCs w:val="16"/>
                <w:b w:val="1"/>
                <w:bCs w:val="1"/>
                <w:color w:val="auto"/>
              </w:rPr>
              <w:t>Measure: Non-</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8"/>
              </w:rPr>
              <w:t>Summary</w:t>
            </w:r>
          </w:p>
        </w:tc>
        <w:tc>
          <w:tcPr>
            <w:tcW w:w="1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Compensation</w:t>
            </w: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14"/>
                <w:szCs w:val="14"/>
                <w:color w:val="auto"/>
              </w:rPr>
            </w:pPr>
          </w:p>
        </w:tc>
        <w:tc>
          <w:tcPr>
            <w:tcW w:w="1060" w:type="dxa"/>
            <w:vAlign w:val="bottom"/>
            <w:gridSpan w:val="3"/>
          </w:tcPr>
          <w:p>
            <w:pPr>
              <w:jc w:val="center"/>
              <w:ind w:right="180"/>
              <w:spacing w:after="0" w:line="161" w:lineRule="exact"/>
              <w:rPr>
                <w:sz w:val="20"/>
                <w:szCs w:val="20"/>
                <w:color w:val="auto"/>
              </w:rPr>
            </w:pPr>
            <w:r>
              <w:rPr>
                <w:rFonts w:ascii="Arial" w:cs="Arial" w:eastAsia="Arial" w:hAnsi="Arial"/>
                <w:sz w:val="16"/>
                <w:szCs w:val="16"/>
                <w:b w:val="1"/>
                <w:bCs w:val="1"/>
                <w:color w:val="auto"/>
                <w:w w:val="99"/>
              </w:rPr>
              <w:t>GAAP Net</w:t>
            </w:r>
          </w:p>
        </w:tc>
        <w:tc>
          <w:tcPr>
            <w:tcW w:w="0" w:type="dxa"/>
            <w:vAlign w:val="bottom"/>
          </w:tcPr>
          <w:p>
            <w:pPr>
              <w:spacing w:after="0"/>
              <w:rPr>
                <w:sz w:val="1"/>
                <w:szCs w:val="1"/>
                <w:color w:val="auto"/>
              </w:rPr>
            </w:pPr>
          </w:p>
        </w:tc>
      </w:tr>
      <w:tr>
        <w:trPr>
          <w:trHeight w:val="161"/>
        </w:trPr>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Fiscal</w:t>
            </w: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56"/>
              <w:spacing w:after="0" w:line="161" w:lineRule="exact"/>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14"/>
                <w:szCs w:val="14"/>
                <w:color w:val="auto"/>
              </w:rPr>
            </w:pPr>
          </w:p>
        </w:tc>
        <w:tc>
          <w:tcPr>
            <w:tcW w:w="1400" w:type="dxa"/>
            <w:vAlign w:val="bottom"/>
          </w:tcPr>
          <w:p>
            <w:pPr>
              <w:jc w:val="center"/>
              <w:ind w:right="37"/>
              <w:spacing w:after="0" w:line="161" w:lineRule="exact"/>
              <w:rPr>
                <w:sz w:val="20"/>
                <w:szCs w:val="20"/>
                <w:color w:val="auto"/>
              </w:rPr>
            </w:pPr>
            <w:r>
              <w:rPr>
                <w:rFonts w:ascii="Arial" w:cs="Arial" w:eastAsia="Arial" w:hAnsi="Arial"/>
                <w:sz w:val="16"/>
                <w:szCs w:val="16"/>
                <w:b w:val="1"/>
                <w:bCs w:val="1"/>
                <w:color w:val="auto"/>
              </w:rPr>
              <w:t>Compensation</w:t>
            </w:r>
          </w:p>
        </w:tc>
        <w:tc>
          <w:tcPr>
            <w:tcW w:w="108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Shareholder</w:t>
            </w:r>
          </w:p>
        </w:tc>
        <w:tc>
          <w:tcPr>
            <w:tcW w:w="11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Peer Group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gridSpan w:val="4"/>
          </w:tcPr>
          <w:p>
            <w:pPr>
              <w:jc w:val="center"/>
              <w:spacing w:after="0" w:line="161" w:lineRule="exact"/>
              <w:rPr>
                <w:sz w:val="20"/>
                <w:szCs w:val="20"/>
                <w:color w:val="auto"/>
              </w:rPr>
            </w:pPr>
            <w:r>
              <w:rPr>
                <w:rFonts w:ascii="Arial" w:cs="Arial" w:eastAsia="Arial" w:hAnsi="Arial"/>
                <w:sz w:val="16"/>
                <w:szCs w:val="16"/>
                <w:b w:val="1"/>
                <w:bCs w:val="1"/>
                <w:color w:val="auto"/>
                <w:w w:val="99"/>
              </w:rPr>
              <w:t>Income (Loss)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36"/>
              <w:spacing w:after="0" w:line="161" w:lineRule="exact"/>
              <w:rPr>
                <w:sz w:val="20"/>
                <w:szCs w:val="20"/>
                <w:color w:val="auto"/>
              </w:rPr>
            </w:pPr>
            <w:r>
              <w:rPr>
                <w:rFonts w:ascii="Arial" w:cs="Arial" w:eastAsia="Arial" w:hAnsi="Arial"/>
                <w:sz w:val="16"/>
                <w:szCs w:val="16"/>
                <w:b w:val="1"/>
                <w:bCs w:val="1"/>
                <w:color w:val="auto"/>
              </w:rPr>
              <w:t>Compensation</w:t>
            </w:r>
          </w:p>
        </w:tc>
        <w:tc>
          <w:tcPr>
            <w:tcW w:w="140" w:type="dxa"/>
            <w:vAlign w:val="bottom"/>
          </w:tcPr>
          <w:p>
            <w:pPr>
              <w:spacing w:after="0"/>
              <w:rPr>
                <w:sz w:val="14"/>
                <w:szCs w:val="14"/>
                <w:color w:val="auto"/>
              </w:rPr>
            </w:pPr>
          </w:p>
        </w:tc>
        <w:tc>
          <w:tcPr>
            <w:tcW w:w="13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Actually Paid to</w:t>
            </w:r>
          </w:p>
        </w:tc>
        <w:tc>
          <w:tcPr>
            <w:tcW w:w="200" w:type="dxa"/>
            <w:vAlign w:val="bottom"/>
          </w:tcPr>
          <w:p>
            <w:pPr>
              <w:spacing w:after="0"/>
              <w:rPr>
                <w:sz w:val="14"/>
                <w:szCs w:val="14"/>
                <w:color w:val="auto"/>
              </w:rPr>
            </w:pPr>
          </w:p>
        </w:tc>
        <w:tc>
          <w:tcPr>
            <w:tcW w:w="1340" w:type="dxa"/>
            <w:vAlign w:val="bottom"/>
          </w:tcPr>
          <w:p>
            <w:pPr>
              <w:jc w:val="center"/>
              <w:ind w:right="56"/>
              <w:spacing w:after="0" w:line="161" w:lineRule="exact"/>
              <w:rPr>
                <w:sz w:val="20"/>
                <w:szCs w:val="20"/>
                <w:color w:val="auto"/>
              </w:rPr>
            </w:pPr>
            <w:r>
              <w:rPr>
                <w:rFonts w:ascii="Arial" w:cs="Arial" w:eastAsia="Arial" w:hAnsi="Arial"/>
                <w:sz w:val="16"/>
                <w:szCs w:val="16"/>
                <w:b w:val="1"/>
                <w:bCs w:val="1"/>
                <w:color w:val="auto"/>
                <w:w w:val="97"/>
              </w:rPr>
              <w:t>Table Total for</w:t>
            </w:r>
          </w:p>
        </w:tc>
        <w:tc>
          <w:tcPr>
            <w:tcW w:w="160" w:type="dxa"/>
            <w:vAlign w:val="bottom"/>
          </w:tcPr>
          <w:p>
            <w:pPr>
              <w:spacing w:after="0"/>
              <w:rPr>
                <w:sz w:val="14"/>
                <w:szCs w:val="14"/>
                <w:color w:val="auto"/>
              </w:rPr>
            </w:pPr>
          </w:p>
        </w:tc>
        <w:tc>
          <w:tcPr>
            <w:tcW w:w="1400" w:type="dxa"/>
            <w:vAlign w:val="bottom"/>
          </w:tcPr>
          <w:p>
            <w:pPr>
              <w:jc w:val="center"/>
              <w:ind w:right="57"/>
              <w:spacing w:after="0" w:line="161" w:lineRule="exact"/>
              <w:rPr>
                <w:sz w:val="20"/>
                <w:szCs w:val="20"/>
                <w:color w:val="auto"/>
              </w:rPr>
            </w:pPr>
            <w:r>
              <w:rPr>
                <w:rFonts w:ascii="Arial" w:cs="Arial" w:eastAsia="Arial" w:hAnsi="Arial"/>
                <w:sz w:val="16"/>
                <w:szCs w:val="16"/>
                <w:b w:val="1"/>
                <w:bCs w:val="1"/>
                <w:color w:val="auto"/>
              </w:rPr>
              <w:t>Actually Paid to</w:t>
            </w:r>
          </w:p>
        </w:tc>
        <w:tc>
          <w:tcPr>
            <w:tcW w:w="120" w:type="dxa"/>
            <w:vAlign w:val="bottom"/>
          </w:tcPr>
          <w:p>
            <w:pPr>
              <w:spacing w:after="0"/>
              <w:rPr>
                <w:sz w:val="14"/>
                <w:szCs w:val="14"/>
                <w:color w:val="auto"/>
              </w:rPr>
            </w:pPr>
          </w:p>
        </w:tc>
        <w:tc>
          <w:tcPr>
            <w:tcW w:w="9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Return</w:t>
            </w: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rPr>
              <w:t>(Loss)(6)</w:t>
            </w:r>
          </w:p>
        </w:tc>
        <w:tc>
          <w:tcPr>
            <w:tcW w:w="180" w:type="dxa"/>
            <w:vAlign w:val="bottom"/>
          </w:tcPr>
          <w:p>
            <w:pPr>
              <w:spacing w:after="0"/>
              <w:rPr>
                <w:sz w:val="14"/>
                <w:szCs w:val="14"/>
                <w:color w:val="auto"/>
              </w:rPr>
            </w:pPr>
          </w:p>
        </w:tc>
        <w:tc>
          <w:tcPr>
            <w:tcW w:w="960" w:type="dxa"/>
            <w:vAlign w:val="bottom"/>
          </w:tcPr>
          <w:p>
            <w:pPr>
              <w:jc w:val="center"/>
              <w:ind w:right="3"/>
              <w:spacing w:after="0" w:line="161" w:lineRule="exact"/>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Table for PEO(1)</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7"/>
              </w:rPr>
              <w:t>PEO(2)</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Non-PEO NEOs(3)</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Non-PEO NEOs(2)</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(“TSR”)</w:t>
            </w:r>
          </w:p>
        </w:tc>
        <w:tc>
          <w:tcPr>
            <w:tcW w:w="24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Arial" w:cs="Arial" w:eastAsia="Arial" w:hAnsi="Arial"/>
                <w:sz w:val="16"/>
                <w:szCs w:val="16"/>
                <w:b w:val="1"/>
                <w:bCs w:val="1"/>
                <w:color w:val="auto"/>
              </w:rPr>
              <w:t>TSR(5)</w:t>
            </w: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2"/>
        </w:trPr>
        <w:tc>
          <w:tcPr>
            <w:tcW w:w="66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30,060,126</w:t>
            </w:r>
          </w:p>
        </w:tc>
        <w:tc>
          <w:tcPr>
            <w:tcW w:w="14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72,800,970</w:t>
            </w:r>
          </w:p>
        </w:tc>
        <w:tc>
          <w:tcPr>
            <w:tcW w:w="20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10,791,271</w:t>
            </w:r>
          </w:p>
        </w:tc>
        <w:tc>
          <w:tcPr>
            <w:tcW w:w="16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25,984,963</w:t>
            </w:r>
          </w:p>
        </w:tc>
        <w:tc>
          <w:tcPr>
            <w:tcW w:w="12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210.22</w:t>
            </w:r>
          </w:p>
        </w:tc>
        <w:tc>
          <w:tcPr>
            <w:tcW w:w="24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225.10</w:t>
            </w:r>
          </w:p>
        </w:tc>
        <w:tc>
          <w:tcPr>
            <w:tcW w:w="14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BD03F7"/>
            </w:tcBorders>
            <w:gridSpan w:val="2"/>
          </w:tcPr>
          <w:p>
            <w:pPr>
              <w:jc w:val="right"/>
              <w:ind w:right="40"/>
              <w:spacing w:after="0"/>
              <w:rPr>
                <w:sz w:val="20"/>
                <w:szCs w:val="20"/>
                <w:color w:val="auto"/>
              </w:rPr>
            </w:pPr>
            <w:r>
              <w:rPr>
                <w:rFonts w:ascii="Arial" w:cs="Arial" w:eastAsia="Arial" w:hAnsi="Arial"/>
                <w:sz w:val="18"/>
                <w:szCs w:val="18"/>
                <w:color w:val="auto"/>
              </w:rPr>
              <w:t>778</w:t>
            </w:r>
          </w:p>
        </w:tc>
        <w:tc>
          <w:tcPr>
            <w:tcW w:w="180" w:type="dxa"/>
            <w:vAlign w:val="bottom"/>
            <w:tcBorders>
              <w:top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BD03F7"/>
            </w:tcBorders>
            <w:gridSpan w:val="2"/>
          </w:tcPr>
          <w:p>
            <w:pPr>
              <w:jc w:val="right"/>
              <w:ind w:right="80"/>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F2F2F2"/>
          </w:tcPr>
          <w:p>
            <w:pPr>
              <w:jc w:val="right"/>
              <w:ind w:right="270"/>
              <w:spacing w:after="0"/>
              <w:rPr>
                <w:sz w:val="20"/>
                <w:szCs w:val="20"/>
                <w:color w:val="auto"/>
              </w:rPr>
            </w:pPr>
            <w:r>
              <w:rPr>
                <w:rFonts w:ascii="Arial" w:cs="Arial" w:eastAsia="Arial" w:hAnsi="Arial"/>
                <w:sz w:val="18"/>
                <w:szCs w:val="18"/>
                <w:color w:val="auto"/>
              </w:rPr>
              <w:t>25,276,953</w:t>
            </w:r>
          </w:p>
        </w:tc>
        <w:tc>
          <w:tcPr>
            <w:tcW w:w="1500" w:type="dxa"/>
            <w:vAlign w:val="bottom"/>
            <w:shd w:val="clear" w:color="auto" w:fill="F2F2F2"/>
          </w:tcPr>
          <w:p>
            <w:pPr>
              <w:jc w:val="right"/>
              <w:ind w:right="230"/>
              <w:spacing w:after="0"/>
              <w:rPr>
                <w:sz w:val="20"/>
                <w:szCs w:val="20"/>
                <w:color w:val="auto"/>
              </w:rPr>
            </w:pPr>
            <w:r>
              <w:rPr>
                <w:rFonts w:ascii="Arial" w:cs="Arial" w:eastAsia="Arial" w:hAnsi="Arial"/>
                <w:sz w:val="18"/>
                <w:szCs w:val="18"/>
                <w:color w:val="auto"/>
              </w:rPr>
              <w:t>42,535,802</w:t>
            </w:r>
          </w:p>
        </w:tc>
        <w:tc>
          <w:tcPr>
            <w:tcW w:w="1520" w:type="dxa"/>
            <w:vAlign w:val="bottom"/>
            <w:shd w:val="clear" w:color="auto" w:fill="F2F2F2"/>
          </w:tcPr>
          <w:p>
            <w:pPr>
              <w:jc w:val="right"/>
              <w:ind w:right="230"/>
              <w:spacing w:after="0"/>
              <w:rPr>
                <w:sz w:val="20"/>
                <w:szCs w:val="20"/>
                <w:color w:val="auto"/>
              </w:rPr>
            </w:pPr>
            <w:r>
              <w:rPr>
                <w:rFonts w:ascii="Arial" w:cs="Arial" w:eastAsia="Arial" w:hAnsi="Arial"/>
                <w:sz w:val="18"/>
                <w:szCs w:val="18"/>
                <w:color w:val="auto"/>
              </w:rPr>
              <w:t>8,414,800</w:t>
            </w:r>
          </w:p>
        </w:tc>
        <w:tc>
          <w:tcPr>
            <w:tcW w:w="1500" w:type="dxa"/>
            <w:vAlign w:val="bottom"/>
            <w:shd w:val="clear" w:color="auto" w:fill="F2F2F2"/>
          </w:tcPr>
          <w:p>
            <w:pPr>
              <w:jc w:val="right"/>
              <w:ind w:right="190"/>
              <w:spacing w:after="0"/>
              <w:rPr>
                <w:sz w:val="20"/>
                <w:szCs w:val="20"/>
                <w:color w:val="auto"/>
              </w:rPr>
            </w:pPr>
            <w:r>
              <w:rPr>
                <w:rFonts w:ascii="Arial" w:cs="Arial" w:eastAsia="Arial" w:hAnsi="Arial"/>
                <w:sz w:val="18"/>
                <w:szCs w:val="18"/>
                <w:color w:val="auto"/>
              </w:rPr>
              <w:t>13,652,768</w:t>
            </w:r>
          </w:p>
        </w:tc>
        <w:tc>
          <w:tcPr>
            <w:tcW w:w="1120" w:type="dxa"/>
            <w:vAlign w:val="bottom"/>
            <w:shd w:val="clear" w:color="auto" w:fill="F2F2F2"/>
          </w:tcPr>
          <w:p>
            <w:pPr>
              <w:jc w:val="right"/>
              <w:ind w:right="190"/>
              <w:spacing w:after="0"/>
              <w:rPr>
                <w:sz w:val="20"/>
                <w:szCs w:val="20"/>
                <w:color w:val="auto"/>
              </w:rPr>
            </w:pPr>
            <w:r>
              <w:rPr>
                <w:rFonts w:ascii="Arial" w:cs="Arial" w:eastAsia="Arial" w:hAnsi="Arial"/>
                <w:sz w:val="18"/>
                <w:szCs w:val="18"/>
                <w:color w:val="auto"/>
              </w:rPr>
              <w:t>153.10</w:t>
            </w:r>
          </w:p>
        </w:tc>
        <w:tc>
          <w:tcPr>
            <w:tcW w:w="112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164.30</w:t>
            </w:r>
          </w:p>
        </w:tc>
        <w:tc>
          <w:tcPr>
            <w:tcW w:w="11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(5,833)</w:t>
            </w:r>
          </w:p>
        </w:tc>
        <w:tc>
          <w:tcPr>
            <w:tcW w:w="900" w:type="dxa"/>
            <w:vAlign w:val="bottom"/>
            <w:shd w:val="clear" w:color="auto" w:fill="F2F2F2"/>
          </w:tcPr>
          <w:p>
            <w:pPr>
              <w:jc w:val="center"/>
              <w:ind w:left="170"/>
              <w:spacing w:after="0"/>
              <w:rPr>
                <w:sz w:val="20"/>
                <w:szCs w:val="20"/>
                <w:color w:val="auto"/>
              </w:rPr>
            </w:pPr>
            <w:r>
              <w:rPr>
                <w:rFonts w:ascii="Arial" w:cs="Arial" w:eastAsia="Arial" w:hAnsi="Arial"/>
                <w:sz w:val="18"/>
                <w:szCs w:val="18"/>
                <w:color w:val="auto"/>
                <w:w w:val="98"/>
              </w:rPr>
              <w:t>(4,862)</w:t>
            </w:r>
          </w:p>
        </w:tc>
      </w:tr>
      <w:tr>
        <w:trPr>
          <w:trHeight w:val="229"/>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2022</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28,840,809</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13,451,732</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10,446,440</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4,217,817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124.42</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117.53</w:t>
            </w:r>
          </w:p>
        </w:tc>
        <w:tc>
          <w:tcPr>
            <w:tcW w:w="1180" w:type="dxa"/>
            <w:vAlign w:val="bottom"/>
          </w:tcPr>
          <w:p>
            <w:pPr>
              <w:jc w:val="center"/>
              <w:spacing w:after="0"/>
              <w:rPr>
                <w:sz w:val="20"/>
                <w:szCs w:val="20"/>
                <w:color w:val="auto"/>
              </w:rPr>
            </w:pPr>
            <w:r>
              <w:rPr>
                <w:rFonts w:ascii="Arial" w:cs="Arial" w:eastAsia="Arial" w:hAnsi="Arial"/>
                <w:sz w:val="18"/>
                <w:szCs w:val="18"/>
                <w:color w:val="auto"/>
              </w:rPr>
              <w:t>8,687</w:t>
            </w:r>
          </w:p>
        </w:tc>
        <w:tc>
          <w:tcPr>
            <w:tcW w:w="900" w:type="dxa"/>
            <w:vAlign w:val="bottom"/>
          </w:tcPr>
          <w:p>
            <w:pPr>
              <w:jc w:val="center"/>
              <w:ind w:left="190"/>
              <w:spacing w:after="0"/>
              <w:rPr>
                <w:sz w:val="20"/>
                <w:szCs w:val="20"/>
                <w:color w:val="auto"/>
              </w:rPr>
            </w:pPr>
            <w:r>
              <w:rPr>
                <w:rFonts w:ascii="Arial" w:cs="Arial" w:eastAsia="Arial" w:hAnsi="Arial"/>
                <w:sz w:val="18"/>
                <w:szCs w:val="18"/>
                <w:color w:val="auto"/>
              </w:rPr>
              <w:t>9,475</w:t>
            </w:r>
          </w:p>
        </w:tc>
      </w:tr>
      <w:tr>
        <w:trPr>
          <w:trHeight w:val="229"/>
        </w:trPr>
        <w:tc>
          <w:tcPr>
            <w:tcW w:w="880" w:type="dxa"/>
            <w:vAlign w:val="bottom"/>
            <w:tcBorders>
              <w:bottom w:val="single" w:sz="8" w:color="BD03F7"/>
            </w:tcBorders>
            <w:shd w:val="clear" w:color="auto" w:fill="F2F2F2"/>
          </w:tcPr>
          <w:p>
            <w:pPr>
              <w:jc w:val="right"/>
              <w:ind w:right="150"/>
              <w:spacing w:after="0"/>
              <w:rPr>
                <w:sz w:val="20"/>
                <w:szCs w:val="20"/>
                <w:color w:val="auto"/>
              </w:rPr>
            </w:pPr>
            <w:r>
              <w:rPr>
                <w:rFonts w:ascii="Arial" w:cs="Arial" w:eastAsia="Arial" w:hAnsi="Arial"/>
                <w:sz w:val="18"/>
                <w:szCs w:val="18"/>
                <w:color w:val="auto"/>
              </w:rPr>
              <w:t>2021</w:t>
            </w:r>
          </w:p>
        </w:tc>
        <w:tc>
          <w:tcPr>
            <w:tcW w:w="1500" w:type="dxa"/>
            <w:vAlign w:val="bottom"/>
            <w:tcBorders>
              <w:bottom w:val="single" w:sz="8" w:color="BD03F7"/>
            </w:tcBorders>
            <w:shd w:val="clear" w:color="auto" w:fill="F2F2F2"/>
          </w:tcPr>
          <w:p>
            <w:pPr>
              <w:jc w:val="right"/>
              <w:ind w:right="210"/>
              <w:spacing w:after="0"/>
              <w:rPr>
                <w:sz w:val="20"/>
                <w:szCs w:val="20"/>
                <w:color w:val="auto"/>
              </w:rPr>
            </w:pPr>
            <w:r>
              <w:rPr>
                <w:rFonts w:ascii="Arial" w:cs="Arial" w:eastAsia="Arial" w:hAnsi="Arial"/>
                <w:sz w:val="18"/>
                <w:szCs w:val="18"/>
                <w:color w:val="auto"/>
              </w:rPr>
              <w:t>25,316,709</w:t>
            </w:r>
          </w:p>
        </w:tc>
        <w:tc>
          <w:tcPr>
            <w:tcW w:w="1500" w:type="dxa"/>
            <w:vAlign w:val="bottom"/>
            <w:tcBorders>
              <w:bottom w:val="single" w:sz="8" w:color="BD03F7"/>
            </w:tcBorders>
            <w:shd w:val="clear" w:color="auto" w:fill="F2F2F2"/>
          </w:tcPr>
          <w:p>
            <w:pPr>
              <w:jc w:val="right"/>
              <w:ind w:right="230"/>
              <w:spacing w:after="0"/>
              <w:rPr>
                <w:sz w:val="20"/>
                <w:szCs w:val="20"/>
                <w:color w:val="auto"/>
              </w:rPr>
            </w:pPr>
            <w:r>
              <w:rPr>
                <w:rFonts w:ascii="Arial" w:cs="Arial" w:eastAsia="Arial" w:hAnsi="Arial"/>
                <w:sz w:val="18"/>
                <w:szCs w:val="18"/>
                <w:color w:val="auto"/>
              </w:rPr>
              <w:t>68,023,777</w:t>
            </w:r>
          </w:p>
        </w:tc>
        <w:tc>
          <w:tcPr>
            <w:tcW w:w="1520" w:type="dxa"/>
            <w:vAlign w:val="bottom"/>
            <w:tcBorders>
              <w:bottom w:val="single" w:sz="8" w:color="BD03F7"/>
            </w:tcBorders>
            <w:shd w:val="clear" w:color="auto" w:fill="F2F2F2"/>
          </w:tcPr>
          <w:p>
            <w:pPr>
              <w:jc w:val="right"/>
              <w:ind w:right="230"/>
              <w:spacing w:after="0"/>
              <w:rPr>
                <w:sz w:val="20"/>
                <w:szCs w:val="20"/>
                <w:color w:val="auto"/>
              </w:rPr>
            </w:pPr>
            <w:r>
              <w:rPr>
                <w:rFonts w:ascii="Arial" w:cs="Arial" w:eastAsia="Arial" w:hAnsi="Arial"/>
                <w:sz w:val="18"/>
                <w:szCs w:val="18"/>
                <w:color w:val="auto"/>
              </w:rPr>
              <w:t>7,697,877</w:t>
            </w:r>
          </w:p>
        </w:tc>
        <w:tc>
          <w:tcPr>
            <w:tcW w:w="1500" w:type="dxa"/>
            <w:vAlign w:val="bottom"/>
            <w:tcBorders>
              <w:bottom w:val="single" w:sz="8" w:color="BD03F7"/>
            </w:tcBorders>
            <w:shd w:val="clear" w:color="auto" w:fill="F2F2F2"/>
          </w:tcPr>
          <w:p>
            <w:pPr>
              <w:jc w:val="right"/>
              <w:ind w:right="190"/>
              <w:spacing w:after="0"/>
              <w:rPr>
                <w:sz w:val="20"/>
                <w:szCs w:val="20"/>
                <w:color w:val="auto"/>
              </w:rPr>
            </w:pPr>
            <w:r>
              <w:rPr>
                <w:rFonts w:ascii="Arial" w:cs="Arial" w:eastAsia="Arial" w:hAnsi="Arial"/>
                <w:sz w:val="18"/>
                <w:szCs w:val="18"/>
                <w:color w:val="auto"/>
              </w:rPr>
              <w:t>19,558,088</w:t>
            </w:r>
          </w:p>
        </w:tc>
        <w:tc>
          <w:tcPr>
            <w:tcW w:w="1120" w:type="dxa"/>
            <w:vAlign w:val="bottom"/>
            <w:tcBorders>
              <w:bottom w:val="single" w:sz="8" w:color="BD03F7"/>
            </w:tcBorders>
            <w:shd w:val="clear" w:color="auto" w:fill="F2F2F2"/>
          </w:tcPr>
          <w:p>
            <w:pPr>
              <w:jc w:val="right"/>
              <w:ind w:right="190"/>
              <w:spacing w:after="0"/>
              <w:rPr>
                <w:sz w:val="20"/>
                <w:szCs w:val="20"/>
                <w:color w:val="auto"/>
              </w:rPr>
            </w:pPr>
            <w:r>
              <w:rPr>
                <w:rFonts w:ascii="Arial" w:cs="Arial" w:eastAsia="Arial" w:hAnsi="Arial"/>
                <w:sz w:val="18"/>
                <w:szCs w:val="18"/>
                <w:color w:val="auto"/>
              </w:rPr>
              <w:t>159.70</w:t>
            </w:r>
          </w:p>
        </w:tc>
        <w:tc>
          <w:tcPr>
            <w:tcW w:w="1120" w:type="dxa"/>
            <w:vAlign w:val="bottom"/>
            <w:tcBorders>
              <w:bottom w:val="single" w:sz="8" w:color="BD03F7"/>
            </w:tcBorders>
            <w:shd w:val="clear" w:color="auto" w:fill="F2F2F2"/>
          </w:tcPr>
          <w:p>
            <w:pPr>
              <w:jc w:val="right"/>
              <w:ind w:right="210"/>
              <w:spacing w:after="0"/>
              <w:rPr>
                <w:sz w:val="20"/>
                <w:szCs w:val="20"/>
                <w:color w:val="auto"/>
              </w:rPr>
            </w:pPr>
            <w:r>
              <w:rPr>
                <w:rFonts w:ascii="Arial" w:cs="Arial" w:eastAsia="Arial" w:hAnsi="Arial"/>
                <w:sz w:val="18"/>
                <w:szCs w:val="18"/>
                <w:color w:val="auto"/>
              </w:rPr>
              <w:t>152.68</w:t>
            </w:r>
          </w:p>
        </w:tc>
        <w:tc>
          <w:tcPr>
            <w:tcW w:w="11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rPr>
              <w:t>5,861</w:t>
            </w:r>
          </w:p>
        </w:tc>
        <w:tc>
          <w:tcPr>
            <w:tcW w:w="900" w:type="dxa"/>
            <w:vAlign w:val="bottom"/>
            <w:tcBorders>
              <w:bottom w:val="single" w:sz="8" w:color="BD03F7"/>
            </w:tcBorders>
            <w:shd w:val="clear" w:color="auto" w:fill="F2F2F2"/>
          </w:tcPr>
          <w:p>
            <w:pPr>
              <w:jc w:val="center"/>
              <w:ind w:left="190"/>
              <w:spacing w:after="0"/>
              <w:rPr>
                <w:sz w:val="20"/>
                <w:szCs w:val="20"/>
                <w:color w:val="auto"/>
              </w:rPr>
            </w:pPr>
            <w:r>
              <w:rPr>
                <w:rFonts w:ascii="Arial" w:cs="Arial" w:eastAsia="Arial" w:hAnsi="Arial"/>
                <w:sz w:val="18"/>
                <w:szCs w:val="18"/>
                <w:color w:val="auto"/>
              </w:rPr>
              <w:t>6,976</w:t>
            </w:r>
          </w:p>
        </w:tc>
      </w:tr>
    </w:tbl>
    <w:p>
      <w:pPr>
        <w:spacing w:after="0" w:line="62" w:lineRule="exact"/>
        <w:rPr>
          <w:sz w:val="20"/>
          <w:szCs w:val="20"/>
          <w:color w:val="auto"/>
        </w:rPr>
      </w:pPr>
    </w:p>
    <w:p>
      <w:pPr>
        <w:ind w:left="340" w:right="780" w:hanging="332"/>
        <w:spacing w:after="0" w:line="316" w:lineRule="auto"/>
        <w:tabs>
          <w:tab w:leader="none" w:pos="33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Our Principal Executive Officer (“PEO”) for each of the fiscal years shown in the table is Sanjay Mehrotra. Amounts reflect the compensation reported in the “Total” column of the Summary Compensation Table for our PEO for the corresponding fiscal year.</w:t>
      </w:r>
    </w:p>
    <w:p>
      <w:pPr>
        <w:spacing w:after="0" w:line="157" w:lineRule="exact"/>
        <w:rPr>
          <w:rFonts w:ascii="Arial" w:cs="Arial" w:eastAsia="Arial" w:hAnsi="Arial"/>
          <w:sz w:val="17"/>
          <w:szCs w:val="17"/>
          <w:color w:val="auto"/>
        </w:rPr>
      </w:pPr>
    </w:p>
    <w:p>
      <w:pPr>
        <w:ind w:left="340" w:right="80" w:hanging="332"/>
        <w:spacing w:after="0" w:line="255"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reflect the Compensation Actually Paid (“CAP”) of our PEO, or the average of the CAP of our Non-PEO Named Executive Officers (“Non-PEO NEOs”), for each fiscal year. CAP does not necessarily reflect amounts of compensation actually earned, realized, or received in each fiscal year. Rather, CAP is calculated starting with the amount of compensation reported in the “Total” column of the Summary Compensation Table for our PEO or Non-PEO NEOs, as applicable, for each fiscal year (and averaged for our Non-PEO NEOs), as adjusted in accordance with the requirements of Item 402(v) of Regulation S-K. The following adjustments were made to the amount of compensation reported in the “Total” column of the Summary Compensation Table for our PEO and the average of the amounts of compensation reported in the “Total” column of the Summary Compensation Table for our Non-PEO NEOs:</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tcPr>
          <w:p>
            <w:pPr>
              <w:spacing w:after="0"/>
              <w:rPr>
                <w:sz w:val="18"/>
                <w:szCs w:val="18"/>
                <w:color w:val="auto"/>
              </w:rPr>
            </w:pPr>
          </w:p>
        </w:tc>
        <w:tc>
          <w:tcPr>
            <w:tcW w:w="8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600" w:type="dxa"/>
            <w:vAlign w:val="bottom"/>
            <w:tcBorders>
              <w:bottom w:val="single" w:sz="8" w:color="BD03F7"/>
            </w:tcBorders>
            <w:gridSpan w:val="3"/>
          </w:tcPr>
          <w:p>
            <w:pPr>
              <w:jc w:val="right"/>
              <w:ind w:right="10"/>
              <w:spacing w:after="0"/>
              <w:rPr>
                <w:sz w:val="20"/>
                <w:szCs w:val="20"/>
                <w:color w:val="auto"/>
              </w:rPr>
            </w:pPr>
            <w:r>
              <w:rPr>
                <w:rFonts w:ascii="Arial" w:cs="Arial" w:eastAsia="Arial" w:hAnsi="Arial"/>
                <w:sz w:val="16"/>
                <w:szCs w:val="16"/>
                <w:b w:val="1"/>
                <w:bCs w:val="1"/>
                <w:color w:val="auto"/>
              </w:rPr>
              <w:t>PEO</w:t>
            </w:r>
          </w:p>
        </w:tc>
        <w:tc>
          <w:tcPr>
            <w:tcW w:w="12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36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2024</w:t>
            </w:r>
          </w:p>
        </w:tc>
        <w:tc>
          <w:tcPr>
            <w:tcW w:w="220" w:type="dxa"/>
            <w:vAlign w:val="bottom"/>
            <w:tcBorders>
              <w:bottom w:val="single" w:sz="8" w:color="BD03F7"/>
            </w:tcBorders>
          </w:tcPr>
          <w:p>
            <w:pPr>
              <w:spacing w:after="0"/>
              <w:rPr>
                <w:sz w:val="18"/>
                <w:szCs w:val="18"/>
                <w:color w:val="auto"/>
              </w:rPr>
            </w:pPr>
          </w:p>
        </w:tc>
        <w:tc>
          <w:tcPr>
            <w:tcW w:w="138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2023</w:t>
            </w:r>
          </w:p>
        </w:tc>
        <w:tc>
          <w:tcPr>
            <w:tcW w:w="220" w:type="dxa"/>
            <w:vAlign w:val="bottom"/>
            <w:tcBorders>
              <w:bottom w:val="single" w:sz="8" w:color="BD03F7"/>
            </w:tcBorders>
          </w:tcPr>
          <w:p>
            <w:pPr>
              <w:spacing w:after="0"/>
              <w:rPr>
                <w:sz w:val="18"/>
                <w:szCs w:val="18"/>
                <w:color w:val="auto"/>
              </w:rPr>
            </w:pPr>
          </w:p>
        </w:tc>
        <w:tc>
          <w:tcPr>
            <w:tcW w:w="136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2022</w:t>
            </w: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tcPr>
          <w:p>
            <w:pPr>
              <w:jc w:val="right"/>
              <w:ind w:right="231"/>
              <w:spacing w:after="0"/>
              <w:rPr>
                <w:sz w:val="20"/>
                <w:szCs w:val="20"/>
                <w:color w:val="auto"/>
              </w:rPr>
            </w:pPr>
            <w:r>
              <w:rPr>
                <w:rFonts w:ascii="Arial" w:cs="Arial" w:eastAsia="Arial" w:hAnsi="Arial"/>
                <w:sz w:val="16"/>
                <w:szCs w:val="16"/>
                <w:b w:val="1"/>
                <w:bCs w:val="1"/>
                <w:color w:val="auto"/>
              </w:rPr>
              <w:t>Fiscal 2021</w:t>
            </w:r>
          </w:p>
        </w:tc>
        <w:tc>
          <w:tcPr>
            <w:tcW w:w="0" w:type="dxa"/>
            <w:vAlign w:val="bottom"/>
          </w:tcPr>
          <w:p>
            <w:pPr>
              <w:spacing w:after="0"/>
              <w:rPr>
                <w:sz w:val="1"/>
                <w:szCs w:val="1"/>
                <w:color w:val="auto"/>
              </w:rPr>
            </w:pPr>
          </w:p>
        </w:tc>
      </w:tr>
      <w:tr>
        <w:trPr>
          <w:trHeight w:val="34"/>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Summary Compensation Table Total</w:t>
            </w: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30,060,126</w:t>
            </w:r>
          </w:p>
        </w:tc>
        <w:tc>
          <w:tcPr>
            <w:tcW w:w="8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25,276,953</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28,840,809</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25,316,709</w:t>
            </w:r>
          </w:p>
        </w:tc>
        <w:tc>
          <w:tcPr>
            <w:tcW w:w="0" w:type="dxa"/>
            <w:vAlign w:val="bottom"/>
          </w:tcPr>
          <w:p>
            <w:pPr>
              <w:spacing w:after="0"/>
              <w:rPr>
                <w:sz w:val="1"/>
                <w:szCs w:val="1"/>
                <w:color w:val="auto"/>
              </w:rPr>
            </w:pPr>
          </w:p>
        </w:tc>
      </w:tr>
      <w:tr>
        <w:trPr>
          <w:trHeight w:val="309"/>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F2F2F2"/>
          </w:tcPr>
          <w:p>
            <w:pPr>
              <w:ind w:left="60"/>
              <w:spacing w:after="0"/>
              <w:rPr>
                <w:sz w:val="20"/>
                <w:szCs w:val="20"/>
                <w:color w:val="auto"/>
              </w:rPr>
            </w:pPr>
            <w:r>
              <w:rPr>
                <w:rFonts w:ascii="Arial" w:cs="Arial" w:eastAsia="Arial" w:hAnsi="Arial"/>
                <w:sz w:val="16"/>
                <w:szCs w:val="16"/>
                <w:color w:val="auto"/>
              </w:rPr>
              <w:t>- grant date fair value of awards granted in fiscal year</w:t>
            </w:r>
          </w:p>
        </w:tc>
        <w:tc>
          <w:tcPr>
            <w:tcW w:w="22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(23,749,623)</w:t>
            </w:r>
          </w:p>
        </w:tc>
        <w:tc>
          <w:tcPr>
            <w:tcW w:w="8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(23,750,005)</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(23,499,965)</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(18,499,995)</w:t>
            </w: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of outstanding and unvested awards at fiscal</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32,900,545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30,945,387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19,866,074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26,043,233</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year end that were granted in fiscal year</w:t>
            </w: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change, from prior fiscal year end, in fair value of</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awards granted in any prior fiscal year outstanding and</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34,000,647</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8,473,475</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(9,033,074)</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26,370,283</w:t>
            </w: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unvested</w:t>
            </w: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as of vesting date of equity awards granted</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and vested in the year</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change, from prior fiscal year end, in fair value at</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vesting date of any awards granted in any prior fiscal year</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for which all applicable vesting conditions were satisfied at</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(761,787)</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1,168,408</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(3,060,411)</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8,793,547</w:t>
            </w: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end of or during fiscal year</w:t>
            </w: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at end of prior fiscal year of any awards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line="161" w:lineRule="exact"/>
              <w:rPr>
                <w:sz w:val="20"/>
                <w:szCs w:val="20"/>
                <w:color w:val="auto"/>
              </w:rPr>
            </w:pPr>
            <w:r>
              <w:rPr>
                <w:rFonts w:ascii="Arial" w:cs="Arial" w:eastAsia="Arial" w:hAnsi="Arial"/>
                <w:sz w:val="16"/>
                <w:szCs w:val="16"/>
                <w:color w:val="auto"/>
              </w:rPr>
              <w:t>granted in any prior fiscal year that failed to meet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applicable vesting conditions during fiscal year</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value of dividends or other earnings paid on stock or</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option awards not otherwise reflected in fair value or total</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351,062</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421,584</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338,299</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compensation</w:t>
            </w:r>
          </w:p>
        </w:tc>
        <w:tc>
          <w:tcPr>
            <w:tcW w:w="220" w:type="dxa"/>
            <w:vAlign w:val="bottom"/>
            <w:tcBorders>
              <w:bottom w:val="single" w:sz="8" w:color="auto"/>
            </w:tcBorders>
            <w:shd w:val="clear" w:color="auto" w:fill="F2F2F2"/>
          </w:tcPr>
          <w:p>
            <w:pPr>
              <w:spacing w:after="0"/>
              <w:rPr>
                <w:sz w:val="18"/>
                <w:szCs w:val="18"/>
                <w:color w:val="auto"/>
              </w:rPr>
            </w:pPr>
          </w:p>
        </w:tc>
        <w:tc>
          <w:tcPr>
            <w:tcW w:w="1280" w:type="dxa"/>
            <w:vAlign w:val="bottom"/>
            <w:tcBorders>
              <w:bottom w:val="single" w:sz="8" w:color="auto"/>
            </w:tcBorders>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128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12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1280" w:type="dxa"/>
            <w:vAlign w:val="bottom"/>
            <w:tcBorders>
              <w:bottom w:val="single" w:sz="8" w:color="auto"/>
            </w:tcBorders>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F2F2F2"/>
            </w:tcBorders>
          </w:tcPr>
          <w:p>
            <w:pPr>
              <w:spacing w:after="0"/>
              <w:rPr>
                <w:sz w:val="20"/>
                <w:szCs w:val="20"/>
                <w:color w:val="auto"/>
              </w:rPr>
            </w:pPr>
            <w:r>
              <w:rPr>
                <w:rFonts w:ascii="Arial" w:cs="Arial" w:eastAsia="Arial" w:hAnsi="Arial"/>
                <w:sz w:val="16"/>
                <w:szCs w:val="16"/>
                <w:b w:val="1"/>
                <w:bCs w:val="1"/>
                <w:color w:val="auto"/>
              </w:rPr>
              <w:t>Total Equity Award Adjustments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42,740,844</w:t>
            </w:r>
          </w:p>
        </w:tc>
        <w:tc>
          <w:tcPr>
            <w:tcW w:w="8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17,258,849</w:t>
            </w:r>
          </w:p>
        </w:tc>
        <w:tc>
          <w:tcPr>
            <w:tcW w:w="10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(15,389,077)</w:t>
            </w:r>
          </w:p>
        </w:tc>
        <w:tc>
          <w:tcPr>
            <w:tcW w:w="10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42,707,068</w:t>
            </w:r>
          </w:p>
        </w:tc>
        <w:tc>
          <w:tcPr>
            <w:tcW w:w="0" w:type="dxa"/>
            <w:vAlign w:val="bottom"/>
          </w:tcPr>
          <w:p>
            <w:pPr>
              <w:spacing w:after="0"/>
              <w:rPr>
                <w:sz w:val="1"/>
                <w:szCs w:val="1"/>
                <w:color w:val="auto"/>
              </w:rPr>
            </w:pPr>
          </w:p>
        </w:tc>
      </w:tr>
      <w:tr>
        <w:trPr>
          <w:trHeight w:val="247"/>
        </w:trPr>
        <w:tc>
          <w:tcPr>
            <w:tcW w:w="42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auto"/>
              </w:rPr>
              <w:t>Compensation Actually Paid</w:t>
            </w: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72,800,970</w:t>
            </w:r>
          </w:p>
        </w:tc>
        <w:tc>
          <w:tcPr>
            <w:tcW w:w="8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42,535,802</w:t>
            </w:r>
          </w:p>
        </w:tc>
        <w:tc>
          <w:tcPr>
            <w:tcW w:w="10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13,451,732</w:t>
            </w:r>
          </w:p>
        </w:tc>
        <w:tc>
          <w:tcPr>
            <w:tcW w:w="100" w:type="dxa"/>
            <w:vAlign w:val="bottom"/>
            <w:tcBorders>
              <w:bottom w:val="single" w:sz="8" w:color="auto"/>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68,023,777</w:t>
            </w:r>
          </w:p>
        </w:tc>
        <w:tc>
          <w:tcPr>
            <w:tcW w:w="0" w:type="dxa"/>
            <w:vAlign w:val="bottom"/>
          </w:tcPr>
          <w:p>
            <w:pPr>
              <w:spacing w:after="0"/>
              <w:rPr>
                <w:sz w:val="1"/>
                <w:szCs w:val="1"/>
                <w:color w:val="auto"/>
              </w:rPr>
            </w:pPr>
          </w:p>
        </w:tc>
      </w:tr>
      <w:tr>
        <w:trPr>
          <w:trHeight w:val="20"/>
        </w:trPr>
        <w:tc>
          <w:tcPr>
            <w:tcW w:w="420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80" w:type="dxa"/>
            <w:vAlign w:val="bottom"/>
            <w:tcBorders>
              <w:top w:val="single" w:sz="8" w:color="F2F2F2"/>
              <w:bottom w:val="single" w:sz="8" w:color="auto"/>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8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bottom w:val="single" w:sz="8" w:color="auto"/>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80" w:type="dxa"/>
            <w:vAlign w:val="bottom"/>
            <w:tcBorders>
              <w:top w:val="single" w:sz="8" w:color="F2F2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0" w:type="dxa"/>
            <w:vAlign w:val="bottom"/>
            <w:tcBorders>
              <w:bottom w:val="single" w:sz="8" w:color="BD03F7"/>
            </w:tcBorders>
          </w:tcPr>
          <w:p>
            <w:pPr>
              <w:spacing w:after="0" w:line="20" w:lineRule="exact"/>
              <w:rPr>
                <w:sz w:val="1"/>
                <w:szCs w:val="1"/>
                <w:color w:val="auto"/>
              </w:rPr>
            </w:pPr>
          </w:p>
        </w:tc>
        <w:tc>
          <w:tcPr>
            <w:tcW w:w="220" w:type="dxa"/>
            <w:vAlign w:val="bottom"/>
            <w:tcBorders>
              <w:bottom w:val="single" w:sz="8" w:color="BD03F7"/>
            </w:tcBorders>
          </w:tcPr>
          <w:p>
            <w:pPr>
              <w:spacing w:after="0" w:line="20" w:lineRule="exact"/>
              <w:rPr>
                <w:sz w:val="1"/>
                <w:szCs w:val="1"/>
                <w:color w:val="auto"/>
              </w:rPr>
            </w:pPr>
          </w:p>
        </w:tc>
        <w:tc>
          <w:tcPr>
            <w:tcW w:w="1280" w:type="dxa"/>
            <w:vAlign w:val="bottom"/>
            <w:tcBorders>
              <w:bottom w:val="single" w:sz="8" w:color="BD03F7"/>
            </w:tcBorders>
          </w:tcPr>
          <w:p>
            <w:pPr>
              <w:spacing w:after="0" w:line="20" w:lineRule="exact"/>
              <w:rPr>
                <w:sz w:val="1"/>
                <w:szCs w:val="1"/>
                <w:color w:val="auto"/>
              </w:rPr>
            </w:pPr>
          </w:p>
        </w:tc>
        <w:tc>
          <w:tcPr>
            <w:tcW w:w="80" w:type="dxa"/>
            <w:vAlign w:val="bottom"/>
            <w:tcBorders>
              <w:bottom w:val="single" w:sz="8" w:color="BD03F7"/>
            </w:tcBorders>
          </w:tcPr>
          <w:p>
            <w:pPr>
              <w:spacing w:after="0" w:line="20" w:lineRule="exact"/>
              <w:rPr>
                <w:sz w:val="1"/>
                <w:szCs w:val="1"/>
                <w:color w:val="auto"/>
              </w:rPr>
            </w:pPr>
          </w:p>
        </w:tc>
        <w:tc>
          <w:tcPr>
            <w:tcW w:w="220" w:type="dxa"/>
            <w:vAlign w:val="bottom"/>
            <w:tcBorders>
              <w:bottom w:val="single" w:sz="8" w:color="BD03F7"/>
            </w:tcBorders>
          </w:tcPr>
          <w:p>
            <w:pPr>
              <w:spacing w:after="0" w:line="20" w:lineRule="exact"/>
              <w:rPr>
                <w:sz w:val="1"/>
                <w:szCs w:val="1"/>
                <w:color w:val="auto"/>
              </w:rPr>
            </w:pPr>
          </w:p>
        </w:tc>
        <w:tc>
          <w:tcPr>
            <w:tcW w:w="1280" w:type="dxa"/>
            <w:vAlign w:val="bottom"/>
            <w:tcBorders>
              <w:bottom w:val="single" w:sz="8" w:color="BD03F7"/>
            </w:tcBorders>
          </w:tcPr>
          <w:p>
            <w:pPr>
              <w:spacing w:after="0" w:line="20" w:lineRule="exact"/>
              <w:rPr>
                <w:sz w:val="1"/>
                <w:szCs w:val="1"/>
                <w:color w:val="auto"/>
              </w:rPr>
            </w:pPr>
          </w:p>
        </w:tc>
        <w:tc>
          <w:tcPr>
            <w:tcW w:w="100" w:type="dxa"/>
            <w:vAlign w:val="bottom"/>
            <w:tcBorders>
              <w:bottom w:val="single" w:sz="8" w:color="BD03F7"/>
            </w:tcBorders>
          </w:tcPr>
          <w:p>
            <w:pPr>
              <w:spacing w:after="0" w:line="20" w:lineRule="exact"/>
              <w:rPr>
                <w:sz w:val="1"/>
                <w:szCs w:val="1"/>
                <w:color w:val="auto"/>
              </w:rPr>
            </w:pPr>
          </w:p>
        </w:tc>
        <w:tc>
          <w:tcPr>
            <w:tcW w:w="220" w:type="dxa"/>
            <w:vAlign w:val="bottom"/>
            <w:tcBorders>
              <w:bottom w:val="single" w:sz="8" w:color="BD03F7"/>
            </w:tcBorders>
          </w:tcPr>
          <w:p>
            <w:pPr>
              <w:spacing w:after="0" w:line="20" w:lineRule="exact"/>
              <w:rPr>
                <w:sz w:val="1"/>
                <w:szCs w:val="1"/>
                <w:color w:val="auto"/>
              </w:rPr>
            </w:pPr>
          </w:p>
        </w:tc>
        <w:tc>
          <w:tcPr>
            <w:tcW w:w="1260" w:type="dxa"/>
            <w:vAlign w:val="bottom"/>
            <w:tcBorders>
              <w:bottom w:val="single" w:sz="8" w:color="BD03F7"/>
            </w:tcBorders>
          </w:tcPr>
          <w:p>
            <w:pPr>
              <w:spacing w:after="0" w:line="20" w:lineRule="exact"/>
              <w:rPr>
                <w:sz w:val="1"/>
                <w:szCs w:val="1"/>
                <w:color w:val="auto"/>
              </w:rPr>
            </w:pPr>
          </w:p>
        </w:tc>
        <w:tc>
          <w:tcPr>
            <w:tcW w:w="100" w:type="dxa"/>
            <w:vAlign w:val="bottom"/>
            <w:tcBorders>
              <w:bottom w:val="single" w:sz="8" w:color="BD03F7"/>
            </w:tcBorders>
          </w:tcPr>
          <w:p>
            <w:pPr>
              <w:spacing w:after="0" w:line="20" w:lineRule="exact"/>
              <w:rPr>
                <w:sz w:val="1"/>
                <w:szCs w:val="1"/>
                <w:color w:val="auto"/>
              </w:rPr>
            </w:pPr>
          </w:p>
        </w:tc>
        <w:tc>
          <w:tcPr>
            <w:tcW w:w="220" w:type="dxa"/>
            <w:vAlign w:val="bottom"/>
            <w:tcBorders>
              <w:bottom w:val="single" w:sz="8" w:color="BD03F7"/>
            </w:tcBorders>
          </w:tcPr>
          <w:p>
            <w:pPr>
              <w:spacing w:after="0" w:line="20" w:lineRule="exact"/>
              <w:rPr>
                <w:sz w:val="1"/>
                <w:szCs w:val="1"/>
                <w:color w:val="auto"/>
              </w:rPr>
            </w:pPr>
          </w:p>
        </w:tc>
        <w:tc>
          <w:tcPr>
            <w:tcW w:w="1280" w:type="dxa"/>
            <w:vAlign w:val="bottom"/>
            <w:tcBorders>
              <w:bottom w:val="single" w:sz="8" w:color="BD03F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tbl>
      <w:tblPr>
        <w:tblLayout w:type="fixed"/>
        <w:tblInd w:w="3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ind w:left="360"/>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868"/>
        </w:trPr>
        <w:tc>
          <w:tcPr>
            <w:tcW w:w="4200" w:type="dxa"/>
            <w:vAlign w:val="bottom"/>
          </w:tcPr>
          <w:p>
            <w:pPr>
              <w:spacing w:after="0"/>
              <w:rPr>
                <w:sz w:val="24"/>
                <w:szCs w:val="24"/>
                <w:color w:val="auto"/>
              </w:rPr>
            </w:pPr>
          </w:p>
        </w:tc>
        <w:tc>
          <w:tcPr>
            <w:tcW w:w="220" w:type="dxa"/>
            <w:vAlign w:val="bottom"/>
            <w:tcBorders>
              <w:bottom w:val="single" w:sz="8" w:color="BD03F7"/>
            </w:tcBorders>
          </w:tcPr>
          <w:p>
            <w:pPr>
              <w:spacing w:after="0"/>
              <w:rPr>
                <w:sz w:val="24"/>
                <w:szCs w:val="24"/>
                <w:color w:val="auto"/>
              </w:rPr>
            </w:pPr>
          </w:p>
        </w:tc>
        <w:tc>
          <w:tcPr>
            <w:tcW w:w="1280" w:type="dxa"/>
            <w:vAlign w:val="bottom"/>
            <w:tcBorders>
              <w:bottom w:val="single" w:sz="8" w:color="BD03F7"/>
            </w:tcBorders>
          </w:tcPr>
          <w:p>
            <w:pPr>
              <w:spacing w:after="0"/>
              <w:rPr>
                <w:sz w:val="24"/>
                <w:szCs w:val="24"/>
                <w:color w:val="auto"/>
              </w:rPr>
            </w:pPr>
          </w:p>
        </w:tc>
        <w:tc>
          <w:tcPr>
            <w:tcW w:w="80" w:type="dxa"/>
            <w:vAlign w:val="bottom"/>
            <w:tcBorders>
              <w:bottom w:val="single" w:sz="8" w:color="BD03F7"/>
            </w:tcBorders>
          </w:tcPr>
          <w:p>
            <w:pPr>
              <w:spacing w:after="0"/>
              <w:rPr>
                <w:sz w:val="24"/>
                <w:szCs w:val="24"/>
                <w:color w:val="auto"/>
              </w:rPr>
            </w:pPr>
          </w:p>
        </w:tc>
        <w:tc>
          <w:tcPr>
            <w:tcW w:w="220" w:type="dxa"/>
            <w:vAlign w:val="bottom"/>
            <w:tcBorders>
              <w:bottom w:val="single" w:sz="8" w:color="BD03F7"/>
            </w:tcBorders>
          </w:tcPr>
          <w:p>
            <w:pPr>
              <w:spacing w:after="0"/>
              <w:rPr>
                <w:sz w:val="24"/>
                <w:szCs w:val="24"/>
                <w:color w:val="auto"/>
              </w:rPr>
            </w:pPr>
          </w:p>
        </w:tc>
        <w:tc>
          <w:tcPr>
            <w:tcW w:w="2960" w:type="dxa"/>
            <w:vAlign w:val="bottom"/>
            <w:tcBorders>
              <w:bottom w:val="single" w:sz="8" w:color="BD03F7"/>
            </w:tcBorders>
            <w:gridSpan w:val="5"/>
          </w:tcPr>
          <w:p>
            <w:pPr>
              <w:ind w:left="400"/>
              <w:spacing w:after="0"/>
              <w:rPr>
                <w:sz w:val="20"/>
                <w:szCs w:val="20"/>
                <w:color w:val="auto"/>
              </w:rPr>
            </w:pPr>
            <w:r>
              <w:rPr>
                <w:rFonts w:ascii="Arial" w:cs="Arial" w:eastAsia="Arial" w:hAnsi="Arial"/>
                <w:sz w:val="16"/>
                <w:szCs w:val="16"/>
                <w:b w:val="1"/>
                <w:bCs w:val="1"/>
                <w:color w:val="auto"/>
              </w:rPr>
              <w:t>Average Non-PEO NEOs</w:t>
            </w:r>
          </w:p>
        </w:tc>
        <w:tc>
          <w:tcPr>
            <w:tcW w:w="220" w:type="dxa"/>
            <w:vAlign w:val="bottom"/>
            <w:tcBorders>
              <w:bottom w:val="single" w:sz="8" w:color="BD03F7"/>
            </w:tcBorders>
          </w:tcPr>
          <w:p>
            <w:pPr>
              <w:spacing w:after="0"/>
              <w:rPr>
                <w:sz w:val="24"/>
                <w:szCs w:val="24"/>
                <w:color w:val="auto"/>
              </w:rPr>
            </w:pPr>
          </w:p>
        </w:tc>
        <w:tc>
          <w:tcPr>
            <w:tcW w:w="360" w:type="dxa"/>
            <w:vAlign w:val="bottom"/>
            <w:tcBorders>
              <w:bottom w:val="single" w:sz="8" w:color="BD03F7"/>
            </w:tcBorders>
          </w:tcPr>
          <w:p>
            <w:pPr>
              <w:spacing w:after="0"/>
              <w:rPr>
                <w:sz w:val="24"/>
                <w:szCs w:val="24"/>
                <w:color w:val="auto"/>
              </w:rPr>
            </w:pPr>
          </w:p>
        </w:tc>
        <w:tc>
          <w:tcPr>
            <w:tcW w:w="920" w:type="dxa"/>
            <w:vAlign w:val="bottom"/>
            <w:tcBorders>
              <w:top w:val="single" w:sz="8" w:color="BD03F7"/>
              <w:bottom w:val="single" w:sz="8" w:color="BD03F7"/>
            </w:tcBorders>
          </w:tcPr>
          <w:p>
            <w:pPr>
              <w:spacing w:after="0"/>
              <w:rPr>
                <w:sz w:val="24"/>
                <w:szCs w:val="24"/>
                <w:color w:val="auto"/>
              </w:rPr>
            </w:pPr>
          </w:p>
        </w:tc>
        <w:tc>
          <w:tcPr>
            <w:tcW w:w="4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36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2024</w:t>
            </w:r>
          </w:p>
        </w:tc>
        <w:tc>
          <w:tcPr>
            <w:tcW w:w="220" w:type="dxa"/>
            <w:vAlign w:val="bottom"/>
            <w:tcBorders>
              <w:bottom w:val="single" w:sz="8" w:color="BD03F7"/>
            </w:tcBorders>
          </w:tcPr>
          <w:p>
            <w:pPr>
              <w:spacing w:after="0"/>
              <w:rPr>
                <w:sz w:val="18"/>
                <w:szCs w:val="18"/>
                <w:color w:val="auto"/>
              </w:rPr>
            </w:pPr>
          </w:p>
        </w:tc>
        <w:tc>
          <w:tcPr>
            <w:tcW w:w="138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2023</w:t>
            </w:r>
          </w:p>
        </w:tc>
        <w:tc>
          <w:tcPr>
            <w:tcW w:w="220" w:type="dxa"/>
            <w:vAlign w:val="bottom"/>
            <w:tcBorders>
              <w:bottom w:val="single" w:sz="8" w:color="BD03F7"/>
            </w:tcBorders>
          </w:tcPr>
          <w:p>
            <w:pPr>
              <w:spacing w:after="0"/>
              <w:rPr>
                <w:sz w:val="18"/>
                <w:szCs w:val="18"/>
                <w:color w:val="auto"/>
              </w:rPr>
            </w:pPr>
          </w:p>
        </w:tc>
        <w:tc>
          <w:tcPr>
            <w:tcW w:w="1360" w:type="dxa"/>
            <w:vAlign w:val="bottom"/>
            <w:tcBorders>
              <w:bottom w:val="single" w:sz="8" w:color="BD03F7"/>
            </w:tcBorders>
            <w:gridSpan w:val="2"/>
          </w:tcPr>
          <w:p>
            <w:pPr>
              <w:ind w:left="100"/>
              <w:spacing w:after="0"/>
              <w:rPr>
                <w:sz w:val="20"/>
                <w:szCs w:val="20"/>
                <w:color w:val="auto"/>
              </w:rPr>
            </w:pPr>
            <w:r>
              <w:rPr>
                <w:rFonts w:ascii="Arial" w:cs="Arial" w:eastAsia="Arial" w:hAnsi="Arial"/>
                <w:sz w:val="16"/>
                <w:szCs w:val="16"/>
                <w:b w:val="1"/>
                <w:bCs w:val="1"/>
                <w:color w:val="auto"/>
              </w:rPr>
              <w:t>Fiscal 2022</w:t>
            </w: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gridSpan w:val="2"/>
          </w:tcPr>
          <w:p>
            <w:pPr>
              <w:jc w:val="right"/>
              <w:ind w:right="230"/>
              <w:spacing w:after="0"/>
              <w:rPr>
                <w:sz w:val="20"/>
                <w:szCs w:val="20"/>
                <w:color w:val="auto"/>
              </w:rPr>
            </w:pPr>
            <w:r>
              <w:rPr>
                <w:rFonts w:ascii="Arial" w:cs="Arial" w:eastAsia="Arial" w:hAnsi="Arial"/>
                <w:sz w:val="16"/>
                <w:szCs w:val="16"/>
                <w:b w:val="1"/>
                <w:bCs w:val="1"/>
                <w:color w:val="auto"/>
              </w:rPr>
              <w:t>Fiscal 2021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Summary Compensation Table Total</w:t>
            </w: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10,791,271</w:t>
            </w:r>
          </w:p>
        </w:tc>
        <w:tc>
          <w:tcPr>
            <w:tcW w:w="8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8,414,800</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10,446,440</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7,697,877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F2F2F2"/>
          </w:tcPr>
          <w:p>
            <w:pPr>
              <w:ind w:left="60"/>
              <w:spacing w:after="0"/>
              <w:rPr>
                <w:sz w:val="20"/>
                <w:szCs w:val="20"/>
                <w:color w:val="auto"/>
              </w:rPr>
            </w:pPr>
            <w:r>
              <w:rPr>
                <w:rFonts w:ascii="Arial" w:cs="Arial" w:eastAsia="Arial" w:hAnsi="Arial"/>
                <w:sz w:val="16"/>
                <w:szCs w:val="16"/>
                <w:color w:val="auto"/>
              </w:rPr>
              <w:t>- grant date fair value of awards granted in fiscal year</w:t>
            </w:r>
          </w:p>
        </w:tc>
        <w:tc>
          <w:tcPr>
            <w:tcW w:w="22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(8,437,350)</w:t>
            </w:r>
          </w:p>
        </w:tc>
        <w:tc>
          <w:tcPr>
            <w:tcW w:w="8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(7,750,012)</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(7,771,995)</w:t>
            </w:r>
          </w:p>
        </w:tc>
        <w:tc>
          <w:tcPr>
            <w:tcW w:w="10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(5,624,972)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of outstanding and unvested awards at fiscal</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11,658,872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10,097,981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5,492,754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7,918,513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year end that were granted in fiscal year</w:t>
            </w: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change, from prior fiscal year end, in fair value of</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awards granted in any prior fiscal year outstanding and</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11,856,045</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2,455,380</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(2,077,206)</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gridSpan w:val="2"/>
            <w:vMerge w:val="restart"/>
            <w:shd w:val="clear" w:color="auto" w:fill="F2F2F2"/>
          </w:tcPr>
          <w:p>
            <w:pPr>
              <w:jc w:val="right"/>
              <w:spacing w:after="0"/>
              <w:rPr>
                <w:sz w:val="20"/>
                <w:szCs w:val="20"/>
                <w:color w:val="auto"/>
              </w:rPr>
            </w:pPr>
            <w:r>
              <w:rPr>
                <w:rFonts w:ascii="Arial" w:cs="Arial" w:eastAsia="Arial" w:hAnsi="Arial"/>
                <w:sz w:val="18"/>
                <w:szCs w:val="18"/>
                <w:color w:val="auto"/>
              </w:rPr>
              <w:t>8,310,020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unvested</w:t>
            </w: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gridSpan w:val="2"/>
            <w:vMerge w:val="continue"/>
            <w:shd w:val="clear" w:color="auto" w:fill="F2F2F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as of vesting date of equity awards granted</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and vested in the year</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change, from prior fiscal year end, in fair value at</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vesting date of any awards granted in any prior fiscal year</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for which all applicable vesting conditions were satisfied at</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15,055</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309,198</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(761,113)</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gridSpan w:val="2"/>
            <w:vMerge w:val="restart"/>
            <w:shd w:val="clear" w:color="auto" w:fill="F2F2F2"/>
          </w:tcPr>
          <w:p>
            <w:pPr>
              <w:jc w:val="right"/>
              <w:spacing w:after="0"/>
              <w:rPr>
                <w:sz w:val="20"/>
                <w:szCs w:val="20"/>
                <w:color w:val="auto"/>
              </w:rPr>
            </w:pPr>
            <w:r>
              <w:rPr>
                <w:rFonts w:ascii="Arial" w:cs="Arial" w:eastAsia="Arial" w:hAnsi="Arial"/>
                <w:sz w:val="18"/>
                <w:szCs w:val="18"/>
                <w:color w:val="auto"/>
              </w:rPr>
              <w:t>1,256,650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end of or during fiscal year</w:t>
            </w: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280" w:type="dxa"/>
            <w:vAlign w:val="bottom"/>
            <w:gridSpan w:val="2"/>
            <w:vMerge w:val="continue"/>
            <w:shd w:val="clear" w:color="auto" w:fill="F2F2F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60"/>
              <w:spacing w:after="0" w:line="161" w:lineRule="exact"/>
              <w:rPr>
                <w:sz w:val="20"/>
                <w:szCs w:val="20"/>
                <w:color w:val="auto"/>
              </w:rPr>
            </w:pPr>
            <w:r>
              <w:rPr>
                <w:rFonts w:ascii="Arial" w:cs="Arial" w:eastAsia="Arial" w:hAnsi="Arial"/>
                <w:sz w:val="16"/>
                <w:szCs w:val="16"/>
                <w:color w:val="auto"/>
              </w:rPr>
              <w:t>- fair value at end of prior fiscal year of any awards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line="161" w:lineRule="exact"/>
              <w:rPr>
                <w:sz w:val="20"/>
                <w:szCs w:val="20"/>
                <w:color w:val="auto"/>
              </w:rPr>
            </w:pPr>
            <w:r>
              <w:rPr>
                <w:rFonts w:ascii="Arial" w:cs="Arial" w:eastAsia="Arial" w:hAnsi="Arial"/>
                <w:sz w:val="16"/>
                <w:szCs w:val="16"/>
                <w:color w:val="auto"/>
              </w:rPr>
              <w:t>granted in any prior fiscal year that failed to meet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(1,170,912)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applicable vesting conditions during fiscal year</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ind w:left="60"/>
              <w:spacing w:after="0" w:line="161" w:lineRule="exact"/>
              <w:rPr>
                <w:sz w:val="20"/>
                <w:szCs w:val="20"/>
                <w:color w:val="auto"/>
              </w:rPr>
            </w:pPr>
            <w:r>
              <w:rPr>
                <w:rFonts w:ascii="Arial" w:cs="Arial" w:eastAsia="Arial" w:hAnsi="Arial"/>
                <w:sz w:val="16"/>
                <w:szCs w:val="16"/>
                <w:color w:val="auto"/>
              </w:rPr>
              <w:t>+ value of dividends or other earnings paid on stock or</w:t>
            </w: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2F2F2"/>
          </w:tcPr>
          <w:p>
            <w:pPr>
              <w:spacing w:after="0" w:line="161" w:lineRule="exact"/>
              <w:rPr>
                <w:sz w:val="20"/>
                <w:szCs w:val="20"/>
                <w:color w:val="auto"/>
              </w:rPr>
            </w:pPr>
            <w:r>
              <w:rPr>
                <w:rFonts w:ascii="Arial" w:cs="Arial" w:eastAsia="Arial" w:hAnsi="Arial"/>
                <w:sz w:val="16"/>
                <w:szCs w:val="16"/>
                <w:color w:val="auto"/>
              </w:rPr>
              <w:t>option awards not otherwise reflected in fair value or total</w:t>
            </w: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101,070</w:t>
            </w:r>
          </w:p>
        </w:tc>
        <w:tc>
          <w:tcPr>
            <w:tcW w:w="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125,421</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2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59,849</w:t>
            </w:r>
          </w:p>
        </w:tc>
        <w:tc>
          <w:tcPr>
            <w:tcW w:w="1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F2F2F2"/>
          </w:tcPr>
          <w:p>
            <w:pPr>
              <w:spacing w:after="0"/>
              <w:rPr>
                <w:sz w:val="20"/>
                <w:szCs w:val="20"/>
                <w:color w:val="auto"/>
              </w:rPr>
            </w:pPr>
            <w:r>
              <w:rPr>
                <w:rFonts w:ascii="Arial" w:cs="Arial" w:eastAsia="Arial" w:hAnsi="Arial"/>
                <w:sz w:val="16"/>
                <w:szCs w:val="16"/>
                <w:color w:val="auto"/>
              </w:rPr>
              <w:t>compensation</w:t>
            </w:r>
          </w:p>
        </w:tc>
        <w:tc>
          <w:tcPr>
            <w:tcW w:w="220" w:type="dxa"/>
            <w:vAlign w:val="bottom"/>
            <w:tcBorders>
              <w:bottom w:val="single" w:sz="8" w:color="auto"/>
            </w:tcBorders>
            <w:shd w:val="clear" w:color="auto" w:fill="F2F2F2"/>
          </w:tcPr>
          <w:p>
            <w:pPr>
              <w:spacing w:after="0"/>
              <w:rPr>
                <w:sz w:val="18"/>
                <w:szCs w:val="18"/>
                <w:color w:val="auto"/>
              </w:rPr>
            </w:pPr>
          </w:p>
        </w:tc>
        <w:tc>
          <w:tcPr>
            <w:tcW w:w="1280" w:type="dxa"/>
            <w:vAlign w:val="bottom"/>
            <w:tcBorders>
              <w:bottom w:val="single" w:sz="8" w:color="auto"/>
            </w:tcBorders>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128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12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220" w:type="dxa"/>
            <w:vAlign w:val="bottom"/>
            <w:tcBorders>
              <w:bottom w:val="single" w:sz="8" w:color="auto"/>
            </w:tcBorders>
            <w:shd w:val="clear" w:color="auto" w:fill="F2F2F2"/>
          </w:tcPr>
          <w:p>
            <w:pPr>
              <w:spacing w:after="0"/>
              <w:rPr>
                <w:sz w:val="18"/>
                <w:szCs w:val="18"/>
                <w:color w:val="auto"/>
              </w:rPr>
            </w:pPr>
          </w:p>
        </w:tc>
        <w:tc>
          <w:tcPr>
            <w:tcW w:w="360" w:type="dxa"/>
            <w:vAlign w:val="bottom"/>
            <w:tcBorders>
              <w:bottom w:val="single" w:sz="8" w:color="auto"/>
            </w:tcBorders>
            <w:shd w:val="clear" w:color="auto" w:fill="F2F2F2"/>
          </w:tcPr>
          <w:p>
            <w:pPr>
              <w:spacing w:after="0"/>
              <w:rPr>
                <w:sz w:val="18"/>
                <w:szCs w:val="18"/>
                <w:color w:val="auto"/>
              </w:rPr>
            </w:pPr>
          </w:p>
        </w:tc>
        <w:tc>
          <w:tcPr>
            <w:tcW w:w="920" w:type="dxa"/>
            <w:vAlign w:val="bottom"/>
            <w:tcBorders>
              <w:bottom w:val="single" w:sz="8" w:color="auto"/>
            </w:tcBorders>
            <w:vMerge w:val="continue"/>
            <w:shd w:val="clear" w:color="auto" w:fill="F2F2F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F2F2F2"/>
            </w:tcBorders>
          </w:tcPr>
          <w:p>
            <w:pPr>
              <w:spacing w:after="0"/>
              <w:rPr>
                <w:sz w:val="20"/>
                <w:szCs w:val="20"/>
                <w:color w:val="auto"/>
              </w:rPr>
            </w:pPr>
            <w:r>
              <w:rPr>
                <w:rFonts w:ascii="Arial" w:cs="Arial" w:eastAsia="Arial" w:hAnsi="Arial"/>
                <w:sz w:val="16"/>
                <w:szCs w:val="16"/>
                <w:b w:val="1"/>
                <w:bCs w:val="1"/>
                <w:color w:val="auto"/>
              </w:rPr>
              <w:t>Total Equity Award Adjustments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15,193,692</w:t>
            </w:r>
          </w:p>
        </w:tc>
        <w:tc>
          <w:tcPr>
            <w:tcW w:w="8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5,237,968</w:t>
            </w:r>
          </w:p>
        </w:tc>
        <w:tc>
          <w:tcPr>
            <w:tcW w:w="10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(6,228,623)</w:t>
            </w:r>
          </w:p>
        </w:tc>
        <w:tc>
          <w:tcPr>
            <w:tcW w:w="100" w:type="dxa"/>
            <w:vAlign w:val="bottom"/>
            <w:tcBorders>
              <w:bottom w:val="single" w:sz="8" w:color="F2F2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11,860,211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auto"/>
              </w:rPr>
              <w:t>Compensation Actually Paid</w:t>
            </w: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25,984,963</w:t>
            </w:r>
          </w:p>
        </w:tc>
        <w:tc>
          <w:tcPr>
            <w:tcW w:w="8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13,652,768</w:t>
            </w:r>
          </w:p>
        </w:tc>
        <w:tc>
          <w:tcPr>
            <w:tcW w:w="10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4,217,817</w:t>
            </w:r>
          </w:p>
        </w:tc>
        <w:tc>
          <w:tcPr>
            <w:tcW w:w="100" w:type="dxa"/>
            <w:vAlign w:val="bottom"/>
            <w:tcBorders>
              <w:bottom w:val="single" w:sz="8" w:color="auto"/>
            </w:tcBorders>
            <w:shd w:val="clear" w:color="auto" w:fill="F2F2F2"/>
          </w:tcPr>
          <w:p>
            <w:pPr>
              <w:spacing w:after="0"/>
              <w:rPr>
                <w:sz w:val="21"/>
                <w:szCs w:val="21"/>
                <w:color w:val="auto"/>
              </w:rPr>
            </w:pPr>
          </w:p>
        </w:tc>
        <w:tc>
          <w:tcPr>
            <w:tcW w:w="2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F2F2F2"/>
          </w:tcPr>
          <w:p>
            <w:pPr>
              <w:jc w:val="right"/>
              <w:spacing w:after="0"/>
              <w:rPr>
                <w:sz w:val="20"/>
                <w:szCs w:val="20"/>
                <w:color w:val="auto"/>
              </w:rPr>
            </w:pPr>
            <w:r>
              <w:rPr>
                <w:rFonts w:ascii="Arial" w:cs="Arial" w:eastAsia="Arial" w:hAnsi="Arial"/>
                <w:sz w:val="18"/>
                <w:szCs w:val="18"/>
                <w:color w:val="auto"/>
              </w:rPr>
              <w:t>19,558,088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80" w:type="dxa"/>
            <w:vAlign w:val="bottom"/>
            <w:tcBorders>
              <w:top w:val="single" w:sz="8" w:color="F2F2F2"/>
              <w:bottom w:val="single" w:sz="8" w:color="auto"/>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8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12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bottom w:val="single" w:sz="8" w:color="auto"/>
            </w:tcBorders>
          </w:tcPr>
          <w:p>
            <w:pPr>
              <w:spacing w:after="0" w:line="20" w:lineRule="exact"/>
              <w:rPr>
                <w:sz w:val="1"/>
                <w:szCs w:val="1"/>
                <w:color w:val="auto"/>
              </w:rPr>
            </w:pPr>
          </w:p>
        </w:tc>
        <w:tc>
          <w:tcPr>
            <w:tcW w:w="220" w:type="dxa"/>
            <w:vAlign w:val="bottom"/>
            <w:tcBorders>
              <w:top w:val="single" w:sz="8" w:color="F2F2F2"/>
              <w:bottom w:val="single" w:sz="8" w:color="auto"/>
            </w:tcBorders>
          </w:tcPr>
          <w:p>
            <w:pPr>
              <w:spacing w:after="0" w:line="20" w:lineRule="exact"/>
              <w:rPr>
                <w:sz w:val="1"/>
                <w:szCs w:val="1"/>
                <w:color w:val="auto"/>
              </w:rPr>
            </w:pPr>
          </w:p>
        </w:tc>
        <w:tc>
          <w:tcPr>
            <w:tcW w:w="360" w:type="dxa"/>
            <w:vAlign w:val="bottom"/>
            <w:tcBorders>
              <w:top w:val="single" w:sz="8" w:color="F2F2F2"/>
              <w:bottom w:val="single" w:sz="8" w:color="auto"/>
            </w:tcBorders>
          </w:tcPr>
          <w:p>
            <w:pPr>
              <w:spacing w:after="0" w:line="20" w:lineRule="exact"/>
              <w:rPr>
                <w:sz w:val="1"/>
                <w:szCs w:val="1"/>
                <w:color w:val="auto"/>
              </w:rPr>
            </w:pPr>
          </w:p>
        </w:tc>
        <w:tc>
          <w:tcPr>
            <w:tcW w:w="920" w:type="dxa"/>
            <w:vAlign w:val="bottom"/>
            <w:tcBorders>
              <w:top w:val="single" w:sz="8" w:color="F2F2F2"/>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tcPr>
          <w:p>
            <w:pPr>
              <w:spacing w:after="0"/>
              <w:rPr>
                <w:sz w:val="18"/>
                <w:szCs w:val="18"/>
                <w:color w:val="auto"/>
              </w:rPr>
            </w:pPr>
          </w:p>
        </w:tc>
        <w:tc>
          <w:tcPr>
            <w:tcW w:w="8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12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220" w:type="dxa"/>
            <w:vAlign w:val="bottom"/>
            <w:tcBorders>
              <w:bottom w:val="single" w:sz="8" w:color="BD03F7"/>
            </w:tcBorders>
          </w:tcPr>
          <w:p>
            <w:pPr>
              <w:spacing w:after="0"/>
              <w:rPr>
                <w:sz w:val="18"/>
                <w:szCs w:val="18"/>
                <w:color w:val="auto"/>
              </w:rPr>
            </w:pPr>
          </w:p>
        </w:tc>
        <w:tc>
          <w:tcPr>
            <w:tcW w:w="360" w:type="dxa"/>
            <w:vAlign w:val="bottom"/>
            <w:tcBorders>
              <w:bottom w:val="single" w:sz="8" w:color="BD03F7"/>
            </w:tcBorders>
          </w:tcPr>
          <w:p>
            <w:pPr>
              <w:spacing w:after="0"/>
              <w:rPr>
                <w:sz w:val="18"/>
                <w:szCs w:val="18"/>
                <w:color w:val="auto"/>
              </w:rPr>
            </w:pPr>
          </w:p>
        </w:tc>
        <w:tc>
          <w:tcPr>
            <w:tcW w:w="920" w:type="dxa"/>
            <w:vAlign w:val="bottom"/>
            <w:tcBorders>
              <w:bottom w:val="single" w:sz="8" w:color="BD03F7"/>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32" w:right="40" w:hanging="332"/>
        <w:spacing w:after="0" w:line="289" w:lineRule="auto"/>
        <w:tabs>
          <w:tab w:leader="none" w:pos="323" w:val="left"/>
        </w:tabs>
        <w:numPr>
          <w:ilvl w:val="0"/>
          <w:numId w:val="77"/>
        </w:numPr>
        <w:rPr>
          <w:rFonts w:ascii="Arial" w:cs="Arial" w:eastAsia="Arial" w:hAnsi="Arial"/>
          <w:sz w:val="17"/>
          <w:szCs w:val="17"/>
          <w:color w:val="auto"/>
        </w:rPr>
      </w:pPr>
      <w:r>
        <w:rPr>
          <w:rFonts w:ascii="Arial" w:cs="Arial" w:eastAsia="Arial" w:hAnsi="Arial"/>
          <w:sz w:val="17"/>
          <w:szCs w:val="17"/>
          <w:color w:val="auto"/>
        </w:rPr>
        <w:t>Amounts reflect the average of the amounts of compensation reported in the “Total” column of the Summary Compensation Table for our Non-PEO NEOs for the corresponding fiscal year. Our Non-PEO NEOs for each of the fiscal years shown in the Pay Versus Performance</w:t>
      </w:r>
    </w:p>
    <w:p>
      <w:pPr>
        <w:ind w:left="1132"/>
        <w:spacing w:after="0"/>
        <w:rPr>
          <w:rFonts w:ascii="Arial" w:cs="Arial" w:eastAsia="Arial" w:hAnsi="Arial"/>
          <w:sz w:val="17"/>
          <w:szCs w:val="17"/>
          <w:color w:val="auto"/>
        </w:rPr>
      </w:pPr>
      <w:r>
        <w:rPr>
          <w:rFonts w:ascii="Arial" w:cs="Arial" w:eastAsia="Arial" w:hAnsi="Arial"/>
          <w:sz w:val="18"/>
          <w:szCs w:val="18"/>
          <w:color w:val="auto"/>
        </w:rPr>
        <w:t>2024:    M. Murphy, M. Bhatia, S. DeBoer, and S. Sadana</w:t>
      </w:r>
    </w:p>
    <w:p>
      <w:pPr>
        <w:spacing w:after="0" w:line="48" w:lineRule="exact"/>
        <w:rPr>
          <w:rFonts w:ascii="Arial" w:cs="Arial" w:eastAsia="Arial" w:hAnsi="Arial"/>
          <w:sz w:val="17"/>
          <w:szCs w:val="17"/>
          <w:color w:val="auto"/>
        </w:rPr>
      </w:pPr>
    </w:p>
    <w:p>
      <w:pPr>
        <w:ind w:left="1132"/>
        <w:spacing w:after="0"/>
        <w:rPr>
          <w:rFonts w:ascii="Arial" w:cs="Arial" w:eastAsia="Arial" w:hAnsi="Arial"/>
          <w:sz w:val="17"/>
          <w:szCs w:val="17"/>
          <w:color w:val="auto"/>
        </w:rPr>
      </w:pPr>
      <w:r>
        <w:rPr>
          <w:rFonts w:ascii="Arial" w:cs="Arial" w:eastAsia="Arial" w:hAnsi="Arial"/>
          <w:sz w:val="18"/>
          <w:szCs w:val="18"/>
          <w:color w:val="auto"/>
        </w:rPr>
        <w:t>2023:    M. Murphy, M. Bhatia, S. DeBoer, and S. Sadana</w:t>
      </w:r>
    </w:p>
    <w:p>
      <w:pPr>
        <w:spacing w:after="0" w:line="48" w:lineRule="exact"/>
        <w:rPr>
          <w:rFonts w:ascii="Arial" w:cs="Arial" w:eastAsia="Arial" w:hAnsi="Arial"/>
          <w:sz w:val="17"/>
          <w:szCs w:val="17"/>
          <w:color w:val="auto"/>
        </w:rPr>
      </w:pPr>
    </w:p>
    <w:p>
      <w:pPr>
        <w:ind w:left="1132"/>
        <w:spacing w:after="0"/>
        <w:rPr>
          <w:rFonts w:ascii="Arial" w:cs="Arial" w:eastAsia="Arial" w:hAnsi="Arial"/>
          <w:sz w:val="17"/>
          <w:szCs w:val="17"/>
          <w:color w:val="auto"/>
        </w:rPr>
      </w:pPr>
      <w:r>
        <w:rPr>
          <w:rFonts w:ascii="Arial" w:cs="Arial" w:eastAsia="Arial" w:hAnsi="Arial"/>
          <w:sz w:val="18"/>
          <w:szCs w:val="18"/>
          <w:color w:val="auto"/>
        </w:rPr>
        <w:t>2022:    M. Murphy, M. Bhatia, M. Bokan, S. DeBoer, S. Sadana, and D. Zinsner (former CFO)</w:t>
      </w:r>
    </w:p>
    <w:p>
      <w:pPr>
        <w:spacing w:after="0" w:line="31" w:lineRule="exact"/>
        <w:rPr>
          <w:rFonts w:ascii="Arial" w:cs="Arial" w:eastAsia="Arial" w:hAnsi="Arial"/>
          <w:sz w:val="17"/>
          <w:szCs w:val="17"/>
          <w:color w:val="auto"/>
        </w:rPr>
      </w:pPr>
    </w:p>
    <w:p>
      <w:pPr>
        <w:ind w:left="332"/>
        <w:spacing w:after="0" w:line="224" w:lineRule="auto"/>
        <w:rPr>
          <w:rFonts w:ascii="Arial" w:cs="Arial" w:eastAsia="Arial" w:hAnsi="Arial"/>
          <w:sz w:val="17"/>
          <w:szCs w:val="17"/>
          <w:color w:val="auto"/>
        </w:rPr>
      </w:pPr>
      <w:r>
        <w:rPr>
          <w:rFonts w:ascii="Arial" w:cs="Arial" w:eastAsia="Arial" w:hAnsi="Arial"/>
          <w:sz w:val="35"/>
          <w:szCs w:val="35"/>
          <w:color w:val="auto"/>
          <w:vertAlign w:val="subscript"/>
        </w:rPr>
        <w:t>Table are:</w:t>
      </w:r>
      <w:r>
        <w:rPr>
          <w:rFonts w:ascii="Arial" w:cs="Arial" w:eastAsia="Arial" w:hAnsi="Arial"/>
          <w:sz w:val="18"/>
          <w:szCs w:val="18"/>
          <w:color w:val="auto"/>
        </w:rPr>
        <w:t>2021:    M. Bhatia, S. DeBoer, S. Sadana, and D. Zinsner</w:t>
      </w:r>
    </w:p>
    <w:p>
      <w:pPr>
        <w:spacing w:after="0" w:line="220" w:lineRule="exact"/>
        <w:rPr>
          <w:rFonts w:ascii="Arial" w:cs="Arial" w:eastAsia="Arial" w:hAnsi="Arial"/>
          <w:sz w:val="17"/>
          <w:szCs w:val="17"/>
          <w:color w:val="auto"/>
        </w:rPr>
      </w:pPr>
    </w:p>
    <w:p>
      <w:pPr>
        <w:ind w:left="332" w:right="80" w:hanging="332"/>
        <w:spacing w:after="0" w:line="256" w:lineRule="auto"/>
        <w:tabs>
          <w:tab w:leader="none" w:pos="3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total shareholder return, or TSR, of each of the Company and the Peer Group is calculated by assuming that an investment of $100 is made in our common stock and in the Peer Group, respectively, starting from the market close on September 3, 2020, which is the last trading day before the end of the fiscal year shown. Total shareholder return includes reinvestment of dividends into shares of common stock of the applicable company. Historical stock performance is not necessarily indicative of future stock performance. Disclosure of the TSRs is required by Item 402(v) of Regulation S-K and is not intended to forecast or be indicative of possible future performance of our common stock or the Peer Group.</w:t>
      </w:r>
    </w:p>
    <w:p>
      <w:pPr>
        <w:spacing w:after="0" w:line="208" w:lineRule="exact"/>
        <w:rPr>
          <w:rFonts w:ascii="Arial" w:cs="Arial" w:eastAsia="Arial" w:hAnsi="Arial"/>
          <w:sz w:val="18"/>
          <w:szCs w:val="18"/>
          <w:color w:val="auto"/>
        </w:rPr>
      </w:pPr>
    </w:p>
    <w:p>
      <w:pPr>
        <w:ind w:left="332" w:right="260" w:hanging="332"/>
        <w:spacing w:after="0" w:line="285" w:lineRule="auto"/>
        <w:tabs>
          <w:tab w:leader="none" w:pos="3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Peer Group is based on the Philadelphia Semiconductor Index, one of the indices identified in the Stock Price Performance Graph included in our Annual Report on Form 10-K for Fiscal 2024.</w:t>
      </w:r>
    </w:p>
    <w:p>
      <w:pPr>
        <w:spacing w:after="0" w:line="181" w:lineRule="exact"/>
        <w:rPr>
          <w:rFonts w:ascii="Arial" w:cs="Arial" w:eastAsia="Arial" w:hAnsi="Arial"/>
          <w:sz w:val="18"/>
          <w:szCs w:val="18"/>
          <w:color w:val="auto"/>
        </w:rPr>
      </w:pPr>
    </w:p>
    <w:p>
      <w:pPr>
        <w:ind w:left="312" w:hanging="312"/>
        <w:spacing w:after="0"/>
        <w:tabs>
          <w:tab w:leader="none" w:pos="3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reflect the Company’s net income as reflected in the audited financial statements for each covered fiscal year.</w:t>
      </w:r>
    </w:p>
    <w:p>
      <w:pPr>
        <w:spacing w:after="0" w:line="250" w:lineRule="exact"/>
        <w:rPr>
          <w:rFonts w:ascii="Arial" w:cs="Arial" w:eastAsia="Arial" w:hAnsi="Arial"/>
          <w:sz w:val="18"/>
          <w:szCs w:val="18"/>
          <w:color w:val="auto"/>
        </w:rPr>
      </w:pPr>
    </w:p>
    <w:p>
      <w:pPr>
        <w:ind w:left="332" w:right="240" w:hanging="332"/>
        <w:spacing w:after="0" w:line="261" w:lineRule="auto"/>
        <w:tabs>
          <w:tab w:leader="none" w:pos="3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reflect the Company’s non-GAAP net income (loss) which is the audited net income (loss) plus adjustments for stock-based compensation, restructure and asset impairments, goodwill impairment, gains and losses from settlements and patent license charges, gains and losses on debt repurchases and conversions, initial impact of inventory accounting policy change to FIFO and change in inventory cost absorption, and estimated tax effects of the above and other tax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772"/>
        <w:spacing w:after="0"/>
        <w:rPr>
          <w:sz w:val="20"/>
          <w:szCs w:val="20"/>
          <w:color w:val="auto"/>
        </w:rPr>
      </w:pPr>
      <w:r>
        <w:rPr>
          <w:sz w:val="1"/>
          <w:szCs w:val="1"/>
          <w:color w:val="auto"/>
        </w:rPr>
        <w:drawing>
          <wp:inline distT="0" distB="0" distL="0" distR="0">
            <wp:extent cx="777240" cy="1625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wp:posOffset>
            </wp:positionV>
            <wp:extent cx="71583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BETWEEN CAP VS. CUMULATIVE TSR OF COMPANY AND THE PEER GROUP</w:t>
      </w:r>
    </w:p>
    <w:p>
      <w:pPr>
        <w:spacing w:after="0" w:line="24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The following chart illustrates the relationship between CAP for our PEO and the average CAP for our Non-PEO NEOs against our TSR, as well as the relationship between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842635" cy="34937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42635" cy="349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BETWEEN CAP VS. NET INCOME (LOSS) &amp; NON-GAAP NET INCOME (LOSS)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illustrate the CAP for our PEO and the average CAP for our Non-PEO NEOs against our net income (loss) and non-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2635" cy="73120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42635" cy="73120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MOST IMPORTANT PERFORMANCE MEASURES</w:t>
      </w:r>
    </w:p>
    <w:p>
      <w:pPr>
        <w:spacing w:after="0" w:line="241" w:lineRule="exact"/>
        <w:rPr>
          <w:sz w:val="20"/>
          <w:szCs w:val="20"/>
          <w:color w:val="auto"/>
        </w:rPr>
      </w:pPr>
    </w:p>
    <w:p>
      <w:pPr>
        <w:ind w:right="1080"/>
        <w:spacing w:after="0" w:line="285" w:lineRule="auto"/>
        <w:rPr>
          <w:sz w:val="20"/>
          <w:szCs w:val="20"/>
          <w:color w:val="auto"/>
        </w:rPr>
      </w:pPr>
      <w:r>
        <w:rPr>
          <w:rFonts w:ascii="Arial" w:cs="Arial" w:eastAsia="Arial" w:hAnsi="Arial"/>
          <w:sz w:val="18"/>
          <w:szCs w:val="18"/>
          <w:color w:val="auto"/>
        </w:rPr>
        <w:t>The following is an unranked list of the performance measures we consider most important in linking Company performance and compensation actually paid to our Named Executive Officers for the most recently completed fiscal year:</w:t>
      </w:r>
    </w:p>
    <w:p>
      <w:pPr>
        <w:spacing w:after="0" w:line="181" w:lineRule="exact"/>
        <w:rPr>
          <w:sz w:val="20"/>
          <w:szCs w:val="20"/>
          <w:color w:val="auto"/>
        </w:rPr>
      </w:pPr>
    </w:p>
    <w:p>
      <w:pPr>
        <w:ind w:left="640" w:hanging="310"/>
        <w:spacing w:after="0"/>
        <w:tabs>
          <w:tab w:leader="none" w:pos="640" w:val="left"/>
        </w:tabs>
        <w:numPr>
          <w:ilvl w:val="0"/>
          <w:numId w:val="78"/>
        </w:numPr>
        <w:rPr>
          <w:rFonts w:ascii="Arial" w:cs="Arial" w:eastAsia="Arial" w:hAnsi="Arial"/>
          <w:sz w:val="18"/>
          <w:szCs w:val="18"/>
          <w:color w:val="BD03F7"/>
        </w:rPr>
      </w:pPr>
      <w:r>
        <w:rPr>
          <w:rFonts w:ascii="Arial" w:cs="Arial" w:eastAsia="Arial" w:hAnsi="Arial"/>
          <w:sz w:val="18"/>
          <w:szCs w:val="18"/>
          <w:color w:val="auto"/>
        </w:rPr>
        <w:t>Non-GAAP net income (loss)</w:t>
      </w:r>
    </w:p>
    <w:p>
      <w:pPr>
        <w:spacing w:after="0" w:line="26" w:lineRule="exact"/>
        <w:rPr>
          <w:rFonts w:ascii="Arial" w:cs="Arial" w:eastAsia="Arial" w:hAnsi="Arial"/>
          <w:sz w:val="18"/>
          <w:szCs w:val="18"/>
          <w:color w:val="BD03F7"/>
        </w:rPr>
      </w:pPr>
    </w:p>
    <w:p>
      <w:pPr>
        <w:ind w:left="640" w:hanging="310"/>
        <w:spacing w:after="0"/>
        <w:tabs>
          <w:tab w:leader="none" w:pos="640" w:val="left"/>
        </w:tabs>
        <w:numPr>
          <w:ilvl w:val="0"/>
          <w:numId w:val="78"/>
        </w:numPr>
        <w:rPr>
          <w:rFonts w:ascii="Arial" w:cs="Arial" w:eastAsia="Arial" w:hAnsi="Arial"/>
          <w:sz w:val="18"/>
          <w:szCs w:val="18"/>
          <w:color w:val="BD03F7"/>
        </w:rPr>
      </w:pPr>
      <w:r>
        <w:rPr>
          <w:rFonts w:ascii="Arial" w:cs="Arial" w:eastAsia="Arial" w:hAnsi="Arial"/>
          <w:sz w:val="18"/>
          <w:szCs w:val="18"/>
          <w:color w:val="auto"/>
        </w:rPr>
        <w:t>Non-GAAP operating margin</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78"/>
        </w:numPr>
        <w:rPr>
          <w:rFonts w:ascii="Arial" w:cs="Arial" w:eastAsia="Arial" w:hAnsi="Arial"/>
          <w:sz w:val="18"/>
          <w:szCs w:val="18"/>
          <w:color w:val="BD03F7"/>
        </w:rPr>
      </w:pPr>
      <w:r>
        <w:rPr>
          <w:rFonts w:ascii="Arial" w:cs="Arial" w:eastAsia="Arial" w:hAnsi="Arial"/>
          <w:sz w:val="18"/>
          <w:szCs w:val="18"/>
          <w:color w:val="auto"/>
        </w:rPr>
        <w:t>Relative TSR growth of the Company’s stock price versus the SOX index</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78"/>
        </w:numPr>
        <w:rPr>
          <w:rFonts w:ascii="Arial" w:cs="Arial" w:eastAsia="Arial" w:hAnsi="Arial"/>
          <w:sz w:val="18"/>
          <w:szCs w:val="18"/>
          <w:color w:val="BD03F7"/>
        </w:rPr>
      </w:pPr>
      <w:r>
        <w:rPr>
          <w:rFonts w:ascii="Arial" w:cs="Arial" w:eastAsia="Arial" w:hAnsi="Arial"/>
          <w:sz w:val="18"/>
          <w:szCs w:val="18"/>
          <w:color w:val="auto"/>
        </w:rPr>
        <w:t>Revenue or percentage of revenue from high-growth, stable segments</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78"/>
        </w:numPr>
        <w:rPr>
          <w:rFonts w:ascii="Arial" w:cs="Arial" w:eastAsia="Arial" w:hAnsi="Arial"/>
          <w:sz w:val="18"/>
          <w:szCs w:val="18"/>
          <w:color w:val="BD03F7"/>
        </w:rPr>
      </w:pPr>
      <w:r>
        <w:rPr>
          <w:rFonts w:ascii="Arial" w:cs="Arial" w:eastAsia="Arial" w:hAnsi="Arial"/>
          <w:sz w:val="18"/>
          <w:szCs w:val="18"/>
          <w:color w:val="auto"/>
        </w:rPr>
        <w:t>HBM3E+ market share or bit shipments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780"/>
        <w:spacing w:after="0" w:line="257" w:lineRule="auto"/>
        <w:rPr>
          <w:sz w:val="20"/>
          <w:szCs w:val="20"/>
          <w:color w:val="auto"/>
        </w:rPr>
      </w:pPr>
      <w:r>
        <w:rPr>
          <w:rFonts w:ascii="Arial" w:cs="Arial" w:eastAsia="Arial" w:hAnsi="Arial"/>
          <w:sz w:val="36"/>
          <w:szCs w:val="36"/>
          <w:b w:val="1"/>
          <w:bCs w:val="1"/>
          <w:color w:val="auto"/>
        </w:rPr>
        <w:t>PROPOSAL 3 – APPROVAL OF THE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43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9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are asking you to approve a new equity incentive plan, the 2025 Equity Incentive Plan (the “2025 Plan”). The Board adopted the 2025 Plan subject to the approval of our shareholders at the Annual Meeting. If shareholders approve the 2025 Plan, it will replace our Amended and Restated 2007 Equity Incentive Plan (the “2007 Plan”) and we will cease granting awards under the 2007 Plan and under our Nonstatutory Stock Option Plan (the “NSOP”).</w:t>
      </w:r>
    </w:p>
    <w:p>
      <w:pPr>
        <w:spacing w:after="0" w:line="203"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We believe that the 2007 Plan and NSOP have been effective in attracting and retaining highly qualified employees and (in the case of the 2007 Plan) non-employee directors and have provided incentives that more closely align the economic interests of plan participants with those of our shareholders. The 2025 Plan is intended to do the same. No awards have been granted under the NSOP since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2025 Plan is designed to be similar to the 2007 Plan, but with updated terms for the passage of time and modern governance practices.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2025 Plan continues the good governance practices from the 2007 Plan, all of which are intended to be in the interests of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273" w:lineRule="exact"/>
        <w:rPr>
          <w:sz w:val="20"/>
          <w:szCs w:val="20"/>
          <w:color w:val="auto"/>
        </w:rPr>
      </w:pPr>
    </w:p>
    <w:p>
      <w:pPr>
        <w:ind w:left="660" w:right="20" w:hanging="330"/>
        <w:spacing w:after="0" w:line="248" w:lineRule="auto"/>
        <w:tabs>
          <w:tab w:leader="none" w:pos="654" w:val="left"/>
        </w:tabs>
        <w:numPr>
          <w:ilvl w:val="0"/>
          <w:numId w:val="79"/>
        </w:numPr>
        <w:rPr>
          <w:rFonts w:ascii="Arial" w:cs="Arial" w:eastAsia="Arial" w:hAnsi="Arial"/>
          <w:sz w:val="22"/>
          <w:szCs w:val="22"/>
          <w:color w:val="BD03F7"/>
        </w:rPr>
      </w:pPr>
      <w:r>
        <w:rPr>
          <w:rFonts w:ascii="Arial" w:cs="Arial" w:eastAsia="Arial" w:hAnsi="Arial"/>
          <w:sz w:val="18"/>
          <w:szCs w:val="18"/>
          <w:i w:val="1"/>
          <w:iCs w:val="1"/>
          <w:color w:val="auto"/>
        </w:rPr>
        <w:t>Shares Withheld for Taxes are not Returned to the 2025 Plan</w:t>
      </w:r>
      <w:r>
        <w:rPr>
          <w:rFonts w:ascii="Arial" w:cs="Arial" w:eastAsia="Arial" w:hAnsi="Arial"/>
          <w:sz w:val="18"/>
          <w:szCs w:val="18"/>
          <w:color w:val="auto"/>
        </w:rPr>
        <w:t>. Any shares withheld or delivered to satisfy tax 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relating to an award (including of restricted stock units) will not be returned to the 2025 Plan and will not be available for future grants. Under the 2007 Plan, it was possible for certain shares withheld for taxes to return to the Plan (although that was not the Company’s practice).</w:t>
      </w:r>
    </w:p>
    <w:p>
      <w:pPr>
        <w:spacing w:after="0" w:line="253" w:lineRule="exact"/>
        <w:rPr>
          <w:rFonts w:ascii="Arial" w:cs="Arial" w:eastAsia="Arial" w:hAnsi="Arial"/>
          <w:sz w:val="22"/>
          <w:szCs w:val="22"/>
          <w:color w:val="BD03F7"/>
        </w:rPr>
      </w:pPr>
    </w:p>
    <w:p>
      <w:pPr>
        <w:ind w:left="660" w:right="80" w:hanging="330"/>
        <w:spacing w:after="0" w:line="243" w:lineRule="auto"/>
        <w:tabs>
          <w:tab w:leader="none" w:pos="654" w:val="left"/>
        </w:tabs>
        <w:numPr>
          <w:ilvl w:val="0"/>
          <w:numId w:val="79"/>
        </w:numPr>
        <w:rPr>
          <w:rFonts w:ascii="Times New Roman" w:cs="Times New Roman" w:eastAsia="Times New Roman" w:hAnsi="Times New Roman"/>
          <w:sz w:val="22"/>
          <w:szCs w:val="22"/>
          <w:color w:val="BD03F7"/>
        </w:rPr>
      </w:pPr>
      <w:r>
        <w:rPr>
          <w:rFonts w:ascii="Arial" w:cs="Arial" w:eastAsia="Arial" w:hAnsi="Arial"/>
          <w:sz w:val="18"/>
          <w:szCs w:val="18"/>
          <w:i w:val="1"/>
          <w:iCs w:val="1"/>
          <w:color w:val="auto"/>
        </w:rPr>
        <w:t>No Repricing of Stock Options or Stock Appreciation Rights, nor Exchange of Awards without Shareholder Approval</w:t>
      </w:r>
      <w:r>
        <w:rPr>
          <w:rFonts w:ascii="Arial" w:cs="Arial" w:eastAsia="Arial" w:hAnsi="Arial"/>
          <w:sz w:val="18"/>
          <w:szCs w:val="18"/>
          <w:color w:val="auto"/>
        </w:rPr>
        <w:t>. The 2025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2007 Plan generally prohibit the repricing of stock options or stock appreciation rights (“SARs”) without shareholder approval. Further, the 2025 Plan generally prohibits (unless shareholders approve of the proposed action) any award exchange program under which outstanding awards are being cancelled in exchange for new awards of the same type, a different type, and/or cash.</w:t>
      </w:r>
    </w:p>
    <w:p>
      <w:pPr>
        <w:spacing w:after="0" w:line="258" w:lineRule="exact"/>
        <w:rPr>
          <w:rFonts w:ascii="Times New Roman" w:cs="Times New Roman" w:eastAsia="Times New Roman" w:hAnsi="Times New Roman"/>
          <w:sz w:val="22"/>
          <w:szCs w:val="22"/>
          <w:color w:val="BD03F7"/>
        </w:rPr>
      </w:pPr>
    </w:p>
    <w:p>
      <w:pPr>
        <w:ind w:left="660" w:right="380" w:hanging="330"/>
        <w:spacing w:after="0"/>
        <w:tabs>
          <w:tab w:leader="none" w:pos="654" w:val="left"/>
        </w:tabs>
        <w:numPr>
          <w:ilvl w:val="0"/>
          <w:numId w:val="79"/>
        </w:numPr>
        <w:rPr>
          <w:rFonts w:ascii="Arial" w:cs="Arial" w:eastAsia="Arial" w:hAnsi="Arial"/>
          <w:sz w:val="22"/>
          <w:szCs w:val="22"/>
          <w:color w:val="BD03F7"/>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equal to or greater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underlying Common Stock on the date of grant (except when being granted in substitution for awards held by employees of companies acquired by us).</w:t>
      </w:r>
    </w:p>
    <w:p>
      <w:pPr>
        <w:spacing w:after="0" w:line="261" w:lineRule="exact"/>
        <w:rPr>
          <w:rFonts w:ascii="Arial" w:cs="Arial" w:eastAsia="Arial" w:hAnsi="Arial"/>
          <w:sz w:val="22"/>
          <w:szCs w:val="22"/>
          <w:color w:val="BD03F7"/>
        </w:rPr>
      </w:pPr>
    </w:p>
    <w:p>
      <w:pPr>
        <w:ind w:left="660" w:right="100" w:hanging="330"/>
        <w:spacing w:after="0"/>
        <w:tabs>
          <w:tab w:leader="none" w:pos="654" w:val="left"/>
        </w:tabs>
        <w:numPr>
          <w:ilvl w:val="0"/>
          <w:numId w:val="79"/>
        </w:numPr>
        <w:rPr>
          <w:rFonts w:ascii="Arial" w:cs="Arial" w:eastAsia="Arial" w:hAnsi="Arial"/>
          <w:sz w:val="22"/>
          <w:szCs w:val="22"/>
          <w:color w:val="BD03F7"/>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2025 Plan prohibits the reuse of shares withheld, repurchased,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satisfy the exercise price of a stock option or SAR. In other words, the 2025 Plan prohibits “net share counting” upon the exercise of stock options or SARs.</w:t>
      </w:r>
    </w:p>
    <w:p>
      <w:pPr>
        <w:spacing w:after="0" w:line="261" w:lineRule="exact"/>
        <w:rPr>
          <w:rFonts w:ascii="Arial" w:cs="Arial" w:eastAsia="Arial" w:hAnsi="Arial"/>
          <w:sz w:val="22"/>
          <w:szCs w:val="22"/>
          <w:color w:val="BD03F7"/>
        </w:rPr>
      </w:pPr>
    </w:p>
    <w:p>
      <w:pPr>
        <w:ind w:left="660" w:right="80" w:hanging="330"/>
        <w:spacing w:after="0" w:line="245" w:lineRule="auto"/>
        <w:tabs>
          <w:tab w:leader="none" w:pos="654" w:val="left"/>
        </w:tabs>
        <w:numPr>
          <w:ilvl w:val="0"/>
          <w:numId w:val="79"/>
        </w:numPr>
        <w:rPr>
          <w:rFonts w:ascii="Arial" w:cs="Arial" w:eastAsia="Arial" w:hAnsi="Arial"/>
          <w:sz w:val="22"/>
          <w:szCs w:val="22"/>
          <w:color w:val="BD03F7"/>
        </w:rPr>
      </w:pPr>
      <w:r>
        <w:rPr>
          <w:rFonts w:ascii="Arial" w:cs="Arial" w:eastAsia="Arial" w:hAnsi="Arial"/>
          <w:sz w:val="18"/>
          <w:szCs w:val="18"/>
          <w:i w:val="1"/>
          <w:iCs w:val="1"/>
          <w:color w:val="auto"/>
        </w:rPr>
        <w:t>“Double trigger” Change in Control Vesting</w:t>
      </w:r>
      <w:r>
        <w:rPr>
          <w:rFonts w:ascii="Arial" w:cs="Arial" w:eastAsia="Arial" w:hAnsi="Arial"/>
          <w:sz w:val="18"/>
          <w:szCs w:val="18"/>
          <w:color w:val="auto"/>
        </w:rPr>
        <w:t>. If awards granted under the 2025 Plan are assumed by a successor in connection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(as defined in the 2025 Plan), such awards will not automatically vest and pay out solely as a result of the Change in Control. Instead, such awards will vest in accordance with their existing vesting schedule, except that they will vest upon termination or resignation if within one year after the effective date of the Change in Control, the participant’s employment is terminated without cause or, in the case of certain participants, if the participant resigns for good reason.</w:t>
      </w:r>
    </w:p>
    <w:p>
      <w:pPr>
        <w:spacing w:after="0" w:line="255" w:lineRule="exact"/>
        <w:rPr>
          <w:rFonts w:ascii="Arial" w:cs="Arial" w:eastAsia="Arial" w:hAnsi="Arial"/>
          <w:sz w:val="22"/>
          <w:szCs w:val="22"/>
          <w:color w:val="BD03F7"/>
        </w:rPr>
      </w:pPr>
    </w:p>
    <w:p>
      <w:pPr>
        <w:ind w:left="660" w:right="180" w:hanging="330"/>
        <w:spacing w:after="0" w:line="236" w:lineRule="auto"/>
        <w:tabs>
          <w:tab w:leader="none" w:pos="654" w:val="left"/>
        </w:tabs>
        <w:numPr>
          <w:ilvl w:val="0"/>
          <w:numId w:val="79"/>
        </w:numPr>
        <w:rPr>
          <w:rFonts w:ascii="Arial" w:cs="Arial" w:eastAsia="Arial" w:hAnsi="Arial"/>
          <w:sz w:val="22"/>
          <w:szCs w:val="22"/>
          <w:color w:val="BD03F7"/>
        </w:rPr>
      </w:pPr>
      <w:r>
        <w:rPr>
          <w:rFonts w:ascii="Arial" w:cs="Arial" w:eastAsia="Arial" w:hAnsi="Arial"/>
          <w:sz w:val="18"/>
          <w:szCs w:val="18"/>
          <w:i w:val="1"/>
          <w:iCs w:val="1"/>
          <w:color w:val="auto"/>
        </w:rPr>
        <w:t>No Award may be Transferred for Value</w:t>
      </w:r>
      <w:r>
        <w:rPr>
          <w:rFonts w:ascii="Arial" w:cs="Arial" w:eastAsia="Arial" w:hAnsi="Arial"/>
          <w:sz w:val="18"/>
          <w:szCs w:val="18"/>
          <w:color w:val="auto"/>
        </w:rPr>
        <w:t>. The 2025 Plan prohibits the transfer of unexercised, unvested, or restricted awards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value.</w:t>
      </w: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80" w:hanging="330"/>
        <w:spacing w:after="0" w:line="236" w:lineRule="auto"/>
        <w:tabs>
          <w:tab w:leader="none" w:pos="654" w:val="left"/>
        </w:tabs>
        <w:numPr>
          <w:ilvl w:val="0"/>
          <w:numId w:val="80"/>
        </w:numPr>
        <w:rPr>
          <w:rFonts w:ascii="Arial" w:cs="Arial" w:eastAsia="Arial" w:hAnsi="Arial"/>
          <w:sz w:val="22"/>
          <w:szCs w:val="22"/>
          <w:color w:val="BD03F7"/>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2025 Plan is not a “liberal”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be activated on mere shareholder approval of a transaction.</w:t>
      </w:r>
    </w:p>
    <w:p>
      <w:pPr>
        <w:spacing w:after="0" w:line="260" w:lineRule="exact"/>
        <w:rPr>
          <w:rFonts w:ascii="Arial" w:cs="Arial" w:eastAsia="Arial" w:hAnsi="Arial"/>
          <w:sz w:val="22"/>
          <w:szCs w:val="22"/>
          <w:color w:val="BD03F7"/>
        </w:rPr>
      </w:pPr>
    </w:p>
    <w:p>
      <w:pPr>
        <w:ind w:left="660" w:right="220" w:hanging="330"/>
        <w:spacing w:after="0" w:line="243" w:lineRule="auto"/>
        <w:tabs>
          <w:tab w:leader="none" w:pos="654" w:val="left"/>
        </w:tabs>
        <w:numPr>
          <w:ilvl w:val="0"/>
          <w:numId w:val="80"/>
        </w:numPr>
        <w:rPr>
          <w:rFonts w:ascii="Arial" w:cs="Arial" w:eastAsia="Arial" w:hAnsi="Arial"/>
          <w:sz w:val="22"/>
          <w:szCs w:val="22"/>
          <w:color w:val="BD03F7"/>
        </w:rPr>
      </w:pPr>
      <w:r>
        <w:rPr>
          <w:rFonts w:ascii="Arial" w:cs="Arial" w:eastAsia="Arial" w:hAnsi="Arial"/>
          <w:sz w:val="18"/>
          <w:szCs w:val="18"/>
          <w:i w:val="1"/>
          <w:iCs w:val="1"/>
          <w:color w:val="auto"/>
        </w:rPr>
        <w:t>Minimum Vesting Requirements</w:t>
      </w:r>
      <w:r>
        <w:rPr>
          <w:rFonts w:ascii="Arial" w:cs="Arial" w:eastAsia="Arial" w:hAnsi="Arial"/>
          <w:sz w:val="18"/>
          <w:szCs w:val="18"/>
          <w:color w:val="auto"/>
        </w:rPr>
        <w:t>. Subject to certain limited exceptions, full-value awards granted under the 2025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to non-employee directors) either will (1) be subject to a minimum vesting period of three years (which may include graduated vesting within such three-year period), or one year if the vesting is based on performance criteria other than continued service, or (2) be granted solely in exchange for forgone cash compensation.</w:t>
      </w:r>
    </w:p>
    <w:p>
      <w:pPr>
        <w:spacing w:after="0" w:line="258" w:lineRule="exact"/>
        <w:rPr>
          <w:rFonts w:ascii="Arial" w:cs="Arial" w:eastAsia="Arial" w:hAnsi="Arial"/>
          <w:sz w:val="22"/>
          <w:szCs w:val="22"/>
          <w:color w:val="BD03F7"/>
        </w:rPr>
      </w:pPr>
    </w:p>
    <w:p>
      <w:pPr>
        <w:ind w:left="660" w:right="180" w:hanging="330"/>
        <w:spacing w:after="0" w:line="248" w:lineRule="auto"/>
        <w:tabs>
          <w:tab w:leader="none" w:pos="654" w:val="left"/>
        </w:tabs>
        <w:numPr>
          <w:ilvl w:val="0"/>
          <w:numId w:val="80"/>
        </w:numPr>
        <w:rPr>
          <w:rFonts w:ascii="Arial" w:cs="Arial" w:eastAsia="Arial" w:hAnsi="Arial"/>
          <w:sz w:val="22"/>
          <w:szCs w:val="22"/>
          <w:color w:val="BD03F7"/>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2025 Plan can be made without shareholder approval. For example,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that diminishes the prohibitions on repricing stock options or SARs would require shareholder approval.</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“FOR” approval of the 2025 Plan.</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960"/>
        <w:spacing w:after="0" w:line="285"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approve the 2025 Plan.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RESERVED UNDER THE 2025 PLAN</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shareholders approve the 2025 Plan, a maximum of 49,000,000 shares of Common Stock will be reserved for issuance under the 2025 Plan. As of the Record Date, 35,853,755 shares remained available for grant under the 2007 Plan, and 3,253,144 shares remained available for grant under the NSOP. Therefore, the proposed net increase in shares available for grants is only approximately 9,893,101 (calculated as the 49,000,000 shares proposed under the 2025 Plan, minus the 35,853,755 shares under the 2007 Plan and the 3,253,144 of shares under the NSOP as of the Record Date) as no new grants will be made under the 2007 Plan or the NSOP if the 2025 Plan is approved. The number of shares of Common Stock reserved under the 2025 Plan will be further reduced by the number of shares covered by awards (if any) that are granted under the 2007 Plan and the NSOP between the Record Date and the date of the Annual Meeting. For example, if 100,000 shares are covered by awards granted between the Record Date and the Annual Meeting, only a maximum of 48,900,000 shares of Common Stock will be available under the 2025 Plan. We currently anticipate that the shares reserved under the 2025 Plan will be enough to meet our expected needs through approximately 2028. Changes in business conditions or other circumstances may make the shares last longer or shorter than this projection.</w:t>
      </w:r>
    </w:p>
    <w:p>
      <w:pPr>
        <w:spacing w:after="0" w:line="200" w:lineRule="exact"/>
        <w:rPr>
          <w:sz w:val="20"/>
          <w:szCs w:val="20"/>
          <w:color w:val="auto"/>
        </w:rPr>
      </w:pPr>
    </w:p>
    <w:p>
      <w:pPr>
        <w:ind w:right="1140"/>
        <w:spacing w:after="0" w:line="271" w:lineRule="auto"/>
        <w:rPr>
          <w:sz w:val="20"/>
          <w:szCs w:val="20"/>
          <w:color w:val="auto"/>
        </w:rPr>
      </w:pPr>
      <w:r>
        <w:rPr>
          <w:rFonts w:ascii="Arial" w:cs="Arial" w:eastAsia="Arial" w:hAnsi="Arial"/>
          <w:sz w:val="22"/>
          <w:szCs w:val="22"/>
          <w:b w:val="1"/>
          <w:bCs w:val="1"/>
          <w:color w:val="auto"/>
        </w:rPr>
        <w:t>BACKGROUND FOR THE CURRENT REQUEST TO INCREASE THE SHARE RESERVE FOR EQUITY INCENTIVE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Historical Award Information</w:t>
      </w:r>
    </w:p>
    <w:p>
      <w:pPr>
        <w:spacing w:after="0" w:line="25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Common measures of a stock plan’s utilization include burn rate, dilution, and overhang (as defined below). The burn rate, or run rate, refers to how fast a company uses the supply of shares authorized for issuance under its stock plan. Over the last three years, we have maintained an average equity run rate of only 1.2%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how our key equity metrics have changed over the past three fiscal years:</w:t>
      </w:r>
    </w:p>
    <w:p>
      <w:pPr>
        <w:spacing w:after="0" w:line="291" w:lineRule="exact"/>
        <w:rPr>
          <w:sz w:val="20"/>
          <w:szCs w:val="20"/>
          <w:color w:val="auto"/>
        </w:rPr>
      </w:pPr>
    </w:p>
    <w:tbl>
      <w:tblPr>
        <w:tblLayout w:type="fixed"/>
        <w:tblInd w:w="1680" w:type="dxa"/>
        <w:tblCellMar>
          <w:top w:w="0" w:type="dxa"/>
          <w:left w:w="0" w:type="dxa"/>
          <w:bottom w:w="0" w:type="dxa"/>
          <w:right w:w="0" w:type="dxa"/>
        </w:tblCellMar>
      </w:tblPr>
      <w:tr>
        <w:trPr>
          <w:trHeight w:val="254"/>
        </w:trPr>
        <w:tc>
          <w:tcPr>
            <w:tcW w:w="300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Key Equity Metrics</w:t>
            </w:r>
          </w:p>
        </w:tc>
        <w:tc>
          <w:tcPr>
            <w:tcW w:w="2220" w:type="dxa"/>
            <w:vAlign w:val="bottom"/>
            <w:tcBorders>
              <w:bottom w:val="single" w:sz="8" w:color="BD03F7"/>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300" w:type="dxa"/>
            <w:vAlign w:val="bottom"/>
            <w:tcBorders>
              <w:bottom w:val="single" w:sz="8" w:color="BD03F7"/>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40"/>
        </w:trPr>
        <w:tc>
          <w:tcPr>
            <w:tcW w:w="30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Equity Run Rate(1)</w:t>
            </w:r>
          </w:p>
        </w:tc>
        <w:tc>
          <w:tcPr>
            <w:tcW w:w="2220" w:type="dxa"/>
            <w:vAlign w:val="bottom"/>
            <w:shd w:val="clear" w:color="auto" w:fill="F2F2F2"/>
          </w:tcPr>
          <w:p>
            <w:pPr>
              <w:jc w:val="right"/>
              <w:ind w:right="35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1.5%</w:t>
            </w:r>
          </w:p>
        </w:tc>
        <w:tc>
          <w:tcPr>
            <w:tcW w:w="1300" w:type="dxa"/>
            <w:vAlign w:val="bottom"/>
            <w:shd w:val="clear" w:color="auto" w:fill="F2F2F2"/>
          </w:tcPr>
          <w:p>
            <w:pPr>
              <w:jc w:val="right"/>
              <w:ind w:right="370"/>
              <w:spacing w:after="0"/>
              <w:rPr>
                <w:sz w:val="20"/>
                <w:szCs w:val="20"/>
                <w:color w:val="auto"/>
              </w:rPr>
            </w:pPr>
            <w:r>
              <w:rPr>
                <w:rFonts w:ascii="Arial" w:cs="Arial" w:eastAsia="Arial" w:hAnsi="Arial"/>
                <w:sz w:val="18"/>
                <w:szCs w:val="18"/>
                <w:color w:val="auto"/>
              </w:rPr>
              <w:t>1.1%</w:t>
            </w:r>
          </w:p>
        </w:tc>
      </w:tr>
      <w:tr>
        <w:trPr>
          <w:trHeight w:val="247"/>
        </w:trPr>
        <w:tc>
          <w:tcPr>
            <w:tcW w:w="3000" w:type="dxa"/>
            <w:vAlign w:val="bottom"/>
          </w:tcPr>
          <w:p>
            <w:pPr>
              <w:ind w:left="20"/>
              <w:spacing w:after="0"/>
              <w:rPr>
                <w:sz w:val="20"/>
                <w:szCs w:val="20"/>
                <w:color w:val="auto"/>
              </w:rPr>
            </w:pPr>
            <w:r>
              <w:rPr>
                <w:rFonts w:ascii="Arial" w:cs="Arial" w:eastAsia="Arial" w:hAnsi="Arial"/>
                <w:sz w:val="18"/>
                <w:szCs w:val="18"/>
                <w:color w:val="auto"/>
              </w:rPr>
              <w:t>Overhang(2)</w:t>
            </w:r>
          </w:p>
        </w:tc>
        <w:tc>
          <w:tcPr>
            <w:tcW w:w="2220" w:type="dxa"/>
            <w:vAlign w:val="bottom"/>
          </w:tcPr>
          <w:p>
            <w:pPr>
              <w:jc w:val="right"/>
              <w:ind w:right="350"/>
              <w:spacing w:after="0"/>
              <w:rPr>
                <w:sz w:val="20"/>
                <w:szCs w:val="20"/>
                <w:color w:val="auto"/>
              </w:rPr>
            </w:pPr>
            <w:r>
              <w:rPr>
                <w:rFonts w:ascii="Arial" w:cs="Arial" w:eastAsia="Arial" w:hAnsi="Arial"/>
                <w:sz w:val="18"/>
                <w:szCs w:val="18"/>
                <w:color w:val="auto"/>
              </w:rPr>
              <w:t>7.8%</w:t>
            </w:r>
          </w:p>
        </w:tc>
        <w:tc>
          <w:tcPr>
            <w:tcW w:w="1360" w:type="dxa"/>
            <w:vAlign w:val="bottom"/>
          </w:tcPr>
          <w:p>
            <w:pPr>
              <w:jc w:val="center"/>
              <w:spacing w:after="0"/>
              <w:rPr>
                <w:sz w:val="20"/>
                <w:szCs w:val="20"/>
                <w:color w:val="auto"/>
              </w:rPr>
            </w:pPr>
            <w:r>
              <w:rPr>
                <w:rFonts w:ascii="Arial" w:cs="Arial" w:eastAsia="Arial" w:hAnsi="Arial"/>
                <w:sz w:val="18"/>
                <w:szCs w:val="18"/>
                <w:color w:val="auto"/>
              </w:rPr>
              <w:t>10.0%</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7.8%</w:t>
            </w:r>
          </w:p>
        </w:tc>
      </w:tr>
      <w:tr>
        <w:trPr>
          <w:trHeight w:val="258"/>
        </w:trPr>
        <w:tc>
          <w:tcPr>
            <w:tcW w:w="300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Dilution(3)</w:t>
            </w:r>
          </w:p>
        </w:tc>
        <w:tc>
          <w:tcPr>
            <w:tcW w:w="2220" w:type="dxa"/>
            <w:vAlign w:val="bottom"/>
            <w:tcBorders>
              <w:bottom w:val="single" w:sz="8" w:color="BD03F7"/>
            </w:tcBorders>
            <w:shd w:val="clear" w:color="auto" w:fill="F2F2F2"/>
          </w:tcPr>
          <w:p>
            <w:pPr>
              <w:jc w:val="right"/>
              <w:ind w:right="350"/>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7"/>
              </w:rPr>
              <w:t>2.6%</w:t>
            </w:r>
          </w:p>
        </w:tc>
        <w:tc>
          <w:tcPr>
            <w:tcW w:w="1300" w:type="dxa"/>
            <w:vAlign w:val="bottom"/>
            <w:tcBorders>
              <w:bottom w:val="single" w:sz="8" w:color="BD03F7"/>
            </w:tcBorders>
            <w:shd w:val="clear" w:color="auto" w:fill="F2F2F2"/>
          </w:tcPr>
          <w:p>
            <w:pPr>
              <w:jc w:val="right"/>
              <w:ind w:right="370"/>
              <w:spacing w:after="0"/>
              <w:rPr>
                <w:sz w:val="20"/>
                <w:szCs w:val="20"/>
                <w:color w:val="auto"/>
              </w:rPr>
            </w:pPr>
            <w:r>
              <w:rPr>
                <w:rFonts w:ascii="Arial" w:cs="Arial" w:eastAsia="Arial" w:hAnsi="Arial"/>
                <w:sz w:val="18"/>
                <w:szCs w:val="18"/>
                <w:color w:val="auto"/>
              </w:rPr>
              <w:t>2.3%</w:t>
            </w:r>
          </w:p>
        </w:tc>
      </w:tr>
    </w:tbl>
    <w:p>
      <w:pPr>
        <w:spacing w:after="0" w:line="317" w:lineRule="exact"/>
        <w:rPr>
          <w:sz w:val="20"/>
          <w:szCs w:val="20"/>
          <w:color w:val="auto"/>
        </w:rPr>
      </w:pPr>
    </w:p>
    <w:p>
      <w:pPr>
        <w:ind w:left="660" w:right="60" w:hanging="330"/>
        <w:spacing w:after="0" w:line="285" w:lineRule="auto"/>
        <w:tabs>
          <w:tab w:leader="none" w:pos="6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fiscal year by the weighted-average number of shares outstanding during the fiscal year.</w:t>
      </w:r>
    </w:p>
    <w:p>
      <w:pPr>
        <w:spacing w:after="0" w:line="181" w:lineRule="exact"/>
        <w:rPr>
          <w:rFonts w:ascii="Arial" w:cs="Arial" w:eastAsia="Arial" w:hAnsi="Arial"/>
          <w:sz w:val="18"/>
          <w:szCs w:val="18"/>
          <w:color w:val="auto"/>
        </w:rPr>
      </w:pPr>
    </w:p>
    <w:p>
      <w:pPr>
        <w:ind w:left="660" w:right="420" w:hanging="330"/>
        <w:spacing w:after="0" w:line="267" w:lineRule="auto"/>
        <w:tabs>
          <w:tab w:leader="none" w:pos="6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Overhang is calculated by dividing (a) the sum of (x) the number of shares subject to equity awards outstanding at the end of the fiscal year and (y) the number of shares available for future grants at the end of the fiscal year, by (b) the number of shares outstanding at the end of the fiscal year.</w:t>
      </w:r>
    </w:p>
    <w:p>
      <w:pPr>
        <w:spacing w:after="0" w:line="197" w:lineRule="exact"/>
        <w:rPr>
          <w:rFonts w:ascii="Arial" w:cs="Arial" w:eastAsia="Arial" w:hAnsi="Arial"/>
          <w:sz w:val="18"/>
          <w:szCs w:val="18"/>
          <w:color w:val="auto"/>
        </w:rPr>
      </w:pPr>
    </w:p>
    <w:p>
      <w:pPr>
        <w:ind w:left="660" w:right="620" w:hanging="330"/>
        <w:spacing w:after="0" w:line="285" w:lineRule="auto"/>
        <w:tabs>
          <w:tab w:leader="none" w:pos="6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Requested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considered several factors in determining to request a maximum of 49,000,000 shares for the 2025 Plan:</w:t>
      </w:r>
    </w:p>
    <w:p>
      <w:pPr>
        <w:spacing w:after="0" w:line="250" w:lineRule="exact"/>
        <w:rPr>
          <w:sz w:val="20"/>
          <w:szCs w:val="20"/>
          <w:color w:val="auto"/>
        </w:rPr>
      </w:pPr>
    </w:p>
    <w:p>
      <w:pPr>
        <w:ind w:left="660" w:hanging="330"/>
        <w:spacing w:after="0" w:line="258" w:lineRule="auto"/>
        <w:tabs>
          <w:tab w:leader="none" w:pos="655" w:val="left"/>
        </w:tabs>
        <w:numPr>
          <w:ilvl w:val="0"/>
          <w:numId w:val="82"/>
        </w:numPr>
        <w:rPr>
          <w:rFonts w:ascii="Arial" w:cs="Arial" w:eastAsia="Arial" w:hAnsi="Arial"/>
          <w:sz w:val="18"/>
          <w:szCs w:val="18"/>
          <w:color w:val="BD03F7"/>
        </w:rPr>
      </w:pPr>
      <w:r>
        <w:rPr>
          <w:rFonts w:ascii="Arial" w:cs="Arial" w:eastAsia="Arial" w:hAnsi="Arial"/>
          <w:sz w:val="18"/>
          <w:szCs w:val="18"/>
          <w:color w:val="auto"/>
        </w:rPr>
        <w:t>As described above, we expect the initial reserve under the 2025 Plan to last for approximately 4 years of awards. Such shares would represent approximately 4.4% of our total outstanding shares of Common Stock as of the Record Date. This estimate assumes that we continue our current practices of issuing grants. While we believe this modeling provides a reasonable estimate of how long such a share reserve would last, there are a number of factors that could impact our future actual equity share usage and the shares available under the 2025 Plan may last longer or shorter than 4 years.</w:t>
      </w:r>
    </w:p>
    <w:p>
      <w:pPr>
        <w:spacing w:after="0" w:line="205" w:lineRule="exact"/>
        <w:rPr>
          <w:rFonts w:ascii="Arial" w:cs="Arial" w:eastAsia="Arial" w:hAnsi="Arial"/>
          <w:sz w:val="18"/>
          <w:szCs w:val="18"/>
          <w:color w:val="BD03F7"/>
        </w:rPr>
      </w:pPr>
    </w:p>
    <w:p>
      <w:pPr>
        <w:ind w:left="660" w:right="900" w:hanging="330"/>
        <w:spacing w:after="0" w:line="285" w:lineRule="auto"/>
        <w:tabs>
          <w:tab w:leader="none" w:pos="655" w:val="left"/>
        </w:tabs>
        <w:numPr>
          <w:ilvl w:val="0"/>
          <w:numId w:val="82"/>
        </w:numPr>
        <w:rPr>
          <w:rFonts w:ascii="Arial" w:cs="Arial" w:eastAsia="Arial" w:hAnsi="Arial"/>
          <w:sz w:val="18"/>
          <w:szCs w:val="18"/>
          <w:color w:val="BD03F7"/>
        </w:rPr>
      </w:pPr>
      <w:r>
        <w:rPr>
          <w:rFonts w:ascii="Arial" w:cs="Arial" w:eastAsia="Arial" w:hAnsi="Arial"/>
          <w:sz w:val="18"/>
          <w:szCs w:val="18"/>
          <w:color w:val="auto"/>
        </w:rPr>
        <w:t>The total overhang resulting from the share request, including awards outstanding under all of our equity plans, represents approximately 7.1% of the shares of Common Stock outstanding as of the Record Date.</w:t>
      </w:r>
    </w:p>
    <w:p>
      <w:pPr>
        <w:spacing w:after="0" w:line="181" w:lineRule="exact"/>
        <w:rPr>
          <w:rFonts w:ascii="Arial" w:cs="Arial" w:eastAsia="Arial" w:hAnsi="Arial"/>
          <w:sz w:val="18"/>
          <w:szCs w:val="18"/>
          <w:color w:val="BD03F7"/>
        </w:rPr>
      </w:pPr>
    </w:p>
    <w:p>
      <w:pPr>
        <w:ind w:left="660" w:right="420" w:hanging="330"/>
        <w:spacing w:after="0" w:line="285" w:lineRule="auto"/>
        <w:tabs>
          <w:tab w:leader="none" w:pos="655" w:val="left"/>
        </w:tabs>
        <w:numPr>
          <w:ilvl w:val="0"/>
          <w:numId w:val="82"/>
        </w:numPr>
        <w:rPr>
          <w:rFonts w:ascii="Arial" w:cs="Arial" w:eastAsia="Arial" w:hAnsi="Arial"/>
          <w:sz w:val="18"/>
          <w:szCs w:val="18"/>
          <w:color w:val="BD03F7"/>
        </w:rPr>
      </w:pPr>
      <w:r>
        <w:rPr>
          <w:rFonts w:ascii="Arial" w:cs="Arial" w:eastAsia="Arial" w:hAnsi="Arial"/>
          <w:sz w:val="18"/>
          <w:szCs w:val="18"/>
          <w:color w:val="auto"/>
        </w:rPr>
        <w:t>Given the significant institutional share ownership of Micron, we considered the stated policies of those institutions and of certain proxy advisory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Shareholder Approval of 2025 Plan</w:t>
      </w:r>
    </w:p>
    <w:p>
      <w:pPr>
        <w:spacing w:after="0" w:line="25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If shareholders approve the 2025 Plan, we will begin using it to make equity grants effective as of the date of such shareholder approval and the 2007 Plan and NSOP will be terminated. If shareholders do not approve the 2025 Plan, we will continue to use the 2007 Plan as last approved by shareholders and may determine to make further use of the NSOP. However, as described above, without the shares being proposed for the 2025 Plan, the shares that remain available for issuance under the 2007 Plan (and the NSOP, to the extent applicable) may not be sufficient for us to be able to achieve our goals of attracting, motivating, and retaining our employees through grants of equity awards.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Individual Awards</w:t>
      </w:r>
    </w:p>
    <w:p>
      <w:pPr>
        <w:spacing w:after="0" w:line="250"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The maximum aggregate number of shares of our Common Stock subject to stock-based awards that may be granted under the 2025 Plan during any one calendar year to any one participant is as follows:</w:t>
      </w:r>
    </w:p>
    <w:p>
      <w:pPr>
        <w:spacing w:after="0" w:line="261" w:lineRule="exact"/>
        <w:rPr>
          <w:sz w:val="20"/>
          <w:szCs w:val="20"/>
          <w:color w:val="auto"/>
        </w:rPr>
      </w:pPr>
    </w:p>
    <w:tbl>
      <w:tblPr>
        <w:tblLayout w:type="fixed"/>
        <w:tblInd w:w="1680" w:type="dxa"/>
        <w:tblCellMar>
          <w:top w:w="0" w:type="dxa"/>
          <w:left w:w="0" w:type="dxa"/>
          <w:bottom w:w="0" w:type="dxa"/>
          <w:right w:w="0" w:type="dxa"/>
        </w:tblCellMar>
      </w:tblPr>
      <w:tr>
        <w:trPr>
          <w:trHeight w:val="269"/>
        </w:trPr>
        <w:tc>
          <w:tcPr>
            <w:tcW w:w="5800" w:type="dxa"/>
            <w:vAlign w:val="bottom"/>
            <w:tcBorders>
              <w:top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Options and/or Stock Appreciation Rights (SARs)</w:t>
            </w:r>
          </w:p>
        </w:tc>
        <w:tc>
          <w:tcPr>
            <w:tcW w:w="2080" w:type="dxa"/>
            <w:vAlign w:val="bottom"/>
            <w:tcBorders>
              <w:top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5,000,000</w:t>
            </w:r>
          </w:p>
        </w:tc>
      </w:tr>
      <w:tr>
        <w:trPr>
          <w:trHeight w:val="249"/>
        </w:trPr>
        <w:tc>
          <w:tcPr>
            <w:tcW w:w="580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Other Stock-Based Awards (other than Options or SARs)</w:t>
            </w:r>
          </w:p>
        </w:tc>
        <w:tc>
          <w:tcPr>
            <w:tcW w:w="208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5,000,000</w:t>
            </w:r>
          </w:p>
        </w:tc>
      </w:tr>
    </w:tbl>
    <w:p>
      <w:pPr>
        <w:spacing w:after="0" w:line="304"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color w:val="auto"/>
        </w:rPr>
        <w:t>These limits are the same as in the 2007 Plan and are subject to anti-dilution adjustments in the event of corporate events such as stock splits, mergers, consolidations, stock dividends, recapitalizations and similar transactions.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2025 PLAN</w:t>
      </w:r>
    </w:p>
    <w:p>
      <w:pPr>
        <w:spacing w:after="0" w:line="241"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color w:val="auto"/>
        </w:rPr>
        <w:t>The following summary is qualified in its entirety by reference to the complete text of the 2025 Plan, which is provided with this Proxy Statement as Appendix 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5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purposes of the 2025 Plan are to attract and retain the best available personnel for positions of substantial responsibility, provide additional incentives to our employees, officers, directors, and consultants, and promote the success of our business. We believe awards under the 2025 Plan will help enhance our value by linking the personal interests of our employees, officers, directors, and consultants to those of our shareholders, and by providing participants with an incentive for outstanding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91"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The 2025 Plan authorizes the grant of awards in any of the following forms. These forms of awards are substantially the same as under the 2007 Plan.</w:t>
      </w:r>
    </w:p>
    <w:p>
      <w:pPr>
        <w:spacing w:after="0" w:line="181" w:lineRule="exact"/>
        <w:rPr>
          <w:sz w:val="20"/>
          <w:szCs w:val="20"/>
          <w:color w:val="auto"/>
        </w:rPr>
      </w:pPr>
    </w:p>
    <w:p>
      <w:pPr>
        <w:ind w:left="660" w:right="20" w:hanging="330"/>
        <w:spacing w:after="0" w:line="254" w:lineRule="auto"/>
        <w:tabs>
          <w:tab w:leader="none" w:pos="655"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Options to purchase shares of Common Stock, which may be nonstatutory stock options or incentive stock options under the Internal Revenue Code of 1986, as amended from time to time (the “Code”). The exercise price of an option granted under the 2025 Plan may not be less than the fair market value of our Common Stock on the date of grant (except to the limited extent permitted by the Code when we issue options in substitution for options held by employees of companies acquired by us, and provided further that an incentive stock option granted to a participant who owns at grant stock representing more than 10% of the voting power of all classes of stock of ours or any parent or subsidiary of ours (a “10% shareholder”) must have an exercise price that is at least 110% of the fair market value of the shares underlying the award on the date of grant). Stock options granted under the 2025 Plan may have a term of up to ten years (or in the case of incentive stock options granted to a 10% shareholder, five years). Under the 2007 Plan, the maximum term of options was eight years.</w:t>
      </w:r>
    </w:p>
    <w:p>
      <w:pPr>
        <w:spacing w:after="0" w:line="207" w:lineRule="exact"/>
        <w:rPr>
          <w:rFonts w:ascii="Arial" w:cs="Arial" w:eastAsia="Arial" w:hAnsi="Arial"/>
          <w:sz w:val="18"/>
          <w:szCs w:val="18"/>
          <w:color w:val="BD03F7"/>
        </w:rPr>
      </w:pPr>
    </w:p>
    <w:p>
      <w:pPr>
        <w:ind w:left="660" w:right="20" w:hanging="330"/>
        <w:spacing w:after="0" w:line="256" w:lineRule="auto"/>
        <w:tabs>
          <w:tab w:leader="none" w:pos="655"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SARs, which give the holder the right to receive the excess, if any, of the fair market value of one share of Common Stock on the date of exercise, over the exercise price of the SAR, for each exercised share under the award. Such amount may be paid in cash, shares of Common Stock, or a combination of both. The exercise price of a SAR may not be less than the fair market value of our Common Stock on the date of grant (except to the limited extent permitted by the Code when we issue SARs in substitution for SARs held by employees of companies acquired by us). SARs granted under the 2025 Plan may have a term of up to ten years. Under the 2007 Plan, the maximum term of SARs was eight years.</w:t>
      </w:r>
    </w:p>
    <w:p>
      <w:pPr>
        <w:spacing w:after="0" w:line="208" w:lineRule="exact"/>
        <w:rPr>
          <w:rFonts w:ascii="Arial" w:cs="Arial" w:eastAsia="Arial" w:hAnsi="Arial"/>
          <w:sz w:val="18"/>
          <w:szCs w:val="18"/>
          <w:color w:val="BD03F7"/>
        </w:rPr>
      </w:pPr>
    </w:p>
    <w:p>
      <w:pPr>
        <w:ind w:left="660" w:right="500" w:hanging="330"/>
        <w:spacing w:after="0" w:line="267" w:lineRule="auto"/>
        <w:tabs>
          <w:tab w:leader="none" w:pos="655"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Performance awards, which are payable in Common Stock (or an equivalent value in cash, or a combination of both) upon the attainment of performance goals set by the committee administering the 2025 Plan, which generally refers to the Compensation Committee of our Board (the “Committee”).</w:t>
      </w:r>
    </w:p>
    <w:p>
      <w:pPr>
        <w:spacing w:after="0" w:line="197" w:lineRule="exact"/>
        <w:rPr>
          <w:rFonts w:ascii="Arial" w:cs="Arial" w:eastAsia="Arial" w:hAnsi="Arial"/>
          <w:sz w:val="18"/>
          <w:szCs w:val="18"/>
          <w:color w:val="BD03F7"/>
        </w:rPr>
      </w:pPr>
    </w:p>
    <w:p>
      <w:pPr>
        <w:ind w:left="660" w:right="280" w:hanging="330"/>
        <w:spacing w:after="0" w:line="285" w:lineRule="auto"/>
        <w:tabs>
          <w:tab w:leader="none" w:pos="655"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Restricted stock, which is shares of our Common Stock granted subject to restrictions on transferability and subject to forfeiture on terms set by the Committee.</w:t>
      </w:r>
    </w:p>
    <w:p>
      <w:pPr>
        <w:spacing w:after="0" w:line="181" w:lineRule="exact"/>
        <w:rPr>
          <w:rFonts w:ascii="Arial" w:cs="Arial" w:eastAsia="Arial" w:hAnsi="Arial"/>
          <w:sz w:val="18"/>
          <w:szCs w:val="18"/>
          <w:color w:val="BD03F7"/>
        </w:rPr>
      </w:pPr>
    </w:p>
    <w:p>
      <w:pPr>
        <w:ind w:left="660" w:right="20" w:hanging="330"/>
        <w:spacing w:after="0" w:line="285" w:lineRule="auto"/>
        <w:tabs>
          <w:tab w:leader="none" w:pos="655"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Restricted stock units, which represent the right to receive shares of Common Stock (or an equivalent value in cash, or a combination of both) in the future, based upon the attainment of stated vesting or performance goals set by the Committee.</w:t>
      </w:r>
    </w:p>
    <w:p>
      <w:pPr>
        <w:spacing w:after="0" w:line="181" w:lineRule="exact"/>
        <w:rPr>
          <w:rFonts w:ascii="Arial" w:cs="Arial" w:eastAsia="Arial" w:hAnsi="Arial"/>
          <w:sz w:val="18"/>
          <w:szCs w:val="18"/>
          <w:color w:val="BD03F7"/>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Other stock-based awards in the discretion of the Committee, including unrestricted stock grants.</w:t>
      </w:r>
    </w:p>
    <w:p>
      <w:pPr>
        <w:spacing w:after="0" w:line="250"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The NSOP provides only for awards of nonstatutory stock options. All awards under the 2025 Plan will be evidenced by a written award document (an “award certificate”) between us and the participant, which will include such provisions as may be specified by the Committee and not inconsistent with the 2025 Plan. The Committee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determines the acceptable form of consideration for exercising an option, which may consist of, without limitation, cash, check, promissory note (if permitted by applicable laws), other shares of Common Stock provided that accepting such shares does not result in adverse accounting consequences, consideration through a cashless exercise program (whether or not through a broker), net exercise, such other consideration permitted by applicable law, or any combination of such consideration.</w:t>
      </w:r>
    </w:p>
    <w:p>
      <w:pPr>
        <w:spacing w:after="0" w:line="20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Dividend equivalent rights, which entitle the participant to payments by reference to the amount of ordinary cash dividends or distributions paid on the shares of stock underlying an award, may not be granted with respect to options or SARs, but may be granted with other awards if the dividend equivalents vest only when the shares underlying the award to which the dividend equivalents relate vest. If the underlying award or portion of the award is forfeited, the related dividend equivalent rights also will be forfeited. Dividends or other distributions will be paid with respect to restricted stock only if the shares under such award to which the dividends relate vest. Unless determined otherwise by the Committee, full voting rights may be exercised with respect to any of the shares underlying restricted stock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5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If shareholders approve the 2025 Plan, a maximum of 49,000,000 shares of Common Stock will be reserved for issuance under the 2025 Plan. As of the Record Date, 35,853,755 shares remained available for grant under the 2007 Plan and 3,253,144 shares remained available for grant under the NSOP. Therefore, the proposed net increase in shares available for grants is only approximately 9,893,101 (calculated as the 49,000,000 shares proposed under the 2025 Plan, minus the 35,853,755 shares that remain available for issuance under the 2007 Plan and minus the 3,253,144 shares that remain available for issuance under the NSOP, each as of the Record Date) as no new grants will be made under the 2007 Plan or NSOP if the 2025 Plan is approved. The maximum number of shares of Common Stock reserved under the 2025 Plan will be further reduced by the number of shares covered by awards (if any) that are granted under the 2007 Plan and the NSOP between the Record Date and the date of the Annual Meeting. For example, if 100,000 shares are covered by awards granted between the Record Date and the Annual Meeting, only a maximum of 48,900,000 shares of Common Stock will be available under the 2025 Plan.</w:t>
      </w:r>
    </w:p>
    <w:p>
      <w:pPr>
        <w:spacing w:after="0" w:line="20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As of the Record Date, no equity awards have been granted under the 2025 Plan, but equity awards covering an aggregate of 30,499,938 shares were outstanding under the 2007 Plan, 2004 Plan, and the NSOP. Of that number, 251,841 shares were subject to stock options, 26,971,854 shares were subject to restricted stock awards and restricted stock units, and 3,276,243 shares were subject to performance restricted stock units. The weighted-average remaining contractual term of the outstanding stock options as of the Record Date, was 0.60 years and the weighted-average exercise price per share of those stock options was $32.82.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Any stock issued under the 2025 Plan may consist of authorized and unissued shares of our Common Stock, treasury shares of our Common</w:t>
      </w:r>
    </w:p>
    <w:p>
      <w:pPr>
        <w:spacing w:after="0" w:line="60"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Stock, or shares of our Common Stock purchased on the open market. Each share issued pursuant to any awards granted under the 2025 Plan will reduce the number of shares available for grant by one share.</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noted above, the maximum number of shares of Common Stock subject to awards that may be granted under the 2025 Plan during any one calendar year to any one participant will be 5,000,000 with respect to options and/or SARs; and 5,000,000 with respect to awards of restricted stock, restricted stock units, performance awards or other stock-based awards (other than options and SARs). In addition, the maximum number of shares of Common Stock subject to awards granted during any single fiscal year of ours to any non-employee director, taken together with any cash fees paid to such non-employee director during that fiscal year, will not exceed $1,500,000 in total value (this limit was $750,000 per year in the 2007 Plan.) For purposes of applying the non-employee director limit, the value of any awards will be based on the grant date fair value as determined for financial reporting purposes.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Shares issued under an award granted under the 2025 Plan will reduce the number of shares available under the 2025 Plan on a one-for-one</w:t>
      </w:r>
    </w:p>
    <w:p>
      <w:pPr>
        <w:spacing w:after="0" w:line="49"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basis. If an option or SAR award granted under the 2025 Plan expires or becomes unexercisable without having been exercised in full or a “full value” award (that is, an award of restricted stock, restricted stock units, performance awards, or other stock-based awards other than options and SARs) is forfeited</w:t>
      </w:r>
    </w:p>
    <w:p>
      <w:pPr>
        <w:spacing w:after="0" w:line="200" w:lineRule="exact"/>
        <w:rPr>
          <w:sz w:val="20"/>
          <w:szCs w:val="20"/>
          <w:color w:val="auto"/>
        </w:rPr>
      </w:pPr>
    </w:p>
    <w:p>
      <w:pPr>
        <w:spacing w:after="0" w:line="231"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or repurchased by us due to failure to vest, then the expired, unexercised, forfeited, or repurchased shares subject to that award will</w:t>
      </w:r>
    </w:p>
    <w:p>
      <w:pPr>
        <w:spacing w:after="0" w:line="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become available for future grant or sale under the 2025 Plan. If an award of SARs is exercised, the gross number of shares underlying the portion of a SAR that is exercised will cease to be available under the 2025 Plan. Shares actually issued under the 2025 Plan under any award will not be returned to the 2025 Plan and will not become available for future grant or sale under the 2025 Plan; except that if unvested shares under full value awards are repurchased by us or are forfeited to us, such shares will become available for future grant under the 2025 Plan. Shares used to pay the exercise or purchase price of an award or to satisfy tax withholding obligations related to an award will not become available for future grant or sale under the 2025 Plan. If an award is paid in cash rather than shares, such payment will not reduce</w:t>
      </w:r>
    </w:p>
    <w:p>
      <w:pPr>
        <w:spacing w:after="0" w:line="3"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the number of shares available for issuance under the 2025 Plan. No shares purchased by the Company with proceeds received from the exercise of an option award will become available for issuance under the 2025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Under the 2007 Plan, the share counting rules were more complex in that “full value” awards under the 2007 Plan such as RSUs and</w:t>
      </w:r>
    </w:p>
    <w:p>
      <w:pPr>
        <w:spacing w:after="0" w:line="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restricted stock counted against the share reserve at a two for one rate, which made administration of the 2007 Plan more complex. Also under the 2007 Plan, certain shares used to pay tax withholding under full value awards could return to the 2007 Plan, which is not the case with the 2025 Plan. Under the NSOP, unpurchased shares covered by options granted that expire or become unexercisable could return to the NSOP.</w:t>
      </w:r>
    </w:p>
    <w:p>
      <w:pPr>
        <w:spacing w:after="0" w:line="214"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If the 2025 Plan is approved, no shares subject to outstanding awards will return to the 2007 Plan or NSOP and become available for future grants or sales under those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50"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Full value awards granted under the 2025 Plan will be subject to a minimum vesting period of three years (which may include graduated vesting) or one year if the vesting is performance-based, except to the limited extent provided in the 2025 Plan. These exceptions include awards issued in substitution for awards in a corporate transaction (e.g., a business combination), awards issued for forgone cash compensation, accelerated vesting in the case of death, disability or retirement, or the occurrence of a Change in Control, awards covering 5% or fewer of the maximum number of shares of Common Stock authorized under the 2025 Plan, and awards granted to non-employee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These minimum vesting rules are the same as contained in the 2007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2025 Plan permits the Board or any committee of directors or other individuals satisfying applicable laws, or a duly authorized Board committee (such as the Committee) to administer it. The 2025 Plan will be administered by the Committee. As the administrator of the 2025 Plan, the Committee will have the authority to grant awards; designate participants; determine the type or types of awards to be granted to each participant and the number, terms and conditions thereof, including without limitation exercisability, exercise or purchase prices, and any vesting requirements and vesting acceleration; approve and amend award certificates (subject to the limitations under the 2025 Plan); adopt, revise or rescind any rules and regulations as it may deem necessary or advisable to administer the 2025 Plan; and make all other decisions and determinations that may be required under the 2025 Plan or that the Committee deems necessary or advisable for administration of the 2025 Plan. The Committee may permit participants to satisfy tax withholdings relating to awards granted under the 2025 Plan pursuant to procedures that it determines, as permitted by applicable laws, including (without limitation) allowing participants to have us withhold otherwise deliverable shares under an award or to deliver to us already owned shares of Common Stock at the minimum statutory amount or such greater amount as the Committee permits if such amount would not have adverse accounting consequences, as determined by the Committee. Although the Committee may grant discretionary awards under the 2025 Plan to our non-employee directors (which was not the case under the 2007 Plan), we expect that our non-employee directors will be granted awards under the 2025 Plan only in accordance with the terms, conditions, and parameters of a plan, program, or policy for compensating our non-employee directors as may be in effect from time to time. Our Board may at any time administer the 2025 Plan. If it does so, it will have all the powers of the administrator as set forth in the 2025 Plan.</w:t>
      </w:r>
    </w:p>
    <w:p>
      <w:pPr>
        <w:spacing w:after="0" w:line="2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our Board may expressly delegate to a special committee some or all of the Committee’s authority, within specified parameters, to grant awards to eligible participants who, at the time of grant, are not executive officers or members of the Board. The Board has delegated to our Chief Executive Officer limited authority to grant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awards under the 2025 Plan to employees who are not executive officers of the Company. The Chief Executive Officer is authorized to grant awards to employees provided the award or awards granted to any employee do not have a grant date value in excess $1,000,000, in the aggregate in any fiscal year of the Company. The Board at any time may revoke the authority of the Chief Executive Officer to grant these awards. The Chief Executive Officer is not authorized to grant awards to members of the Board or to executive officers of the Company.</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Board has separately delegated to a committee consisting of the Chair of the Committee and our Chief Executive Officer limited authority to grant awards under the 2025 Plan to employees who are not officers of the Company subject to Section 16 of the Exchange Act. This committee is also not authorized to grant awards to members of the Board. The Board at any time may revoke the authority of this committee to grant these awards. This delegation and the delegation to the Chief Executive Officer discussed above are the same as for the 2007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Employees (including officers), non-employee directors and consultants of the Company or any affiliate of the Company, including its subsidiaries, are eligible to be selected to receive awards under the 2025 Plan. These are the same groups of individuals eligible under the 2007 Plan. However, options that qualify as incentive stock options may be granted only to employees of the Company or any parent or subsidiary of the Company. Only employees and consultants are eligible to participate in the NSOP. The actual number of individuals who will receive awards cannot be determined in advance because the Committee has the discretion to select the participants. As of November 18, 2024, approximately 49,800 employees (of which nine were officers), eight non-employee directors, and no consultants were eligible to be selected to receive awards under the 2007 Plan and therefore, approximately the same number are expected to be eligible to be selected to receive awards under the 2025 Plan. Affiliates include each parent or subsidiary of ours as well as any entity that directly or through one or more intermediaries controls, is controlled by, or is under common control with us. As of the same date, 43,321 persons, including 43,313 employees, eight non-employee directors, and no consultants had outstanding awards under the 2007 Plan and NSOP.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Unless the Committee determines otherwise, no award will be assignable or transferable by a participant other than by will or the laws of descent and distribution (which includes by beneficiary designation if available) and awards may be exercised during the lifetime of a participant only by the participant. The Committee, in its discretion, may permit awards to be transferred, subject to such terms and conditions as the Committee determines to be appropriate. A participant may, in the manner determined by the Committee and to the extent the Committee has permitted the participant to designate a beneficiary to exercise the rights of the participant and to receive any distribution with respect to such award upon the participant’s death.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5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provided in an award certificate, any special plan document governing an award, or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participant, upon the occurrence of our “Change in Control” (as defined in the 2025 Plan), awards that are assumed by the surviving entity will not automatically accelerate vesting or pay out. Awards that are not assumed by the surviving corporation or its affiliate or otherwise continued or substituted in connection with the Change in Control in a manner approved by the Committee or our Board, will be treated as follows:</w:t>
      </w:r>
    </w:p>
    <w:p>
      <w:pPr>
        <w:spacing w:after="0" w:line="206" w:lineRule="exact"/>
        <w:rPr>
          <w:sz w:val="20"/>
          <w:szCs w:val="20"/>
          <w:color w:val="auto"/>
        </w:rPr>
      </w:pPr>
    </w:p>
    <w:p>
      <w:pPr>
        <w:ind w:left="660" w:right="200" w:hanging="330"/>
        <w:spacing w:after="0" w:line="285" w:lineRule="auto"/>
        <w:tabs>
          <w:tab w:leader="none" w:pos="655" w:val="left"/>
        </w:tabs>
        <w:numPr>
          <w:ilvl w:val="0"/>
          <w:numId w:val="84"/>
        </w:numPr>
        <w:rPr>
          <w:rFonts w:ascii="Arial" w:cs="Arial" w:eastAsia="Arial" w:hAnsi="Arial"/>
          <w:sz w:val="18"/>
          <w:szCs w:val="18"/>
          <w:color w:val="BD03F7"/>
        </w:rPr>
      </w:pPr>
      <w:r>
        <w:rPr>
          <w:rFonts w:ascii="Arial" w:cs="Arial" w:eastAsia="Arial" w:hAnsi="Arial"/>
          <w:sz w:val="18"/>
          <w:szCs w:val="18"/>
          <w:color w:val="auto"/>
        </w:rPr>
        <w:t>all outstanding options, SARs, and other awards in the nature of rights that may be exercised that are subject to time-based vesting will vest and become fully exercisable;</w:t>
      </w:r>
    </w:p>
    <w:p>
      <w:pPr>
        <w:spacing w:after="0" w:line="181" w:lineRule="exact"/>
        <w:rPr>
          <w:rFonts w:ascii="Arial" w:cs="Arial" w:eastAsia="Arial" w:hAnsi="Arial"/>
          <w:sz w:val="18"/>
          <w:szCs w:val="18"/>
          <w:color w:val="BD03F7"/>
        </w:rPr>
      </w:pPr>
    </w:p>
    <w:p>
      <w:pPr>
        <w:ind w:left="640" w:hanging="310"/>
        <w:spacing w:after="0"/>
        <w:tabs>
          <w:tab w:leader="none" w:pos="640" w:val="left"/>
        </w:tabs>
        <w:numPr>
          <w:ilvl w:val="0"/>
          <w:numId w:val="84"/>
        </w:numPr>
        <w:rPr>
          <w:rFonts w:ascii="Arial" w:cs="Arial" w:eastAsia="Arial" w:hAnsi="Arial"/>
          <w:sz w:val="18"/>
          <w:szCs w:val="18"/>
          <w:color w:val="BD03F7"/>
        </w:rPr>
      </w:pPr>
      <w:r>
        <w:rPr>
          <w:rFonts w:ascii="Arial" w:cs="Arial" w:eastAsia="Arial" w:hAnsi="Arial"/>
          <w:sz w:val="18"/>
          <w:szCs w:val="18"/>
          <w:color w:val="auto"/>
        </w:rPr>
        <w:t>all time-based vesting restrictions on outstanding awards will lapse; and</w:t>
      </w:r>
    </w:p>
    <w:p>
      <w:pPr>
        <w:spacing w:after="0" w:line="250" w:lineRule="exact"/>
        <w:rPr>
          <w:rFonts w:ascii="Arial" w:cs="Arial" w:eastAsia="Arial" w:hAnsi="Arial"/>
          <w:sz w:val="18"/>
          <w:szCs w:val="18"/>
          <w:color w:val="BD03F7"/>
        </w:rPr>
      </w:pPr>
    </w:p>
    <w:p>
      <w:pPr>
        <w:ind w:left="660" w:right="220" w:hanging="330"/>
        <w:spacing w:after="0" w:line="267" w:lineRule="auto"/>
        <w:tabs>
          <w:tab w:leader="none" w:pos="655" w:val="left"/>
        </w:tabs>
        <w:numPr>
          <w:ilvl w:val="0"/>
          <w:numId w:val="84"/>
        </w:numPr>
        <w:rPr>
          <w:rFonts w:ascii="Arial" w:cs="Arial" w:eastAsia="Arial" w:hAnsi="Arial"/>
          <w:sz w:val="18"/>
          <w:szCs w:val="18"/>
          <w:color w:val="BD03F7"/>
        </w:rPr>
      </w:pPr>
      <w:r>
        <w:rPr>
          <w:rFonts w:ascii="Arial" w:cs="Arial" w:eastAsia="Arial" w:hAnsi="Arial"/>
          <w:sz w:val="18"/>
          <w:szCs w:val="18"/>
          <w:color w:val="auto"/>
        </w:rPr>
        <w:t>the payout opportunities attainable under all outstanding performance-based awards will vest based on target performance and the awards will pay out on a pro rata basis, based on the time within the performance period that has elapsed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With respect to awards assumed by the surviving corporation or its affiliate or otherwise continued or substituted in connection with a Change in Control, if within one year after the effective date of the Change in Control, a participant’s employment is terminated without Cause (as defined in the 2025 Plan, unless otherwise provided in the participant’s award certificate or any special plan document or other agreement governing the award) or the participant resigns for Good Reason (if and as defined in the award certificate, unless otherwise provided in any special plan document or other agreement governing an award), then:</w:t>
      </w:r>
    </w:p>
    <w:p>
      <w:pPr>
        <w:spacing w:after="0" w:line="206" w:lineRule="exact"/>
        <w:rPr>
          <w:sz w:val="20"/>
          <w:szCs w:val="20"/>
          <w:color w:val="auto"/>
        </w:rPr>
      </w:pPr>
    </w:p>
    <w:p>
      <w:pPr>
        <w:ind w:left="660" w:right="200" w:hanging="330"/>
        <w:spacing w:after="0" w:line="285" w:lineRule="auto"/>
        <w:tabs>
          <w:tab w:leader="none" w:pos="655" w:val="left"/>
        </w:tabs>
        <w:numPr>
          <w:ilvl w:val="0"/>
          <w:numId w:val="85"/>
        </w:numPr>
        <w:rPr>
          <w:rFonts w:ascii="Arial" w:cs="Arial" w:eastAsia="Arial" w:hAnsi="Arial"/>
          <w:sz w:val="18"/>
          <w:szCs w:val="18"/>
          <w:color w:val="BD03F7"/>
        </w:rPr>
      </w:pPr>
      <w:r>
        <w:rPr>
          <w:rFonts w:ascii="Arial" w:cs="Arial" w:eastAsia="Arial" w:hAnsi="Arial"/>
          <w:sz w:val="18"/>
          <w:szCs w:val="18"/>
          <w:color w:val="auto"/>
        </w:rPr>
        <w:t>all of that participant’s outstanding options, SARs, and other awards in the nature of rights that may be exercised that are subject to time-based vesting will vest and become fully exercisable;</w:t>
      </w:r>
    </w:p>
    <w:p>
      <w:pPr>
        <w:spacing w:after="0" w:line="181" w:lineRule="exact"/>
        <w:rPr>
          <w:rFonts w:ascii="Arial" w:cs="Arial" w:eastAsia="Arial" w:hAnsi="Arial"/>
          <w:sz w:val="18"/>
          <w:szCs w:val="18"/>
          <w:color w:val="BD03F7"/>
        </w:rPr>
      </w:pPr>
    </w:p>
    <w:p>
      <w:pPr>
        <w:ind w:left="640" w:hanging="310"/>
        <w:spacing w:after="0"/>
        <w:tabs>
          <w:tab w:leader="none" w:pos="640" w:val="left"/>
        </w:tabs>
        <w:numPr>
          <w:ilvl w:val="0"/>
          <w:numId w:val="85"/>
        </w:numPr>
        <w:rPr>
          <w:rFonts w:ascii="Arial" w:cs="Arial" w:eastAsia="Arial" w:hAnsi="Arial"/>
          <w:sz w:val="18"/>
          <w:szCs w:val="18"/>
          <w:color w:val="BD03F7"/>
        </w:rPr>
      </w:pPr>
      <w:r>
        <w:rPr>
          <w:rFonts w:ascii="Arial" w:cs="Arial" w:eastAsia="Arial" w:hAnsi="Arial"/>
          <w:sz w:val="18"/>
          <w:szCs w:val="18"/>
          <w:color w:val="auto"/>
        </w:rPr>
        <w:t>all time-based vesting restrictions on that participant’s outstanding awards will lapse; and</w:t>
      </w:r>
    </w:p>
    <w:p>
      <w:pPr>
        <w:spacing w:after="0" w:line="250" w:lineRule="exact"/>
        <w:rPr>
          <w:rFonts w:ascii="Arial" w:cs="Arial" w:eastAsia="Arial" w:hAnsi="Arial"/>
          <w:sz w:val="18"/>
          <w:szCs w:val="18"/>
          <w:color w:val="BD03F7"/>
        </w:rPr>
      </w:pPr>
    </w:p>
    <w:p>
      <w:pPr>
        <w:ind w:left="660" w:right="120" w:hanging="330"/>
        <w:spacing w:after="0" w:line="267" w:lineRule="auto"/>
        <w:tabs>
          <w:tab w:leader="none" w:pos="655" w:val="left"/>
        </w:tabs>
        <w:numPr>
          <w:ilvl w:val="0"/>
          <w:numId w:val="85"/>
        </w:numPr>
        <w:rPr>
          <w:rFonts w:ascii="Arial" w:cs="Arial" w:eastAsia="Arial" w:hAnsi="Arial"/>
          <w:sz w:val="18"/>
          <w:szCs w:val="18"/>
          <w:color w:val="BD03F7"/>
        </w:rPr>
      </w:pPr>
      <w:r>
        <w:rPr>
          <w:rFonts w:ascii="Arial" w:cs="Arial" w:eastAsia="Arial" w:hAnsi="Arial"/>
          <w:sz w:val="18"/>
          <w:szCs w:val="18"/>
          <w:color w:val="auto"/>
        </w:rPr>
        <w:t>the payout opportunities attainable under all of that participant’s outstanding performance-based awards will vest based on target performance and the awards will pay out on a pro rata basis, based on the time within the performance period that has elapsed prior to the date of termination.</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Unless otherwise provided in an award certificate or other agreement with a participant, with respect to awards granted under the 2025 Plan to our non-employee directors while such participant was our non-employee director that are assumed, continued or substituted for, if on the date of or after such assumption, continuation or substitution the individual’s director status (with us or the successor corporation, as applicable) is terminated other than due to voluntary resignation (except for a resignation at the request of the acquirer), all of that participant’s outstanding awards will vest (and become exercisable, as applicable) and any performance goals or other vesting criteria relating to any performance-based vesting requirements will vest based on target performance.</w:t>
      </w:r>
    </w:p>
    <w:p>
      <w:pPr>
        <w:spacing w:after="0" w:line="209"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Under the 2025 Plan, a Change in Control generally means the occurrence of any of the following events, subject to certain limitations set forth in the 2025 Plan:</w:t>
      </w:r>
    </w:p>
    <w:p>
      <w:pPr>
        <w:spacing w:after="0" w:line="181" w:lineRule="exact"/>
        <w:rPr>
          <w:sz w:val="20"/>
          <w:szCs w:val="20"/>
          <w:color w:val="auto"/>
        </w:rPr>
      </w:pPr>
    </w:p>
    <w:p>
      <w:pPr>
        <w:ind w:left="660" w:right="260" w:hanging="330"/>
        <w:spacing w:after="0" w:line="267" w:lineRule="auto"/>
        <w:tabs>
          <w:tab w:leader="none" w:pos="655" w:val="left"/>
        </w:tabs>
        <w:numPr>
          <w:ilvl w:val="0"/>
          <w:numId w:val="86"/>
        </w:numPr>
        <w:rPr>
          <w:rFonts w:ascii="Arial" w:cs="Arial" w:eastAsia="Arial" w:hAnsi="Arial"/>
          <w:sz w:val="18"/>
          <w:szCs w:val="18"/>
          <w:color w:val="BD03F7"/>
        </w:rPr>
      </w:pPr>
      <w:r>
        <w:rPr>
          <w:rFonts w:ascii="Arial" w:cs="Arial" w:eastAsia="Arial" w:hAnsi="Arial"/>
          <w:sz w:val="18"/>
          <w:szCs w:val="18"/>
          <w:color w:val="auto"/>
        </w:rPr>
        <w:t>the Board members as of the effective date of the 2025 Plan (each, an “incumbent director”) cease to constitute a majority of the Board, provided that any new Board member whose election or nomination for election was approved by a vote of a majority of the incumbent directors then on the Board also will be considered an incumbent director; or</w:t>
      </w:r>
    </w:p>
    <w:p>
      <w:pPr>
        <w:spacing w:after="0" w:line="197" w:lineRule="exact"/>
        <w:rPr>
          <w:rFonts w:ascii="Arial" w:cs="Arial" w:eastAsia="Arial" w:hAnsi="Arial"/>
          <w:sz w:val="18"/>
          <w:szCs w:val="18"/>
          <w:color w:val="BD03F7"/>
        </w:rPr>
      </w:pPr>
    </w:p>
    <w:p>
      <w:pPr>
        <w:ind w:left="660" w:right="200" w:hanging="330"/>
        <w:spacing w:after="0" w:line="258" w:lineRule="auto"/>
        <w:tabs>
          <w:tab w:leader="none" w:pos="655" w:val="left"/>
        </w:tabs>
        <w:numPr>
          <w:ilvl w:val="0"/>
          <w:numId w:val="86"/>
        </w:numPr>
        <w:rPr>
          <w:rFonts w:ascii="Arial" w:cs="Arial" w:eastAsia="Arial" w:hAnsi="Arial"/>
          <w:sz w:val="18"/>
          <w:szCs w:val="18"/>
          <w:color w:val="BD03F7"/>
        </w:rPr>
      </w:pPr>
      <w:r>
        <w:rPr>
          <w:rFonts w:ascii="Arial" w:cs="Arial" w:eastAsia="Arial" w:hAnsi="Arial"/>
          <w:sz w:val="18"/>
          <w:szCs w:val="18"/>
          <w:color w:val="auto"/>
        </w:rPr>
        <w:t>any person is or becomes a beneficial owner of either (A) more than 50% of our Common Stock or (B) our securities representing more than 50% of the combined voting power of our securities eligible to vote for the election of directors, except in limited cases of certain acquisitions (for example, acquisitions directly from the Company or by the Company or a subsidiary) (these threshold percentages under the 2007 Plan were 35%, which may mean that a Change in Control will be less likely to occur under the 2025 Plan); or</w:t>
      </w:r>
    </w:p>
    <w:p>
      <w:pPr>
        <w:spacing w:after="0" w:line="205" w:lineRule="exact"/>
        <w:rPr>
          <w:rFonts w:ascii="Arial" w:cs="Arial" w:eastAsia="Arial" w:hAnsi="Arial"/>
          <w:sz w:val="18"/>
          <w:szCs w:val="18"/>
          <w:color w:val="BD03F7"/>
        </w:rPr>
      </w:pPr>
    </w:p>
    <w:p>
      <w:pPr>
        <w:ind w:left="660" w:right="140" w:hanging="330"/>
        <w:spacing w:after="0" w:line="256" w:lineRule="auto"/>
        <w:tabs>
          <w:tab w:leader="none" w:pos="655" w:val="left"/>
        </w:tabs>
        <w:numPr>
          <w:ilvl w:val="0"/>
          <w:numId w:val="86"/>
        </w:numPr>
        <w:rPr>
          <w:rFonts w:ascii="Arial" w:cs="Arial" w:eastAsia="Arial" w:hAnsi="Arial"/>
          <w:sz w:val="18"/>
          <w:szCs w:val="18"/>
          <w:color w:val="BD03F7"/>
        </w:rPr>
      </w:pPr>
      <w:r>
        <w:rPr>
          <w:rFonts w:ascii="Arial" w:cs="Arial" w:eastAsia="Arial" w:hAnsi="Arial"/>
          <w:sz w:val="18"/>
          <w:szCs w:val="18"/>
          <w:color w:val="auto"/>
        </w:rPr>
        <w:t>completion of a reorganization, merger or similar corporate transaction, or the sale of all or substantially all of the Company’s assets or the acquisition of assets or stock of another corporation, unless immediately after such transaction, all or substantially all of the individuals and entities who were the beneficial owners of our Common Stock and our voting securities immediately before such transaction beneficially own more than 50% of our Common Stock and the combined voting power of our voting securities entitled to vote generally in the election of directors, of the corporation resulting from such transaction in substantially the same proportions as their ownership, immediately prior to such transaction, and subject to certain other exceptions; or</w:t>
      </w:r>
    </w:p>
    <w:p>
      <w:pPr>
        <w:spacing w:after="0" w:line="208" w:lineRule="exact"/>
        <w:rPr>
          <w:rFonts w:ascii="Arial" w:cs="Arial" w:eastAsia="Arial" w:hAnsi="Arial"/>
          <w:sz w:val="18"/>
          <w:szCs w:val="18"/>
          <w:color w:val="BD03F7"/>
        </w:rPr>
      </w:pPr>
    </w:p>
    <w:p>
      <w:pPr>
        <w:ind w:left="640" w:hanging="310"/>
        <w:spacing w:after="0"/>
        <w:tabs>
          <w:tab w:leader="none" w:pos="640" w:val="left"/>
        </w:tabs>
        <w:numPr>
          <w:ilvl w:val="0"/>
          <w:numId w:val="86"/>
        </w:numPr>
        <w:rPr>
          <w:rFonts w:ascii="Arial" w:cs="Arial" w:eastAsia="Arial" w:hAnsi="Arial"/>
          <w:sz w:val="18"/>
          <w:szCs w:val="18"/>
          <w:color w:val="BD03F7"/>
        </w:rPr>
      </w:pPr>
      <w:r>
        <w:rPr>
          <w:rFonts w:ascii="Arial" w:cs="Arial" w:eastAsia="Arial" w:hAnsi="Arial"/>
          <w:sz w:val="18"/>
          <w:szCs w:val="18"/>
          <w:color w:val="auto"/>
        </w:rPr>
        <w:t>approval by our shareholders of our complete liquidation or dissolution.</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case of our merger with or into another corporation or a Change in Control, the Board or Committee determines the manner in which awards granted under the 2025 Plan will be treated, without the participant’s consent, including (without limitation) that awards may be assumed or continued, be substituted by the acquiring or succeeding corporation or its affiliate for substantially equivalent awards, become vested and exercisable (as applicable), be terminated in exchange for cash and/or other property, be replaced with other rights or property, or any combination of these treatment methods. The Board or Committee is not obligated to treat all awards, all awards held by a participant, all awards of the same type, or all portions of awards, similarly. In the case of our dissolution or liquidation, after notification is provided to participants of such transaction, any awards not exercised,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60"/>
        <w:spacing w:after="0" w:line="285" w:lineRule="auto"/>
        <w:rPr>
          <w:sz w:val="20"/>
          <w:szCs w:val="20"/>
          <w:color w:val="auto"/>
        </w:rPr>
      </w:pPr>
      <w:r>
        <w:rPr>
          <w:rFonts w:ascii="Arial" w:cs="Arial" w:eastAsia="Arial" w:hAnsi="Arial"/>
          <w:sz w:val="18"/>
          <w:szCs w:val="18"/>
          <w:color w:val="auto"/>
        </w:rPr>
        <w:t>vested or settled (as applicable) will terminate immediately before the completion of such dissolution or liquidation, unless determined otherwise by the Board or the Committee.</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Unless otherwise provided in an award certificate or other governing document, if a participant’s service terminates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his or her death or disability, all of such participant’s outstanding options, SARs, and other awards in the nature of rights that may be exercised that are solely subject to time-based vesting restrictions will become vested and fully exercisable for a period of up to 12 months following the termination of service, all time-based vesting restrictions on outstanding awards will lapse, all outstanding performance-based awards will vest based on target performance and the awards will pay out on a pro rata basis, based on the time within the performance period that has elapsed prior to the date of termination.</w:t>
      </w:r>
    </w:p>
    <w:p>
      <w:pPr>
        <w:spacing w:after="0" w:line="20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i w:val="1"/>
          <w:iCs w:val="1"/>
          <w:color w:val="auto"/>
        </w:rPr>
        <w:t>Discretionary Acceleration</w:t>
      </w:r>
      <w:r>
        <w:rPr>
          <w:rFonts w:ascii="Arial" w:cs="Arial" w:eastAsia="Arial" w:hAnsi="Arial"/>
          <w:sz w:val="18"/>
          <w:szCs w:val="18"/>
          <w:color w:val="auto"/>
        </w:rPr>
        <w:t>. In addition, the Committee may in its discretion accelerate the vesting and (as applicable) exercisability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other reason, subject to the above-described minimum vesting requirements. Subject to applicable law, the Committee may discriminate among participants or among awards in exercising such discretion.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event of a dividend or other distribution (whether in cash, our securities, or other property), recapitalization, stock split, reverse stock split, reorganization, merger, consolidation, split-up, spin-off, combination, reclassification, repurchase, or exchange of our Common Stock or our other securities, or other change in our corporate structure affecting our Common Stock (other than ordinary dividends or other ordinary distributions), the number and class of shares issuable under the 2025 Plan and/or the number, class and price (as applicable) of shares covered by each outstanding award (and any related dividend equivalents) and the per-participant share limits in the 2025 Plan will be adjusted proportionately in order to prevent the diminution or enlargement of benefits or potential benefits intended under the 2025 Plan. These adjustments may be made notwithstanding the other limits and restrictions of the 2025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2025 Plan</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or the Committee may, at any time and from time to time, amend, alter, suspend or terminate the 2025 Plan or any part of the 2025 Plan, but if an amendment to the 2025 Plan would increase the number of shares of stock issuable under the 2025 Plan (other than as discussed above in “—Adjustments”), expand the types of awards provided under the 2025 Plan, materially expand the class of participants eligible to participate in the 2025 Plan, or otherwise constitute a material amendment requiring shareholder approval under applicable listing requirements, laws, policies, or regulations, then such amendment will be subject to shareholder approval. No amendment, alteration, suspension or termination of the 2025 Plan may materially impair a participant’s rights under an outstanding award absent mutual written agreement with the participant.</w:t>
      </w:r>
    </w:p>
    <w:p>
      <w:pPr>
        <w:spacing w:after="0" w:line="209"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The Committee may amend or terminate outstanding awards. However, amendment or termination may require the consent of the participant in certain circumstances.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Assuming that the 2025 Plan is approved by shareholders, the 2025 Plan will continue in effect until the tenth anniversary of the later of Board approval or shareholder approval of the 2025 Plan, unless it is terminated earlier by the Board or the Committee. Also, no options that qualify as incentive stock options will be granted after 10 years from the earlier of the Board or shareholder approval of the 2025 Plan (or if earlier, the termination of the 2025 Plan in accordance with its terms).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5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Unless approved in advance by shareholders or otherwise permitted by the anti-dilution or adjustment provisions of the 2025 Plan, the 2025 Plan prohibits our implementation of an exchange program without shareholder approval. An exchange program includes reduction of the exercise price of an outstanding award, outstanding awards being cancelled in exchange for new awards of the same type (which may have higher or lower exercise prices and different terms), new awards of a different type, and/or cash, or the opportunity for participants to transfer any outstanding awards to a financial institution or other person or entity selected by the Board or the Committee.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of Awards</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Awards under the 2025 Plan will be subject to any applicable compensation recoupment policy that we adopt from time to time as required by law, and any other clawback policy in effect when the award is granted under the 2025 Plan. In addition, the Committee may specify in an award certificate that a participant’s award will be subject to reduction, cancellation, forfeiture, or recoupment upon certain specified events, in addition to any otherwise applicable vesting or performance requirements. These events may include without limitation, termination for cause or any action or inaction by the participant that would constitute cause for termination. No recovery pursuant to these recoupment provisions under the 2025 Plan will constitute or contribute to any right of a participant to resign for good reason or any constructive termination of the participant under any agreement with us, unless the applicable provision in the 2025 Plan specifically is mentioned and waived in the award certificate or other applicable document.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FEDERAL TAX EFFECTS</w:t>
      </w:r>
    </w:p>
    <w:p>
      <w:pPr>
        <w:spacing w:after="0" w:line="25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discussion is limited to a summary of the U.S. federal income tax provisions relating to the grant, exercise, and vesting of awards under the 2025 Plan and the subsequent sale of Common Stock acquired under the 2025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non-U.S. tax laws.</w:t>
      </w:r>
    </w:p>
    <w:p>
      <w:pPr>
        <w:spacing w:after="0" w:line="20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Nonstatutory Stock Options. </w:t>
      </w:r>
      <w:r>
        <w:rPr>
          <w:rFonts w:ascii="Arial" w:cs="Arial" w:eastAsia="Arial" w:hAnsi="Arial"/>
          <w:sz w:val="18"/>
          <w:szCs w:val="18"/>
          <w:color w:val="auto"/>
        </w:rPr>
        <w:t>Generally, there will be no federal income tax consequences to the optionee upon the grant of a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under the 2025 Plan. When the optionee exercises a nonstatutory stock option, however, he or she will recognize ordinary income in an amount equal to the excess of the fair market value of the Common Stock received upon exercise of the option at the time of exercise over the exercise price. Any gain that the optionee realizes when he or she later sells or disposes of the option shares will be short-term or long-term capital gain, depending on how long the shares were held.</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Incentive Stock Options. </w:t>
      </w:r>
      <w:r>
        <w:rPr>
          <w:rFonts w:ascii="Arial" w:cs="Arial" w:eastAsia="Arial" w:hAnsi="Arial"/>
          <w:sz w:val="18"/>
          <w:szCs w:val="18"/>
          <w:color w:val="auto"/>
        </w:rPr>
        <w:t>There typically will be no federal income tax consequences to the optionee upon the grant or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 If the optionee holds the option shares for the required holding periods of more than two years after the date the option was granted and more than one year after exercise, the difference between the exercise price and the amount realized upon sale or disposition of the option shares will be long-term capital gain or loss. If the optionee disposes of the option shares in a sale, exchange, or other disqualifying disposition before either of the required holding periods ends, he or she will recognize taxable ordinary income in an amount equal to the excess of the fair market value of the option shares at the time of exercise (or, if less, the amount realized on the disposition of the shares) over the exercise price.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 unless the disposition of the exercised shares occurs in the same year as exercise.</w:t>
      </w:r>
    </w:p>
    <w:p>
      <w:pPr>
        <w:spacing w:after="0" w:line="21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SARs. </w:t>
      </w:r>
      <w:r>
        <w:rPr>
          <w:rFonts w:ascii="Arial" w:cs="Arial" w:eastAsia="Arial" w:hAnsi="Arial"/>
          <w:sz w:val="18"/>
          <w:szCs w:val="18"/>
          <w:color w:val="auto"/>
        </w:rPr>
        <w:t>A participant receiving a SAR generally will not recognize income at the time the award is granted. When the participant exercises the</w:t>
      </w:r>
      <w:r>
        <w:rPr>
          <w:rFonts w:ascii="Arial" w:cs="Arial" w:eastAsia="Arial" w:hAnsi="Arial"/>
          <w:sz w:val="18"/>
          <w:szCs w:val="18"/>
          <w:b w:val="1"/>
          <w:bCs w:val="1"/>
          <w:color w:val="auto"/>
        </w:rPr>
        <w:t xml:space="preserve"> </w:t>
      </w:r>
      <w:r>
        <w:rPr>
          <w:rFonts w:ascii="Arial" w:cs="Arial" w:eastAsia="Arial" w:hAnsi="Arial"/>
          <w:sz w:val="18"/>
          <w:szCs w:val="18"/>
          <w:color w:val="auto"/>
        </w:rPr>
        <w:t>SAR, the amount of cash and the fair market value of any shares of Common Stock received will be ordinary income to the participant. Any gain that the participant realizes when he or she later sells or disposes of any such shares will be short-term or long-term capital gain, depending on how long the shares were held.</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Unless a participant makes an election to accelerate recognition of income to the date of grant as described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generally will not recognize income at the time a restricted stock award is granted, provided that the award is subject to restrictions on transfer and is subject to a substantial risk of forfeiture. When the restrictions lapse, the participant generally will recognize ordinary income equal to the fair market value of the Common Stock as of that date, less any amount he or she paid for the stock.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Any future appreciation in the stock will be taxable to the participant at capital gains rates.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However, if the stock is later forfeited, the participant will not be able to recover the tax previously paid pursuant to the Code Section 83(b) election.</w:t>
      </w:r>
    </w:p>
    <w:p>
      <w:pPr>
        <w:spacing w:after="0" w:line="18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i w:val="1"/>
          <w:iCs w:val="1"/>
          <w:color w:val="auto"/>
        </w:rPr>
        <w:t>Performance Awards, and other Stock-Based Awards</w:t>
      </w:r>
      <w:r>
        <w:rPr>
          <w:rFonts w:ascii="Arial" w:cs="Arial" w:eastAsia="Arial" w:hAnsi="Arial"/>
          <w:sz w:val="18"/>
          <w:szCs w:val="18"/>
          <w:color w:val="auto"/>
        </w:rPr>
        <w:t>. A participant generally will not recognize income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of restricted, performance shares, or other stock-based awards (other than those described above) is granted. Instead, the participant generally will be required to recognize ordinary income in an amount equal to the fair market value of shares or other payment issued to the participant at the end of the applicable vesting period or, if later, the settlement date of the award. Any additional gain or loss recognized upon any later disposition of any shares received would be capital gain or loss.</w:t>
      </w:r>
    </w:p>
    <w:p>
      <w:pPr>
        <w:spacing w:after="0" w:line="20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Medicare Surtax. </w:t>
      </w:r>
      <w:r>
        <w:rPr>
          <w:rFonts w:ascii="Arial" w:cs="Arial" w:eastAsia="Arial" w:hAnsi="Arial"/>
          <w:sz w:val="18"/>
          <w:szCs w:val="18"/>
          <w:color w:val="auto"/>
        </w:rPr>
        <w:t>In addition, a participant’s annual “net investment income,” as defined in Code Section 1411, may be subject to a 3.8%</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surtax. Net investment income may include capital gain and/or loss arising from the disposition of shares issued pursuant to awards granted under the 2025 Plan. Whether a participant’s net investment income will be subject to this surtax will depend on the participant’s level of annual income and other factors.</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Code Section 409A (or “Section 409A”) provides certain requirements for non-qualified deferred compensation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individual’s deferral and distribution elections and permissible distribution events. Awards granted under the 2025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tax on compensation recognized as ordinary income, as well as interest on such deferred compensation.</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Tax Effect for the Company. </w:t>
      </w:r>
      <w:r>
        <w:rPr>
          <w:rFonts w:ascii="Arial" w:cs="Arial" w:eastAsia="Arial" w:hAnsi="Arial"/>
          <w:sz w:val="17"/>
          <w:szCs w:val="17"/>
          <w:color w:val="auto"/>
        </w:rPr>
        <w:t>The Company generally will be entitled to a tax deduction in connection with an award under the 2025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an amount equal to the ordinary income recognized by a participant and at the time that the participant recognizes such income (for example, the exercise of a nonqualified stock option), except as follows. Under Section 162(m) of the Code, the deductibility of compensation paid to certain individuals is limited to $1,000,000 per person per year. These individuals include our Chief Executive Officer, Chief Financial Officer and certain other individuals (including, but not necessarily limited to, our next three other most highly compensated named executive officers other than the Chief Executive Officer and Chief Financial Officer and certain individuals who were subject to Section 162(m) while employees at Micron). Under a special Code Section 162(m) transition rule, compensation received from the exercise of nonqualified stock options that we granted prior to November 2, 2017, is expected to be fully deductible although this tax treatment is not guaranteed.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2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number and type of equity awards that a service provider may receive under the 2025 Plan (if any) is in the discretion of the Committee. Therefore, the amount that may be received by any individual under the 2025 Plan cannot be determined in advance. Our executive officers and non-employee directors will be eligible to receive awards under the 2025 Plan, and therefore, our executive officers and non-employee directors have an interest in the approval of the 2025 Plan by shareholders. No awards have been granted under the 2025 Plan. However, for purposes of illustration of our past grant practices only, the following table sets forth information with respect to the awards that were granted under the 2007 Plan during Fiscal 2024 to the executive officers named in the Summary Compensation Table, to all current executive officers as a group, to all non-employee directors as a group, and to all non-executive officer employees as a group. Additional awards may be</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granted under the 2025 Plan to these individuals and groups in the future, as determined in the discretion of the Committee. No stock options, SARs, or performance-based restricted stock awards were granted under the 2007 Plan in Fiscal 2024, and no awards were granted under the NSOP in that year. See “Grants of Plan-Based Awards in Fiscal 2024” and “Director Compensation—Elements of Director Compensation —Equity Award” above. As of November 18, 2024, the closing price of our Common Stock was $97.51.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60" w:type="dxa"/>
            <w:vAlign w:val="bottom"/>
            <w:tcBorders>
              <w:bottom w:val="single" w:sz="8" w:color="BD03F7"/>
            </w:tcBorders>
          </w:tcPr>
          <w:p>
            <w:pPr>
              <w:spacing w:after="0"/>
              <w:rPr>
                <w:sz w:val="20"/>
                <w:szCs w:val="20"/>
                <w:color w:val="auto"/>
              </w:rPr>
            </w:pPr>
            <w:r>
              <w:rPr>
                <w:rFonts w:ascii="Arial" w:cs="Arial" w:eastAsia="Arial" w:hAnsi="Arial"/>
                <w:sz w:val="16"/>
                <w:szCs w:val="16"/>
                <w:b w:val="1"/>
                <w:bCs w:val="1"/>
                <w:color w:val="BD03F7"/>
                <w:w w:val="99"/>
              </w:rPr>
              <w:t>Table of Contents</w:t>
            </w:r>
          </w:p>
        </w:tc>
      </w:tr>
      <w:tr>
        <w:trPr>
          <w:trHeight w:val="849"/>
        </w:trPr>
        <w:tc>
          <w:tcPr>
            <w:tcW w:w="3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Number of Shares Subject to</w:t>
            </w:r>
          </w:p>
        </w:tc>
      </w:tr>
      <w:tr>
        <w:trPr>
          <w:trHeight w:val="246"/>
        </w:trPr>
        <w:tc>
          <w:tcPr>
            <w:tcW w:w="388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3920" w:type="dxa"/>
            <w:vAlign w:val="bottom"/>
          </w:tcPr>
          <w:p>
            <w:pPr>
              <w:ind w:left="2280"/>
              <w:spacing w:after="0"/>
              <w:rPr>
                <w:sz w:val="20"/>
                <w:szCs w:val="20"/>
                <w:color w:val="auto"/>
              </w:rPr>
            </w:pPr>
            <w:r>
              <w:rPr>
                <w:rFonts w:ascii="Arial" w:cs="Arial" w:eastAsia="Arial" w:hAnsi="Arial"/>
                <w:sz w:val="18"/>
                <w:szCs w:val="18"/>
                <w:b w:val="1"/>
                <w:bCs w:val="1"/>
                <w:color w:val="auto"/>
              </w:rPr>
              <w:t>Dollar Value</w:t>
            </w:r>
          </w:p>
        </w:tc>
        <w:tc>
          <w:tcPr>
            <w:tcW w:w="34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Stock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046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3" w:lineRule="exact"/>
        <w:rPr>
          <w:sz w:val="20"/>
          <w:szCs w:val="20"/>
          <w:color w:val="auto"/>
        </w:rPr>
      </w:pPr>
    </w:p>
    <w:p>
      <w:pPr>
        <w:ind w:left="20"/>
        <w:spacing w:after="0"/>
        <w:tabs>
          <w:tab w:leader="none" w:pos="5100" w:val="left"/>
        </w:tabs>
        <w:rPr>
          <w:sz w:val="20"/>
          <w:szCs w:val="20"/>
          <w:color w:val="auto"/>
        </w:rPr>
      </w:pPr>
      <w:r>
        <w:rPr>
          <w:rFonts w:ascii="Arial" w:cs="Arial" w:eastAsia="Arial" w:hAnsi="Arial"/>
          <w:sz w:val="18"/>
          <w:szCs w:val="18"/>
          <w:color w:val="auto"/>
        </w:rPr>
        <w:t>Sanjay Mehrotra, President and Chief Executive Officer</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4685"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04685" cy="162560"/>
                    </a:xfrm>
                    <a:prstGeom prst="rect">
                      <a:avLst/>
                    </a:prstGeom>
                    <a:noFill/>
                  </pic:spPr>
                </pic:pic>
              </a:graphicData>
            </a:graphic>
          </wp:anchor>
        </w:drawing>
      </w:r>
    </w:p>
    <w:p>
      <w:pPr>
        <w:spacing w:after="0" w:line="38" w:lineRule="exact"/>
        <w:rPr>
          <w:sz w:val="20"/>
          <w:szCs w:val="20"/>
          <w:color w:val="auto"/>
        </w:rPr>
      </w:pPr>
    </w:p>
    <w:p>
      <w:pPr>
        <w:ind w:left="20" w:right="1560"/>
        <w:spacing w:after="0" w:line="259" w:lineRule="auto"/>
        <w:rPr>
          <w:sz w:val="20"/>
          <w:szCs w:val="20"/>
          <w:color w:val="auto"/>
        </w:rPr>
      </w:pPr>
      <w:r>
        <w:rPr>
          <w:rFonts w:ascii="Arial" w:cs="Arial" w:eastAsia="Arial" w:hAnsi="Arial"/>
          <w:sz w:val="18"/>
          <w:szCs w:val="18"/>
          <w:color w:val="auto"/>
        </w:rPr>
        <w:t>Mark J. Murphy, 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Manish Bhatia, Executive Vice President,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4685"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04685" cy="162560"/>
                    </a:xfrm>
                    <a:prstGeom prst="rect">
                      <a:avLst/>
                    </a:prstGeom>
                    <a:noFill/>
                  </pic:spPr>
                </pic:pic>
              </a:graphicData>
            </a:graphic>
          </wp:anchor>
        </w:drawing>
      </w:r>
    </w:p>
    <w:p>
      <w:pPr>
        <w:spacing w:after="0" w:line="29" w:lineRule="exact"/>
        <w:rPr>
          <w:sz w:val="20"/>
          <w:szCs w:val="20"/>
          <w:color w:val="auto"/>
        </w:rPr>
      </w:pPr>
    </w:p>
    <w:p>
      <w:pPr>
        <w:ind w:left="20" w:right="1660"/>
        <w:spacing w:after="0" w:line="265" w:lineRule="auto"/>
        <w:rPr>
          <w:sz w:val="20"/>
          <w:szCs w:val="20"/>
          <w:color w:val="auto"/>
        </w:rPr>
      </w:pPr>
      <w:r>
        <w:rPr>
          <w:rFonts w:ascii="Arial" w:cs="Arial" w:eastAsia="Arial" w:hAnsi="Arial"/>
          <w:sz w:val="18"/>
          <w:szCs w:val="18"/>
          <w:color w:val="auto"/>
        </w:rPr>
        <w:t>Scott J. DeBoer, Executive Vice President, Chief Technology and Products Officer</w:t>
      </w:r>
    </w:p>
    <w:p>
      <w:pPr>
        <w:ind w:left="20" w:right="1660"/>
        <w:spacing w:after="0" w:line="265" w:lineRule="auto"/>
        <w:rPr>
          <w:sz w:val="20"/>
          <w:szCs w:val="20"/>
          <w:color w:val="auto"/>
        </w:rPr>
      </w:pPr>
      <w:r>
        <w:rPr>
          <w:rFonts w:ascii="Arial" w:cs="Arial" w:eastAsia="Arial" w:hAnsi="Arial"/>
          <w:sz w:val="18"/>
          <w:szCs w:val="18"/>
          <w:color w:val="auto"/>
        </w:rPr>
        <w:t>Sumit Sadana, Executive Vice President and 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004685" cy="290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04685" cy="290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All Current Executive Officers as a Group</w:t>
      </w:r>
    </w:p>
    <w:p>
      <w:pPr>
        <w:spacing w:after="0" w:line="49" w:lineRule="exact"/>
        <w:rPr>
          <w:sz w:val="20"/>
          <w:szCs w:val="20"/>
          <w:color w:val="auto"/>
        </w:rPr>
      </w:pPr>
    </w:p>
    <w:p>
      <w:pPr>
        <w:ind w:left="20" w:right="1540"/>
        <w:spacing w:after="0" w:line="265" w:lineRule="auto"/>
        <w:rPr>
          <w:sz w:val="20"/>
          <w:szCs w:val="20"/>
          <w:color w:val="auto"/>
        </w:rPr>
      </w:pPr>
      <w:r>
        <w:rPr>
          <w:rFonts w:ascii="Arial" w:cs="Arial" w:eastAsia="Arial" w:hAnsi="Arial"/>
          <w:sz w:val="18"/>
          <w:szCs w:val="18"/>
          <w:color w:val="auto"/>
        </w:rPr>
        <w:t>All Non-Executive Officer Employees as a Group (Including all Officers who are not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004685" cy="290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04685" cy="290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All Directors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046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23,749,623</w:t>
            </w:r>
          </w:p>
        </w:tc>
        <w:tc>
          <w:tcPr>
            <w:tcW w:w="1820" w:type="dxa"/>
            <w:vAlign w:val="bottom"/>
          </w:tcPr>
          <w:p>
            <w:pPr>
              <w:jc w:val="right"/>
              <w:spacing w:after="0"/>
              <w:rPr>
                <w:sz w:val="20"/>
                <w:szCs w:val="20"/>
                <w:color w:val="auto"/>
              </w:rPr>
            </w:pPr>
            <w:r>
              <w:rPr>
                <w:rFonts w:ascii="Arial" w:cs="Arial" w:eastAsia="Arial" w:hAnsi="Arial"/>
                <w:sz w:val="18"/>
                <w:szCs w:val="18"/>
                <w:color w:val="auto"/>
              </w:rPr>
              <w:t>328,983</w:t>
            </w:r>
          </w:p>
        </w:tc>
      </w:tr>
      <w:tr>
        <w:trPr>
          <w:trHeight w:val="457"/>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8,499,848</w:t>
            </w:r>
          </w:p>
        </w:tc>
        <w:tc>
          <w:tcPr>
            <w:tcW w:w="1820" w:type="dxa"/>
            <w:vAlign w:val="bottom"/>
          </w:tcPr>
          <w:p>
            <w:pPr>
              <w:jc w:val="right"/>
              <w:spacing w:after="0"/>
              <w:rPr>
                <w:sz w:val="20"/>
                <w:szCs w:val="20"/>
                <w:color w:val="auto"/>
              </w:rPr>
            </w:pPr>
            <w:r>
              <w:rPr>
                <w:rFonts w:ascii="Arial" w:cs="Arial" w:eastAsia="Arial" w:hAnsi="Arial"/>
                <w:sz w:val="18"/>
                <w:szCs w:val="18"/>
                <w:color w:val="auto"/>
              </w:rPr>
              <w:t>118,692</w:t>
            </w:r>
          </w:p>
        </w:tc>
      </w:tr>
      <w:tr>
        <w:trPr>
          <w:trHeight w:val="256"/>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8,999,852</w:t>
            </w:r>
          </w:p>
        </w:tc>
        <w:tc>
          <w:tcPr>
            <w:tcW w:w="1820" w:type="dxa"/>
            <w:vAlign w:val="bottom"/>
          </w:tcPr>
          <w:p>
            <w:pPr>
              <w:jc w:val="right"/>
              <w:spacing w:after="0"/>
              <w:rPr>
                <w:sz w:val="20"/>
                <w:szCs w:val="20"/>
                <w:color w:val="auto"/>
              </w:rPr>
            </w:pPr>
            <w:r>
              <w:rPr>
                <w:rFonts w:ascii="Arial" w:cs="Arial" w:eastAsia="Arial" w:hAnsi="Arial"/>
                <w:sz w:val="18"/>
                <w:szCs w:val="18"/>
                <w:color w:val="auto"/>
              </w:rPr>
              <w:t>125,674</w:t>
            </w:r>
          </w:p>
        </w:tc>
      </w:tr>
      <w:tr>
        <w:trPr>
          <w:trHeight w:val="457"/>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7,249,849</w:t>
            </w:r>
          </w:p>
        </w:tc>
        <w:tc>
          <w:tcPr>
            <w:tcW w:w="1820" w:type="dxa"/>
            <w:vAlign w:val="bottom"/>
          </w:tcPr>
          <w:p>
            <w:pPr>
              <w:jc w:val="right"/>
              <w:spacing w:after="0"/>
              <w:rPr>
                <w:sz w:val="20"/>
                <w:szCs w:val="20"/>
                <w:color w:val="auto"/>
              </w:rPr>
            </w:pPr>
            <w:r>
              <w:rPr>
                <w:rFonts w:ascii="Arial" w:cs="Arial" w:eastAsia="Arial" w:hAnsi="Arial"/>
                <w:sz w:val="18"/>
                <w:szCs w:val="18"/>
                <w:color w:val="auto"/>
              </w:rPr>
              <w:t>101,237</w:t>
            </w:r>
          </w:p>
        </w:tc>
      </w:tr>
      <w:tr>
        <w:trPr>
          <w:trHeight w:val="457"/>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8,999,852</w:t>
            </w:r>
          </w:p>
        </w:tc>
        <w:tc>
          <w:tcPr>
            <w:tcW w:w="1820" w:type="dxa"/>
            <w:vAlign w:val="bottom"/>
          </w:tcPr>
          <w:p>
            <w:pPr>
              <w:jc w:val="right"/>
              <w:spacing w:after="0"/>
              <w:rPr>
                <w:sz w:val="20"/>
                <w:szCs w:val="20"/>
                <w:color w:val="auto"/>
              </w:rPr>
            </w:pPr>
            <w:r>
              <w:rPr>
                <w:rFonts w:ascii="Arial" w:cs="Arial" w:eastAsia="Arial" w:hAnsi="Arial"/>
                <w:sz w:val="18"/>
                <w:szCs w:val="18"/>
                <w:color w:val="auto"/>
              </w:rPr>
              <w:t>125,674</w:t>
            </w:r>
          </w:p>
        </w:tc>
      </w:tr>
      <w:tr>
        <w:trPr>
          <w:trHeight w:val="256"/>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76,798,854</w:t>
            </w:r>
          </w:p>
        </w:tc>
        <w:tc>
          <w:tcPr>
            <w:tcW w:w="1820" w:type="dxa"/>
            <w:vAlign w:val="bottom"/>
          </w:tcPr>
          <w:p>
            <w:pPr>
              <w:jc w:val="right"/>
              <w:spacing w:after="0"/>
              <w:rPr>
                <w:sz w:val="20"/>
                <w:szCs w:val="20"/>
                <w:color w:val="auto"/>
              </w:rPr>
            </w:pPr>
            <w:r>
              <w:rPr>
                <w:rFonts w:ascii="Arial" w:cs="Arial" w:eastAsia="Arial" w:hAnsi="Arial"/>
                <w:sz w:val="18"/>
                <w:szCs w:val="18"/>
                <w:color w:val="auto"/>
              </w:rPr>
              <w:t>1,049,954</w:t>
            </w:r>
          </w:p>
        </w:tc>
      </w:tr>
      <w:tr>
        <w:trPr>
          <w:trHeight w:val="457"/>
        </w:trPr>
        <w:tc>
          <w:tcPr>
            <w:tcW w:w="1940" w:type="dxa"/>
            <w:vAlign w:val="bottom"/>
          </w:tcPr>
          <w:p>
            <w:pPr>
              <w:jc w:val="right"/>
              <w:ind w:right="850"/>
              <w:spacing w:after="0"/>
              <w:rPr>
                <w:sz w:val="20"/>
                <w:szCs w:val="20"/>
                <w:color w:val="auto"/>
              </w:rPr>
            </w:pPr>
            <w:r>
              <w:rPr>
                <w:rFonts w:ascii="Arial" w:cs="Arial" w:eastAsia="Arial" w:hAnsi="Arial"/>
                <w:sz w:val="18"/>
                <w:szCs w:val="18"/>
                <w:color w:val="auto"/>
                <w:w w:val="97"/>
              </w:rPr>
              <w:t>824,538,568</w:t>
            </w:r>
          </w:p>
        </w:tc>
        <w:tc>
          <w:tcPr>
            <w:tcW w:w="1820" w:type="dxa"/>
            <w:vAlign w:val="bottom"/>
          </w:tcPr>
          <w:p>
            <w:pPr>
              <w:jc w:val="right"/>
              <w:spacing w:after="0"/>
              <w:rPr>
                <w:sz w:val="20"/>
                <w:szCs w:val="20"/>
                <w:color w:val="auto"/>
              </w:rPr>
            </w:pPr>
            <w:r>
              <w:rPr>
                <w:rFonts w:ascii="Arial" w:cs="Arial" w:eastAsia="Arial" w:hAnsi="Arial"/>
                <w:sz w:val="18"/>
                <w:szCs w:val="18"/>
                <w:color w:val="auto"/>
              </w:rPr>
              <w:t>11,234,654</w:t>
            </w:r>
          </w:p>
        </w:tc>
      </w:tr>
      <w:tr>
        <w:trPr>
          <w:trHeight w:val="256"/>
        </w:trPr>
        <w:tc>
          <w:tcPr>
            <w:tcW w:w="1940" w:type="dxa"/>
            <w:vAlign w:val="bottom"/>
          </w:tcPr>
          <w:p>
            <w:pPr>
              <w:jc w:val="right"/>
              <w:ind w:right="850"/>
              <w:spacing w:after="0"/>
              <w:rPr>
                <w:sz w:val="20"/>
                <w:szCs w:val="20"/>
                <w:color w:val="auto"/>
              </w:rPr>
            </w:pPr>
            <w:r>
              <w:rPr>
                <w:rFonts w:ascii="Arial" w:cs="Arial" w:eastAsia="Arial" w:hAnsi="Arial"/>
                <w:sz w:val="18"/>
                <w:szCs w:val="18"/>
                <w:color w:val="auto"/>
              </w:rPr>
              <w:t>1,899,898</w:t>
            </w:r>
          </w:p>
        </w:tc>
        <w:tc>
          <w:tcPr>
            <w:tcW w:w="1820" w:type="dxa"/>
            <w:vAlign w:val="bottom"/>
          </w:tcPr>
          <w:p>
            <w:pPr>
              <w:jc w:val="right"/>
              <w:spacing w:after="0"/>
              <w:rPr>
                <w:sz w:val="20"/>
                <w:szCs w:val="20"/>
                <w:color w:val="auto"/>
              </w:rPr>
            </w:pPr>
            <w:r>
              <w:rPr>
                <w:rFonts w:ascii="Arial" w:cs="Arial" w:eastAsia="Arial" w:hAnsi="Arial"/>
                <w:sz w:val="18"/>
                <w:szCs w:val="18"/>
                <w:color w:val="auto"/>
              </w:rPr>
              <w:t>26,544</w:t>
            </w:r>
          </w:p>
        </w:tc>
      </w:tr>
    </w:tbl>
    <w:p>
      <w:pPr>
        <w:spacing w:after="0" w:line="200" w:lineRule="exact"/>
        <w:rPr>
          <w:sz w:val="20"/>
          <w:szCs w:val="20"/>
          <w:color w:val="auto"/>
        </w:rPr>
      </w:pPr>
    </w:p>
    <w:p>
      <w:pPr>
        <w:sectPr>
          <w:pgSz w:w="11900" w:h="16838" w:orient="portrait"/>
          <w:cols w:equalWidth="0" w:num="2">
            <w:col w:w="6480" w:space="720"/>
            <w:col w:w="40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43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77" w:lineRule="exact"/>
        <w:rPr>
          <w:sz w:val="20"/>
          <w:szCs w:val="20"/>
          <w:color w:val="auto"/>
        </w:rPr>
      </w:pPr>
    </w:p>
    <w:p>
      <w:pPr>
        <w:ind w:left="20" w:right="2200"/>
        <w:spacing w:after="0" w:line="257" w:lineRule="auto"/>
        <w:rPr>
          <w:sz w:val="20"/>
          <w:szCs w:val="20"/>
          <w:color w:val="auto"/>
        </w:rPr>
      </w:pPr>
      <w:r>
        <w:rPr>
          <w:rFonts w:ascii="Arial" w:cs="Arial" w:eastAsia="Arial" w:hAnsi="Arial"/>
          <w:sz w:val="36"/>
          <w:szCs w:val="36"/>
          <w:b w:val="1"/>
          <w:bCs w:val="1"/>
          <w:color w:val="auto"/>
        </w:rPr>
        <w:t>PROPOSAL 4 - RATIFICATION OF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43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Audit Committee of the Board evaluates the independent auditor selection each year and has retained PricewaterhouseCoopers LLP (“PwC”) as our independent registered public accounting firm to audit our consolidated financial statements for Fiscal 2025. PwC has been our independent registered public accounting firm since 1984. Although ratification is not required, the Board is submitting a proposal to ratify PwC’s appointment to our shareholders because we value our shareholders’ views and as a matter of good corporate practice. If PwC’s appointment is not ratified by our shareholders, the Audit Committee may reconsider its decision to appoint PwC as our independent registered public accounting firm. Even if the appointment is ratified, the Audit Committee may in its discretion select a different independent registered public accounting firm at any time during the fiscal year if it determines that such a change would be in the best interests of the Company and our shareholders. Representatives of PwC are expected to be present at the Annual Meeting, will have the opportunity to make a statement if they so desire, and are expected to be available following the Annual Meeting to respond to appropriate questions submitted before or during the Annual Meeting. The Audit Committee considered a number of factors in re-engaging PwC, including the independence controls in place and PwC’s objectivity, track record, global footprint, and deep semiconductor industry knowledge, experience, and expertise. The Audit Committee concluded that many factors contribute to the continued support of PwC’s independence, such as oversight by the Public Company Accounting Oversight Board (“PCAOB”) through the establishment of audit, quality, ethics, and independence standards in addition to conducting audit inspections; the mandating of reports on internal control over financial reporting; PCAOB requirements for audit partner rotation; and limitations imposed by regulation and by the Audit Committee on non-audit services provided by PwC.</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“FOR” the ratification of the appointment of PwC.</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0643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ratify the appointment of PwC as our independent registered public accounting firm for Fiscal 2025.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gridSpan w:val="2"/>
          </w:tcPr>
          <w:p>
            <w:pPr>
              <w:spacing w:after="0"/>
              <w:rPr>
                <w:sz w:val="20"/>
                <w:szCs w:val="20"/>
                <w:color w:val="auto"/>
              </w:rPr>
            </w:pPr>
            <w:r>
              <w:rPr>
                <w:rFonts w:ascii="Arial" w:cs="Arial" w:eastAsia="Arial" w:hAnsi="Arial"/>
                <w:sz w:val="18"/>
                <w:szCs w:val="18"/>
                <w:color w:val="auto"/>
              </w:rPr>
              <w:t>Fees charged for services performed by PwC for Fiscal 2024 and Fiscal 2023 were as follows:</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6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880" w:type="dxa"/>
            <w:vAlign w:val="bottom"/>
            <w:tcBorders>
              <w:bottom w:val="single" w:sz="8" w:color="BD03F7"/>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BD03F7"/>
            </w:tcBorders>
          </w:tcPr>
          <w:p>
            <w:pPr>
              <w:spacing w:after="0"/>
              <w:rPr>
                <w:sz w:val="21"/>
                <w:szCs w:val="21"/>
                <w:color w:val="auto"/>
              </w:rPr>
            </w:pPr>
          </w:p>
        </w:tc>
        <w:tc>
          <w:tcPr>
            <w:tcW w:w="940" w:type="dxa"/>
            <w:vAlign w:val="bottom"/>
            <w:tcBorders>
              <w:bottom w:val="single" w:sz="8" w:color="BD03F7"/>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BD03F7"/>
            </w:tcBorders>
          </w:tcPr>
          <w:p>
            <w:pPr>
              <w:spacing w:after="0"/>
              <w:rPr>
                <w:sz w:val="21"/>
                <w:szCs w:val="21"/>
                <w:color w:val="auto"/>
              </w:rPr>
            </w:pPr>
          </w:p>
        </w:tc>
      </w:tr>
      <w:tr>
        <w:trPr>
          <w:trHeight w:val="222"/>
        </w:trPr>
        <w:tc>
          <w:tcPr>
            <w:tcW w:w="60" w:type="dxa"/>
            <w:vAlign w:val="bottom"/>
          </w:tcPr>
          <w:p>
            <w:pPr>
              <w:spacing w:after="0"/>
              <w:rPr>
                <w:sz w:val="19"/>
                <w:szCs w:val="19"/>
                <w:color w:val="auto"/>
              </w:rPr>
            </w:pPr>
          </w:p>
        </w:tc>
        <w:tc>
          <w:tcPr>
            <w:tcW w:w="8460" w:type="dxa"/>
            <w:vAlign w:val="bottom"/>
            <w:tcBorders>
              <w:bottom w:val="single" w:sz="8" w:color="BD03F7"/>
            </w:tcBorders>
          </w:tcPr>
          <w:p>
            <w:pPr>
              <w:spacing w:after="0"/>
              <w:rPr>
                <w:sz w:val="19"/>
                <w:szCs w:val="19"/>
                <w:color w:val="auto"/>
              </w:rPr>
            </w:pPr>
          </w:p>
        </w:tc>
        <w:tc>
          <w:tcPr>
            <w:tcW w:w="224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420" w:type="dxa"/>
            <w:vAlign w:val="bottom"/>
            <w:tcBorders>
              <w:bottom w:val="single" w:sz="8" w:color="BD03F7"/>
            </w:tcBorders>
          </w:tcPr>
          <w:p>
            <w:pPr>
              <w:spacing w:after="0"/>
              <w:rPr>
                <w:sz w:val="19"/>
                <w:szCs w:val="19"/>
                <w:color w:val="auto"/>
              </w:rPr>
            </w:pPr>
          </w:p>
        </w:tc>
      </w:tr>
      <w:tr>
        <w:trPr>
          <w:trHeight w:val="34"/>
        </w:trPr>
        <w:tc>
          <w:tcPr>
            <w:tcW w:w="6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9"/>
        </w:trPr>
        <w:tc>
          <w:tcPr>
            <w:tcW w:w="60" w:type="dxa"/>
            <w:vAlign w:val="bottom"/>
          </w:tcPr>
          <w:p>
            <w:pPr>
              <w:spacing w:after="0"/>
              <w:rPr>
                <w:sz w:val="19"/>
                <w:szCs w:val="19"/>
                <w:color w:val="auto"/>
              </w:rPr>
            </w:pPr>
          </w:p>
        </w:tc>
        <w:tc>
          <w:tcPr>
            <w:tcW w:w="8460" w:type="dxa"/>
            <w:vAlign w:val="bottom"/>
            <w:shd w:val="clear" w:color="auto" w:fill="F2F2F2"/>
          </w:tcPr>
          <w:p>
            <w:pPr>
              <w:ind w:left="20"/>
              <w:spacing w:after="0"/>
              <w:rPr>
                <w:sz w:val="20"/>
                <w:szCs w:val="20"/>
                <w:color w:val="auto"/>
              </w:rPr>
            </w:pPr>
            <w:r>
              <w:rPr>
                <w:rFonts w:ascii="Arial" w:cs="Arial" w:eastAsia="Arial" w:hAnsi="Arial"/>
                <w:sz w:val="18"/>
                <w:szCs w:val="18"/>
                <w:color w:val="auto"/>
              </w:rPr>
              <w:t>Audit fees(1)</w:t>
            </w:r>
          </w:p>
        </w:tc>
        <w:tc>
          <w:tcPr>
            <w:tcW w:w="880" w:type="dxa"/>
            <w:vAlign w:val="bottom"/>
            <w:shd w:val="clear" w:color="auto" w:fill="F2F2F2"/>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9.2</w:t>
            </w:r>
          </w:p>
        </w:tc>
        <w:tc>
          <w:tcPr>
            <w:tcW w:w="940" w:type="dxa"/>
            <w:vAlign w:val="bottom"/>
            <w:shd w:val="clear" w:color="auto" w:fill="F2F2F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0" w:type="dxa"/>
            <w:vAlign w:val="bottom"/>
          </w:tcPr>
          <w:p>
            <w:pPr>
              <w:spacing w:after="0"/>
              <w:rPr>
                <w:sz w:val="19"/>
                <w:szCs w:val="19"/>
                <w:color w:val="auto"/>
              </w:rPr>
            </w:pPr>
          </w:p>
        </w:tc>
        <w:tc>
          <w:tcPr>
            <w:tcW w:w="8460" w:type="dxa"/>
            <w:vAlign w:val="bottom"/>
            <w:shd w:val="clear" w:color="auto" w:fill="F2F2F2"/>
          </w:tcPr>
          <w:p>
            <w:pPr>
              <w:ind w:left="20"/>
              <w:spacing w:after="0"/>
              <w:rPr>
                <w:sz w:val="20"/>
                <w:szCs w:val="20"/>
                <w:color w:val="auto"/>
              </w:rPr>
            </w:pPr>
            <w:r>
              <w:rPr>
                <w:rFonts w:ascii="Arial" w:cs="Arial" w:eastAsia="Arial" w:hAnsi="Arial"/>
                <w:sz w:val="18"/>
                <w:szCs w:val="18"/>
                <w:color w:val="auto"/>
              </w:rPr>
              <w:t>Tax fees(3)</w:t>
            </w:r>
          </w:p>
        </w:tc>
        <w:tc>
          <w:tcPr>
            <w:tcW w:w="880" w:type="dxa"/>
            <w:vAlign w:val="bottom"/>
            <w:tcBorders>
              <w:bottom w:val="single" w:sz="8" w:color="auto"/>
            </w:tcBorders>
            <w:shd w:val="clear" w:color="auto" w:fill="F2F2F2"/>
          </w:tcPr>
          <w:p>
            <w:pPr>
              <w:spacing w:after="0"/>
              <w:rPr>
                <w:sz w:val="19"/>
                <w:szCs w:val="19"/>
                <w:color w:val="auto"/>
              </w:rPr>
            </w:pPr>
          </w:p>
        </w:tc>
        <w:tc>
          <w:tcPr>
            <w:tcW w:w="4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shd w:val="clear" w:color="auto" w:fill="F2F2F2"/>
          </w:tcPr>
          <w:p>
            <w:pPr>
              <w:spacing w:after="0"/>
              <w:rPr>
                <w:sz w:val="19"/>
                <w:szCs w:val="19"/>
                <w:color w:val="auto"/>
              </w:rPr>
            </w:pPr>
          </w:p>
        </w:tc>
        <w:tc>
          <w:tcPr>
            <w:tcW w:w="4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6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11.1</w:t>
            </w:r>
          </w:p>
        </w:tc>
      </w:tr>
      <w:tr>
        <w:trPr>
          <w:trHeight w:val="20"/>
        </w:trPr>
        <w:tc>
          <w:tcPr>
            <w:tcW w:w="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8460" w:type="dxa"/>
            <w:vAlign w:val="bottom"/>
            <w:tcBorders>
              <w:bottom w:val="single" w:sz="8" w:color="BD03F7"/>
            </w:tcBorders>
          </w:tcPr>
          <w:p>
            <w:pPr>
              <w:spacing w:after="0" w:line="20" w:lineRule="exact"/>
              <w:rPr>
                <w:sz w:val="1"/>
                <w:szCs w:val="1"/>
                <w:color w:val="auto"/>
              </w:rPr>
            </w:pPr>
          </w:p>
        </w:tc>
        <w:tc>
          <w:tcPr>
            <w:tcW w:w="880" w:type="dxa"/>
            <w:vAlign w:val="bottom"/>
            <w:tcBorders>
              <w:bottom w:val="single" w:sz="8" w:color="BD03F7"/>
            </w:tcBorders>
          </w:tcPr>
          <w:p>
            <w:pPr>
              <w:spacing w:after="0" w:line="20" w:lineRule="exact"/>
              <w:rPr>
                <w:sz w:val="1"/>
                <w:szCs w:val="1"/>
                <w:color w:val="auto"/>
              </w:rPr>
            </w:pPr>
          </w:p>
        </w:tc>
        <w:tc>
          <w:tcPr>
            <w:tcW w:w="420" w:type="dxa"/>
            <w:vAlign w:val="bottom"/>
            <w:tcBorders>
              <w:bottom w:val="single" w:sz="8" w:color="BD03F7"/>
            </w:tcBorders>
          </w:tcPr>
          <w:p>
            <w:pPr>
              <w:spacing w:after="0" w:line="20" w:lineRule="exact"/>
              <w:rPr>
                <w:sz w:val="1"/>
                <w:szCs w:val="1"/>
                <w:color w:val="auto"/>
              </w:rPr>
            </w:pPr>
          </w:p>
        </w:tc>
        <w:tc>
          <w:tcPr>
            <w:tcW w:w="940" w:type="dxa"/>
            <w:vAlign w:val="bottom"/>
            <w:tcBorders>
              <w:bottom w:val="single" w:sz="8" w:color="BD03F7"/>
            </w:tcBorders>
          </w:tcPr>
          <w:p>
            <w:pPr>
              <w:spacing w:after="0" w:line="20" w:lineRule="exact"/>
              <w:rPr>
                <w:sz w:val="1"/>
                <w:szCs w:val="1"/>
                <w:color w:val="auto"/>
              </w:rPr>
            </w:pPr>
          </w:p>
        </w:tc>
        <w:tc>
          <w:tcPr>
            <w:tcW w:w="420" w:type="dxa"/>
            <w:vAlign w:val="bottom"/>
            <w:tcBorders>
              <w:bottom w:val="single" w:sz="8" w:color="BD03F7"/>
            </w:tcBorders>
          </w:tcPr>
          <w:p>
            <w:pPr>
              <w:spacing w:after="0" w:line="20" w:lineRule="exact"/>
              <w:rPr>
                <w:sz w:val="1"/>
                <w:szCs w:val="1"/>
                <w:color w:val="auto"/>
              </w:rPr>
            </w:pPr>
          </w:p>
        </w:tc>
      </w:tr>
    </w:tbl>
    <w:p>
      <w:pPr>
        <w:spacing w:after="0" w:line="317" w:lineRule="exact"/>
        <w:rPr>
          <w:sz w:val="20"/>
          <w:szCs w:val="20"/>
          <w:color w:val="auto"/>
        </w:rPr>
      </w:pPr>
    </w:p>
    <w:p>
      <w:pPr>
        <w:ind w:left="340" w:right="80" w:hanging="332"/>
        <w:spacing w:after="0" w:line="267" w:lineRule="auto"/>
        <w:tabs>
          <w:tab w:leader="none" w:pos="3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right="760" w:hanging="332"/>
        <w:spacing w:after="0" w:line="285" w:lineRule="auto"/>
        <w:tabs>
          <w:tab w:leader="none" w:pos="33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Fees not included in audit fees that are billed by the auditor for assurance and related services that are reasonably related to the performance of the audit of the financial statements.</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tax compliance, and tax audit defense.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POLICY</w:t>
      </w:r>
    </w:p>
    <w:p>
      <w:pPr>
        <w:spacing w:after="0" w:line="24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pre-approval requirements are waived in accordance with the pre-approval policy and/or rules and regulations of the SEC. The Audit Committee may delegate to one or more of its members the authority to grant such pre-approvals, provided that any pre-approval must be presented to the full Audit Committee at its next scheduled meeting. In Fiscal 2024 and Fiscal 2023, all audit, non-audit, tax services, and all other fees for services provided by PwC were approved by the Audit Committee in advance of services being provided.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4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report has been prepared by members of the Audit Committee of the Board. The Board determined that each of Ms. McCarthy and Messrs. Gomo and Swan qualified as an “audit committee financial expert” for purposes of the rules and regulations of the SEC. The Board also determined that during their period of service on the Audit Committee, each member satisfied the independence requirements of applicable federal laws and the Listing Rules of Nasdaq.</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purpose of the Audit Committee is to assist the Board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(v) related party transactions and (vi) our compliance with legal and regulatory requirements. In fulfilling its oversight responsibility, the Audit Committee carefully reviews the criteria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In conjunction with the rotation of the independent registered public accounting firm’s lead engagement partner, which occurs at least every five years, the Audit Committee is also involved in the selection of PwC’s lead engagement partner.</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2024, has expressed in our Annual Report on Form 10-K for Fiscal 2024 its opinion as to the conformity of our consolidated financial statements with accounting principles generally accepted in the United States. The Audit Committee has discussed with PwC the matters that are required to be discussed by the applicable requirements of the PCAOB and the SEC. PwC has provided to the Audit Committee the written disclosures and the letter required by the applicable requirements of the PCAOB. The Audit Committee and PwC also discussed PwC’s independence, including the non-audit services PwC provided to us as described above, and concluded that PwC was independent for Fiscal 2024.</w:t>
      </w:r>
    </w:p>
    <w:p>
      <w:pPr>
        <w:spacing w:after="0" w:line="20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that they include our audited consolidated financial statements in our Annual Report on Form 10-K for Fiscal 2024, appointed PwC as our independent registered public accounting firm for Fiscal 2025, and approved and authorized PwC to carry out and perform certain specified non-audit services for us in Fiscal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spacing w:after="0" w:line="26"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w:t>
      </w:r>
    </w:p>
    <w:p>
      <w:pPr>
        <w:spacing w:after="0" w:line="8" w:lineRule="exact"/>
        <w:rPr>
          <w:rFonts w:ascii="Arial" w:cs="Arial" w:eastAsia="Arial" w:hAnsi="Arial"/>
          <w:sz w:val="18"/>
          <w:szCs w:val="18"/>
          <w:color w:val="auto"/>
        </w:rPr>
      </w:pPr>
    </w:p>
    <w:p>
      <w:pPr>
        <w:ind w:right="320"/>
        <w:spacing w:after="0" w:line="264" w:lineRule="auto"/>
        <w:rPr>
          <w:rFonts w:ascii="Arial" w:cs="Arial" w:eastAsia="Arial" w:hAnsi="Arial"/>
          <w:sz w:val="18"/>
          <w:szCs w:val="18"/>
          <w:color w:val="auto"/>
        </w:rPr>
      </w:pPr>
      <w:r>
        <w:rPr>
          <w:rFonts w:ascii="Arial" w:cs="Arial" w:eastAsia="Arial" w:hAnsi="Arial"/>
          <w:sz w:val="18"/>
          <w:szCs w:val="18"/>
          <w:color w:val="auto"/>
        </w:rPr>
        <w:t>controls. Similarly, it is the responsibility of the independent registered public accounting firm, and not the Audit Committee, to conduct the audit of our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and express an opinion as to the conformity of the financial statements with accounting principles generally accepted in the United States.</w:t>
      </w:r>
    </w:p>
    <w:p>
      <w:pPr>
        <w:spacing w:after="0" w:line="29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The Audit Committee</w:t>
      </w:r>
    </w:p>
    <w:p>
      <w:pPr>
        <w:spacing w:after="0" w:line="20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Mary Pat McCarthy (Chair)</w:t>
      </w:r>
    </w:p>
    <w:p>
      <w:pPr>
        <w:ind w:left="4820"/>
        <w:spacing w:after="0" w:line="202" w:lineRule="auto"/>
        <w:rPr>
          <w:sz w:val="20"/>
          <w:szCs w:val="20"/>
          <w:color w:val="auto"/>
        </w:rPr>
      </w:pPr>
      <w:r>
        <w:rPr>
          <w:rFonts w:ascii="Arial" w:cs="Arial" w:eastAsia="Arial" w:hAnsi="Arial"/>
          <w:sz w:val="18"/>
          <w:szCs w:val="18"/>
          <w:color w:val="auto"/>
        </w:rPr>
        <w:t>Steven J. Gomo</w:t>
      </w:r>
    </w:p>
    <w:p>
      <w:pPr>
        <w:ind w:left="4820"/>
        <w:spacing w:after="0" w:line="203" w:lineRule="auto"/>
        <w:rPr>
          <w:sz w:val="20"/>
          <w:szCs w:val="20"/>
          <w:color w:val="auto"/>
        </w:rPr>
      </w:pPr>
      <w:r>
        <w:rPr>
          <w:rFonts w:ascii="Arial" w:cs="Arial" w:eastAsia="Arial" w:hAnsi="Arial"/>
          <w:sz w:val="18"/>
          <w:szCs w:val="18"/>
          <w:color w:val="auto"/>
        </w:rPr>
        <w:t>Linnie Haynesworth</w:t>
      </w:r>
    </w:p>
    <w:p>
      <w:pPr>
        <w:ind w:left="4820"/>
        <w:spacing w:after="0"/>
        <w:rPr>
          <w:sz w:val="20"/>
          <w:szCs w:val="20"/>
          <w:color w:val="auto"/>
        </w:rPr>
      </w:pPr>
      <w:r>
        <w:rPr>
          <w:rFonts w:ascii="Arial" w:cs="Arial" w:eastAsia="Arial" w:hAnsi="Arial"/>
          <w:sz w:val="18"/>
          <w:szCs w:val="18"/>
          <w:color w:val="auto"/>
        </w:rPr>
        <w:t>Robert Swan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43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security beneficial ownership information of our Common Stock as of November</w:t>
      </w:r>
    </w:p>
    <w:p>
      <w:pPr>
        <w:spacing w:after="0" w:line="2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 2024, calculated in accordance with the rules of the SEC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“Fiscal 2024 Summary Compensation Table” set forth herein, and (iv) all directors and executive officers as a group. We have based our calculation of the percentage of beneficial ownership on 1,110,480,782 shares of our Common Stock outstanding as of November 1, 2024. Unless otherwise indicated, the address of each beneficial owner listed in the table below is c/o Micron Technology, Inc., 8000 South Federal Way, Boise, Idaho, 83716-9632.</w:t>
      </w:r>
    </w:p>
    <w:tbl>
      <w:tblPr>
        <w:tblLayout w:type="fixed"/>
        <w:tblInd w:w="0" w:type="dxa"/>
        <w:tblCellMar>
          <w:top w:w="0" w:type="dxa"/>
          <w:left w:w="0" w:type="dxa"/>
          <w:bottom w:w="0" w:type="dxa"/>
          <w:right w:w="0" w:type="dxa"/>
        </w:tblCellMar>
      </w:tblPr>
      <w:tr>
        <w:trPr>
          <w:trHeight w:val="173"/>
        </w:trPr>
        <w:tc>
          <w:tcPr>
            <w:tcW w:w="5200" w:type="dxa"/>
            <w:vAlign w:val="bottom"/>
            <w:tcBorders>
              <w:top w:val="single" w:sz="8" w:color="BD03F7"/>
            </w:tcBorders>
          </w:tcPr>
          <w:p>
            <w:pPr>
              <w:spacing w:after="0"/>
              <w:rPr>
                <w:sz w:val="15"/>
                <w:szCs w:val="15"/>
                <w:color w:val="auto"/>
              </w:rPr>
            </w:pPr>
          </w:p>
        </w:tc>
        <w:tc>
          <w:tcPr>
            <w:tcW w:w="1720" w:type="dxa"/>
            <w:vAlign w:val="bottom"/>
            <w:tcBorders>
              <w:top w:val="single" w:sz="8" w:color="BD03F7"/>
            </w:tcBorders>
          </w:tcPr>
          <w:p>
            <w:pPr>
              <w:jc w:val="center"/>
              <w:ind w:left="90"/>
              <w:spacing w:after="0" w:line="173"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tcBorders>
              <w:top w:val="single" w:sz="8" w:color="BD03F7"/>
            </w:tcBorders>
            <w:vMerge w:val="restart"/>
          </w:tcPr>
          <w:p>
            <w:pPr>
              <w:jc w:val="right"/>
              <w:ind w:right="350"/>
              <w:spacing w:after="0"/>
              <w:rPr>
                <w:sz w:val="20"/>
                <w:szCs w:val="20"/>
                <w:color w:val="auto"/>
              </w:rPr>
            </w:pPr>
            <w:r>
              <w:rPr>
                <w:rFonts w:ascii="Arial" w:cs="Arial" w:eastAsia="Arial" w:hAnsi="Arial"/>
                <w:sz w:val="18"/>
                <w:szCs w:val="18"/>
                <w:b w:val="1"/>
                <w:bCs w:val="1"/>
                <w:color w:val="auto"/>
              </w:rPr>
              <w:t>Right to</w:t>
            </w:r>
          </w:p>
        </w:tc>
        <w:tc>
          <w:tcPr>
            <w:tcW w:w="1420" w:type="dxa"/>
            <w:vAlign w:val="bottom"/>
            <w:tcBorders>
              <w:top w:val="single" w:sz="8" w:color="BD03F7"/>
            </w:tcBorders>
          </w:tcPr>
          <w:p>
            <w:pPr>
              <w:jc w:val="center"/>
              <w:ind w:right="110"/>
              <w:spacing w:after="0" w:line="173" w:lineRule="exact"/>
              <w:rPr>
                <w:sz w:val="20"/>
                <w:szCs w:val="20"/>
                <w:color w:val="auto"/>
              </w:rPr>
            </w:pPr>
            <w:r>
              <w:rPr>
                <w:rFonts w:ascii="Arial" w:cs="Arial" w:eastAsia="Arial" w:hAnsi="Arial"/>
                <w:sz w:val="18"/>
                <w:szCs w:val="18"/>
                <w:b w:val="1"/>
                <w:bCs w:val="1"/>
                <w:color w:val="auto"/>
                <w:w w:val="97"/>
              </w:rPr>
              <w:t>Total</w:t>
            </w:r>
          </w:p>
        </w:tc>
        <w:tc>
          <w:tcPr>
            <w:tcW w:w="1420" w:type="dxa"/>
            <w:vAlign w:val="bottom"/>
            <w:tcBorders>
              <w:top w:val="single" w:sz="8" w:color="BD03F7"/>
            </w:tcBorders>
            <w:vMerge w:val="restart"/>
          </w:tcPr>
          <w:p>
            <w:pPr>
              <w:jc w:val="right"/>
              <w:ind w:right="25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720" w:type="dxa"/>
            <w:vAlign w:val="bottom"/>
          </w:tcPr>
          <w:p>
            <w:pPr>
              <w:jc w:val="center"/>
              <w:ind w:left="70"/>
              <w:spacing w:after="0" w:line="175"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vMerge w:val="continue"/>
          </w:tcPr>
          <w:p>
            <w:pPr>
              <w:spacing w:after="0"/>
              <w:rPr>
                <w:sz w:val="15"/>
                <w:szCs w:val="15"/>
                <w:color w:val="auto"/>
              </w:rPr>
            </w:pPr>
          </w:p>
        </w:tc>
        <w:tc>
          <w:tcPr>
            <w:tcW w:w="1420" w:type="dxa"/>
            <w:vAlign w:val="bottom"/>
          </w:tcPr>
          <w:p>
            <w:pPr>
              <w:jc w:val="center"/>
              <w:ind w:right="130"/>
              <w:spacing w:after="0" w:line="175" w:lineRule="exact"/>
              <w:rPr>
                <w:sz w:val="20"/>
                <w:szCs w:val="20"/>
                <w:color w:val="auto"/>
              </w:rPr>
            </w:pPr>
            <w:r>
              <w:rPr>
                <w:rFonts w:ascii="Arial" w:cs="Arial" w:eastAsia="Arial" w:hAnsi="Arial"/>
                <w:sz w:val="18"/>
                <w:szCs w:val="18"/>
                <w:b w:val="1"/>
                <w:bCs w:val="1"/>
                <w:color w:val="auto"/>
                <w:w w:val="98"/>
              </w:rPr>
              <w:t>Beneficial</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BD03F7"/>
            </w:tcBorders>
            <w:vMerge w:val="continue"/>
          </w:tcPr>
          <w:p>
            <w:pPr>
              <w:spacing w:after="0"/>
              <w:rPr>
                <w:sz w:val="21"/>
                <w:szCs w:val="21"/>
                <w:color w:val="auto"/>
              </w:rPr>
            </w:pPr>
          </w:p>
        </w:tc>
        <w:tc>
          <w:tcPr>
            <w:tcW w:w="1720" w:type="dxa"/>
            <w:vAlign w:val="bottom"/>
            <w:tcBorders>
              <w:bottom w:val="single" w:sz="8" w:color="BD03F7"/>
            </w:tcBorders>
          </w:tcPr>
          <w:p>
            <w:pPr>
              <w:jc w:val="center"/>
              <w:ind w:left="90"/>
              <w:spacing w:after="0"/>
              <w:rPr>
                <w:sz w:val="20"/>
                <w:szCs w:val="20"/>
                <w:color w:val="auto"/>
              </w:rPr>
            </w:pPr>
            <w:r>
              <w:rPr>
                <w:rFonts w:ascii="Arial" w:cs="Arial" w:eastAsia="Arial" w:hAnsi="Arial"/>
                <w:sz w:val="18"/>
                <w:szCs w:val="18"/>
                <w:b w:val="1"/>
                <w:bCs w:val="1"/>
                <w:color w:val="auto"/>
                <w:w w:val="99"/>
              </w:rPr>
              <w:t>Owned(1)</w:t>
            </w:r>
          </w:p>
        </w:tc>
        <w:tc>
          <w:tcPr>
            <w:tcW w:w="1380" w:type="dxa"/>
            <w:vAlign w:val="bottom"/>
            <w:tcBorders>
              <w:bottom w:val="single" w:sz="8" w:color="BD03F7"/>
            </w:tcBorders>
          </w:tcPr>
          <w:p>
            <w:pPr>
              <w:jc w:val="right"/>
              <w:ind w:right="230"/>
              <w:spacing w:after="0"/>
              <w:rPr>
                <w:sz w:val="20"/>
                <w:szCs w:val="20"/>
                <w:color w:val="auto"/>
              </w:rPr>
            </w:pPr>
            <w:r>
              <w:rPr>
                <w:rFonts w:ascii="Arial" w:cs="Arial" w:eastAsia="Arial" w:hAnsi="Arial"/>
                <w:sz w:val="18"/>
                <w:szCs w:val="18"/>
                <w:b w:val="1"/>
                <w:bCs w:val="1"/>
                <w:color w:val="auto"/>
              </w:rPr>
              <w:t>Acquire(2)</w:t>
            </w:r>
          </w:p>
        </w:tc>
        <w:tc>
          <w:tcPr>
            <w:tcW w:w="1420" w:type="dxa"/>
            <w:vAlign w:val="bottom"/>
            <w:tcBorders>
              <w:bottom w:val="single" w:sz="8" w:color="BD03F7"/>
            </w:tcBorders>
          </w:tcPr>
          <w:p>
            <w:pPr>
              <w:jc w:val="center"/>
              <w:ind w:right="130"/>
              <w:spacing w:after="0"/>
              <w:rPr>
                <w:sz w:val="20"/>
                <w:szCs w:val="20"/>
                <w:color w:val="auto"/>
              </w:rPr>
            </w:pPr>
            <w:r>
              <w:rPr>
                <w:rFonts w:ascii="Arial" w:cs="Arial" w:eastAsia="Arial" w:hAnsi="Arial"/>
                <w:sz w:val="18"/>
                <w:szCs w:val="18"/>
                <w:b w:val="1"/>
                <w:bCs w:val="1"/>
                <w:color w:val="auto"/>
                <w:w w:val="98"/>
              </w:rPr>
              <w:t>Ownership</w:t>
            </w:r>
          </w:p>
        </w:tc>
        <w:tc>
          <w:tcPr>
            <w:tcW w:w="1420" w:type="dxa"/>
            <w:vAlign w:val="bottom"/>
            <w:tcBorders>
              <w:bottom w:val="single" w:sz="8" w:color="BD03F7"/>
            </w:tcBorders>
          </w:tcPr>
          <w:p>
            <w:pPr>
              <w:jc w:val="right"/>
              <w:ind w:right="330"/>
              <w:spacing w:after="0"/>
              <w:rPr>
                <w:sz w:val="20"/>
                <w:szCs w:val="20"/>
                <w:color w:val="auto"/>
              </w:rPr>
            </w:pPr>
            <w:r>
              <w:rPr>
                <w:rFonts w:ascii="Arial" w:cs="Arial" w:eastAsia="Arial" w:hAnsi="Arial"/>
                <w:sz w:val="18"/>
                <w:szCs w:val="18"/>
                <w:b w:val="1"/>
                <w:bCs w:val="1"/>
                <w:color w:val="auto"/>
              </w:rPr>
              <w:t>Class(3)</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The Vanguard Group, Inc.(4)</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94,984,500</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94,984,500</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BlackRock, Inc.(5)</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85,904,256</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85,904,256</w:t>
            </w:r>
          </w:p>
        </w:tc>
        <w:tc>
          <w:tcPr>
            <w:tcW w:w="142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Richard M. Beyer</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101,583</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101,583</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359,793</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359,793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Scott J. DeBoer</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234,104</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234,104</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17,651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17,651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Steven J. Gomo</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29,762</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29,762</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Linnie M. Haynesworth</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13,632</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13,632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Mary Pat McCarthy</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29,762</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29,762</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Sanjay Mehrotra(6)</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1,278,674</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1,278,674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Mark J. Murphy</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320,901</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320,901</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300,853</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300,853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Robert Swan</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4,078</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300</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4,378</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75,765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75,765</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F9F9F9"/>
          </w:tcPr>
          <w:p>
            <w:pPr>
              <w:ind w:left="20"/>
              <w:spacing w:after="0"/>
              <w:rPr>
                <w:sz w:val="20"/>
                <w:szCs w:val="20"/>
                <w:color w:val="auto"/>
              </w:rPr>
            </w:pPr>
            <w:r>
              <w:rPr>
                <w:rFonts w:ascii="Arial" w:cs="Arial" w:eastAsia="Arial" w:hAnsi="Arial"/>
                <w:sz w:val="18"/>
                <w:szCs w:val="18"/>
                <w:color w:val="auto"/>
              </w:rPr>
              <w:t>MaryAnn Wright</w:t>
            </w:r>
          </w:p>
        </w:tc>
        <w:tc>
          <w:tcPr>
            <w:tcW w:w="172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23,333</w:t>
            </w:r>
          </w:p>
        </w:tc>
        <w:tc>
          <w:tcPr>
            <w:tcW w:w="1380" w:type="dxa"/>
            <w:vAlign w:val="bottom"/>
            <w:shd w:val="clear" w:color="auto" w:fill="F9F9F9"/>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9F9F9"/>
          </w:tcPr>
          <w:p>
            <w:pPr>
              <w:jc w:val="right"/>
              <w:ind w:right="110"/>
              <w:spacing w:after="0"/>
              <w:rPr>
                <w:sz w:val="20"/>
                <w:szCs w:val="20"/>
                <w:color w:val="auto"/>
              </w:rPr>
            </w:pPr>
            <w:r>
              <w:rPr>
                <w:rFonts w:ascii="Arial" w:cs="Arial" w:eastAsia="Arial" w:hAnsi="Arial"/>
                <w:sz w:val="18"/>
                <w:szCs w:val="18"/>
                <w:color w:val="auto"/>
              </w:rPr>
              <w:t>23,333</w:t>
            </w:r>
          </w:p>
        </w:tc>
        <w:tc>
          <w:tcPr>
            <w:tcW w:w="1420" w:type="dxa"/>
            <w:vAlign w:val="bottom"/>
            <w:shd w:val="clear" w:color="auto" w:fill="F9F9F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All directors and executive officers as a group (17 persons)</w:t>
            </w:r>
          </w:p>
        </w:tc>
        <w:tc>
          <w:tcPr>
            <w:tcW w:w="1720" w:type="dxa"/>
            <w:vAlign w:val="bottom"/>
            <w:tcBorders>
              <w:bottom w:val="single" w:sz="8" w:color="BD03F7"/>
            </w:tcBorders>
          </w:tcPr>
          <w:p>
            <w:pPr>
              <w:jc w:val="right"/>
              <w:ind w:right="70"/>
              <w:spacing w:after="0"/>
              <w:rPr>
                <w:sz w:val="20"/>
                <w:szCs w:val="20"/>
                <w:color w:val="auto"/>
              </w:rPr>
            </w:pPr>
            <w:r>
              <w:rPr>
                <w:rFonts w:ascii="Arial" w:cs="Arial" w:eastAsia="Arial" w:hAnsi="Arial"/>
                <w:sz w:val="18"/>
                <w:szCs w:val="18"/>
                <w:color w:val="auto"/>
              </w:rPr>
              <w:t>3,351,231</w:t>
            </w:r>
          </w:p>
        </w:tc>
        <w:tc>
          <w:tcPr>
            <w:tcW w:w="1380" w:type="dxa"/>
            <w:vAlign w:val="bottom"/>
            <w:tcBorders>
              <w:bottom w:val="single" w:sz="8" w:color="BD03F7"/>
            </w:tcBorders>
          </w:tcPr>
          <w:p>
            <w:pPr>
              <w:jc w:val="right"/>
              <w:ind w:right="70"/>
              <w:spacing w:after="0"/>
              <w:rPr>
                <w:sz w:val="20"/>
                <w:szCs w:val="20"/>
                <w:color w:val="auto"/>
              </w:rPr>
            </w:pPr>
            <w:r>
              <w:rPr>
                <w:rFonts w:ascii="Arial" w:cs="Arial" w:eastAsia="Arial" w:hAnsi="Arial"/>
                <w:sz w:val="18"/>
                <w:szCs w:val="18"/>
                <w:color w:val="auto"/>
              </w:rPr>
              <w:t>300</w:t>
            </w:r>
          </w:p>
        </w:tc>
        <w:tc>
          <w:tcPr>
            <w:tcW w:w="1420" w:type="dxa"/>
            <w:vAlign w:val="bottom"/>
            <w:tcBorders>
              <w:bottom w:val="single" w:sz="8" w:color="BD03F7"/>
            </w:tcBorders>
          </w:tcPr>
          <w:p>
            <w:pPr>
              <w:jc w:val="right"/>
              <w:ind w:right="110"/>
              <w:spacing w:after="0"/>
              <w:rPr>
                <w:sz w:val="20"/>
                <w:szCs w:val="20"/>
                <w:color w:val="auto"/>
              </w:rPr>
            </w:pPr>
            <w:r>
              <w:rPr>
                <w:rFonts w:ascii="Arial" w:cs="Arial" w:eastAsia="Arial" w:hAnsi="Arial"/>
                <w:sz w:val="18"/>
                <w:szCs w:val="18"/>
                <w:color w:val="auto"/>
              </w:rPr>
              <w:t>3,351,531</w:t>
            </w:r>
          </w:p>
        </w:tc>
        <w:tc>
          <w:tcPr>
            <w:tcW w:w="142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16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unvested shares of restricted stock.</w:t>
      </w:r>
    </w:p>
    <w:p>
      <w:pPr>
        <w:spacing w:after="0" w:line="2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Represents shares that an individual has a right to acquire within 60 days from November 1, 2024.</w:t>
      </w:r>
    </w:p>
    <w:p>
      <w:pPr>
        <w:spacing w:after="0" w:line="250" w:lineRule="exact"/>
        <w:rPr>
          <w:sz w:val="20"/>
          <w:szCs w:val="20"/>
          <w:color w:val="auto"/>
        </w:rPr>
      </w:pPr>
    </w:p>
    <w:p>
      <w:pPr>
        <w:ind w:left="340" w:right="280" w:hanging="332"/>
        <w:spacing w:after="0" w:line="285" w:lineRule="auto"/>
        <w:tabs>
          <w:tab w:leader="none" w:pos="3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67" w:lineRule="exact"/>
        <w:rPr>
          <w:rFonts w:ascii="Arial" w:cs="Arial" w:eastAsia="Arial" w:hAnsi="Arial"/>
          <w:sz w:val="18"/>
          <w:szCs w:val="18"/>
          <w:color w:val="auto"/>
        </w:rPr>
      </w:pPr>
    </w:p>
    <w:p>
      <w:pPr>
        <w:jc w:val="both"/>
        <w:ind w:left="340" w:right="320" w:hanging="332"/>
        <w:spacing w:after="0" w:line="244" w:lineRule="auto"/>
        <w:tabs>
          <w:tab w:leader="none" w:pos="3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13G/A filed by The Vanguard Group, Inc. (“Vanguard”) on February 13, 2024, as of December 29, 2023, Vanguard had sole dispositive power as to 90,364,219 shares, shared voting power as to 1,362,947 shares, and shared dispositive power as to 4,620,281 shares. Vanguard’s business address is 100 Vanguard Blvd., Malvern, PA 19355.</w:t>
      </w:r>
    </w:p>
    <w:p>
      <w:pPr>
        <w:spacing w:after="0" w:line="202" w:lineRule="exact"/>
        <w:rPr>
          <w:rFonts w:ascii="Arial" w:cs="Arial" w:eastAsia="Arial" w:hAnsi="Arial"/>
          <w:sz w:val="18"/>
          <w:szCs w:val="18"/>
          <w:color w:val="auto"/>
        </w:rPr>
      </w:pPr>
    </w:p>
    <w:p>
      <w:pPr>
        <w:ind w:left="340" w:right="180" w:hanging="332"/>
        <w:spacing w:after="0" w:line="252" w:lineRule="auto"/>
        <w:tabs>
          <w:tab w:leader="none" w:pos="3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13G/A filed by BlackRock, Inc. (“BlackRock”) on February 13, 2024, as of December 31, 2023, BlackRock had sole voting power as to 78,806,024 shares and sole dispositive power as to 85,904,256 shares. BlackRock’s business address is 50 Hudson Yards, New York, NY 10001.</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338,694 shares held by The Sangeeta Mehrotra 2023 Grantor Retained Annuity Trust I.</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right="1860"/>
        <w:spacing w:after="0" w:line="302" w:lineRule="auto"/>
        <w:rPr>
          <w:sz w:val="20"/>
          <w:szCs w:val="20"/>
          <w:color w:val="auto"/>
        </w:rPr>
      </w:pPr>
      <w:r>
        <w:rPr>
          <w:rFonts w:ascii="Arial" w:cs="Arial" w:eastAsia="Arial" w:hAnsi="Arial"/>
          <w:sz w:val="39"/>
          <w:szCs w:val="39"/>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9621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on behalf of the Board of Micron Technology, Inc., for use at the Annual Meeting to be held on January 16, 2025, at 9:00 a.m., Pacific Standard Time, or at any adjournment or postponement thereof. The purpose of the Annual Meeting is set forth herein and in the accompanying Notice.</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ATTEND AND PARTICIPATE IN THE ANNUAL MEETING?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via a live webcast, and there will not be a physical meeting location.</w:t>
      </w:r>
    </w:p>
    <w:p>
      <w:pPr>
        <w:spacing w:after="0" w:line="23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You will be able to attend the Annual Meeting online and to vote your shares electronically on the virtual meeting platform by visiting www.virtualshareholdermeeting.com/MU2024 and entering the 16-digit control number included in our Notice, on your proxy card, or in the instructions that accompanied your proxy materials. Even if you have already submitted your vote, you can still vote at the meeting by using the virtual meeting platform. Any previous votes submitted via Internet, telephone, or mail will be superseded by the vote cast at the virtual meeting.</w:t>
      </w:r>
    </w:p>
    <w:p>
      <w:pPr>
        <w:spacing w:after="0" w:line="206"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Shareholders will be able to submit questions before the Annual Meeting through www.proxyvote.com or during the Annual Meeting using the virtual meeting platform. Relevant questions submitted before or during the Annual Meeting may be addressed at the Annual Meeting or after the Annual Meeting in the Investor Relations section of our website at www.micron.com.</w:t>
      </w:r>
    </w:p>
    <w:p>
      <w:pPr>
        <w:spacing w:after="0" w:line="197"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Annual Meeting. If you have difficulty accessing the meeting or other technical or logistical issues, please call the technical support number that will be posted on the virtual Annual Meeting login page. We will have technicians available to assist you.</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MATTERS AM I VOTING ON?</w:t>
      </w:r>
    </w:p>
    <w:p>
      <w:pPr>
        <w:spacing w:after="0" w:line="313" w:lineRule="exact"/>
        <w:rPr>
          <w:sz w:val="20"/>
          <w:szCs w:val="20"/>
          <w:color w:val="auto"/>
        </w:rPr>
      </w:pPr>
    </w:p>
    <w:p>
      <w:pPr>
        <w:ind w:left="1320" w:hanging="468"/>
        <w:spacing w:after="0"/>
        <w:tabs>
          <w:tab w:leader="none" w:pos="1320" w:val="left"/>
        </w:tabs>
        <w:numPr>
          <w:ilvl w:val="0"/>
          <w:numId w:val="92"/>
        </w:numPr>
        <w:rPr>
          <w:rFonts w:ascii="Arial" w:cs="Arial" w:eastAsia="Arial" w:hAnsi="Arial"/>
          <w:sz w:val="18"/>
          <w:szCs w:val="18"/>
          <w:b w:val="1"/>
          <w:bCs w:val="1"/>
          <w:color w:val="BD03F7"/>
        </w:rPr>
      </w:pPr>
      <w:r>
        <w:rPr>
          <w:rFonts w:ascii="Arial" w:cs="Arial" w:eastAsia="Arial" w:hAnsi="Arial"/>
          <w:sz w:val="16"/>
          <w:szCs w:val="16"/>
          <w:color w:val="auto"/>
        </w:rPr>
        <w:t>To elect eight (8) directors to serve for the ensuing year and until their successors are elected and qualified;</w:t>
      </w:r>
    </w:p>
    <w:p>
      <w:pPr>
        <w:spacing w:after="0" w:line="21" w:lineRule="exact"/>
        <w:rPr>
          <w:rFonts w:ascii="Arial" w:cs="Arial" w:eastAsia="Arial" w:hAnsi="Arial"/>
          <w:sz w:val="18"/>
          <w:szCs w:val="18"/>
          <w:b w:val="1"/>
          <w:bCs w:val="1"/>
          <w:color w:val="BD03F7"/>
        </w:rPr>
      </w:pPr>
    </w:p>
    <w:p>
      <w:pPr>
        <w:ind w:left="860" w:right="3640"/>
        <w:spacing w:after="0" w:line="265" w:lineRule="auto"/>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2 </w:t>
      </w:r>
      <w:r>
        <w:rPr>
          <w:rFonts w:ascii="Arial" w:cs="Arial" w:eastAsia="Arial" w:hAnsi="Arial"/>
          <w:sz w:val="16"/>
          <w:szCs w:val="16"/>
          <w:color w:val="000000"/>
        </w:rPr>
        <w:t>To approve, on a non-binding basis, the compensation of our Named Executive Officers;</w:t>
      </w:r>
      <w:r>
        <w:rPr>
          <w:rFonts w:ascii="Arial" w:cs="Arial" w:eastAsia="Arial" w:hAnsi="Arial"/>
          <w:sz w:val="18"/>
          <w:szCs w:val="18"/>
          <w:b w:val="1"/>
          <w:bCs w:val="1"/>
          <w:color w:val="BD03F7"/>
        </w:rPr>
        <w:t xml:space="preserve"> 3 </w:t>
      </w:r>
      <w:r>
        <w:rPr>
          <w:rFonts w:ascii="Arial" w:cs="Arial" w:eastAsia="Arial" w:hAnsi="Arial"/>
          <w:sz w:val="16"/>
          <w:szCs w:val="16"/>
          <w:color w:val="000000"/>
        </w:rPr>
        <w:t>To approve the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-442595</wp:posOffset>
            </wp:positionV>
            <wp:extent cx="6492240" cy="8197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92240" cy="819785"/>
                    </a:xfrm>
                    <a:prstGeom prst="rect">
                      <a:avLst/>
                    </a:prstGeom>
                    <a:noFill/>
                  </pic:spPr>
                </pic:pic>
              </a:graphicData>
            </a:graphic>
          </wp:anchor>
        </w:drawing>
      </w:r>
    </w:p>
    <w:p>
      <w:pPr>
        <w:ind w:left="1320" w:right="720" w:hanging="468"/>
        <w:spacing w:after="0" w:line="180" w:lineRule="auto"/>
        <w:tabs>
          <w:tab w:leader="none" w:pos="1320" w:val="left"/>
        </w:tabs>
        <w:numPr>
          <w:ilvl w:val="0"/>
          <w:numId w:val="93"/>
        </w:numPr>
        <w:rPr>
          <w:rFonts w:ascii="Arial" w:cs="Arial" w:eastAsia="Arial" w:hAnsi="Arial"/>
          <w:sz w:val="28"/>
          <w:szCs w:val="28"/>
          <w:b w:val="1"/>
          <w:bCs w:val="1"/>
          <w:color w:val="BD03F7"/>
          <w:vertAlign w:val="subscript"/>
        </w:rPr>
      </w:pPr>
      <w:r>
        <w:rPr>
          <w:rFonts w:ascii="Arial" w:cs="Arial" w:eastAsia="Arial" w:hAnsi="Arial"/>
          <w:sz w:val="14"/>
          <w:szCs w:val="14"/>
          <w:color w:val="auto"/>
        </w:rPr>
        <w:t>To ratify the appointment of PricewaterhouseCoopers LLP as our independent registered public accounting firm for the fiscal year ending August 28, 2025; and</w:t>
      </w:r>
    </w:p>
    <w:p>
      <w:pPr>
        <w:spacing w:after="0" w:line="15" w:lineRule="exact"/>
        <w:rPr>
          <w:sz w:val="20"/>
          <w:szCs w:val="20"/>
          <w:color w:val="auto"/>
        </w:rPr>
      </w:pPr>
    </w:p>
    <w:p>
      <w:pPr>
        <w:ind w:left="1320" w:hanging="468"/>
        <w:spacing w:after="0"/>
        <w:tabs>
          <w:tab w:leader="none" w:pos="1320" w:val="left"/>
        </w:tabs>
        <w:numPr>
          <w:ilvl w:val="0"/>
          <w:numId w:val="94"/>
        </w:numPr>
        <w:rPr>
          <w:rFonts w:ascii="Arial" w:cs="Arial" w:eastAsia="Arial" w:hAnsi="Arial"/>
          <w:sz w:val="18"/>
          <w:szCs w:val="18"/>
          <w:b w:val="1"/>
          <w:bCs w:val="1"/>
          <w:color w:val="BD03F7"/>
        </w:rPr>
      </w:pPr>
      <w:r>
        <w:rPr>
          <w:rFonts w:ascii="Arial" w:cs="Arial" w:eastAsia="Arial" w:hAnsi="Arial"/>
          <w:sz w:val="16"/>
          <w:szCs w:val="16"/>
          <w:color w:val="auto"/>
        </w:rPr>
        <w:t>To transact such other business as may properly come before the meeting or any adjournment thereof.</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THE BOARD RECOMMEND I VOTE?</w:t>
      </w:r>
    </w:p>
    <w:p>
      <w:pPr>
        <w:spacing w:after="0" w:line="313" w:lineRule="exact"/>
        <w:rPr>
          <w:sz w:val="20"/>
          <w:szCs w:val="20"/>
          <w:color w:val="auto"/>
        </w:rPr>
      </w:pPr>
    </w:p>
    <w:p>
      <w:pPr>
        <w:ind w:left="1320" w:hanging="449"/>
        <w:spacing w:after="0"/>
        <w:tabs>
          <w:tab w:leader="none" w:pos="13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of the nominees named herein as directors, or their respective substitutes as may be appointed by the Board;</w:t>
      </w:r>
    </w:p>
    <w:p>
      <w:pPr>
        <w:spacing w:after="0" w:line="21" w:lineRule="exact"/>
        <w:rPr>
          <w:rFonts w:ascii="Arial" w:cs="Arial" w:eastAsia="Arial" w:hAnsi="Arial"/>
          <w:sz w:val="18"/>
          <w:szCs w:val="18"/>
          <w:b w:val="1"/>
          <w:bCs w:val="1"/>
          <w:color w:val="BD03F7"/>
        </w:rPr>
      </w:pPr>
    </w:p>
    <w:p>
      <w:pPr>
        <w:ind w:left="1320" w:hanging="449"/>
        <w:spacing w:after="0"/>
        <w:tabs>
          <w:tab w:leader="none" w:pos="13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 non-binding resolution to approve the compensation of our Named Executive Officers;</w:t>
      </w:r>
    </w:p>
    <w:p>
      <w:pPr>
        <w:spacing w:after="0" w:line="21" w:lineRule="exact"/>
        <w:rPr>
          <w:rFonts w:ascii="Arial" w:cs="Arial" w:eastAsia="Arial" w:hAnsi="Arial"/>
          <w:sz w:val="18"/>
          <w:szCs w:val="18"/>
          <w:b w:val="1"/>
          <w:bCs w:val="1"/>
          <w:color w:val="BD03F7"/>
        </w:rPr>
      </w:pPr>
    </w:p>
    <w:p>
      <w:pPr>
        <w:ind w:left="1320" w:hanging="449"/>
        <w:spacing w:after="0"/>
        <w:tabs>
          <w:tab w:leader="none" w:pos="13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our 2025 Equity Incentive Plan; and</w:t>
      </w:r>
    </w:p>
    <w:p>
      <w:pPr>
        <w:spacing w:after="0" w:line="21" w:lineRule="exact"/>
        <w:rPr>
          <w:rFonts w:ascii="Arial" w:cs="Arial" w:eastAsia="Arial" w:hAnsi="Arial"/>
          <w:sz w:val="18"/>
          <w:szCs w:val="18"/>
          <w:b w:val="1"/>
          <w:bCs w:val="1"/>
          <w:color w:val="BD03F7"/>
        </w:rPr>
      </w:pPr>
    </w:p>
    <w:p>
      <w:pPr>
        <w:ind w:left="1320" w:right="760" w:hanging="449"/>
        <w:spacing w:after="0" w:line="180" w:lineRule="auto"/>
        <w:tabs>
          <w:tab w:leader="none" w:pos="1320" w:val="left"/>
        </w:tabs>
        <w:numPr>
          <w:ilvl w:val="0"/>
          <w:numId w:val="95"/>
        </w:numPr>
        <w:rPr>
          <w:rFonts w:ascii="Arial" w:cs="Arial" w:eastAsia="Arial" w:hAnsi="Arial"/>
          <w:sz w:val="28"/>
          <w:szCs w:val="28"/>
          <w:b w:val="1"/>
          <w:bCs w:val="1"/>
          <w:color w:val="BD03F7"/>
          <w:vertAlign w:val="subscript"/>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the appointment of PricewaterhouseCoopers LLP as our independent registered public accounting firm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fiscal year ending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-672465</wp:posOffset>
            </wp:positionV>
            <wp:extent cx="6492240" cy="6750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92240"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7240" cy="1625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MEETING?</w:t>
      </w:r>
    </w:p>
    <w:p>
      <w:pPr>
        <w:spacing w:after="0" w:line="24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Shareholders of record at the close of business on November 18, 2024 (the “Record Date”) are entitled to receive notice of and to vote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6808470" cy="27508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8470" cy="27508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440" w:right="1400"/>
        <w:spacing w:after="0" w:line="283" w:lineRule="auto"/>
        <w:rPr>
          <w:sz w:val="20"/>
          <w:szCs w:val="20"/>
          <w:color w:val="auto"/>
        </w:rPr>
      </w:pPr>
      <w:r>
        <w:rPr>
          <w:rFonts w:ascii="Arial" w:cs="Arial" w:eastAsia="Arial" w:hAnsi="Arial"/>
          <w:sz w:val="17"/>
          <w:szCs w:val="17"/>
          <w:color w:val="auto"/>
        </w:rPr>
        <w:t xml:space="preserve">Vote through the </w:t>
      </w:r>
      <w:r>
        <w:rPr>
          <w:rFonts w:ascii="Arial" w:cs="Arial" w:eastAsia="Arial" w:hAnsi="Arial"/>
          <w:sz w:val="17"/>
          <w:szCs w:val="17"/>
          <w:b w:val="1"/>
          <w:bCs w:val="1"/>
          <w:color w:val="BD03F7"/>
        </w:rPr>
        <w:t>internet</w:t>
      </w:r>
      <w:r>
        <w:rPr>
          <w:rFonts w:ascii="Arial" w:cs="Arial" w:eastAsia="Arial" w:hAnsi="Arial"/>
          <w:sz w:val="17"/>
          <w:szCs w:val="17"/>
          <w:color w:val="auto"/>
        </w:rPr>
        <w:t xml:space="preserve"> at www.proxyvote.com, using the instructions included in the notice regarding the internet availability of proxy materials, the proxy card, or voting instruction card</w:t>
      </w:r>
    </w:p>
    <w:p>
      <w:pPr>
        <w:spacing w:after="0" w:line="346" w:lineRule="exact"/>
        <w:rPr>
          <w:sz w:val="20"/>
          <w:szCs w:val="20"/>
          <w:color w:val="auto"/>
        </w:rPr>
      </w:pPr>
    </w:p>
    <w:p>
      <w:pPr>
        <w:ind w:left="2440" w:right="1080"/>
        <w:spacing w:after="0" w:line="254" w:lineRule="auto"/>
        <w:rPr>
          <w:sz w:val="20"/>
          <w:szCs w:val="20"/>
          <w:color w:val="auto"/>
        </w:rPr>
      </w:pPr>
      <w:r>
        <w:rPr>
          <w:rFonts w:ascii="Arial" w:cs="Arial" w:eastAsia="Arial" w:hAnsi="Arial"/>
          <w:sz w:val="18"/>
          <w:szCs w:val="18"/>
          <w:color w:val="auto"/>
        </w:rPr>
        <w:t xml:space="preserve">Vote by </w:t>
      </w:r>
      <w:r>
        <w:rPr>
          <w:rFonts w:ascii="Arial" w:cs="Arial" w:eastAsia="Arial" w:hAnsi="Arial"/>
          <w:sz w:val="18"/>
          <w:szCs w:val="18"/>
          <w:b w:val="1"/>
          <w:bCs w:val="1"/>
          <w:color w:val="BD03F7"/>
        </w:rPr>
        <w:t>telephone</w:t>
      </w:r>
      <w:r>
        <w:rPr>
          <w:rFonts w:ascii="Arial" w:cs="Arial" w:eastAsia="Arial" w:hAnsi="Arial"/>
          <w:sz w:val="18"/>
          <w:szCs w:val="18"/>
          <w:color w:val="auto"/>
        </w:rPr>
        <w:t xml:space="preserve"> (1-800-690-6903) using the instructions on the proxy card or voting instruction card if you received a paper copy of the proxy materials.</w:t>
      </w:r>
    </w:p>
    <w:p>
      <w:pPr>
        <w:spacing w:after="0" w:line="369" w:lineRule="exact"/>
        <w:rPr>
          <w:sz w:val="20"/>
          <w:szCs w:val="20"/>
          <w:color w:val="auto"/>
        </w:rPr>
      </w:pPr>
    </w:p>
    <w:p>
      <w:pPr>
        <w:ind w:left="2440" w:right="1180"/>
        <w:spacing w:after="0" w:line="254" w:lineRule="auto"/>
        <w:rPr>
          <w:sz w:val="20"/>
          <w:szCs w:val="20"/>
          <w:color w:val="auto"/>
        </w:rPr>
      </w:pPr>
      <w:r>
        <w:rPr>
          <w:rFonts w:ascii="Arial" w:cs="Arial" w:eastAsia="Arial" w:hAnsi="Arial"/>
          <w:sz w:val="18"/>
          <w:szCs w:val="18"/>
          <w:color w:val="auto"/>
        </w:rPr>
        <w:t xml:space="preserve">Complete and return a </w:t>
      </w:r>
      <w:r>
        <w:rPr>
          <w:rFonts w:ascii="Arial" w:cs="Arial" w:eastAsia="Arial" w:hAnsi="Arial"/>
          <w:sz w:val="18"/>
          <w:szCs w:val="18"/>
          <w:b w:val="1"/>
          <w:bCs w:val="1"/>
          <w:color w:val="BD03F7"/>
        </w:rPr>
        <w:t>written proxy or voting instruction card.</w:t>
      </w:r>
      <w:r>
        <w:rPr>
          <w:rFonts w:ascii="Arial" w:cs="Arial" w:eastAsia="Arial" w:hAnsi="Arial"/>
          <w:sz w:val="18"/>
          <w:szCs w:val="18"/>
          <w:color w:val="auto"/>
        </w:rPr>
        <w:t xml:space="preserve"> Have your proxy card in hand when you call and then follow the instructions.</w:t>
      </w:r>
    </w:p>
    <w:p>
      <w:pPr>
        <w:spacing w:after="0" w:line="200" w:lineRule="exact"/>
        <w:rPr>
          <w:sz w:val="20"/>
          <w:szCs w:val="20"/>
          <w:color w:val="auto"/>
        </w:rPr>
      </w:pPr>
    </w:p>
    <w:p>
      <w:pPr>
        <w:spacing w:after="0" w:line="2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xml:space="preserve">Attend the meeting </w:t>
      </w:r>
      <w:r>
        <w:rPr>
          <w:rFonts w:ascii="Arial" w:cs="Arial" w:eastAsia="Arial" w:hAnsi="Arial"/>
          <w:sz w:val="18"/>
          <w:szCs w:val="18"/>
          <w:b w:val="1"/>
          <w:bCs w:val="1"/>
          <w:color w:val="BD03F7"/>
        </w:rPr>
        <w:t>electronically</w:t>
      </w:r>
      <w:r>
        <w:rPr>
          <w:rFonts w:ascii="Arial" w:cs="Arial" w:eastAsia="Arial" w:hAnsi="Arial"/>
          <w:sz w:val="18"/>
          <w:szCs w:val="18"/>
          <w:color w:val="auto"/>
        </w:rPr>
        <w:t xml:space="preserve"> on the virtual meeting platform.</w:t>
      </w: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w:t>
      </w:r>
    </w:p>
    <w:p>
      <w:pPr>
        <w:ind w:left="440"/>
        <w:spacing w:after="0" w:line="202" w:lineRule="auto"/>
        <w:rPr>
          <w:sz w:val="20"/>
          <w:szCs w:val="20"/>
          <w:color w:val="auto"/>
        </w:rPr>
      </w:pPr>
      <w:r>
        <w:rPr>
          <w:rFonts w:ascii="Arial" w:cs="Arial" w:eastAsia="Arial" w:hAnsi="Arial"/>
          <w:sz w:val="18"/>
          <w:szCs w:val="18"/>
          <w:color w:val="auto"/>
        </w:rPr>
        <w:t>paper proxy or voting instruction card. Unless you are planning to vote at the Annual Meeting, your vote must be received by</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11:59 p.m., Eastern Standard Time, on January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176530</wp:posOffset>
            </wp:positionV>
            <wp:extent cx="65093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50938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COMMON STOCK STATUS ON THE RECORD DATE?</w:t>
      </w:r>
    </w:p>
    <w:p>
      <w:pPr>
        <w:spacing w:after="0" w:line="241"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We have one class of stock outstanding, Common Stock. As of the Record Date, 1,114,043,000 shares of Common Stock were issued and outstanding and entitled to vote.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QUORUM?</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required quorum for the transaction of business at the Annual Meeting is a majority of the voting power of shares of our Common Stock issued and outstanding on the Record Date and entitled to vote thereat, present (virtually)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VOTES COUNTED?</w:t>
      </w:r>
    </w:p>
    <w:p>
      <w:pPr>
        <w:spacing w:after="0" w:line="25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Under the Delaware General Corporation Law, our Restated Certificate of Incorporation, and our Bylaws, each shareholder will be entitled to one vote for each share of Common Stock held at the Record Date for all matters.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ARE NEEDED FOR APPROVAL OF EACH MATTER AT THE ANNUAL MEETING?</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does not have discretion to vote on non-routine matters unless the broker or nominee receives specific voting instructions from the beneficial owner of the shares. A broker non-vote occurs when the broker or nominee does not receive voting instructions from the beneficial owner and does not have discretion to direct the voting of the shares on a non-routine matter. Proposal 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relating to the election of directors and Proposals 2 and 3 are non-routine matters and therefore, brokers may not vote on such matters without specific voting instructions from the beneficial holder. Proposal 4 is a routine matter and, as a result, we do not expect broker non-votes on this proposal.</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Directors will be elected if he or she receives the affirmative vote of a majority of the votes cast with respect to his or her election (in other words, the number of shares voted “FOR” a director must exceed the number of votes cast “AGAINST” that director), with abstentions and broker-non votes not counted as a vote cast “FOR” or “AGAINST” that director’s election. With respect to all other items of business to be considered at the meeting, the “FOR” vote of the holders of a majority of the voting power of the shares of Common Stock present (virtually) in person or represented by proxy and entitled to vote on the subject matter is required in order for such matter to be considered approved by the shareholders. For such proposals, abstentions will have the same effect as voting against such items of business, and broker non-votes, if any, will have no effect on the outcome of the proposal.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EFFECT OF GIVING MY PROXY?</w:t>
      </w:r>
    </w:p>
    <w:p>
      <w:pPr>
        <w:spacing w:after="0" w:line="24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shares of Common Stock represented by all properly executed proxies received by 11:59 p.m. Eastern Standard Time, on January 15, 2025, will be voted in accordance with the directions given by the shareholders. </w:t>
      </w:r>
      <w:r>
        <w:rPr>
          <w:rFonts w:ascii="Arial" w:cs="Arial" w:eastAsia="Arial" w:hAnsi="Arial"/>
          <w:sz w:val="18"/>
          <w:szCs w:val="18"/>
          <w:b w:val="1"/>
          <w:bCs w:val="1"/>
          <w:color w:val="auto"/>
        </w:rPr>
        <w:t>If no instructions are given with respect to a properly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executed proxy timely received by us, the shares of Common Stock represented thereby will be voted in accordance with the recommendations of our Board as described above. </w:t>
      </w:r>
      <w:r>
        <w:rPr>
          <w:rFonts w:ascii="Arial" w:cs="Arial" w:eastAsia="Arial" w:hAnsi="Arial"/>
          <w:sz w:val="18"/>
          <w:szCs w:val="18"/>
          <w:color w:val="auto"/>
        </w:rPr>
        <w:t>If any matter not described in the Proxy Statement is properly presented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the proxy holders will use their own judgment to determine how to vote your shares. If the Annual Meeting is adjourned, the proxy holders can vote your shares on the new meeting date as well, unless you have properly revoked your proxy,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CHANGE MY VOTE?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your vote or revoke your proxy before the Annual Meeting by:</w:t>
      </w:r>
    </w:p>
    <w:p>
      <w:pPr>
        <w:spacing w:after="0" w:line="295" w:lineRule="exact"/>
        <w:rPr>
          <w:sz w:val="20"/>
          <w:szCs w:val="20"/>
          <w:color w:val="auto"/>
        </w:rPr>
      </w:pPr>
    </w:p>
    <w:p>
      <w:pPr>
        <w:ind w:left="1320" w:right="1080" w:hanging="449"/>
        <w:spacing w:after="0" w:line="182" w:lineRule="auto"/>
        <w:tabs>
          <w:tab w:leader="none" w:pos="1320" w:val="left"/>
        </w:tabs>
        <w:numPr>
          <w:ilvl w:val="0"/>
          <w:numId w:val="96"/>
        </w:numPr>
        <w:rPr>
          <w:rFonts w:ascii="Arial" w:cs="Arial" w:eastAsia="Arial" w:hAnsi="Arial"/>
          <w:sz w:val="29"/>
          <w:szCs w:val="29"/>
          <w:b w:val="1"/>
          <w:bCs w:val="1"/>
          <w:color w:val="BD03F7"/>
          <w:vertAlign w:val="subscript"/>
        </w:rPr>
      </w:pPr>
      <w:r>
        <w:rPr>
          <w:rFonts w:ascii="Arial" w:cs="Arial" w:eastAsia="Arial" w:hAnsi="Arial"/>
          <w:sz w:val="14"/>
          <w:szCs w:val="14"/>
          <w:color w:val="auto"/>
        </w:rPr>
        <w:t>entering a new vote by Internet or telephone by following the instructions above (subject to the applicable deadlines for each method as set forth above);</w:t>
      </w:r>
    </w:p>
    <w:p>
      <w:pPr>
        <w:ind w:left="1320"/>
        <w:spacing w:after="0" w:line="232" w:lineRule="auto"/>
        <w:rPr>
          <w:rFonts w:ascii="Arial" w:cs="Arial" w:eastAsia="Arial" w:hAnsi="Arial"/>
          <w:sz w:val="29"/>
          <w:szCs w:val="29"/>
          <w:b w:val="1"/>
          <w:bCs w:val="1"/>
          <w:color w:val="BD03F7"/>
          <w:vertAlign w:val="subscript"/>
        </w:rPr>
      </w:pPr>
      <w:r>
        <w:rPr>
          <w:rFonts w:ascii="Arial" w:cs="Arial" w:eastAsia="Arial" w:hAnsi="Arial"/>
          <w:sz w:val="16"/>
          <w:szCs w:val="16"/>
          <w:color w:val="auto"/>
        </w:rPr>
        <w:t>completing and returning a later-dated written proxy card or voting instruction card using the instructions on the proxy card or voting</w:t>
      </w:r>
    </w:p>
    <w:p>
      <w:pPr>
        <w:ind w:left="1320" w:hanging="449"/>
        <w:spacing w:after="0" w:line="229" w:lineRule="auto"/>
        <w:tabs>
          <w:tab w:leader="none" w:pos="13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instruction card;</w:t>
      </w:r>
    </w:p>
    <w:p>
      <w:pPr>
        <w:spacing w:after="0" w:line="14" w:lineRule="exact"/>
        <w:rPr>
          <w:rFonts w:ascii="Arial" w:cs="Arial" w:eastAsia="Arial" w:hAnsi="Arial"/>
          <w:sz w:val="18"/>
          <w:szCs w:val="18"/>
          <w:b w:val="1"/>
          <w:bCs w:val="1"/>
          <w:color w:val="BD03F7"/>
        </w:rPr>
      </w:pPr>
    </w:p>
    <w:p>
      <w:pPr>
        <w:ind w:left="1320"/>
        <w:spacing w:after="0" w:line="214" w:lineRule="auto"/>
        <w:rPr>
          <w:rFonts w:ascii="Arial" w:cs="Arial" w:eastAsia="Arial" w:hAnsi="Arial"/>
          <w:sz w:val="18"/>
          <w:szCs w:val="18"/>
          <w:b w:val="1"/>
          <w:bCs w:val="1"/>
          <w:color w:val="BD03F7"/>
        </w:rPr>
      </w:pPr>
      <w:r>
        <w:rPr>
          <w:rFonts w:ascii="Arial" w:cs="Arial" w:eastAsia="Arial" w:hAnsi="Arial"/>
          <w:sz w:val="16"/>
          <w:szCs w:val="16"/>
          <w:color w:val="auto"/>
        </w:rPr>
        <w:t>delivering a written notice of revocation to us at Micron Technology, Inc., Attn.: Corporate Secretary, 8000 South Federal Way,</w:t>
      </w:r>
    </w:p>
    <w:p>
      <w:pPr>
        <w:ind w:left="1320" w:hanging="449"/>
        <w:spacing w:after="0" w:line="229" w:lineRule="auto"/>
        <w:tabs>
          <w:tab w:leader="none" w:pos="13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Boise, Idaho 83716 or corporatesecretary@micron.com; or</w:t>
      </w:r>
    </w:p>
    <w:p>
      <w:pPr>
        <w:spacing w:after="0" w:line="15" w:lineRule="exact"/>
        <w:rPr>
          <w:rFonts w:ascii="Arial" w:cs="Arial" w:eastAsia="Arial" w:hAnsi="Arial"/>
          <w:sz w:val="18"/>
          <w:szCs w:val="18"/>
          <w:b w:val="1"/>
          <w:bCs w:val="1"/>
          <w:color w:val="BD03F7"/>
        </w:rPr>
      </w:pPr>
    </w:p>
    <w:p>
      <w:pPr>
        <w:ind w:left="1320" w:hanging="449"/>
        <w:spacing w:after="0"/>
        <w:tabs>
          <w:tab w:leader="none" w:pos="13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attending and voting at the annual Meeting (although attendance at the Annual Meeting will not, by itself,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-856615</wp:posOffset>
            </wp:positionV>
            <wp:extent cx="6492240" cy="8629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92240" cy="86296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Street name holders should follow the instructions provided by their broker, bank or other nominee.</w:t>
      </w:r>
    </w:p>
    <w:p>
      <w:pPr>
        <w:spacing w:after="0" w:line="254" w:lineRule="exact"/>
        <w:rPr>
          <w:sz w:val="20"/>
          <w:szCs w:val="20"/>
          <w:color w:val="auto"/>
        </w:rPr>
      </w:pPr>
    </w:p>
    <w:p>
      <w:pPr>
        <w:ind w:right="240"/>
        <w:spacing w:after="0" w:line="284" w:lineRule="auto"/>
        <w:rPr>
          <w:sz w:val="20"/>
          <w:szCs w:val="20"/>
          <w:color w:val="auto"/>
        </w:rPr>
      </w:pPr>
      <w:r>
        <w:rPr>
          <w:rFonts w:ascii="Arial" w:cs="Arial" w:eastAsia="Arial" w:hAnsi="Arial"/>
          <w:sz w:val="22"/>
          <w:szCs w:val="22"/>
          <w:b w:val="1"/>
          <w:bCs w:val="1"/>
          <w:color w:val="auto"/>
        </w:rPr>
        <w:t>WHY DID I RECEIVE A NOTICE REGARDING THE AVAILABILITY OF PROXY MATERIALS ON THE INTERNET INSTEAD OF A FULL SET OF PROXY MATERIALS?</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permitted by the SEC, we are making our proxy materials available to our shareholders electronically via the Internet. We have mailed many of our shareholders a Notice containing instructions on how to access this Proxy Statement and our Annual Report on Form 10-K for Fiscal 2024 and vote online. If you received a Notice by mail, you will not receive a printed copy of the proxy materials in the mail. Instead, the Notice instructs you on how to access and review all of the important information contained in the Proxy Statement and Annual Report on Form 10-K for Fiscal 2024. The Notice also instructs you on how you may submit your voting instructions over the Internet.</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PROXIES SOLICITED AT THE ANNUAL MEETING?</w:t>
      </w:r>
    </w:p>
    <w:p>
      <w:pPr>
        <w:spacing w:after="0" w:line="24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of Directors is soliciting proxies for use at the Annual Meeting. 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have engaged the services of D.F. King &amp; Co., a proxy solicitation firm, in connection with the solicitation of proxies. Although the exact cost of the solicitation services is not known at this time, it is anticipated that the fees paid by us for these services will be approximately $15,000.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THE VOTING RESULTS OF THE ANNUAL MEETING?</w:t>
      </w:r>
    </w:p>
    <w:p>
      <w:pPr>
        <w:spacing w:after="0" w:line="22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12529"/>
        </w:rPr>
        <w:t>We will disclose voting results on a Current Report on Form 8-K to be filed with the SEC within four business days after the Annual Meeting. If final voting results are not available to us in time to include them in such Current Report on Form 8-K, we will file a Current Report on Form 8-K to publish preliminary results and will provide the final results in an amendment to the Current Report on Form 8-K as soon as final results become available.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 and Recommendation of Director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Procedures</w:t>
      </w: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nominate a director candidate by delivering a written notice to our Corporate Secretary at our principal executive office. Such notice must comply with the timing and disclosure requirements set forth in our Bylaws. A nomination will not be included in our proxy materials unless submitted in compliance with the proxy access process described below. A copy of our Bylaws can be found on the Corporate Governance page of our website at www.micron.com and is available in print without charge upon request to corporatesecretary@micron.com.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Access</w:t>
      </w:r>
    </w:p>
    <w:p>
      <w:pPr>
        <w:spacing w:after="0" w:line="2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Bylaws also permit a shareholder or a group of up to 20 shareholders owning continuously for at least three years shares representing in the aggregate at least 3% of the total voting power of the Company’s outstanding Common Stock (collectively, an “eligible shareholder”) to nominate and include shareholder-nominated director candidates in our proxy materials for annual meetings of shareholders. An eligible shareholder meeting the specified eligibility requirements set forth in the Bylaws is generally permitted to nominate the greater of (i) two director nominees and (ii) 20% of the number of directors in office. Use of the proxy access process to submit shareholder nominees is subject to additional eligibility, procedural, and disclosure requirements set forth in Article II, Section 11 of our Bylaws. A copy of our Bylaws can be found on the Corporate Governance page of our website at www.micron.com and is available in print without charge upon request to corporatesecretary@micron.com.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w:t>
      </w:r>
    </w:p>
    <w:p>
      <w:pPr>
        <w:spacing w:after="0" w:line="2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Shareholders may also recommend candidates for consideration by our Governance and Sustainability Committee. Shareholders recommending candidates for consideration by our Governance and Sustainability Committee should submit their written recommendation no later than one hundred twenty (120) calendar days in advance of the date of our proxy statement released in connection with the previous year's annual meeting of shareholders.</w:t>
      </w:r>
    </w:p>
    <w:p>
      <w:pPr>
        <w:spacing w:after="0" w:line="20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it will include the candidate in the pool of candidates to be considered for nomination upon the occurrence of the next vacancy on our Board or in connection with the next annual meeting of shareholders.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980"/>
        <w:spacing w:after="0" w:line="296" w:lineRule="auto"/>
        <w:rPr>
          <w:sz w:val="20"/>
          <w:szCs w:val="20"/>
          <w:color w:val="auto"/>
        </w:rPr>
      </w:pPr>
      <w:r>
        <w:rPr>
          <w:rFonts w:ascii="Arial" w:cs="Arial" w:eastAsia="Arial" w:hAnsi="Arial"/>
          <w:sz w:val="36"/>
          <w:szCs w:val="36"/>
          <w:b w:val="1"/>
          <w:bCs w:val="1"/>
          <w:color w:val="auto"/>
        </w:rPr>
        <w:t>INCORPORATION BY REFERENCE OF CERTAIN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43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4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We incorporate by reference in this Proxy Statement the “Equity Plans” note to our Consolidated Financial Statements included in our Annual Report on Form 10-K for Fiscal 2024. The Annual Report on Form 10-K for Fiscal 2024 accompanies this Proxy Statement. </w:t>
      </w:r>
      <w:r>
        <w:rPr>
          <w:rFonts w:ascii="Arial" w:cs="Arial" w:eastAsia="Arial" w:hAnsi="Arial"/>
          <w:sz w:val="18"/>
          <w:szCs w:val="18"/>
          <w:b w:val="1"/>
          <w:bCs w:val="1"/>
          <w:color w:val="auto"/>
        </w:rPr>
        <w:t>Copies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Annual Report on Form 10-K for Fiscal 2024 may be obtained without charge by sending a written request to: Micron</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 xml:space="preserve">Technology, Inc., Attn.: Corporate Secretary, 8000 South Federal Way, Boise, Idaho 83716. </w:t>
      </w:r>
      <w:r>
        <w:rPr>
          <w:rFonts w:ascii="Arial" w:cs="Arial" w:eastAsia="Arial" w:hAnsi="Arial"/>
          <w:sz w:val="18"/>
          <w:szCs w:val="18"/>
          <w:color w:val="auto"/>
        </w:rPr>
        <w:t>Our Annual Report on Form 10-K for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2024 also is available in the “Investor Relations” section of our website at www.micron.com. Web links throughout this document are inactive textual references provided for convenience only, and the content on the referenced websites is not incorporated herein by reference and does not constitute a part of this Proxy Statement.</w:t>
      </w:r>
    </w:p>
    <w:p>
      <w:pPr>
        <w:spacing w:after="0" w:line="200" w:lineRule="exact"/>
        <w:rPr>
          <w:sz w:val="20"/>
          <w:szCs w:val="20"/>
          <w:color w:val="auto"/>
        </w:rPr>
      </w:pPr>
    </w:p>
    <w:p>
      <w:pPr>
        <w:spacing w:after="0" w:line="311" w:lineRule="exact"/>
        <w:rPr>
          <w:sz w:val="20"/>
          <w:szCs w:val="20"/>
          <w:color w:val="auto"/>
        </w:rPr>
      </w:pPr>
    </w:p>
    <w:p>
      <w:pPr>
        <w:ind w:left="20" w:right="1360"/>
        <w:spacing w:after="0" w:line="296" w:lineRule="auto"/>
        <w:rPr>
          <w:sz w:val="20"/>
          <w:szCs w:val="20"/>
          <w:color w:val="auto"/>
        </w:rPr>
      </w:pPr>
      <w:r>
        <w:rPr>
          <w:rFonts w:ascii="Arial" w:cs="Arial" w:eastAsia="Arial" w:hAnsi="Arial"/>
          <w:sz w:val="36"/>
          <w:szCs w:val="36"/>
          <w:b w:val="1"/>
          <w:bCs w:val="1"/>
          <w:color w:val="auto"/>
        </w:rPr>
        <w:t>HOUSEHOLDING OF PROXY STATEMENTS AND 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43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5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for Fiscal 2024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or of the proxy materials and you decide you want a separate copy through the date of the Annual Meeting, we will promptly deliver your separate copy if you contact us at Micron Technology, Inc., Attn.: Corporate Secretary, 8000 South Federal Way, Boise, Idaho 83716-9632 or corporatesecretary@micron.com or (208) 368-4000. Additionally, for registered shareholders to resume the mailing of individual copies of future annual reports, proxy statements, proxy statements combined with a prospectus, and information statements to a particular shareholder, you may contact EQ Shareowner Services, Attn.: Householding, P.O. Box 64854, St. Paul, Minnesota 55164-0874 and your request will be effective within 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the proxy materials by contacting your bank, broker, or other nominee. You may also contact your broker bank or other nominee if you would like to opt out of householding.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CAUTIONARY NOTE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643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Such forward-looking statements may be identified by words such as “anticipate,” “expect,” “intend,” “pledge,” “committed,” “plans,” “opportunities,” “future,” “believe,” “target,”</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“on track,” “estimate,” “continue,” “likely,” “may,” “will,” “would,” “should,” “could,” and variations of such words and similar expressions. However, the absence of these words or similar expressions does not mean that a statement is not forward-looking. Specific forward-looking</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statements include, but are not limited to, statements such as those made regarding our expected results for Fiscal 2025; the outlook for our industry; expected market demand for our products, including AI-driven demand growth; our plans for expected production ramp of certain products and our product mix; our ability to maintain our time-to-market, technology, and power efficiency leadership; the timing for construction and ramping of production for new memory manufacturing fabs in the United States; our plans for our investments and planned expansions in our fabs; the receipt of government grants and investment tax credits; spending in 2025; the sufficiency of our cash and investments; our DEI, sustainability and compensation plans, expectations and commitments; and expectations regarding shareholder outreach. These forward-looking statements are subject to a number of risks and uncertainties that could cause actual events to differ materially. Please refer to the documents we file with the SEC, including our most recent Annual Report on Form 10-K and our annual report provided as part of the proxy materials. These documents contain and identify important factors that could cause our actual results to differ materially from those contained in the forward-looking statements. Although we believe that the expectations reflected in the forward-looking</w:t>
      </w:r>
    </w:p>
    <w:p>
      <w:pPr>
        <w:spacing w:after="0" w:line="6"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statements are reasonable, we cannot guarantee future results, levels of activity, performance, or achievements. We are under no duty to update any of the forward-looking statements, except as required by applicable law.</w:t>
      </w:r>
    </w:p>
    <w:p>
      <w:pPr>
        <w:spacing w:after="0" w:line="269" w:lineRule="exact"/>
        <w:rPr>
          <w:sz w:val="20"/>
          <w:szCs w:val="20"/>
          <w:color w:val="auto"/>
        </w:rPr>
      </w:pPr>
    </w:p>
    <w:p>
      <w:pPr>
        <w:ind w:left="20" w:right="200"/>
        <w:spacing w:after="0" w:line="296" w:lineRule="auto"/>
        <w:rPr>
          <w:sz w:val="20"/>
          <w:szCs w:val="20"/>
          <w:color w:val="auto"/>
        </w:rPr>
      </w:pPr>
      <w:r>
        <w:rPr>
          <w:rFonts w:ascii="Arial" w:cs="Arial" w:eastAsia="Arial" w:hAnsi="Arial"/>
          <w:sz w:val="36"/>
          <w:szCs w:val="36"/>
          <w:b w:val="1"/>
          <w:bCs w:val="1"/>
          <w:color w:val="auto"/>
        </w:rPr>
        <w:t>DEADLINE FOR RECEIPT OF SHAREHOLDER PROPOSALS FOR FISCAL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43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may present proper proposals for inclusion in our proxy statement and for consideration at the next annual meeting of shareholders by submitting their proposals in writing to our Corporate Secretary in a timely manner. For a shareholder proposal to be considered for inclusion in our proxy statement for our Fiscal 2025 annual meeting of shareholders, our Corporate Secretary must receive the written proposal at our principal executive offices located at 8000 South Federal Way, Boise, Idaho 83716-9632, Attention: Corporate Secretary, no later than July 29, 2025. In addition, such shareholders proposals must comply with the other requirements of Rule 14a-8 regarding the inclusion of shareholder proposals in Company-sponsored proxy materials. Submission of a proposal before the deadline does not guarantee its inclusion in our proxy materials.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Bylaws, director nominations and other business may be brought before an annual meeting of shareholders only by or at the direction of the Board or by a shareholder entitled to vote who has submitted a proposal in accordance with the requirements of our Bylaws. To nominate a candidate or submit a proposal for consideration at our Fiscal 2025 Annual Meeting pursuant to our advance notice bylaw provisions, shareholders must deliver or mail their nomination submission or other shareholder notice of a proposal so that it is received by our Corporate Secretary, at the address above no earlier than 8:00 a.m., Mountain time, on July 29, 2025 and no later than 5:00 p.m., Mountain time, on August 28, 2025. In addition to the requirements set forth in our Bylaws, to comply with Rule 14a-19 under the Exchange Act, shareholders must provide notice of intent to solicit proxies in support of director nominees (other than the Company’s nominees) for the Fiscal 2025 Annual Meeting when providing notice of nomination to the Company no later than the dates set forth above. Please note that the notice requirement under Rule 14a-19 is in addition to the applicable notice requirements in our Bylaws.</w:t>
      </w:r>
    </w:p>
    <w:p>
      <w:pPr>
        <w:spacing w:after="0" w:line="208"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Shareholders wishing to nominate a director candidate through our proxy access Bylaw provisions for inclusion in our proxy statement must comply with the eligibility, procedural, and disclosure requirements set forth in our Bylaws. To be timely for our Fiscal 2025 annual meeting of shareholders, our Corporate Secretary must receive a shareholder’s notice of proxy access nomination at our principal executive offices, not earlier than 8:00 a.m. Mountain time, on June 29, 2025 or later than 5:00 p.m., Mountain time, on July 29, 2025.</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November 26, 2024</w:t>
      </w:r>
    </w:p>
    <w:p>
      <w:pPr>
        <w:spacing w:after="0" w:line="4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A</w:t>
      </w:r>
    </w:p>
    <w:p>
      <w:pPr>
        <w:spacing w:after="0" w:line="228"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23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22"/>
          <w:szCs w:val="22"/>
          <w:b w:val="1"/>
          <w:bCs w:val="1"/>
          <w:color w:val="auto"/>
        </w:rPr>
        <w:t>2025 EQUITY INCENTIVE PLAN</w:t>
      </w:r>
    </w:p>
    <w:p>
      <w:pPr>
        <w:spacing w:after="0" w:line="231" w:lineRule="exact"/>
        <w:rPr>
          <w:sz w:val="20"/>
          <w:szCs w:val="20"/>
          <w:color w:val="auto"/>
        </w:rPr>
      </w:pPr>
    </w:p>
    <w:p>
      <w:pPr>
        <w:ind w:left="330" w:hanging="330"/>
        <w:spacing w:after="0"/>
        <w:tabs>
          <w:tab w:leader="none" w:pos="33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purposes of this Plan are:</w:t>
      </w:r>
    </w:p>
    <w:p>
      <w:pPr>
        <w:spacing w:after="0" w:line="235" w:lineRule="exact"/>
        <w:rPr>
          <w:rFonts w:ascii="Times New Roman" w:cs="Times New Roman" w:eastAsia="Times New Roman" w:hAnsi="Times New Roman"/>
          <w:sz w:val="22"/>
          <w:szCs w:val="22"/>
          <w:color w:val="auto"/>
        </w:rPr>
      </w:pPr>
    </w:p>
    <w:p>
      <w:pPr>
        <w:ind w:left="970" w:hanging="324"/>
        <w:spacing w:after="0"/>
        <w:tabs>
          <w:tab w:leader="none" w:pos="970" w:val="left"/>
        </w:tabs>
        <w:numPr>
          <w:ilvl w:val="1"/>
          <w:numId w:val="97"/>
        </w:numPr>
        <w:rPr>
          <w:rFonts w:ascii="Arial" w:cs="Arial" w:eastAsia="Arial" w:hAnsi="Arial"/>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30" w:lineRule="exact"/>
        <w:rPr>
          <w:rFonts w:ascii="Arial" w:cs="Arial" w:eastAsia="Arial" w:hAnsi="Arial"/>
          <w:sz w:val="22"/>
          <w:szCs w:val="22"/>
          <w:color w:val="auto"/>
        </w:rPr>
      </w:pPr>
    </w:p>
    <w:p>
      <w:pPr>
        <w:ind w:left="970" w:hanging="324"/>
        <w:spacing w:after="0"/>
        <w:tabs>
          <w:tab w:leader="none" w:pos="97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31" w:lineRule="exact"/>
        <w:rPr>
          <w:rFonts w:ascii="Times New Roman" w:cs="Times New Roman" w:eastAsia="Times New Roman" w:hAnsi="Times New Roman"/>
          <w:sz w:val="22"/>
          <w:szCs w:val="22"/>
          <w:color w:val="auto"/>
        </w:rPr>
      </w:pPr>
    </w:p>
    <w:p>
      <w:pPr>
        <w:ind w:left="970" w:hanging="324"/>
        <w:spacing w:after="0"/>
        <w:tabs>
          <w:tab w:leader="none" w:pos="97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31" w:lineRule="exact"/>
        <w:rPr>
          <w:sz w:val="20"/>
          <w:szCs w:val="20"/>
          <w:color w:val="auto"/>
        </w:rPr>
      </w:pPr>
    </w:p>
    <w:p>
      <w:pPr>
        <w:ind w:left="330"/>
        <w:spacing w:after="0" w:line="255"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Other Stock-Based Awards and Performance Awards.</w:t>
      </w:r>
    </w:p>
    <w:p>
      <w:pPr>
        <w:spacing w:after="0" w:line="171" w:lineRule="exact"/>
        <w:rPr>
          <w:sz w:val="20"/>
          <w:szCs w:val="20"/>
          <w:color w:val="auto"/>
        </w:rPr>
      </w:pPr>
    </w:p>
    <w:p>
      <w:pPr>
        <w:ind w:left="330" w:hanging="330"/>
        <w:spacing w:after="0"/>
        <w:tabs>
          <w:tab w:leader="none" w:pos="33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31" w:lineRule="exact"/>
        <w:rPr>
          <w:rFonts w:ascii="Times New Roman" w:cs="Times New Roman" w:eastAsia="Times New Roman" w:hAnsi="Times New Roman"/>
          <w:sz w:val="22"/>
          <w:szCs w:val="22"/>
          <w:color w:val="auto"/>
        </w:rPr>
      </w:pPr>
    </w:p>
    <w:p>
      <w:pPr>
        <w:ind w:left="97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82" w:lineRule="exact"/>
        <w:rPr>
          <w:rFonts w:ascii="Times New Roman" w:cs="Times New Roman" w:eastAsia="Times New Roman" w:hAnsi="Times New Roman"/>
          <w:sz w:val="22"/>
          <w:szCs w:val="22"/>
          <w:color w:val="auto"/>
        </w:rPr>
      </w:pPr>
    </w:p>
    <w:p>
      <w:pPr>
        <w:ind w:left="970" w:hanging="646"/>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Subsidiary or Parent of the Company, or an entity that directly or through one or more intermediaries controls, is controlled by, or is under common control with, the Company, as determined by the Administrator. The Administrator will consider Section 409A and the rules for Incentive Stock Options, to the extent applicable, when granting and administering Awards to Service Providers of Affiliates that are not the Company or a Subsidiary or Parent of the Company.</w:t>
      </w:r>
    </w:p>
    <w:p>
      <w:pPr>
        <w:spacing w:after="0" w:line="203" w:lineRule="exact"/>
        <w:rPr>
          <w:rFonts w:ascii="Times New Roman" w:cs="Times New Roman" w:eastAsia="Times New Roman" w:hAnsi="Times New Roman"/>
          <w:sz w:val="22"/>
          <w:szCs w:val="22"/>
          <w:color w:val="auto"/>
        </w:rPr>
      </w:pPr>
    </w:p>
    <w:p>
      <w:pPr>
        <w:ind w:left="970" w:hanging="646"/>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200" w:lineRule="exact"/>
        <w:rPr>
          <w:rFonts w:ascii="Times New Roman" w:cs="Times New Roman" w:eastAsia="Times New Roman" w:hAnsi="Times New Roman"/>
          <w:sz w:val="22"/>
          <w:szCs w:val="22"/>
          <w:color w:val="auto"/>
        </w:rPr>
      </w:pPr>
    </w:p>
    <w:p>
      <w:pPr>
        <w:ind w:left="970" w:hanging="646"/>
        <w:spacing w:after="0" w:line="28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Other Stock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or Performance Awards.</w:t>
      </w:r>
    </w:p>
    <w:p>
      <w:pPr>
        <w:spacing w:after="0" w:line="167" w:lineRule="exact"/>
        <w:rPr>
          <w:rFonts w:ascii="Times New Roman" w:cs="Times New Roman" w:eastAsia="Times New Roman" w:hAnsi="Times New Roman"/>
          <w:sz w:val="22"/>
          <w:szCs w:val="22"/>
          <w:color w:val="auto"/>
        </w:rPr>
      </w:pPr>
    </w:p>
    <w:p>
      <w:pPr>
        <w:ind w:left="97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conditions applicable to each Award granted under the Plan. The Award Agreement is subject to the terms and conditions of the Plan.</w:t>
      </w:r>
    </w:p>
    <w:p>
      <w:pPr>
        <w:spacing w:after="0" w:line="182" w:lineRule="exact"/>
        <w:rPr>
          <w:rFonts w:ascii="Times New Roman" w:cs="Times New Roman" w:eastAsia="Times New Roman" w:hAnsi="Times New Roman"/>
          <w:sz w:val="22"/>
          <w:szCs w:val="22"/>
          <w:color w:val="auto"/>
        </w:rPr>
      </w:pPr>
    </w:p>
    <w:p>
      <w:pPr>
        <w:ind w:left="33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31" w:lineRule="exact"/>
        <w:rPr>
          <w:rFonts w:ascii="Times New Roman" w:cs="Times New Roman" w:eastAsia="Times New Roman" w:hAnsi="Times New Roman"/>
          <w:sz w:val="22"/>
          <w:szCs w:val="22"/>
          <w:color w:val="auto"/>
        </w:rPr>
      </w:pPr>
    </w:p>
    <w:p>
      <w:pPr>
        <w:ind w:left="97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as a reason for a Participant’s termination of employment shall have the meaning assigned such term in the employment, consulting, severance or similar agreement, if any, between such Participant and the Company or an Affiliate; provided, however, that if there</w:t>
      </w:r>
    </w:p>
    <w:p>
      <w:pPr>
        <w:spacing w:after="0" w:line="200" w:lineRule="exact"/>
        <w:rPr>
          <w:sz w:val="20"/>
          <w:szCs w:val="20"/>
          <w:color w:val="auto"/>
        </w:rPr>
      </w:pPr>
    </w:p>
    <w:p>
      <w:pPr>
        <w:spacing w:after="0" w:line="230" w:lineRule="exact"/>
        <w:rPr>
          <w:sz w:val="20"/>
          <w:szCs w:val="20"/>
          <w:color w:val="auto"/>
        </w:rPr>
      </w:pPr>
    </w:p>
    <w:p>
      <w:pPr>
        <w:ind w:left="9370"/>
        <w:spacing w:after="0"/>
        <w:rPr>
          <w:sz w:val="20"/>
          <w:szCs w:val="20"/>
          <w:color w:val="auto"/>
        </w:rPr>
      </w:pPr>
      <w:r>
        <w:rPr>
          <w:sz w:val="1"/>
          <w:szCs w:val="1"/>
          <w:color w:val="auto"/>
        </w:rPr>
        <w:drawing>
          <wp:inline distT="0" distB="0" distL="0" distR="0">
            <wp:extent cx="777240" cy="1625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96520</wp:posOffset>
            </wp:positionV>
            <wp:extent cx="71583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10"/>
          </w:cols>
          <w:pgMar w:left="650" w:top="12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20"/>
          <w:szCs w:val="20"/>
          <w:color w:val="auto"/>
        </w:rPr>
        <w:t>is no such employment, consulting, severance or similar agreement in which such term is defined, and unless otherwise defined in the applicable Award Agreement, “Cause” shall mean any of the following acts by the Participant, as determined by the Administrator: (a)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(b) the Participant’s engaging in any other act of dishonesty, fraud, intentional misrepresentation, moral turpitude, illegality or harassment, whether or not such act was committed in connection with the business of the Company or any of its Affiliates; (c) the willful and repeated failure by the Participant to follow the lawful directives of the Board or the Participant’s supervisor; (d) any material violation of the Company’s written policies; (e) any intentional misconduct by the Participant in connection with the Company and any of its Affiliate’s business or relating to the Participant’s duties, or any willful violation of any laws, rules or regulations; or (f) the Participant’s material breach of any employment, severance, non-competition, non-solicitation, confidential information, or restrictive covenant agreement, or similar agreement, with the Company or an Affiliate. The determination of the Administrator as to the existence of “Cause” shall be conclusive on the Participant and the Company.</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the occurrence of any of the following events:</w:t>
      </w:r>
    </w:p>
    <w:p>
      <w:pPr>
        <w:spacing w:after="0" w:line="231" w:lineRule="exact"/>
        <w:rPr>
          <w:sz w:val="20"/>
          <w:szCs w:val="20"/>
          <w:color w:val="auto"/>
        </w:rPr>
      </w:pPr>
    </w:p>
    <w:p>
      <w:pPr>
        <w:jc w:val="both"/>
        <w:ind w:left="1940" w:firstLine="5"/>
        <w:spacing w:after="0" w:line="236" w:lineRule="auto"/>
        <w:tabs>
          <w:tab w:leader="none" w:pos="24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on the Effective Date, constitute the Board (the “</w:t>
      </w:r>
      <w:r>
        <w:rPr>
          <w:rFonts w:ascii="Times New Roman" w:cs="Times New Roman" w:eastAsia="Times New Roman" w:hAnsi="Times New Roman"/>
          <w:sz w:val="22"/>
          <w:szCs w:val="22"/>
          <w:b w:val="1"/>
          <w:bCs w:val="1"/>
          <w:color w:val="auto"/>
        </w:rPr>
        <w:t>Incumbent Directors</w:t>
      </w:r>
      <w:r>
        <w:rPr>
          <w:rFonts w:ascii="Times New Roman" w:cs="Times New Roman" w:eastAsia="Times New Roman" w:hAnsi="Times New Roman"/>
          <w:sz w:val="22"/>
          <w:szCs w:val="22"/>
          <w:color w:val="auto"/>
        </w:rPr>
        <w:t>”)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or</w:t>
      </w:r>
    </w:p>
    <w:p>
      <w:pPr>
        <w:spacing w:after="0" w:line="206" w:lineRule="exact"/>
        <w:rPr>
          <w:rFonts w:ascii="Times New Roman" w:cs="Times New Roman" w:eastAsia="Times New Roman" w:hAnsi="Times New Roman"/>
          <w:sz w:val="22"/>
          <w:szCs w:val="22"/>
          <w:color w:val="auto"/>
        </w:rPr>
      </w:pPr>
    </w:p>
    <w:p>
      <w:pPr>
        <w:jc w:val="both"/>
        <w:ind w:left="1940" w:firstLine="5"/>
        <w:spacing w:after="0" w:line="232" w:lineRule="auto"/>
        <w:tabs>
          <w:tab w:leader="none" w:pos="247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a “beneficial owner” (as defined in Rule 13d-3 under the Exchange Act), directly or indirectly, of either (A) more than 50% of the then-outstanding shares of common stock of the Company (“</w:t>
      </w:r>
      <w:r>
        <w:rPr>
          <w:rFonts w:ascii="Times New Roman" w:cs="Times New Roman" w:eastAsia="Times New Roman" w:hAnsi="Times New Roman"/>
          <w:sz w:val="22"/>
          <w:szCs w:val="22"/>
          <w:b w:val="1"/>
          <w:bCs w:val="1"/>
          <w:color w:val="auto"/>
        </w:rPr>
        <w:t>Company Common Shares</w:t>
      </w:r>
      <w:r>
        <w:rPr>
          <w:rFonts w:ascii="Times New Roman" w:cs="Times New Roman" w:eastAsia="Times New Roman" w:hAnsi="Times New Roman"/>
          <w:sz w:val="22"/>
          <w:szCs w:val="22"/>
          <w:color w:val="auto"/>
        </w:rPr>
        <w:t>”) or (B) securities of the Company representing more than 50% of the combined voting power of the Company’s then outstanding securities eligible to vote for the election of directors (the “</w:t>
      </w:r>
      <w:r>
        <w:rPr>
          <w:rFonts w:ascii="Times New Roman" w:cs="Times New Roman" w:eastAsia="Times New Roman" w:hAnsi="Times New Roman"/>
          <w:sz w:val="22"/>
          <w:szCs w:val="22"/>
          <w:b w:val="1"/>
          <w:bCs w:val="1"/>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for purposes of this subsection (b), the following acquisitions shall not constitute a Change in Control: (i) an acquisition directly from the Company, (ii) an acquisition by the Company or a Subsidiary, (iii) an acquisition by any employee benefit plan (or related trust) sponsored or maintained by the Company or any Subsidiary, or (iv) an acquisition pursuant to a Non-Qualifying Transaction (as defined in subsection (c) below); or</w:t>
      </w:r>
    </w:p>
    <w:p>
      <w:pPr>
        <w:spacing w:after="0" w:line="207" w:lineRule="exact"/>
        <w:rPr>
          <w:rFonts w:ascii="Times New Roman" w:cs="Times New Roman" w:eastAsia="Times New Roman" w:hAnsi="Times New Roman"/>
          <w:sz w:val="22"/>
          <w:szCs w:val="22"/>
          <w:color w:val="auto"/>
        </w:rPr>
      </w:pPr>
    </w:p>
    <w:p>
      <w:pPr>
        <w:jc w:val="both"/>
        <w:ind w:left="1940" w:firstLine="5"/>
        <w:spacing w:after="0" w:line="260" w:lineRule="auto"/>
        <w:tabs>
          <w:tab w:leader="none" w:pos="239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reorganization, merger, consolidation, statutory share exchange or similar form of corporate transaction involving the Company or a Subsidiary (a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or the sale or other disposition of all or substantially all of the Company’s assets (a “</w:t>
      </w:r>
      <w:r>
        <w:rPr>
          <w:rFonts w:ascii="Times New Roman" w:cs="Times New Roman" w:eastAsia="Times New Roman" w:hAnsi="Times New Roman"/>
          <w:sz w:val="20"/>
          <w:szCs w:val="20"/>
          <w:b w:val="1"/>
          <w:bCs w:val="1"/>
          <w:color w:val="auto"/>
        </w:rPr>
        <w:t>Sale</w:t>
      </w:r>
      <w:r>
        <w:rPr>
          <w:rFonts w:ascii="Times New Roman" w:cs="Times New Roman" w:eastAsia="Times New Roman" w:hAnsi="Times New Roman"/>
          <w:sz w:val="20"/>
          <w:szCs w:val="20"/>
          <w:color w:val="auto"/>
        </w:rPr>
        <w:t>”) or the acquisition of assets or stock of another corporation (an “</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unless immediately following such Reorganization, Sale or Acquisition: (i) all or substantially all of the individuals and entities who were the beneficial owners, respectively, of the outstanding Company Common Shares and outstanding Company Voting Securities immediately prior to such Reorganization, Sale or Acquisition beneficially own, directly or indirectly, more than 50% of, respectively, the then outstanding shares of common stock and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20"/>
          <w:szCs w:val="20"/>
          <w:color w:val="auto"/>
        </w:rPr>
        <w:t>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w:t>
      </w:r>
      <w:r>
        <w:rPr>
          <w:rFonts w:ascii="Times New Roman" w:cs="Times New Roman" w:eastAsia="Times New Roman" w:hAnsi="Times New Roman"/>
          <w:sz w:val="20"/>
          <w:szCs w:val="20"/>
          <w:b w:val="1"/>
          <w:bCs w:val="1"/>
          <w:color w:val="auto"/>
        </w:rPr>
        <w:t>Surviving Corporation</w:t>
      </w:r>
      <w:r>
        <w:rPr>
          <w:rFonts w:ascii="Times New Roman" w:cs="Times New Roman" w:eastAsia="Times New Roman" w:hAnsi="Times New Roman"/>
          <w:sz w:val="20"/>
          <w:szCs w:val="20"/>
          <w:color w:val="auto"/>
        </w:rPr>
        <w:t>”) in substantially the same proportions as their ownership, immediately prior to such Reorganization, Sale or Acquisition, of the outstanding Company Common Shares and the outstanding Company Voting Securities, as the case may be, and (ii) no person (other than</w:t>
      </w:r>
    </w:p>
    <w:p>
      <w:pPr>
        <w:spacing w:after="0" w:line="2" w:lineRule="exact"/>
        <w:rPr>
          <w:sz w:val="20"/>
          <w:szCs w:val="20"/>
          <w:color w:val="auto"/>
        </w:rPr>
      </w:pPr>
    </w:p>
    <w:p>
      <w:pPr>
        <w:jc w:val="both"/>
        <w:ind w:left="1280" w:firstLine="5"/>
        <w:spacing w:after="0" w:line="247" w:lineRule="exact"/>
        <w:tabs>
          <w:tab w:leader="none" w:pos="163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(B) the Surviving Corporation or its ultimate parent corporation, or (C) any employee benefit plan or related trust) sponsored or maintained by any of the foregoing is the beneficial owner, directly or indirectly, of more than 50% of the total common stock or more than 50% of the total voting power of the outstanding voting securities eligible to elect directors of the Surviving Corporation, and (iii)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(i), (ii) and (iii) above shall be deemed to be a “</w:t>
      </w: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Qualifying Transaction</w:t>
      </w:r>
      <w:r>
        <w:rPr>
          <w:rFonts w:ascii="Times New Roman" w:cs="Times New Roman" w:eastAsia="Times New Roman" w:hAnsi="Times New Roman"/>
          <w:sz w:val="22"/>
          <w:szCs w:val="22"/>
          <w:color w:val="auto"/>
        </w:rPr>
        <w:t>”); or</w:t>
      </w:r>
    </w:p>
    <w:p>
      <w:pPr>
        <w:spacing w:after="0" w:line="178" w:lineRule="exact"/>
        <w:rPr>
          <w:sz w:val="20"/>
          <w:szCs w:val="20"/>
          <w:color w:val="auto"/>
        </w:rPr>
      </w:pPr>
    </w:p>
    <w:p>
      <w:pPr>
        <w:ind w:left="1280" w:firstLine="5"/>
        <w:spacing w:after="0" w:line="242" w:lineRule="auto"/>
        <w:tabs>
          <w:tab w:leader="none" w:pos="194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Company of a complete liquidation or dissolution of the Company.</w:t>
      </w:r>
    </w:p>
    <w:p>
      <w:pPr>
        <w:spacing w:after="0" w:line="203"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89" w:lineRule="exact"/>
        <w:rPr>
          <w:sz w:val="20"/>
          <w:szCs w:val="20"/>
          <w:color w:val="auto"/>
        </w:rPr>
      </w:pPr>
    </w:p>
    <w:p>
      <w:pPr>
        <w:jc w:val="both"/>
        <w:ind w:left="480"/>
        <w:spacing w:after="0" w:line="238" w:lineRule="auto"/>
        <w:rPr>
          <w:sz w:val="20"/>
          <w:szCs w:val="20"/>
          <w:color w:val="auto"/>
        </w:rPr>
      </w:pPr>
      <w:r>
        <w:rPr>
          <w:rFonts w:ascii="Times New Roman" w:cs="Times New Roman" w:eastAsia="Times New Roman" w:hAnsi="Times New Roman"/>
          <w:sz w:val="22"/>
          <w:szCs w:val="22"/>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203" w:lineRule="exact"/>
        <w:rPr>
          <w:sz w:val="20"/>
          <w:szCs w:val="20"/>
          <w:color w:val="auto"/>
        </w:rPr>
      </w:pPr>
    </w:p>
    <w:p>
      <w:pPr>
        <w:jc w:val="both"/>
        <w:ind w:left="640" w:hanging="645"/>
        <w:spacing w:after="0" w:line="236" w:lineRule="auto"/>
        <w:tabs>
          <w:tab w:leader="none" w:pos="620" w:val="left"/>
        </w:tabs>
        <w:rPr>
          <w:sz w:val="20"/>
          <w:szCs w:val="20"/>
          <w:color w:val="auto"/>
        </w:rPr>
      </w:pPr>
      <w:r>
        <w:rPr>
          <w:rFonts w:ascii="Times New Roman" w:cs="Times New Roman" w:eastAsia="Times New Roman" w:hAnsi="Times New Roman"/>
          <w:sz w:val="22"/>
          <w:szCs w:val="22"/>
          <w:color w:val="auto"/>
        </w:rPr>
        <w:t>2.9.</w:t>
        <w:tab/>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202" w:lineRule="exact"/>
        <w:rPr>
          <w:sz w:val="20"/>
          <w:szCs w:val="20"/>
          <w:color w:val="auto"/>
        </w:rPr>
      </w:pPr>
    </w:p>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2.10.</w:t>
        <w:tab/>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of the Plan.</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the common stock of the Company.</w:t>
      </w:r>
    </w:p>
    <w:p>
      <w:pPr>
        <w:spacing w:after="0" w:line="2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Micron Technology, Inc., a Delaware corporation.</w:t>
      </w:r>
    </w:p>
    <w:p>
      <w:pPr>
        <w:spacing w:after="0" w:line="231" w:lineRule="exact"/>
        <w:rPr>
          <w:sz w:val="20"/>
          <w:szCs w:val="20"/>
          <w:color w:val="auto"/>
        </w:rPr>
      </w:pPr>
    </w:p>
    <w:p>
      <w:pPr>
        <w:jc w:val="both"/>
        <w:ind w:left="640" w:hanging="645"/>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any natural person, including an advisor, engaged by the Company or any of its Affiliates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w:t>
      </w:r>
    </w:p>
    <w:p>
      <w:pPr>
        <w:spacing w:after="0" w:line="200" w:lineRule="exact"/>
        <w:rPr>
          <w:sz w:val="20"/>
          <w:szCs w:val="20"/>
          <w:color w:val="auto"/>
        </w:rPr>
      </w:pPr>
    </w:p>
    <w:p>
      <w:pPr>
        <w:spacing w:after="0" w:line="205" w:lineRule="exact"/>
        <w:rPr>
          <w:sz w:val="20"/>
          <w:szCs w:val="20"/>
          <w:color w:val="auto"/>
        </w:rPr>
      </w:pPr>
    </w:p>
    <w:p>
      <w:pPr>
        <w:ind w:left="9040"/>
        <w:spacing w:after="0"/>
        <w:rPr>
          <w:sz w:val="20"/>
          <w:szCs w:val="20"/>
          <w:color w:val="auto"/>
        </w:rPr>
      </w:pPr>
      <w:r>
        <w:rPr>
          <w:sz w:val="1"/>
          <w:szCs w:val="1"/>
          <w:color w:val="auto"/>
        </w:rPr>
        <w:drawing>
          <wp:inline distT="0" distB="0" distL="0" distR="0">
            <wp:extent cx="777240" cy="1625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105410</wp:posOffset>
            </wp:positionV>
            <wp:extent cx="71583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22"/>
          <w:szCs w:val="22"/>
          <w:color w:val="auto"/>
        </w:rPr>
        <w:t>further, that a Consultant will include only those persons to whom the issuance of Shares may be registered under Form S-8 promulgated under the Securities Act.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means a member of the Board.</w:t>
      </w:r>
    </w:p>
    <w:p>
      <w:pPr>
        <w:spacing w:after="0" w:line="231" w:lineRule="exact"/>
        <w:rPr>
          <w:sz w:val="20"/>
          <w:szCs w:val="20"/>
          <w:color w:val="auto"/>
        </w:rPr>
      </w:pPr>
    </w:p>
    <w:p>
      <w:pPr>
        <w:jc w:val="both"/>
        <w:ind w:left="1300" w:hanging="645"/>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2.15.</w:t>
        <w:tab/>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Disabled</w:t>
      </w:r>
      <w:r>
        <w:rPr>
          <w:rFonts w:ascii="Times New Roman" w:cs="Times New Roman" w:eastAsia="Times New Roman" w:hAnsi="Times New Roman"/>
          <w:sz w:val="22"/>
          <w:szCs w:val="22"/>
          <w:color w:val="auto"/>
        </w:rPr>
        <w:t>” means, with respect to a Participant, the applicable authorized party under the long-term disability plan (the “</w:t>
      </w:r>
      <w:r>
        <w:rPr>
          <w:rFonts w:ascii="Times New Roman" w:cs="Times New Roman" w:eastAsia="Times New Roman" w:hAnsi="Times New Roman"/>
          <w:sz w:val="22"/>
          <w:szCs w:val="22"/>
          <w:b w:val="1"/>
          <w:bCs w:val="1"/>
          <w:color w:val="auto"/>
        </w:rPr>
        <w:t>LTD Plan</w:t>
      </w:r>
      <w:r>
        <w:rPr>
          <w:rFonts w:ascii="Times New Roman" w:cs="Times New Roman" w:eastAsia="Times New Roman" w:hAnsi="Times New Roman"/>
          <w:sz w:val="22"/>
          <w:szCs w:val="22"/>
          <w:color w:val="auto"/>
        </w:rPr>
        <w:t>”) maintained by the Participant’s employer (either the Company or an Affiliate) has provided written notification that the Participant qualifies for disability benefits under the LTD Plan (a “</w:t>
      </w:r>
      <w:r>
        <w:rPr>
          <w:rFonts w:ascii="Times New Roman" w:cs="Times New Roman" w:eastAsia="Times New Roman" w:hAnsi="Times New Roman"/>
          <w:sz w:val="22"/>
          <w:szCs w:val="22"/>
          <w:b w:val="1"/>
          <w:bCs w:val="1"/>
          <w:color w:val="auto"/>
        </w:rPr>
        <w:t>Disability Notice</w:t>
      </w:r>
      <w:r>
        <w:rPr>
          <w:rFonts w:ascii="Times New Roman" w:cs="Times New Roman" w:eastAsia="Times New Roman" w:hAnsi="Times New Roman"/>
          <w:sz w:val="22"/>
          <w:szCs w:val="22"/>
          <w:color w:val="auto"/>
        </w:rPr>
        <w:t>”). If the Participant is not eligible for disability benefits under any applicable LTD Plan, then the Participant shall not qualify as Disabled under this Plan.</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Equivalent”</w:t>
      </w:r>
      <w:r>
        <w:rPr>
          <w:rFonts w:ascii="Times New Roman" w:cs="Times New Roman" w:eastAsia="Times New Roman" w:hAnsi="Times New Roman"/>
          <w:sz w:val="20"/>
          <w:szCs w:val="20"/>
          <w:color w:val="auto"/>
        </w:rPr>
        <w:t xml:space="preserve"> means a right granted with respect to an Award, as provided in Section 25 of the Plan.</w:t>
      </w:r>
    </w:p>
    <w:p>
      <w:pPr>
        <w:spacing w:after="0" w:line="2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October 10, 2024.</w:t>
      </w:r>
    </w:p>
    <w:p>
      <w:pPr>
        <w:spacing w:after="0" w:line="231" w:lineRule="exact"/>
        <w:rPr>
          <w:sz w:val="20"/>
          <w:szCs w:val="20"/>
          <w:color w:val="auto"/>
        </w:rPr>
      </w:pPr>
    </w:p>
    <w:p>
      <w:pPr>
        <w:jc w:val="both"/>
        <w:ind w:left="1300" w:hanging="645"/>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2.18.</w:t>
        <w:tab/>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Affiliate. Neither service as a Director nor payment of a director’s fee by the Company or any Affiliate will be sufficient to constitute “employment” by the Company.</w:t>
      </w:r>
    </w:p>
    <w:p>
      <w:pPr>
        <w:spacing w:after="0" w:line="197"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2.19.</w:t>
        <w:tab/>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83" w:lineRule="exact"/>
        <w:rPr>
          <w:sz w:val="20"/>
          <w:szCs w:val="20"/>
          <w:color w:val="auto"/>
        </w:rPr>
      </w:pPr>
    </w:p>
    <w:p>
      <w:pPr>
        <w:jc w:val="both"/>
        <w:ind w:left="1300" w:hanging="645"/>
        <w:spacing w:after="0" w:line="232" w:lineRule="auto"/>
        <w:tabs>
          <w:tab w:leader="none" w:pos="1280" w:val="left"/>
        </w:tabs>
        <w:rPr>
          <w:sz w:val="20"/>
          <w:szCs w:val="20"/>
          <w:color w:val="auto"/>
        </w:rPr>
      </w:pPr>
      <w:r>
        <w:rPr>
          <w:rFonts w:ascii="Times New Roman" w:cs="Times New Roman" w:eastAsia="Times New Roman" w:hAnsi="Times New Roman"/>
          <w:sz w:val="22"/>
          <w:szCs w:val="22"/>
          <w:color w:val="auto"/>
        </w:rPr>
        <w:t>2.20.</w:t>
        <w:tab/>
        <w:t>“</w:t>
      </w:r>
      <w:r>
        <w:rPr>
          <w:rFonts w:ascii="Times New Roman" w:cs="Times New Roman" w:eastAsia="Times New Roman" w:hAnsi="Times New Roman"/>
          <w:sz w:val="22"/>
          <w:szCs w:val="22"/>
          <w:b w:val="1"/>
          <w:bCs w:val="1"/>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An Exchange Program may be implemented under the Plan only following stockholder approval of a Plan amendment authorizing the Exchange Program, which approval satisfies Applicable Laws (for example, but not limited to, approval by the holders of a majority of the Shares represented in person or by proxy at a meeting of the stockholders of the Company at which a quorum is present). Subject to the preceding requirement of stockholder approval, the Administrator will determine the terms and conditions of any Exchange Program in its sole discretion.</w:t>
      </w:r>
    </w:p>
    <w:p>
      <w:pPr>
        <w:spacing w:after="0" w:line="205"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2.21.</w:t>
        <w:tab/>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a Share determined as follows: the rules and regulations promulgated thereunder.</w:t>
      </w:r>
    </w:p>
    <w:p>
      <w:pPr>
        <w:spacing w:after="0" w:line="173" w:lineRule="exact"/>
        <w:rPr>
          <w:sz w:val="20"/>
          <w:szCs w:val="20"/>
          <w:color w:val="auto"/>
        </w:rPr>
      </w:pPr>
    </w:p>
    <w:p>
      <w:pPr>
        <w:jc w:val="both"/>
        <w:ind w:left="2600" w:hanging="332"/>
        <w:spacing w:after="0" w:line="235" w:lineRule="auto"/>
        <w:tabs>
          <w:tab w:leader="none" w:pos="259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on the last Trading Day before the date of determination as quoted on such exchange or system on the date of determination, as reported by Bloomberg or such other source as the Administrator deems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940" w:hanging="332"/>
        <w:spacing w:after="0" w:line="236" w:lineRule="auto"/>
        <w:tabs>
          <w:tab w:leader="none" w:pos="193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by Bloomberg or such other source as the Administrator deems reliable; or</w:t>
      </w:r>
    </w:p>
    <w:p>
      <w:pPr>
        <w:spacing w:after="0" w:line="209" w:lineRule="exact"/>
        <w:rPr>
          <w:rFonts w:ascii="Times New Roman" w:cs="Times New Roman" w:eastAsia="Times New Roman" w:hAnsi="Times New Roman"/>
          <w:sz w:val="22"/>
          <w:szCs w:val="22"/>
          <w:color w:val="auto"/>
        </w:rPr>
      </w:pPr>
    </w:p>
    <w:p>
      <w:pPr>
        <w:ind w:left="1940" w:hanging="332"/>
        <w:spacing w:after="0" w:line="242" w:lineRule="auto"/>
        <w:tabs>
          <w:tab w:leader="none" w:pos="193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withholding for Tax-Related Items (or other amounts required by Applicable Laws) may be made in the Administrator’s sole discretion subject to Applicable Laws and is not required to be consistent with the determination of fair market value for other purposes.</w:t>
      </w: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the fiscal year of the Company.</w:t>
      </w:r>
    </w:p>
    <w:p>
      <w:pPr>
        <w:spacing w:after="0" w:line="231" w:lineRule="exact"/>
        <w:rPr>
          <w:sz w:val="20"/>
          <w:szCs w:val="20"/>
          <w:color w:val="auto"/>
        </w:rPr>
      </w:pPr>
    </w:p>
    <w:p>
      <w:pPr>
        <w:jc w:val="both"/>
        <w:ind w:left="640" w:hanging="645"/>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2.23.</w:t>
        <w:tab/>
        <w:t>“</w:t>
      </w:r>
      <w:r>
        <w:rPr>
          <w:rFonts w:ascii="Times New Roman" w:cs="Times New Roman" w:eastAsia="Times New Roman" w:hAnsi="Times New Roman"/>
          <w:sz w:val="22"/>
          <w:szCs w:val="22"/>
          <w:b w:val="1"/>
          <w:bCs w:val="1"/>
          <w:color w:val="auto"/>
        </w:rPr>
        <w:t>Full Value Award</w:t>
      </w:r>
      <w:r>
        <w:rPr>
          <w:rFonts w:ascii="Times New Roman" w:cs="Times New Roman" w:eastAsia="Times New Roman" w:hAnsi="Times New Roman"/>
          <w:sz w:val="22"/>
          <w:szCs w:val="22"/>
          <w:color w:val="auto"/>
        </w:rPr>
        <w:t>” means a grant under the Plan of Restricted Stock, Restricted Stock Units, Performance Awards or Other Stock-Based Awards. Options and Stock Appreciation Rights do not constitute Full Value Awards.</w:t>
      </w:r>
    </w:p>
    <w:p>
      <w:pPr>
        <w:spacing w:after="0" w:line="184" w:lineRule="exact"/>
        <w:rPr>
          <w:sz w:val="20"/>
          <w:szCs w:val="20"/>
          <w:color w:val="auto"/>
        </w:rPr>
      </w:pPr>
    </w:p>
    <w:p>
      <w:pPr>
        <w:jc w:val="both"/>
        <w:ind w:left="640" w:hanging="645"/>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2.24.</w:t>
        <w:tab/>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with respect to an Award, shall have the meaning, if any, given such term in the applicable Award Agreement. If not defined in the applicable Award Agreement, the term “Good Reason” as used herein shall not apply to such Award.</w:t>
      </w:r>
    </w:p>
    <w:p>
      <w:pPr>
        <w:spacing w:after="0" w:line="197" w:lineRule="exact"/>
        <w:rPr>
          <w:sz w:val="20"/>
          <w:szCs w:val="20"/>
          <w:color w:val="auto"/>
        </w:rPr>
      </w:pPr>
    </w:p>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2.25.</w:t>
        <w:tab/>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 Director</w:t>
      </w:r>
      <w:r>
        <w:rPr>
          <w:rFonts w:ascii="Times New Roman" w:cs="Times New Roman" w:eastAsia="Times New Roman" w:hAnsi="Times New Roman"/>
          <w:sz w:val="20"/>
          <w:szCs w:val="20"/>
          <w:color w:val="auto"/>
        </w:rPr>
        <w:t>” means a Director who is an Employee.</w:t>
      </w:r>
    </w:p>
    <w:p>
      <w:pPr>
        <w:spacing w:after="0" w:line="231" w:lineRule="exact"/>
        <w:rPr>
          <w:sz w:val="20"/>
          <w:szCs w:val="20"/>
          <w:color w:val="auto"/>
        </w:rPr>
      </w:pPr>
    </w:p>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2.27.</w:t>
        <w:tab/>
        <w:t>“</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83" w:lineRule="exact"/>
        <w:rPr>
          <w:sz w:val="20"/>
          <w:szCs w:val="20"/>
          <w:color w:val="auto"/>
        </w:rPr>
      </w:pPr>
    </w:p>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2.28.</w:t>
        <w:tab/>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 stock option granted pursuant to the Plan.</w:t>
      </w:r>
    </w:p>
    <w:p>
      <w:pPr>
        <w:spacing w:after="0" w:line="231" w:lineRule="exact"/>
        <w:rPr>
          <w:sz w:val="20"/>
          <w:szCs w:val="20"/>
          <w:color w:val="auto"/>
        </w:rPr>
      </w:pPr>
    </w:p>
    <w:p>
      <w:pPr>
        <w:jc w:val="both"/>
        <w:ind w:left="640" w:right="20" w:hanging="645"/>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2.30.</w:t>
        <w:tab/>
        <w:t>“</w:t>
      </w:r>
      <w:r>
        <w:rPr>
          <w:rFonts w:ascii="Times New Roman" w:cs="Times New Roman" w:eastAsia="Times New Roman" w:hAnsi="Times New Roman"/>
          <w:sz w:val="22"/>
          <w:szCs w:val="22"/>
          <w:b w:val="1"/>
          <w:bCs w:val="1"/>
          <w:color w:val="auto"/>
        </w:rPr>
        <w:t>Other Stock-Based Award</w:t>
      </w:r>
      <w:r>
        <w:rPr>
          <w:rFonts w:ascii="Times New Roman" w:cs="Times New Roman" w:eastAsia="Times New Roman" w:hAnsi="Times New Roman"/>
          <w:sz w:val="22"/>
          <w:szCs w:val="22"/>
          <w:color w:val="auto"/>
        </w:rPr>
        <w:t>” means a right, granted to a Participant under Section 11 of the Plan that relates to or is valued by reference to Shares or other Awards relating to Shares.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means a Director who is not an Employee.</w:t>
      </w:r>
    </w:p>
    <w:p>
      <w:pPr>
        <w:spacing w:after="0" w:line="2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means a “parent corporation,” whether now or hereafter existing, as defined in Code Section 424(e).</w:t>
      </w:r>
    </w:p>
    <w:p>
      <w:pPr>
        <w:spacing w:after="0" w:line="2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the holder of an outstanding Award.</w:t>
      </w:r>
    </w:p>
    <w:p>
      <w:pPr>
        <w:spacing w:after="0" w:line="200" w:lineRule="exact"/>
        <w:rPr>
          <w:sz w:val="20"/>
          <w:szCs w:val="20"/>
          <w:color w:val="auto"/>
        </w:rPr>
      </w:pPr>
    </w:p>
    <w:p>
      <w:pPr>
        <w:spacing w:after="0" w:line="265" w:lineRule="exact"/>
        <w:rPr>
          <w:sz w:val="20"/>
          <w:szCs w:val="20"/>
          <w:color w:val="auto"/>
        </w:rPr>
      </w:pPr>
    </w:p>
    <w:p>
      <w:pPr>
        <w:ind w:left="9040"/>
        <w:spacing w:after="0"/>
        <w:rPr>
          <w:sz w:val="20"/>
          <w:szCs w:val="20"/>
          <w:color w:val="auto"/>
        </w:rPr>
      </w:pPr>
      <w:r>
        <w:rPr>
          <w:sz w:val="1"/>
          <w:szCs w:val="1"/>
          <w:color w:val="auto"/>
        </w:rPr>
        <w:drawing>
          <wp:inline distT="0" distB="0" distL="0" distR="0">
            <wp:extent cx="777240" cy="1625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105410</wp:posOffset>
            </wp:positionV>
            <wp:extent cx="71583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300" w:hanging="645"/>
        <w:spacing w:after="0" w:line="239" w:lineRule="auto"/>
        <w:tabs>
          <w:tab w:leader="none" w:pos="1280" w:val="left"/>
        </w:tabs>
        <w:rPr>
          <w:sz w:val="20"/>
          <w:szCs w:val="20"/>
          <w:color w:val="auto"/>
        </w:rPr>
      </w:pPr>
      <w:r>
        <w:rPr>
          <w:rFonts w:ascii="Times New Roman" w:cs="Times New Roman" w:eastAsia="Times New Roman" w:hAnsi="Times New Roman"/>
          <w:sz w:val="22"/>
          <w:szCs w:val="22"/>
          <w:color w:val="auto"/>
        </w:rPr>
        <w:t>2.34.</w:t>
        <w:tab/>
        <w:t>“</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 of the Plan.</w:t>
      </w:r>
    </w:p>
    <w:p>
      <w:pPr>
        <w:spacing w:after="0" w:line="203" w:lineRule="exact"/>
        <w:rPr>
          <w:sz w:val="20"/>
          <w:szCs w:val="20"/>
          <w:color w:val="auto"/>
        </w:rPr>
      </w:pPr>
    </w:p>
    <w:p>
      <w:pPr>
        <w:jc w:val="both"/>
        <w:ind w:left="1300" w:hanging="645"/>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2.35.</w:t>
        <w:tab/>
        <w:t>“</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a Participant’s continued service (including specified types of service, such as in the capacity of an Employee), the achievement of target levels of performance, or the occurrence of other events as determined by the Administrator.</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Micron Technology, Inc. 2025 Equity Incentive Plan, as may be amended from time to time.</w:t>
      </w:r>
    </w:p>
    <w:p>
      <w:pPr>
        <w:spacing w:after="0" w:line="231"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2.37.</w:t>
        <w:tab/>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83" w:lineRule="exact"/>
        <w:rPr>
          <w:sz w:val="20"/>
          <w:szCs w:val="20"/>
          <w:color w:val="auto"/>
        </w:rPr>
      </w:pPr>
    </w:p>
    <w:p>
      <w:pPr>
        <w:jc w:val="both"/>
        <w:ind w:left="1300" w:hanging="645"/>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2.38.</w:t>
        <w:tab/>
        <w:t>“</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of the Plan. Each Restricted Stock Unit represents an unfunded and unsecured obligation of the Company.</w:t>
      </w:r>
    </w:p>
    <w:p>
      <w:pPr>
        <w:spacing w:after="0" w:line="153" w:lineRule="exact"/>
        <w:rPr>
          <w:sz w:val="20"/>
          <w:szCs w:val="20"/>
          <w:color w:val="auto"/>
        </w:rPr>
      </w:pPr>
    </w:p>
    <w:p>
      <w:pPr>
        <w:jc w:val="both"/>
        <w:ind w:left="1300" w:hanging="645"/>
        <w:spacing w:after="0" w:line="285" w:lineRule="exact"/>
        <w:tabs>
          <w:tab w:leader="none" w:pos="1280" w:val="left"/>
        </w:tabs>
        <w:rPr>
          <w:sz w:val="20"/>
          <w:szCs w:val="20"/>
          <w:color w:val="auto"/>
        </w:rPr>
      </w:pPr>
      <w:r>
        <w:rPr>
          <w:rFonts w:ascii="Times New Roman" w:cs="Times New Roman" w:eastAsia="Times New Roman" w:hAnsi="Times New Roman"/>
          <w:sz w:val="22"/>
          <w:szCs w:val="22"/>
          <w:color w:val="auto"/>
        </w:rPr>
        <w:t>2.39.</w:t>
        <w:tab/>
        <w:t>“</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16b</w:t>
      </w:r>
      <w:r>
        <w:rPr>
          <w:rFonts w:ascii="Times New Roman" w:cs="Times New Roman" w:eastAsia="Times New Roman" w:hAnsi="Times New Roman"/>
          <w:sz w:val="20"/>
          <w:szCs w:val="20"/>
          <w:color w:val="auto"/>
        </w:rPr>
        <w:t>” means Section 16(b) of the Exchange Act.</w:t>
      </w:r>
    </w:p>
    <w:p>
      <w:pPr>
        <w:spacing w:after="0" w:line="231"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2.41.</w:t>
        <w:tab/>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83"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2.42.</w:t>
        <w:tab/>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Provider</w:t>
      </w:r>
      <w:r>
        <w:rPr>
          <w:rFonts w:ascii="Times New Roman" w:cs="Times New Roman" w:eastAsia="Times New Roman" w:hAnsi="Times New Roman"/>
          <w:sz w:val="20"/>
          <w:szCs w:val="20"/>
          <w:color w:val="auto"/>
        </w:rPr>
        <w:t>” means an Employee, Director or Consultant.</w:t>
      </w:r>
    </w:p>
    <w:p>
      <w:pPr>
        <w:spacing w:after="0" w:line="2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w:t>
      </w:r>
      <w:r>
        <w:rPr>
          <w:rFonts w:ascii="Times New Roman" w:cs="Times New Roman" w:eastAsia="Times New Roman" w:hAnsi="Times New Roman"/>
          <w:sz w:val="20"/>
          <w:szCs w:val="20"/>
          <w:color w:val="auto"/>
        </w:rPr>
        <w:t>” means a share of the Common Stock, as adjusted in accordance with Section 15 of the Plan.</w:t>
      </w:r>
    </w:p>
    <w:p>
      <w:pPr>
        <w:spacing w:after="0" w:line="231"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2.45.</w:t>
        <w:tab/>
        <w:t>“</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means an Award, granted alone or in connection with an Option, that pursuant to Section 7 of the Plan is designated as a Stock Appreciation Right.</w:t>
      </w:r>
    </w:p>
    <w:p>
      <w:pPr>
        <w:spacing w:after="0" w:line="183" w:lineRule="exact"/>
        <w:rPr>
          <w:sz w:val="20"/>
          <w:szCs w:val="20"/>
          <w:color w:val="auto"/>
        </w:rPr>
      </w:pPr>
    </w:p>
    <w:p>
      <w:pPr>
        <w:jc w:val="both"/>
        <w:ind w:left="1300" w:right="20" w:hanging="645"/>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2.46.</w:t>
        <w:tab/>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 Section 424(f).</w:t>
      </w:r>
    </w:p>
    <w:p>
      <w:pPr>
        <w:spacing w:after="0" w:line="194" w:lineRule="exact"/>
        <w:rPr>
          <w:sz w:val="20"/>
          <w:szCs w:val="20"/>
          <w:color w:val="auto"/>
        </w:rPr>
      </w:pPr>
    </w:p>
    <w:p>
      <w:pPr>
        <w:jc w:val="both"/>
        <w:ind w:left="1300" w:hanging="645"/>
        <w:spacing w:after="0" w:line="239" w:lineRule="auto"/>
        <w:tabs>
          <w:tab w:leader="none" w:pos="1280" w:val="left"/>
        </w:tabs>
        <w:rPr>
          <w:sz w:val="20"/>
          <w:szCs w:val="20"/>
          <w:color w:val="auto"/>
        </w:rPr>
      </w:pPr>
      <w:r>
        <w:rPr>
          <w:rFonts w:ascii="Times New Roman" w:cs="Times New Roman" w:eastAsia="Times New Roman" w:hAnsi="Times New Roman"/>
          <w:sz w:val="22"/>
          <w:szCs w:val="22"/>
          <w:color w:val="auto"/>
        </w:rPr>
        <w:t>2.47.</w:t>
        <w:tab/>
        <w:t>“</w:t>
      </w:r>
      <w:r>
        <w:rPr>
          <w:rFonts w:ascii="Times New Roman" w:cs="Times New Roman" w:eastAsia="Times New Roman" w:hAnsi="Times New Roman"/>
          <w:sz w:val="22"/>
          <w:szCs w:val="22"/>
          <w:b w:val="1"/>
          <w:bCs w:val="1"/>
          <w:color w:val="auto"/>
        </w:rPr>
        <w:t>Tax-Related Items</w:t>
      </w:r>
      <w:r>
        <w:rPr>
          <w:rFonts w:ascii="Times New Roman" w:cs="Times New Roman" w:eastAsia="Times New Roman" w:hAnsi="Times New Roman"/>
          <w:sz w:val="22"/>
          <w:szCs w:val="22"/>
          <w:color w:val="auto"/>
        </w:rPr>
        <w:t>” means any U.S. federal, state, and/or local taxes and any taxes imposed by a jurisdiction outside of the United States (including, without limitation, income tax, social insurance contributions, payment on account, employment tax obligations, stamp taxes and any other taxes required by Applicable Laws to be withheld and any employer tax liability for which the Participant is liable.</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970" w:hanging="645"/>
        <w:spacing w:after="0" w:line="244" w:lineRule="auto"/>
        <w:tabs>
          <w:tab w:leader="none" w:pos="949" w:val="left"/>
        </w:tabs>
        <w:rPr>
          <w:sz w:val="20"/>
          <w:szCs w:val="20"/>
          <w:color w:val="auto"/>
        </w:rPr>
      </w:pPr>
      <w:r>
        <w:rPr>
          <w:rFonts w:ascii="Times New Roman" w:cs="Times New Roman" w:eastAsia="Times New Roman" w:hAnsi="Times New Roman"/>
          <w:sz w:val="22"/>
          <w:szCs w:val="22"/>
          <w:color w:val="auto"/>
        </w:rPr>
        <w:t>2.48.</w:t>
        <w:tab/>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97" w:lineRule="exact"/>
        <w:rPr>
          <w:sz w:val="20"/>
          <w:szCs w:val="20"/>
          <w:color w:val="auto"/>
        </w:rPr>
      </w:pPr>
    </w:p>
    <w:p>
      <w:pPr>
        <w:jc w:val="both"/>
        <w:ind w:left="970" w:hanging="645"/>
        <w:spacing w:after="0" w:line="236" w:lineRule="auto"/>
        <w:tabs>
          <w:tab w:leader="none" w:pos="949" w:val="left"/>
        </w:tabs>
        <w:rPr>
          <w:sz w:val="20"/>
          <w:szCs w:val="20"/>
          <w:color w:val="auto"/>
        </w:rPr>
      </w:pPr>
      <w:r>
        <w:rPr>
          <w:rFonts w:ascii="Times New Roman" w:cs="Times New Roman" w:eastAsia="Times New Roman" w:hAnsi="Times New Roman"/>
          <w:sz w:val="22"/>
          <w:szCs w:val="22"/>
          <w:color w:val="auto"/>
        </w:rPr>
        <w:t>2.49.</w:t>
        <w:tab/>
        <w:t>“</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202" w:lineRule="exact"/>
        <w:rPr>
          <w:sz w:val="20"/>
          <w:szCs w:val="20"/>
          <w:color w:val="auto"/>
        </w:rPr>
      </w:pPr>
    </w:p>
    <w:p>
      <w:pPr>
        <w:ind w:left="330" w:hanging="330"/>
        <w:spacing w:after="0"/>
        <w:tabs>
          <w:tab w:leader="none" w:pos="33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ind w:left="97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adjustment as provided in Section 15.1 of the Plan, the aggregate number of Shares reserved and available for issuance pursuant to Awards granted under the Plan shall be 49,000,000. Subject to the Share counting rules of Section 3.2 of the Plan, the number of Shares available for future grants of Awards will be reduced by one Share for each Share subject to an Award granted under the Plan.</w:t>
      </w:r>
    </w:p>
    <w:p>
      <w:pPr>
        <w:spacing w:after="0" w:line="203" w:lineRule="exact"/>
        <w:rPr>
          <w:rFonts w:ascii="Times New Roman" w:cs="Times New Roman" w:eastAsia="Times New Roman" w:hAnsi="Times New Roman"/>
          <w:sz w:val="22"/>
          <w:szCs w:val="22"/>
          <w:color w:val="auto"/>
        </w:rPr>
      </w:pPr>
    </w:p>
    <w:p>
      <w:pPr>
        <w:ind w:left="97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Share Counting</w:t>
      </w:r>
      <w:r>
        <w:rPr>
          <w:rFonts w:ascii="Times New Roman" w:cs="Times New Roman" w:eastAsia="Times New Roman" w:hAnsi="Times New Roman"/>
          <w:sz w:val="22"/>
          <w:szCs w:val="22"/>
          <w:color w:val="auto"/>
        </w:rPr>
        <w:t>. In determining the number of Shares available for issuance under the Plan, the following rules shall apply.</w:t>
      </w:r>
    </w:p>
    <w:p>
      <w:pPr>
        <w:spacing w:after="0" w:line="186" w:lineRule="exact"/>
        <w:rPr>
          <w:rFonts w:ascii="Times New Roman" w:cs="Times New Roman" w:eastAsia="Times New Roman" w:hAnsi="Times New Roman"/>
          <w:sz w:val="22"/>
          <w:szCs w:val="22"/>
          <w:color w:val="auto"/>
        </w:rPr>
      </w:pPr>
    </w:p>
    <w:p>
      <w:pPr>
        <w:jc w:val="both"/>
        <w:ind w:left="2270" w:hanging="332"/>
        <w:spacing w:after="0" w:line="242" w:lineRule="auto"/>
        <w:tabs>
          <w:tab w:leader="none" w:pos="226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Option or Stock Appreciation Right expires or becomes unexercisable without having been exercised in full, then the unexercised Shares subject thereto will become available for future grant or sale under the Plan (unless the Plan has terminated).</w:t>
      </w:r>
    </w:p>
    <w:p>
      <w:pPr>
        <w:spacing w:after="0" w:line="189" w:lineRule="exact"/>
        <w:rPr>
          <w:rFonts w:ascii="Times New Roman" w:cs="Times New Roman" w:eastAsia="Times New Roman" w:hAnsi="Times New Roman"/>
          <w:sz w:val="22"/>
          <w:szCs w:val="22"/>
          <w:color w:val="auto"/>
        </w:rPr>
      </w:pPr>
    </w:p>
    <w:p>
      <w:pPr>
        <w:jc w:val="both"/>
        <w:ind w:left="2270" w:hanging="332"/>
        <w:spacing w:after="0" w:line="242" w:lineRule="auto"/>
        <w:tabs>
          <w:tab w:leader="none" w:pos="226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Full Value Award is forfeited or repurchased by the Company due to a failure to vest, then the forfeited or repurchased Shares subject thereto will become available for future grant or sale under the Plan (unless the Plan has terminated).</w:t>
      </w:r>
    </w:p>
    <w:p>
      <w:pPr>
        <w:spacing w:after="0" w:line="203" w:lineRule="exact"/>
        <w:rPr>
          <w:rFonts w:ascii="Times New Roman" w:cs="Times New Roman" w:eastAsia="Times New Roman" w:hAnsi="Times New Roman"/>
          <w:sz w:val="22"/>
          <w:szCs w:val="22"/>
          <w:color w:val="auto"/>
        </w:rPr>
      </w:pPr>
    </w:p>
    <w:p>
      <w:pPr>
        <w:ind w:left="2270" w:hanging="332"/>
        <w:spacing w:after="0" w:line="255" w:lineRule="auto"/>
        <w:tabs>
          <w:tab w:leader="none" w:pos="226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a Stock Appreciation Right settled in Shares, the gross number of Shares covered by the portion of the Award so exercised will cease to be available under the Plan.</w:t>
      </w:r>
    </w:p>
    <w:p>
      <w:pPr>
        <w:spacing w:after="0" w:line="188" w:lineRule="exact"/>
        <w:rPr>
          <w:rFonts w:ascii="Times New Roman" w:cs="Times New Roman" w:eastAsia="Times New Roman" w:hAnsi="Times New Roman"/>
          <w:sz w:val="22"/>
          <w:szCs w:val="22"/>
          <w:color w:val="auto"/>
        </w:rPr>
      </w:pPr>
    </w:p>
    <w:p>
      <w:pPr>
        <w:jc w:val="both"/>
        <w:ind w:left="2270" w:hanging="332"/>
        <w:spacing w:after="0" w:line="236" w:lineRule="auto"/>
        <w:tabs>
          <w:tab w:leader="none" w:pos="226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that have been issued under the Plan pursuant to any Award will not be returned to the Plan and will not become available for future grant or sale under the Plan; provided, however, that if unvested Shares of Full Value Awards are repurchased by the Company or are forfeited to the Company, such Shares will become available for future grant or sale under the Plan (unless the Plan is terminated).</w:t>
      </w:r>
    </w:p>
    <w:p>
      <w:pPr>
        <w:spacing w:after="0" w:line="195" w:lineRule="exact"/>
        <w:rPr>
          <w:rFonts w:ascii="Times New Roman" w:cs="Times New Roman" w:eastAsia="Times New Roman" w:hAnsi="Times New Roman"/>
          <w:sz w:val="22"/>
          <w:szCs w:val="22"/>
          <w:color w:val="auto"/>
        </w:rPr>
      </w:pPr>
    </w:p>
    <w:p>
      <w:pPr>
        <w:jc w:val="both"/>
        <w:ind w:left="2270" w:hanging="332"/>
        <w:spacing w:after="0" w:line="242" w:lineRule="auto"/>
        <w:tabs>
          <w:tab w:leader="none" w:pos="226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used to pay the Exercise Price or purchase price of an Award and/or used to satisfy the Tax-Related Items or other withholdings related to the Award will cease to be available for future grant or sale under the Plan.</w:t>
      </w:r>
    </w:p>
    <w:p>
      <w:pPr>
        <w:spacing w:after="0" w:line="203" w:lineRule="exact"/>
        <w:rPr>
          <w:rFonts w:ascii="Times New Roman" w:cs="Times New Roman" w:eastAsia="Times New Roman" w:hAnsi="Times New Roman"/>
          <w:sz w:val="22"/>
          <w:szCs w:val="22"/>
          <w:color w:val="auto"/>
        </w:rPr>
      </w:pPr>
    </w:p>
    <w:p>
      <w:pPr>
        <w:ind w:left="2270" w:hanging="332"/>
        <w:spacing w:after="0" w:line="255" w:lineRule="auto"/>
        <w:tabs>
          <w:tab w:leader="none" w:pos="226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Award is paid out in cash rather than Shares, such cash payment will not result in reducing the number of Shares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390"/>
        <w:spacing w:after="0"/>
        <w:rPr>
          <w:sz w:val="20"/>
          <w:szCs w:val="20"/>
          <w:color w:val="auto"/>
        </w:rPr>
      </w:pPr>
      <w:r>
        <w:rPr>
          <w:sz w:val="1"/>
          <w:szCs w:val="1"/>
          <w:color w:val="auto"/>
        </w:rPr>
        <w:drawing>
          <wp:inline distT="0" distB="0" distL="0" distR="0">
            <wp:extent cx="777240" cy="1625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106680</wp:posOffset>
            </wp:positionV>
            <wp:extent cx="71583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10"/>
          </w:cols>
          <w:pgMar w:left="650" w:top="12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0" w:hanging="332"/>
        <w:spacing w:after="0" w:line="255" w:lineRule="auto"/>
        <w:tabs>
          <w:tab w:leader="none" w:pos="259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purchased by the Company with proceeds received from the exercise of an Option will become available for issuance under the Plan.</w:t>
      </w:r>
    </w:p>
    <w:p>
      <w:pPr>
        <w:spacing w:after="0" w:line="185" w:lineRule="exact"/>
        <w:rPr>
          <w:sz w:val="20"/>
          <w:szCs w:val="20"/>
          <w:color w:val="auto"/>
        </w:rPr>
      </w:pPr>
    </w:p>
    <w:p>
      <w:pPr>
        <w:jc w:val="both"/>
        <w:ind w:left="1300" w:hanging="645"/>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b w:val="1"/>
          <w:bCs w:val="1"/>
          <w:color w:val="auto"/>
        </w:rPr>
        <w:t>Incentive Stock Option Limit</w:t>
      </w:r>
      <w:r>
        <w:rPr>
          <w:rFonts w:ascii="Times New Roman" w:cs="Times New Roman" w:eastAsia="Times New Roman" w:hAnsi="Times New Roman"/>
          <w:sz w:val="22"/>
          <w:szCs w:val="22"/>
          <w:color w:val="auto"/>
        </w:rPr>
        <w:t>. Notwithstanding the foregoing and, subject to adjustment as provided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15 of the Plan, the maximum number of Shares that may be issued upon the exercise of Incentive Stock Options will equal the aggregate Share number stated in Section 3.1 of the Plan, plus, to the extent allowable under Section 422 of the Code, any Shares that become available for issuance under the Plan pursuant to this Section 3.2 of the Plan.</w:t>
      </w:r>
    </w:p>
    <w:p>
      <w:pPr>
        <w:spacing w:after="0" w:line="201" w:lineRule="exact"/>
        <w:rPr>
          <w:sz w:val="20"/>
          <w:szCs w:val="20"/>
          <w:color w:val="auto"/>
        </w:rPr>
      </w:pPr>
    </w:p>
    <w:p>
      <w:pPr>
        <w:jc w:val="both"/>
        <w:ind w:left="130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b w:val="1"/>
          <w:bCs w:val="1"/>
          <w:color w:val="auto"/>
        </w:rPr>
        <w:t>Shares Distributed</w:t>
      </w:r>
      <w:r>
        <w:rPr>
          <w:rFonts w:ascii="Times New Roman" w:cs="Times New Roman" w:eastAsia="Times New Roman" w:hAnsi="Times New Roman"/>
          <w:sz w:val="22"/>
          <w:szCs w:val="22"/>
          <w:color w:val="auto"/>
        </w:rPr>
        <w:t>. Any Shares distributed pursuant to an Award may consist, in whole or in part, of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unissued Shares, treasury Shares or Shares purchased on the open market.</w:t>
      </w:r>
    </w:p>
    <w:p>
      <w:pPr>
        <w:spacing w:after="0" w:line="183" w:lineRule="exact"/>
        <w:rPr>
          <w:sz w:val="20"/>
          <w:szCs w:val="20"/>
          <w:color w:val="auto"/>
        </w:rPr>
      </w:pPr>
    </w:p>
    <w:p>
      <w:pPr>
        <w:ind w:left="660" w:right="8080" w:hanging="330"/>
        <w:spacing w:after="0" w:line="459"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Administration of the Plan.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940" w:hanging="645"/>
        <w:spacing w:after="0" w:line="258"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83" w:lineRule="exact"/>
        <w:rPr>
          <w:sz w:val="20"/>
          <w:szCs w:val="20"/>
          <w:color w:val="auto"/>
        </w:rPr>
      </w:pPr>
    </w:p>
    <w:p>
      <w:pPr>
        <w:jc w:val="both"/>
        <w:ind w:left="1940" w:hanging="645"/>
        <w:spacing w:after="0" w:line="244"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97" w:lineRule="exact"/>
        <w:rPr>
          <w:sz w:val="20"/>
          <w:szCs w:val="20"/>
          <w:color w:val="auto"/>
        </w:rPr>
      </w:pPr>
    </w:p>
    <w:p>
      <w:pPr>
        <w:jc w:val="both"/>
        <w:ind w:left="1940" w:right="20" w:hanging="645"/>
        <w:spacing w:after="0" w:line="246"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94" w:lineRule="exact"/>
        <w:rPr>
          <w:sz w:val="20"/>
          <w:szCs w:val="20"/>
          <w:color w:val="auto"/>
        </w:rPr>
      </w:pPr>
    </w:p>
    <w:p>
      <w:pPr>
        <w:jc w:val="both"/>
        <w:ind w:left="1940" w:hanging="645"/>
        <w:spacing w:after="0" w:line="24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color w:val="auto"/>
        </w:rPr>
        <w:t>Delegation of Authority for Day-to-Day Administration</w:t>
      </w:r>
      <w:r>
        <w:rPr>
          <w:rFonts w:ascii="Times New Roman" w:cs="Times New Roman" w:eastAsia="Times New Roman" w:hAnsi="Times New Roman"/>
          <w:sz w:val="22"/>
          <w:szCs w:val="22"/>
          <w:color w:val="auto"/>
        </w:rPr>
        <w:t>. Except to the extent prohibited by Applicable Laws, the Administrator may delegate to one or more individuals the day-to-day administration of the Plan and any of the functions assigned to it in this Plan. Such delegation may be revoked at any time.</w:t>
      </w:r>
    </w:p>
    <w:p>
      <w:pPr>
        <w:spacing w:after="0" w:line="197" w:lineRule="exact"/>
        <w:rPr>
          <w:sz w:val="20"/>
          <w:szCs w:val="20"/>
          <w:color w:val="auto"/>
        </w:rPr>
      </w:pPr>
    </w:p>
    <w:p>
      <w:pPr>
        <w:jc w:val="both"/>
        <w:ind w:left="1300" w:hanging="645"/>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 duties delegated by the Board to such Committee, the Administrator will have the authority, in its discretion:</w:t>
      </w:r>
    </w:p>
    <w:p>
      <w:pPr>
        <w:spacing w:after="0" w:line="201" w:lineRule="exact"/>
        <w:rPr>
          <w:sz w:val="20"/>
          <w:szCs w:val="20"/>
          <w:color w:val="auto"/>
        </w:rPr>
      </w:pPr>
    </w:p>
    <w:p>
      <w:pPr>
        <w:ind w:left="2580" w:hanging="312"/>
        <w:spacing w:after="0"/>
        <w:tabs>
          <w:tab w:leader="none" w:pos="25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31" w:lineRule="exact"/>
        <w:rPr>
          <w:rFonts w:ascii="Times New Roman" w:cs="Times New Roman" w:eastAsia="Times New Roman" w:hAnsi="Times New Roman"/>
          <w:sz w:val="22"/>
          <w:szCs w:val="22"/>
          <w:color w:val="auto"/>
        </w:rPr>
      </w:pPr>
    </w:p>
    <w:p>
      <w:pPr>
        <w:ind w:left="2600" w:right="20" w:hanging="332"/>
        <w:spacing w:after="0" w:line="255" w:lineRule="auto"/>
        <w:tabs>
          <w:tab w:leader="none" w:pos="259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Awards to be granted and select the Service Providers to whom Awards may be granted hereunder;</w:t>
      </w:r>
    </w:p>
    <w:p>
      <w:pPr>
        <w:spacing w:after="0" w:line="175" w:lineRule="exact"/>
        <w:rPr>
          <w:rFonts w:ascii="Times New Roman" w:cs="Times New Roman" w:eastAsia="Times New Roman" w:hAnsi="Times New Roman"/>
          <w:sz w:val="22"/>
          <w:szCs w:val="22"/>
          <w:color w:val="auto"/>
        </w:rPr>
      </w:pPr>
    </w:p>
    <w:p>
      <w:pPr>
        <w:ind w:left="2600" w:hanging="332"/>
        <w:spacing w:after="0" w:line="255" w:lineRule="auto"/>
        <w:tabs>
          <w:tab w:leader="none" w:pos="259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dollar amounts to be covered by each Award granted hereunder;</w:t>
      </w:r>
    </w:p>
    <w:p>
      <w:pPr>
        <w:spacing w:after="0" w:line="188" w:lineRule="exact"/>
        <w:rPr>
          <w:rFonts w:ascii="Times New Roman" w:cs="Times New Roman" w:eastAsia="Times New Roman" w:hAnsi="Times New Roman"/>
          <w:sz w:val="22"/>
          <w:szCs w:val="22"/>
          <w:color w:val="auto"/>
        </w:rPr>
      </w:pPr>
    </w:p>
    <w:p>
      <w:pPr>
        <w:ind w:left="2580" w:hanging="312"/>
        <w:spacing w:after="0"/>
        <w:tabs>
          <w:tab w:leader="none" w:pos="25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31" w:lineRule="exact"/>
        <w:rPr>
          <w:rFonts w:ascii="Times New Roman" w:cs="Times New Roman" w:eastAsia="Times New Roman" w:hAnsi="Times New Roman"/>
          <w:sz w:val="22"/>
          <w:szCs w:val="22"/>
          <w:color w:val="auto"/>
        </w:rPr>
      </w:pPr>
    </w:p>
    <w:p>
      <w:pPr>
        <w:jc w:val="both"/>
        <w:ind w:left="2600" w:hanging="332"/>
        <w:spacing w:after="0" w:line="238" w:lineRule="auto"/>
        <w:tabs>
          <w:tab w:leader="none" w:pos="259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940"/>
        <w:spacing w:after="0" w:line="232" w:lineRule="auto"/>
        <w:rPr>
          <w:sz w:val="20"/>
          <w:szCs w:val="20"/>
          <w:color w:val="auto"/>
        </w:rPr>
      </w:pPr>
      <w:r>
        <w:rPr>
          <w:rFonts w:ascii="Times New Roman" w:cs="Times New Roman" w:eastAsia="Times New Roman" w:hAnsi="Times New Roman"/>
          <w:sz w:val="22"/>
          <w:szCs w:val="22"/>
          <w:color w:val="auto"/>
        </w:rPr>
        <w:t>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will determine;</w:t>
      </w:r>
    </w:p>
    <w:p>
      <w:pPr>
        <w:spacing w:after="0" w:line="209" w:lineRule="exact"/>
        <w:rPr>
          <w:sz w:val="20"/>
          <w:szCs w:val="20"/>
          <w:color w:val="auto"/>
        </w:rPr>
      </w:pPr>
    </w:p>
    <w:p>
      <w:pPr>
        <w:ind w:left="1940" w:right="20" w:hanging="332"/>
        <w:spacing w:after="0" w:line="255" w:lineRule="auto"/>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implement and determine the terms and conditions of an Exchange Program, subject to stockholder approval of the Exchange Program as required in Section 2.19 of the Plan;</w:t>
      </w:r>
    </w:p>
    <w:p>
      <w:pPr>
        <w:spacing w:after="0" w:line="188" w:lineRule="exact"/>
        <w:rPr>
          <w:rFonts w:ascii="Times New Roman" w:cs="Times New Roman" w:eastAsia="Times New Roman" w:hAnsi="Times New Roman"/>
          <w:sz w:val="22"/>
          <w:szCs w:val="22"/>
          <w:color w:val="auto"/>
        </w:rPr>
      </w:pPr>
    </w:p>
    <w:p>
      <w:pPr>
        <w:ind w:left="1920" w:hanging="312"/>
        <w:spacing w:after="0"/>
        <w:tabs>
          <w:tab w:leader="none" w:pos="19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31" w:lineRule="exact"/>
        <w:rPr>
          <w:rFonts w:ascii="Times New Roman" w:cs="Times New Roman" w:eastAsia="Times New Roman" w:hAnsi="Times New Roman"/>
          <w:sz w:val="22"/>
          <w:szCs w:val="22"/>
          <w:color w:val="auto"/>
        </w:rPr>
      </w:pPr>
    </w:p>
    <w:p>
      <w:pPr>
        <w:jc w:val="both"/>
        <w:ind w:left="1940" w:hanging="332"/>
        <w:spacing w:after="0" w:line="249" w:lineRule="exact"/>
        <w:tabs>
          <w:tab w:leader="none" w:pos="19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209" w:lineRule="exact"/>
        <w:rPr>
          <w:rFonts w:ascii="Times New Roman" w:cs="Times New Roman" w:eastAsia="Times New Roman" w:hAnsi="Times New Roman"/>
          <w:sz w:val="22"/>
          <w:szCs w:val="22"/>
          <w:color w:val="auto"/>
        </w:rPr>
      </w:pPr>
    </w:p>
    <w:p>
      <w:pPr>
        <w:jc w:val="both"/>
        <w:ind w:left="1940" w:hanging="332"/>
        <w:spacing w:after="0" w:line="235" w:lineRule="auto"/>
        <w:tabs>
          <w:tab w:leader="none" w:pos="1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of the Plan), including but not limited to the discretionary authority to extend the post-termination exercisability period of Awards and to extend the maximum term of an Option or Stock Appreciation Right (subject to Sections 6.4 and 7.5 of the Plan);</w:t>
      </w:r>
    </w:p>
    <w:p>
      <w:pPr>
        <w:spacing w:after="0" w:line="206" w:lineRule="exact"/>
        <w:rPr>
          <w:rFonts w:ascii="Times New Roman" w:cs="Times New Roman" w:eastAsia="Times New Roman" w:hAnsi="Times New Roman"/>
          <w:sz w:val="22"/>
          <w:szCs w:val="22"/>
          <w:color w:val="auto"/>
        </w:rPr>
      </w:pPr>
    </w:p>
    <w:p>
      <w:pPr>
        <w:ind w:left="1940" w:right="20" w:hanging="332"/>
        <w:spacing w:after="0" w:line="255" w:lineRule="auto"/>
        <w:tabs>
          <w:tab w:leader="none" w:pos="1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for Tax-Related Amounts (and any other required amounts required by Applicable Laws) in a manner prescribed in Section 16 of the Plan;</w:t>
      </w:r>
    </w:p>
    <w:p>
      <w:pPr>
        <w:spacing w:after="0" w:line="188" w:lineRule="exact"/>
        <w:rPr>
          <w:rFonts w:ascii="Times New Roman" w:cs="Times New Roman" w:eastAsia="Times New Roman" w:hAnsi="Times New Roman"/>
          <w:sz w:val="22"/>
          <w:szCs w:val="22"/>
          <w:color w:val="auto"/>
        </w:rPr>
      </w:pPr>
    </w:p>
    <w:p>
      <w:pPr>
        <w:ind w:left="1940" w:hanging="332"/>
        <w:spacing w:after="0" w:line="255" w:lineRule="auto"/>
        <w:tabs>
          <w:tab w:leader="none" w:pos="19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88" w:lineRule="exact"/>
        <w:rPr>
          <w:rFonts w:ascii="Times New Roman" w:cs="Times New Roman" w:eastAsia="Times New Roman" w:hAnsi="Times New Roman"/>
          <w:sz w:val="22"/>
          <w:szCs w:val="22"/>
          <w:color w:val="auto"/>
        </w:rPr>
      </w:pPr>
    </w:p>
    <w:p>
      <w:pPr>
        <w:ind w:left="1940" w:hanging="332"/>
        <w:spacing w:after="0" w:line="255" w:lineRule="auto"/>
        <w:tabs>
          <w:tab w:leader="none" w:pos="1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or require a Participant to defer the receipt of the payment of cash or the delivery of Shares that otherwise would be due to such Participant under an Award;</w:t>
      </w:r>
    </w:p>
    <w:p>
      <w:pPr>
        <w:spacing w:after="0" w:line="189" w:lineRule="exact"/>
        <w:rPr>
          <w:sz w:val="20"/>
          <w:szCs w:val="20"/>
          <w:color w:val="auto"/>
        </w:rPr>
      </w:pPr>
    </w:p>
    <w:p>
      <w:pPr>
        <w:ind w:left="1600" w:right="500"/>
        <w:spacing w:after="0" w:line="496" w:lineRule="auto"/>
        <w:rPr>
          <w:sz w:val="20"/>
          <w:szCs w:val="20"/>
          <w:color w:val="auto"/>
        </w:rPr>
      </w:pPr>
      <w:r>
        <w:rPr>
          <w:rFonts w:ascii="Times New Roman" w:cs="Times New Roman" w:eastAsia="Times New Roman" w:hAnsi="Times New Roman"/>
          <w:sz w:val="20"/>
          <w:szCs w:val="20"/>
          <w:color w:val="auto"/>
        </w:rPr>
        <w:t>(m)to determine whether Awards will be settled in Shares, cash or in any combination thereof; and (n) to make all other determinations deemed necessary or advisable for administering the Plan.</w:t>
      </w:r>
    </w:p>
    <w:p>
      <w:pPr>
        <w:spacing w:after="0" w:line="1" w:lineRule="exact"/>
        <w:rPr>
          <w:sz w:val="20"/>
          <w:szCs w:val="20"/>
          <w:color w:val="auto"/>
        </w:rPr>
      </w:pPr>
    </w:p>
    <w:p>
      <w:pPr>
        <w:jc w:val="both"/>
        <w:ind w:left="640" w:hanging="645"/>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b w:val="1"/>
          <w:bCs w:val="1"/>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and binding on all Participants and any other holders of Awards and will be given the maximum deference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40"/>
        <w:spacing w:after="0"/>
        <w:rPr>
          <w:sz w:val="20"/>
          <w:szCs w:val="20"/>
          <w:color w:val="auto"/>
        </w:rPr>
      </w:pPr>
      <w:r>
        <w:rPr>
          <w:sz w:val="1"/>
          <w:szCs w:val="1"/>
          <w:color w:val="auto"/>
        </w:rPr>
        <w:drawing>
          <wp:inline distT="0" distB="0" distL="0" distR="0">
            <wp:extent cx="777240" cy="16256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105410</wp:posOffset>
            </wp:positionV>
            <wp:extent cx="71583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300" w:hanging="645"/>
        <w:spacing w:after="0" w:line="248" w:lineRule="exact"/>
        <w:tabs>
          <w:tab w:leader="none" w:pos="12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b w:val="1"/>
          <w:bCs w:val="1"/>
          <w:color w:val="auto"/>
        </w:rPr>
        <w:t>Minimum Vesting Requirements</w:t>
      </w:r>
      <w:r>
        <w:rPr>
          <w:rFonts w:ascii="Times New Roman" w:cs="Times New Roman" w:eastAsia="Times New Roman" w:hAnsi="Times New Roman"/>
          <w:sz w:val="22"/>
          <w:szCs w:val="22"/>
          <w:color w:val="auto"/>
        </w:rPr>
        <w:t>. Full Value Awards shall be either (a) subject to a minimum vesting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years (which may include graduated vesting within such three-year period), or one year if the vesting is based on performance criteria other than continued service, or (b) be granted solely in exchange for forgone cash compensation. Notwithstanding the foregoing, (i) the Administrator may at its discretion permit and authorize acceleration of vesting of Full Value Awards in the event of the Participant’s death, Disability, or retirement, or the occurrence of a Change in Control, (ii) the Administrator may grant Full Value Awards without the above-described minimum vesting requirements, or may permit and authorize acceleration of vesting of Full Value Awards otherwise subject to the above-described minimum vesting requirements, with respect to Awards covering five percent (5%) or fewer of the aggregate maximum number of Shares authorized under the Plan, and (iii) this Section 4.4 shall not apply to Awards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w:t>
      </w:r>
    </w:p>
    <w:p>
      <w:pPr>
        <w:spacing w:after="0" w:line="173" w:lineRule="exact"/>
        <w:rPr>
          <w:sz w:val="20"/>
          <w:szCs w:val="20"/>
          <w:color w:val="auto"/>
        </w:rPr>
      </w:pPr>
    </w:p>
    <w:p>
      <w:pPr>
        <w:jc w:val="both"/>
        <w:ind w:left="1300" w:hanging="645"/>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2"/>
          <w:szCs w:val="22"/>
          <w:b w:val="1"/>
          <w:bCs w:val="1"/>
          <w:color w:val="auto"/>
        </w:rPr>
        <w:t>Death or Disability</w:t>
      </w:r>
      <w:r>
        <w:rPr>
          <w:rFonts w:ascii="Times New Roman" w:cs="Times New Roman" w:eastAsia="Times New Roman" w:hAnsi="Times New Roman"/>
          <w:sz w:val="22"/>
          <w:szCs w:val="22"/>
          <w:color w:val="auto"/>
        </w:rPr>
        <w:t>. Except as otherwise provided in the Award Agreement, or any special Plan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governing an Award’s terms, upon a Participant ceasing to be a Service Provider by reason of his or her death or Disability:</w:t>
      </w:r>
    </w:p>
    <w:p>
      <w:pPr>
        <w:spacing w:after="0" w:line="201" w:lineRule="exact"/>
        <w:rPr>
          <w:sz w:val="20"/>
          <w:szCs w:val="20"/>
          <w:color w:val="auto"/>
        </w:rPr>
      </w:pPr>
    </w:p>
    <w:p>
      <w:pPr>
        <w:jc w:val="both"/>
        <w:ind w:left="2600" w:hanging="332"/>
        <w:spacing w:after="0" w:line="232" w:lineRule="auto"/>
        <w:tabs>
          <w:tab w:leader="none" w:pos="25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such Participant’s outstanding Options, SARs, and other Awards in the nature of rights that may be exercised that are solely subject to time-based vesting requirements shall become vested and fully exercisable as of the date of cessation of the Participant’s status as a Service Provider, and shall thereafter remain exercisable for a period of twelve (12) months or until the earlier expiration of the original term of the Option, SAR or other Award; provided, however, to the extent that an Option is exercised more than three (3) months after a Participant’s status as a Service Provider terminates by reason of his or her Disability, the Option shall be deemed to be a Nonstatutory Stock Option.</w:t>
      </w:r>
    </w:p>
    <w:p>
      <w:pPr>
        <w:spacing w:after="0" w:line="209" w:lineRule="exact"/>
        <w:rPr>
          <w:rFonts w:ascii="Times New Roman" w:cs="Times New Roman" w:eastAsia="Times New Roman" w:hAnsi="Times New Roman"/>
          <w:sz w:val="22"/>
          <w:szCs w:val="22"/>
          <w:color w:val="auto"/>
        </w:rPr>
      </w:pPr>
    </w:p>
    <w:p>
      <w:pPr>
        <w:ind w:left="2600" w:hanging="332"/>
        <w:spacing w:after="0" w:line="255" w:lineRule="auto"/>
        <w:tabs>
          <w:tab w:leader="none" w:pos="259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time-based vesting restrictions on the Participant’s outstanding Awards shall lapse as of the date of cessation of the Participant’s status as a Service Provider.</w:t>
      </w:r>
    </w:p>
    <w:p>
      <w:pPr>
        <w:spacing w:after="0" w:line="188" w:lineRule="exact"/>
        <w:rPr>
          <w:rFonts w:ascii="Times New Roman" w:cs="Times New Roman" w:eastAsia="Times New Roman" w:hAnsi="Times New Roman"/>
          <w:sz w:val="22"/>
          <w:szCs w:val="22"/>
          <w:color w:val="auto"/>
        </w:rPr>
      </w:pPr>
    </w:p>
    <w:p>
      <w:pPr>
        <w:jc w:val="both"/>
        <w:ind w:left="2600" w:hanging="332"/>
        <w:spacing w:after="0" w:line="232" w:lineRule="auto"/>
        <w:tabs>
          <w:tab w:leader="none" w:pos="25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payout opportunities attainable under all of such Participant’s outstanding performance-based Awards shall be deemed to have been fully earned as of the date of cessation of the Participant’s status as a Service Provider based upon an assumed achievement of all relevant performance goals at the “target” level and there shall be a pro rata payout to the Participant or his or her estate within thirty (30) days following the date of such cessation (or any later date required by Section 12 of the Plan) based upon the length of time within the performance period that has elapsed prior to the date of cessation of the Participant’s status as a Service Provider.</w:t>
      </w:r>
    </w:p>
    <w:p>
      <w:pPr>
        <w:spacing w:after="0" w:line="212"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Except as otherwise provided in this Section 4.5, any Awards shall thereafter continue or lapse in accordance with the other provisions of the Plan and the Award Agreement. Notwithstanding the foregoing, in the case of a cessation of a Participant’s status as a Service Provider by reason of his or her Disability, this Section 4.5 shall apply to such Participant only if the designated person in the Human Resources Department of the Participant’s employer (either the Company or an Affiliate)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0"/>
        <w:spacing w:after="0"/>
        <w:tabs>
          <w:tab w:leader="none" w:pos="949"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0"/>
          <w:szCs w:val="20"/>
          <w:b w:val="1"/>
          <w:bCs w:val="1"/>
          <w:color w:val="auto"/>
        </w:rPr>
        <w:t>Limitation on Awards.</w:t>
      </w:r>
    </w:p>
    <w:p>
      <w:pPr>
        <w:spacing w:after="0" w:line="235" w:lineRule="exact"/>
        <w:rPr>
          <w:sz w:val="20"/>
          <w:szCs w:val="20"/>
          <w:color w:val="auto"/>
        </w:rPr>
      </w:pPr>
    </w:p>
    <w:p>
      <w:pPr>
        <w:jc w:val="both"/>
        <w:ind w:left="2270" w:hanging="332"/>
        <w:spacing w:after="0" w:line="260" w:lineRule="auto"/>
        <w:tabs>
          <w:tab w:leader="none" w:pos="226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in the Plan to the contrary (but subject to adjustment as provided in Section 15.1 of the Plan), the maximum number of Shares with respect to one or more Options and/or SARs that may be granted during any one calendar year under the Plan to any one Participant shall be 5,000,000. The maximum aggregate number of Shares covering Awards of Restricted Stock, Restricted Stock Units, Performance Awards or other Stock-Based Awards (other than Options or SARs) granted in any one calendar year to any one Participant shall be 5,000,000.</w:t>
      </w:r>
    </w:p>
    <w:p>
      <w:pPr>
        <w:spacing w:after="0" w:line="186" w:lineRule="exact"/>
        <w:rPr>
          <w:rFonts w:ascii="Times New Roman" w:cs="Times New Roman" w:eastAsia="Times New Roman" w:hAnsi="Times New Roman"/>
          <w:sz w:val="20"/>
          <w:szCs w:val="20"/>
          <w:color w:val="auto"/>
        </w:rPr>
      </w:pPr>
    </w:p>
    <w:p>
      <w:pPr>
        <w:jc w:val="both"/>
        <w:ind w:left="2270" w:hanging="332"/>
        <w:spacing w:after="0" w:line="270" w:lineRule="auto"/>
        <w:tabs>
          <w:tab w:leader="none" w:pos="226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number of Shares subject to Awards granted during a single Fiscal Year to any Non-Employee Director, taken together with any cash fees paid to such Non-Employee Director during the Fiscal Year, shall not exceed USD 1,500,000 in total value (calculating the value of any such Awards based on the grant date fair value of such Awards for financial reporting purposes).</w:t>
      </w:r>
    </w:p>
    <w:p>
      <w:pPr>
        <w:spacing w:after="0" w:line="171" w:lineRule="exact"/>
        <w:rPr>
          <w:rFonts w:ascii="Times New Roman" w:cs="Times New Roman" w:eastAsia="Times New Roman" w:hAnsi="Times New Roman"/>
          <w:sz w:val="20"/>
          <w:szCs w:val="20"/>
          <w:color w:val="auto"/>
        </w:rPr>
      </w:pPr>
    </w:p>
    <w:p>
      <w:pPr>
        <w:jc w:val="both"/>
        <w:ind w:left="330" w:hanging="330"/>
        <w:spacing w:after="0" w:line="244" w:lineRule="auto"/>
        <w:tabs>
          <w:tab w:leader="none" w:pos="33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or Other Stock-Based Awards may be granted to Service Providers. Incentive Stock Options may be granted only to Employees of the Company or of any Parent or Subsidiary of the Company.</w:t>
      </w:r>
    </w:p>
    <w:p>
      <w:pPr>
        <w:spacing w:after="0" w:line="196"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Options.</w:t>
      </w:r>
    </w:p>
    <w:p>
      <w:pPr>
        <w:spacing w:after="0" w:line="231" w:lineRule="exact"/>
        <w:rPr>
          <w:rFonts w:ascii="Times New Roman" w:cs="Times New Roman" w:eastAsia="Times New Roman" w:hAnsi="Times New Roman"/>
          <w:sz w:val="22"/>
          <w:szCs w:val="22"/>
          <w:color w:val="auto"/>
        </w:rPr>
      </w:pPr>
    </w:p>
    <w:p>
      <w:pPr>
        <w:ind w:left="970" w:hanging="646"/>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conditions of the Plan, the Administrator, at any time and from time to time, may grant Options to Service Providers in such amounts as the Administrator, in its sole discretion, will determine.</w:t>
      </w:r>
    </w:p>
    <w:p>
      <w:pPr>
        <w:spacing w:after="0" w:line="202" w:lineRule="exact"/>
        <w:rPr>
          <w:rFonts w:ascii="Times New Roman" w:cs="Times New Roman" w:eastAsia="Times New Roman" w:hAnsi="Times New Roman"/>
          <w:sz w:val="22"/>
          <w:szCs w:val="22"/>
          <w:color w:val="auto"/>
        </w:rPr>
      </w:pPr>
    </w:p>
    <w:p>
      <w:pPr>
        <w:ind w:left="97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203" w:lineRule="exact"/>
        <w:rPr>
          <w:rFonts w:ascii="Times New Roman" w:cs="Times New Roman" w:eastAsia="Times New Roman" w:hAnsi="Times New Roman"/>
          <w:sz w:val="22"/>
          <w:szCs w:val="22"/>
          <w:color w:val="auto"/>
        </w:rPr>
      </w:pPr>
    </w:p>
    <w:p>
      <w:pPr>
        <w:ind w:left="970" w:hanging="646"/>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(USD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Section 422 of the Code.</w:t>
      </w:r>
    </w:p>
    <w:p>
      <w:pPr>
        <w:spacing w:after="0" w:line="201" w:lineRule="exact"/>
        <w:rPr>
          <w:rFonts w:ascii="Times New Roman" w:cs="Times New Roman" w:eastAsia="Times New Roman" w:hAnsi="Times New Roman"/>
          <w:sz w:val="22"/>
          <w:szCs w:val="22"/>
          <w:color w:val="auto"/>
        </w:rPr>
      </w:pPr>
    </w:p>
    <w:p>
      <w:pPr>
        <w:ind w:left="970" w:hanging="646"/>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spacing w:after="0" w:line="200" w:lineRule="exact"/>
        <w:rPr>
          <w:sz w:val="20"/>
          <w:szCs w:val="20"/>
          <w:color w:val="auto"/>
        </w:rPr>
      </w:pPr>
    </w:p>
    <w:p>
      <w:pPr>
        <w:spacing w:after="0" w:line="236" w:lineRule="exact"/>
        <w:rPr>
          <w:sz w:val="20"/>
          <w:szCs w:val="20"/>
          <w:color w:val="auto"/>
        </w:rPr>
      </w:pPr>
    </w:p>
    <w:p>
      <w:pPr>
        <w:ind w:left="9370"/>
        <w:spacing w:after="0"/>
        <w:rPr>
          <w:sz w:val="20"/>
          <w:szCs w:val="20"/>
          <w:color w:val="auto"/>
        </w:rPr>
      </w:pPr>
      <w:r>
        <w:rPr>
          <w:sz w:val="1"/>
          <w:szCs w:val="1"/>
          <w:color w:val="auto"/>
        </w:rPr>
        <w:drawing>
          <wp:inline distT="0" distB="0" distL="0" distR="0">
            <wp:extent cx="777240" cy="16256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105410</wp:posOffset>
            </wp:positionV>
            <wp:extent cx="71583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10"/>
          </w:cols>
          <w:pgMar w:left="650" w:top="125" w:right="339" w:bottom="1440" w:gutter="0" w:footer="0" w:header="0"/>
        </w:sectPr>
      </w:pPr>
    </w:p>
    <w:bookmarkStart w:id="121" w:name="page122"/>
    <w:bookmarkEnd w:id="121"/>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0"/>
          <w:szCs w:val="20"/>
          <w:b w:val="1"/>
          <w:bCs w:val="1"/>
          <w:color w:val="auto"/>
        </w:rPr>
        <w:t>Option Exercise Price and Consideration</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jc w:val="both"/>
        <w:ind w:left="1940" w:hanging="645"/>
        <w:spacing w:after="0" w:line="257" w:lineRule="auto"/>
        <w:rPr>
          <w:sz w:val="20"/>
          <w:szCs w:val="20"/>
          <w:color w:val="auto"/>
        </w:rPr>
      </w:pPr>
      <w:r>
        <w:rPr>
          <w:rFonts w:ascii="Times New Roman" w:cs="Times New Roman" w:eastAsia="Times New Roman" w:hAnsi="Times New Roman"/>
          <w:sz w:val="20"/>
          <w:szCs w:val="20"/>
          <w:color w:val="auto"/>
        </w:rPr>
        <w:t xml:space="preserve">6.5.1.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92" w:lineRule="exact"/>
        <w:rPr>
          <w:sz w:val="20"/>
          <w:szCs w:val="20"/>
          <w:color w:val="auto"/>
        </w:rPr>
      </w:pPr>
    </w:p>
    <w:p>
      <w:pPr>
        <w:jc w:val="both"/>
        <w:ind w:left="1940" w:hanging="645"/>
        <w:spacing w:after="0" w:line="244"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97" w:lineRule="exact"/>
        <w:rPr>
          <w:sz w:val="20"/>
          <w:szCs w:val="20"/>
          <w:color w:val="auto"/>
        </w:rPr>
      </w:pPr>
    </w:p>
    <w:p>
      <w:pPr>
        <w:jc w:val="both"/>
        <w:ind w:left="1940" w:hanging="645"/>
        <w:spacing w:after="0" w:line="232"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b w:val="1"/>
          <w:bCs w:val="1"/>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Such consideration may consist entirely of, without limitation: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0"/>
          <w:szCs w:val="20"/>
          <w:b w:val="1"/>
          <w:bCs w:val="1"/>
          <w:color w:val="auto"/>
        </w:rPr>
        <w:t>Exercise of Option</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jc w:val="both"/>
        <w:ind w:left="1940" w:hanging="645"/>
        <w:spacing w:after="0" w:line="236" w:lineRule="auto"/>
        <w:rPr>
          <w:sz w:val="20"/>
          <w:szCs w:val="20"/>
          <w:color w:val="auto"/>
        </w:rPr>
      </w:pPr>
      <w:r>
        <w:rPr>
          <w:rFonts w:ascii="Times New Roman" w:cs="Times New Roman" w:eastAsia="Times New Roman" w:hAnsi="Times New Roman"/>
          <w:sz w:val="22"/>
          <w:szCs w:val="22"/>
          <w:color w:val="auto"/>
        </w:rPr>
        <w:t xml:space="preserve">6.6.1. </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6" w:lineRule="exact"/>
        <w:rPr>
          <w:sz w:val="20"/>
          <w:szCs w:val="20"/>
          <w:color w:val="auto"/>
        </w:rPr>
      </w:pPr>
    </w:p>
    <w:p>
      <w:pPr>
        <w:jc w:val="both"/>
        <w:ind w:left="1220" w:firstLine="726"/>
        <w:spacing w:after="0" w:line="233"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and in accordance with the procedures as the Administrator may specify from time to time (which, for the avoidance of doubt, may include automatic exercise on terms specified by the Administrator) from the person entitled to exercise the Option, and (b) full payment for the Shares with respect to which the Option is exercised (together with applicable withholdings). Full payment may consist of any consideration and method of payment authorized by the Administrator and permitted by the Award Agreement and the Plan. The Administrator, in its discretion, also may determine that an Option will be automatically exercised on terms specified by the Administrator. Shares issued upon exercise of an Option will be issued in the name of the Participant or, if requested by the Participant, in the name of the Participant and his or her spouse. Until the Shares are issued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00"/>
        <w:spacing w:after="0" w:line="265" w:lineRule="auto"/>
        <w:rPr>
          <w:sz w:val="20"/>
          <w:szCs w:val="20"/>
          <w:color w:val="auto"/>
        </w:rPr>
      </w:pPr>
      <w:r>
        <w:rPr>
          <w:rFonts w:ascii="Times New Roman" w:cs="Times New Roman" w:eastAsia="Times New Roman" w:hAnsi="Times New Roman"/>
          <w:sz w:val="20"/>
          <w:szCs w:val="20"/>
          <w:color w:val="auto"/>
        </w:rPr>
        <w:t>(as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83" w:lineRule="exact"/>
        <w:rPr>
          <w:sz w:val="20"/>
          <w:szCs w:val="20"/>
          <w:color w:val="auto"/>
        </w:rPr>
      </w:pPr>
    </w:p>
    <w:p>
      <w:pPr>
        <w:jc w:val="both"/>
        <w:ind w:left="100" w:firstLine="726"/>
        <w:spacing w:after="0" w:line="237"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(except as provided otherwise under Section 3.2 of the Plan) and for sale under the Option, by the number of Shares as to which the Option is exercised.</w:t>
      </w:r>
    </w:p>
    <w:p>
      <w:pPr>
        <w:spacing w:after="0" w:line="202" w:lineRule="exact"/>
        <w:rPr>
          <w:sz w:val="20"/>
          <w:szCs w:val="20"/>
          <w:color w:val="auto"/>
        </w:rPr>
      </w:pPr>
    </w:p>
    <w:p>
      <w:pPr>
        <w:jc w:val="both"/>
        <w:ind w:left="820" w:hanging="645"/>
        <w:spacing w:after="0" w:line="232" w:lineRule="auto"/>
        <w:rPr>
          <w:sz w:val="20"/>
          <w:szCs w:val="20"/>
          <w:color w:val="auto"/>
        </w:rPr>
      </w:pPr>
      <w:r>
        <w:rPr>
          <w:rFonts w:ascii="Times New Roman" w:cs="Times New Roman" w:eastAsia="Times New Roman" w:hAnsi="Times New Roman"/>
          <w:sz w:val="22"/>
          <w:szCs w:val="22"/>
          <w:color w:val="auto"/>
        </w:rPr>
        <w:t xml:space="preserve">6.6.2. </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of the Plan.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202" w:lineRule="exact"/>
        <w:rPr>
          <w:sz w:val="20"/>
          <w:szCs w:val="20"/>
          <w:color w:val="auto"/>
        </w:rPr>
      </w:pPr>
    </w:p>
    <w:p>
      <w:pPr>
        <w:jc w:val="both"/>
        <w:ind w:left="820" w:hanging="645"/>
        <w:spacing w:after="0" w:line="232" w:lineRule="auto"/>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If a Participant dies while a Service Provider, the Option (to the extent vested) may be exercised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b w:val="1"/>
          <w:bCs w:val="1"/>
          <w:color w:val="auto"/>
        </w:rPr>
        <w:t>Legal Representative</w:t>
      </w:r>
      <w:r>
        <w:rPr>
          <w:rFonts w:ascii="Times New Roman" w:cs="Times New Roman" w:eastAsia="Times New Roman" w:hAnsi="Times New Roman"/>
          <w:sz w:val="22"/>
          <w:szCs w:val="22"/>
          <w:color w:val="auto"/>
        </w:rPr>
        <w:t>”). If the Option is exercised pursuant to this Section 6.6.3, the Participant’s designated beneficiary or Legal Representative shall be subject to the terms of this Plan and the Award Agreement, including but not limited to the restrictions on transferability and forfeitability applicable to the Service Provider.</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6.6.4.  </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35" w:lineRule="exact"/>
        <w:rPr>
          <w:sz w:val="20"/>
          <w:szCs w:val="20"/>
          <w:color w:val="auto"/>
        </w:rPr>
      </w:pPr>
    </w:p>
    <w:p>
      <w:pPr>
        <w:jc w:val="both"/>
        <w:ind w:left="1480" w:hanging="332"/>
        <w:spacing w:after="0" w:line="236" w:lineRule="auto"/>
        <w:tabs>
          <w:tab w:leader="none" w:pos="147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580"/>
        <w:spacing w:after="0"/>
        <w:rPr>
          <w:sz w:val="20"/>
          <w:szCs w:val="20"/>
          <w:color w:val="auto"/>
        </w:rPr>
      </w:pPr>
      <w:r>
        <w:rPr>
          <w:sz w:val="1"/>
          <w:szCs w:val="1"/>
          <w:color w:val="auto"/>
        </w:rPr>
        <w:drawing>
          <wp:inline distT="0" distB="0" distL="0" distR="0">
            <wp:extent cx="777240" cy="16256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105410</wp:posOffset>
            </wp:positionV>
            <wp:extent cx="71583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2600" w:hanging="332"/>
        <w:spacing w:after="0" w:line="232" w:lineRule="auto"/>
        <w:tabs>
          <w:tab w:leader="none" w:pos="25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207" w:lineRule="exact"/>
        <w:rPr>
          <w:rFonts w:ascii="Times New Roman" w:cs="Times New Roman" w:eastAsia="Times New Roman" w:hAnsi="Times New Roman"/>
          <w:sz w:val="22"/>
          <w:szCs w:val="22"/>
          <w:color w:val="auto"/>
        </w:rPr>
      </w:pPr>
    </w:p>
    <w:p>
      <w:pPr>
        <w:ind w:left="660" w:hanging="330"/>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Appreciation Rights.</w:t>
      </w:r>
    </w:p>
    <w:p>
      <w:pPr>
        <w:spacing w:after="0" w:line="231" w:lineRule="exact"/>
        <w:rPr>
          <w:rFonts w:ascii="Times New Roman" w:cs="Times New Roman" w:eastAsia="Times New Roman" w:hAnsi="Times New Roman"/>
          <w:sz w:val="22"/>
          <w:szCs w:val="22"/>
          <w:color w:val="auto"/>
        </w:rPr>
      </w:pPr>
    </w:p>
    <w:p>
      <w:pPr>
        <w:ind w:left="130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96"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the terms and conditions of the Plan, the Administrator will have complete discretion to determine the number of Shares subject to any Award of Stock Appreciation Rights.</w:t>
      </w:r>
    </w:p>
    <w:p>
      <w:pPr>
        <w:spacing w:after="0" w:line="182"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Exercise Price and Other Terms</w:t>
      </w:r>
      <w:r>
        <w:rPr>
          <w:rFonts w:ascii="Times New Roman" w:cs="Times New Roman" w:eastAsia="Times New Roman" w:hAnsi="Times New Roman"/>
          <w:sz w:val="20"/>
          <w:szCs w:val="20"/>
          <w:color w:val="auto"/>
        </w:rPr>
        <w:t>. The per Share exercise price for the Shares that will determine the amount of the payment to be received upon exercise of a Stock Appreciation Right as set forth in Section 7.6 of the Plan will be determined by the Administrator and will be no less than one hundred percent (100%) of the Fair Market Value per Share on the date of grant. Notwithstanding the foregoing provisions of this Section 7.3, Stock Appreciation Rights may be granted with a per 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88" w:lineRule="exact"/>
        <w:rPr>
          <w:rFonts w:ascii="Times New Roman" w:cs="Times New Roman" w:eastAsia="Times New Roman" w:hAnsi="Times New Roman"/>
          <w:sz w:val="22"/>
          <w:szCs w:val="22"/>
          <w:color w:val="auto"/>
        </w:rPr>
      </w:pPr>
    </w:p>
    <w:p>
      <w:pPr>
        <w:ind w:left="130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96" w:lineRule="exact"/>
        <w:rPr>
          <w:rFonts w:ascii="Times New Roman" w:cs="Times New Roman" w:eastAsia="Times New Roman" w:hAnsi="Times New Roman"/>
          <w:sz w:val="22"/>
          <w:szCs w:val="22"/>
          <w:color w:val="auto"/>
        </w:rPr>
      </w:pPr>
    </w:p>
    <w:p>
      <w:pPr>
        <w:ind w:left="1300" w:hanging="646"/>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Term and 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of the Plan relating to the maximum term (disregarding any special rules applicable only to Incentive Stock Options) and Section 6.6 of the Plan relating to exercise also will apply to Stock Appreciation Rights.</w:t>
      </w:r>
    </w:p>
    <w:p>
      <w:pPr>
        <w:spacing w:after="0" w:line="200"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 Upon exercise of a Stock Appreciation Right, a Participant will be entitled to receive payment from the Company in an amount determined by multiplying:</w:t>
      </w:r>
    </w:p>
    <w:p>
      <w:pPr>
        <w:spacing w:after="0" w:line="186" w:lineRule="exact"/>
        <w:rPr>
          <w:rFonts w:ascii="Times New Roman" w:cs="Times New Roman" w:eastAsia="Times New Roman" w:hAnsi="Times New Roman"/>
          <w:sz w:val="22"/>
          <w:szCs w:val="22"/>
          <w:color w:val="auto"/>
        </w:rPr>
      </w:pPr>
    </w:p>
    <w:p>
      <w:pPr>
        <w:ind w:left="2600" w:hanging="332"/>
        <w:spacing w:after="0" w:line="255" w:lineRule="auto"/>
        <w:tabs>
          <w:tab w:leader="none" w:pos="2597"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 exercise price; times</w:t>
      </w:r>
    </w:p>
    <w:p>
      <w:pPr>
        <w:spacing w:after="0" w:line="188" w:lineRule="exact"/>
        <w:rPr>
          <w:rFonts w:ascii="Times New Roman" w:cs="Times New Roman" w:eastAsia="Times New Roman" w:hAnsi="Times New Roman"/>
          <w:sz w:val="22"/>
          <w:szCs w:val="22"/>
          <w:color w:val="auto"/>
        </w:rPr>
      </w:pPr>
    </w:p>
    <w:p>
      <w:pPr>
        <w:ind w:left="2580" w:hanging="312"/>
        <w:spacing w:after="0"/>
        <w:tabs>
          <w:tab w:leader="none" w:pos="258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890" w:firstLine="726"/>
        <w:spacing w:after="0" w:line="255"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85" w:lineRule="exact"/>
        <w:rPr>
          <w:sz w:val="20"/>
          <w:szCs w:val="20"/>
          <w:color w:val="auto"/>
        </w:rPr>
      </w:pPr>
    </w:p>
    <w:p>
      <w:pPr>
        <w:ind w:left="330" w:hanging="330"/>
        <w:spacing w:after="0"/>
        <w:tabs>
          <w:tab w:leader="none" w:pos="33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w:t>
      </w:r>
    </w:p>
    <w:p>
      <w:pPr>
        <w:spacing w:after="0" w:line="231" w:lineRule="exact"/>
        <w:rPr>
          <w:rFonts w:ascii="Times New Roman" w:cs="Times New Roman" w:eastAsia="Times New Roman" w:hAnsi="Times New Roman"/>
          <w:sz w:val="22"/>
          <w:szCs w:val="22"/>
          <w:color w:val="auto"/>
        </w:rPr>
      </w:pPr>
    </w:p>
    <w:p>
      <w:pPr>
        <w:ind w:left="97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conditions of the Plan, the Administrator, at any time and from time to time, may grant Shares of Restricted Stock to Service Providers in such amounts as the Administrator, in its sole discretion, will determine.</w:t>
      </w:r>
    </w:p>
    <w:p>
      <w:pPr>
        <w:spacing w:after="0" w:line="183" w:lineRule="exact"/>
        <w:rPr>
          <w:rFonts w:ascii="Times New Roman" w:cs="Times New Roman" w:eastAsia="Times New Roman" w:hAnsi="Times New Roman"/>
          <w:sz w:val="22"/>
          <w:szCs w:val="22"/>
          <w:color w:val="auto"/>
        </w:rPr>
      </w:pPr>
    </w:p>
    <w:p>
      <w:pPr>
        <w:ind w:left="970" w:hanging="646"/>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Subject to Section 4.4 of the Plan, the Administrator, in its sole discretion, may determine that an Award of Restricted Stock will not be subject to any Period of Restriction and consideration for such Award is paid for by past services rendered as a Service Provider.</w:t>
      </w:r>
    </w:p>
    <w:p>
      <w:pPr>
        <w:spacing w:after="0" w:line="203" w:lineRule="exact"/>
        <w:rPr>
          <w:rFonts w:ascii="Times New Roman" w:cs="Times New Roman" w:eastAsia="Times New Roman" w:hAnsi="Times New Roman"/>
          <w:sz w:val="22"/>
          <w:szCs w:val="22"/>
          <w:color w:val="auto"/>
        </w:rPr>
      </w:pPr>
    </w:p>
    <w:p>
      <w:pPr>
        <w:ind w:left="97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96" w:lineRule="exact"/>
        <w:rPr>
          <w:rFonts w:ascii="Times New Roman" w:cs="Times New Roman" w:eastAsia="Times New Roman" w:hAnsi="Times New Roman"/>
          <w:sz w:val="22"/>
          <w:szCs w:val="22"/>
          <w:color w:val="auto"/>
        </w:rPr>
      </w:pPr>
    </w:p>
    <w:p>
      <w:pPr>
        <w:ind w:left="970" w:right="20" w:hanging="646"/>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94" w:lineRule="exact"/>
        <w:rPr>
          <w:rFonts w:ascii="Times New Roman" w:cs="Times New Roman" w:eastAsia="Times New Roman" w:hAnsi="Times New Roman"/>
          <w:sz w:val="22"/>
          <w:szCs w:val="22"/>
          <w:color w:val="auto"/>
        </w:rPr>
      </w:pPr>
    </w:p>
    <w:p>
      <w:pPr>
        <w:ind w:left="97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03" w:lineRule="exact"/>
        <w:rPr>
          <w:rFonts w:ascii="Times New Roman" w:cs="Times New Roman" w:eastAsia="Times New Roman" w:hAnsi="Times New Roman"/>
          <w:sz w:val="22"/>
          <w:szCs w:val="22"/>
          <w:color w:val="auto"/>
        </w:rPr>
      </w:pPr>
    </w:p>
    <w:p>
      <w:pPr>
        <w:ind w:left="97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96" w:lineRule="exact"/>
        <w:rPr>
          <w:rFonts w:ascii="Times New Roman" w:cs="Times New Roman" w:eastAsia="Times New Roman" w:hAnsi="Times New Roman"/>
          <w:sz w:val="22"/>
          <w:szCs w:val="22"/>
          <w:color w:val="auto"/>
        </w:rPr>
      </w:pPr>
    </w:p>
    <w:p>
      <w:pPr>
        <w:ind w:left="970" w:hanging="646"/>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Dividends and Other Distributions</w:t>
      </w:r>
      <w:r>
        <w:rPr>
          <w:rFonts w:ascii="Times New Roman" w:cs="Times New Roman" w:eastAsia="Times New Roman" w:hAnsi="Times New Roman"/>
          <w:sz w:val="22"/>
          <w:szCs w:val="22"/>
          <w:color w:val="auto"/>
        </w:rPr>
        <w:t>. During the Period of Restriction, Service Providers holding Shares of Restricted Stock will not be entitled to receive dividends and other distributions paid with respect to unvested Shares. Instead, to the limited extent provided in Section 25 and only if determined by the Administrator, such dividends and other distributions will accrue and be paid if (and only if) the underlying Shares vest. If any such dividends or distributions are paid in Shares, the Shares will be subject to the same restrictions on transferability and forfeitability as the Shares of Restricted Stock with respect to which they were paid.</w:t>
      </w:r>
    </w:p>
    <w:p>
      <w:pPr>
        <w:spacing w:after="0" w:line="201" w:lineRule="exact"/>
        <w:rPr>
          <w:rFonts w:ascii="Times New Roman" w:cs="Times New Roman" w:eastAsia="Times New Roman" w:hAnsi="Times New Roman"/>
          <w:sz w:val="22"/>
          <w:szCs w:val="22"/>
          <w:color w:val="auto"/>
        </w:rPr>
      </w:pPr>
    </w:p>
    <w:p>
      <w:pPr>
        <w:ind w:left="97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b w:val="1"/>
          <w:bCs w:val="1"/>
          <w:color w:val="auto"/>
        </w:rPr>
        <w:t>Return of Restricted Stock to Company</w:t>
      </w:r>
      <w:r>
        <w:rPr>
          <w:rFonts w:ascii="Times New Roman" w:cs="Times New Roman" w:eastAsia="Times New Roman" w:hAnsi="Times New Roman"/>
          <w:sz w:val="22"/>
          <w:szCs w:val="22"/>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370"/>
        <w:spacing w:after="0"/>
        <w:rPr>
          <w:sz w:val="20"/>
          <w:szCs w:val="20"/>
          <w:color w:val="auto"/>
        </w:rPr>
      </w:pPr>
      <w:r>
        <w:rPr>
          <w:sz w:val="1"/>
          <w:szCs w:val="1"/>
          <w:color w:val="auto"/>
        </w:rPr>
        <w:drawing>
          <wp:inline distT="0" distB="0" distL="0" distR="0">
            <wp:extent cx="777240" cy="1625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104775</wp:posOffset>
            </wp:positionV>
            <wp:extent cx="71583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10"/>
          </w:cols>
          <w:pgMar w:left="650" w:top="12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p>
    <w:p>
      <w:pPr>
        <w:spacing w:after="0" w:line="231" w:lineRule="exact"/>
        <w:rPr>
          <w:rFonts w:ascii="Times New Roman" w:cs="Times New Roman" w:eastAsia="Times New Roman" w:hAnsi="Times New Roman"/>
          <w:sz w:val="22"/>
          <w:szCs w:val="22"/>
          <w:color w:val="auto"/>
        </w:rPr>
      </w:pPr>
    </w:p>
    <w:p>
      <w:pPr>
        <w:ind w:left="130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203" w:lineRule="exact"/>
        <w:rPr>
          <w:rFonts w:ascii="Times New Roman" w:cs="Times New Roman" w:eastAsia="Times New Roman" w:hAnsi="Times New Roman"/>
          <w:sz w:val="22"/>
          <w:szCs w:val="22"/>
          <w:color w:val="auto"/>
        </w:rPr>
      </w:pPr>
    </w:p>
    <w:p>
      <w:pPr>
        <w:ind w:left="1300" w:hanging="646"/>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00" w:lineRule="exact"/>
        <w:rPr>
          <w:rFonts w:ascii="Times New Roman" w:cs="Times New Roman" w:eastAsia="Times New Roman" w:hAnsi="Times New Roman"/>
          <w:sz w:val="22"/>
          <w:szCs w:val="22"/>
          <w:color w:val="auto"/>
        </w:rPr>
      </w:pPr>
    </w:p>
    <w:p>
      <w:pPr>
        <w:ind w:left="130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203" w:lineRule="exact"/>
        <w:rPr>
          <w:rFonts w:ascii="Times New Roman" w:cs="Times New Roman" w:eastAsia="Times New Roman" w:hAnsi="Times New Roman"/>
          <w:sz w:val="22"/>
          <w:szCs w:val="22"/>
          <w:color w:val="auto"/>
        </w:rPr>
      </w:pPr>
    </w:p>
    <w:p>
      <w:pPr>
        <w:ind w:left="1300" w:hanging="64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83"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or unvested Restricted Stock Units will be forfeited to the Company.</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Awards.</w:t>
      </w:r>
    </w:p>
    <w:p>
      <w:pPr>
        <w:spacing w:after="0" w:line="231" w:lineRule="exact"/>
        <w:rPr>
          <w:rFonts w:ascii="Times New Roman" w:cs="Times New Roman" w:eastAsia="Times New Roman" w:hAnsi="Times New Roman"/>
          <w:sz w:val="22"/>
          <w:szCs w:val="22"/>
          <w:color w:val="auto"/>
        </w:rPr>
      </w:pPr>
    </w:p>
    <w:p>
      <w:pPr>
        <w:ind w:left="130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and such other terms and conditions as the Administrator determines. Each Performance Award will have an initial value that is determined by the Administrator on or before its date of grant.</w:t>
      </w:r>
    </w:p>
    <w:p>
      <w:pPr>
        <w:spacing w:after="0" w:line="203" w:lineRule="exact"/>
        <w:rPr>
          <w:rFonts w:ascii="Times New Roman" w:cs="Times New Roman" w:eastAsia="Times New Roman" w:hAnsi="Times New Roman"/>
          <w:sz w:val="22"/>
          <w:szCs w:val="22"/>
          <w:color w:val="auto"/>
        </w:rPr>
      </w:pPr>
    </w:p>
    <w:p>
      <w:pPr>
        <w:ind w:left="1300" w:hanging="646"/>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01" w:lineRule="exact"/>
        <w:rPr>
          <w:rFonts w:ascii="Times New Roman" w:cs="Times New Roman" w:eastAsia="Times New Roman" w:hAnsi="Times New Roman"/>
          <w:sz w:val="22"/>
          <w:szCs w:val="22"/>
          <w:color w:val="auto"/>
        </w:rPr>
      </w:pPr>
    </w:p>
    <w:p>
      <w:pPr>
        <w:ind w:left="1300" w:hanging="646"/>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300" w:hanging="645"/>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Administrator and set forth in the Award Agreement. The Administrator, in its sole discretion, may settle earned Performance Awards in cash, Shares, or a combination of both.</w:t>
      </w:r>
    </w:p>
    <w:p>
      <w:pPr>
        <w:spacing w:after="0" w:line="197" w:lineRule="exact"/>
        <w:rPr>
          <w:sz w:val="20"/>
          <w:szCs w:val="20"/>
          <w:color w:val="auto"/>
        </w:rPr>
      </w:pPr>
    </w:p>
    <w:p>
      <w:pPr>
        <w:jc w:val="both"/>
        <w:ind w:left="1300" w:right="20" w:hanging="645"/>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will be forfeited to the Company, and again will be available for grant under the Plan.</w:t>
      </w:r>
    </w:p>
    <w:p>
      <w:pPr>
        <w:spacing w:after="0" w:line="183" w:lineRule="exact"/>
        <w:rPr>
          <w:sz w:val="20"/>
          <w:szCs w:val="20"/>
          <w:color w:val="auto"/>
        </w:rPr>
      </w:pPr>
    </w:p>
    <w:p>
      <w:pPr>
        <w:ind w:left="660" w:right="100" w:hanging="652"/>
        <w:spacing w:after="0" w:line="266" w:lineRule="auto"/>
        <w:tabs>
          <w:tab w:leader="none" w:pos="634"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Grant of Stock or Other Stock-Based Awards</w:t>
      </w:r>
      <w:r>
        <w:rPr>
          <w:rFonts w:ascii="Times New Roman" w:cs="Times New Roman" w:eastAsia="Times New Roman" w:hAnsi="Times New Roman"/>
          <w:sz w:val="20"/>
          <w:szCs w:val="20"/>
          <w:color w:val="auto"/>
        </w:rPr>
        <w:t>. The Administrator is authorized, subject to limitations under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to grant to Participants such other Awards that are payable in, valued in whole or in part by reference to, or otherwise based on or related to Shares, as deemed by the Administrator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of the Company. The Administrator (in its discretion) shall determine the terms and conditions of such Awards.</w:t>
      </w:r>
    </w:p>
    <w:p>
      <w:pPr>
        <w:spacing w:after="0" w:line="178" w:lineRule="exact"/>
        <w:rPr>
          <w:rFonts w:ascii="Arial" w:cs="Arial" w:eastAsia="Arial" w:hAnsi="Arial"/>
          <w:sz w:val="20"/>
          <w:szCs w:val="20"/>
          <w:color w:val="auto"/>
        </w:rPr>
      </w:pPr>
    </w:p>
    <w:p>
      <w:pPr>
        <w:jc w:val="both"/>
        <w:ind w:left="660" w:hanging="652"/>
        <w:spacing w:after="0" w:line="255" w:lineRule="auto"/>
        <w:tabs>
          <w:tab w:leader="none" w:pos="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Section 409A</w:t>
      </w:r>
      <w:r>
        <w:rPr>
          <w:rFonts w:ascii="Times New Roman" w:cs="Times New Roman" w:eastAsia="Times New Roman" w:hAnsi="Times New Roman"/>
          <w:sz w:val="20"/>
          <w:szCs w:val="20"/>
          <w:color w:val="auto"/>
        </w:rPr>
        <w:t>. The Plan and any Awards are intended to be designed and operated in such a manner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provided otherwise by the Administrator, each payment or benefit under this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preceding, in no event will the Company or any of its Affiliates have any responsibility, liability, or obligation to reimburse, indemnify, or hold harmless a Participant (or any other person) in respect of Awards, for any taxes, penalties or interest that may be imposed on, or other costs incurred by, Participant (or any other person) as a result of or in connection with Section 409A.</w:t>
      </w: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jc w:val="both"/>
        <w:ind w:left="660" w:hanging="652"/>
        <w:spacing w:after="0" w:line="232" w:lineRule="auto"/>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and any of its Affiliates. For purposes of Incentive Stock Options, no such leave may exceed three (3) months, unless reemployment with the Company or any Parent or Subsidiary of the Company upon expiration of such leave is guaranteed by statute or contract. If such reemployment upon expiration of a leave of absence approved by the Company is not so guaranteed, then six (6) months following the first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hanging="652"/>
        <w:spacing w:after="0" w:line="236" w:lineRule="auto"/>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hypothecated, transferred, or disposed of in any manner other than by will or by the laws of descent and distribution (which, for purposes of clarity, shall be deemed to include through a beneficiary designation if available in accordance with Section 6.6 of the Plan), and may be exercised, during the lifetime of the Participant, only by the Participant. If the Administrator makes an Award transferable, such Award will contain such additional terms and conditions as the Administrator deems appropriate.</w:t>
      </w:r>
    </w:p>
    <w:p>
      <w:pPr>
        <w:spacing w:after="0" w:line="18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ind w:left="1300" w:hanging="646"/>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 of the Plan. Notwithstanding the preceding, the Company will have no obligation to effect any adjustment in such manner that will or may require the issuance of fractional Shares, and any fractional Shares resulting from any adjustment may be disregarded or provided for in any manner determined by the Administrator, in its sole discretion, subject to any Applicable Laws.</w:t>
      </w:r>
    </w:p>
    <w:p>
      <w:pPr>
        <w:spacing w:after="0" w:line="212" w:lineRule="exact"/>
        <w:rPr>
          <w:rFonts w:ascii="Times New Roman" w:cs="Times New Roman" w:eastAsia="Times New Roman" w:hAnsi="Times New Roman"/>
          <w:sz w:val="22"/>
          <w:szCs w:val="22"/>
          <w:color w:val="auto"/>
        </w:rPr>
      </w:pPr>
    </w:p>
    <w:p>
      <w:pPr>
        <w:ind w:left="1300" w:hanging="646"/>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202" w:lineRule="exact"/>
        <w:rPr>
          <w:rFonts w:ascii="Times New Roman" w:cs="Times New Roman" w:eastAsia="Times New Roman" w:hAnsi="Times New Roman"/>
          <w:sz w:val="22"/>
          <w:szCs w:val="22"/>
          <w:color w:val="auto"/>
        </w:rPr>
      </w:pPr>
    </w:p>
    <w:p>
      <w:pPr>
        <w:jc w:val="right"/>
        <w:ind w:left="1300" w:hanging="646"/>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color w:val="auto"/>
        </w:rPr>
        <w:t>Merger or Change in Control</w:t>
      </w:r>
      <w:r>
        <w:rPr>
          <w:rFonts w:ascii="Times New Roman" w:cs="Times New Roman" w:eastAsia="Times New Roman" w:hAnsi="Times New Roman"/>
          <w:sz w:val="20"/>
          <w:szCs w:val="20"/>
          <w:color w:val="0563C1"/>
        </w:rPr>
        <w:t>.</w:t>
      </w:r>
      <w:r>
        <w:rPr>
          <w:rFonts w:ascii="Times New Roman" w:cs="Times New Roman" w:eastAsia="Times New Roman" w:hAnsi="Times New Roman"/>
          <w:sz w:val="20"/>
          <w:szCs w:val="20"/>
          <w:color w:val="auto"/>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w:t>
      </w:r>
    </w:p>
    <w:p>
      <w:pPr>
        <w:spacing w:after="0" w:line="3" w:lineRule="exact"/>
        <w:rPr>
          <w:rFonts w:ascii="Times New Roman" w:cs="Times New Roman" w:eastAsia="Times New Roman" w:hAnsi="Times New Roman"/>
          <w:sz w:val="22"/>
          <w:szCs w:val="22"/>
          <w:color w:val="auto"/>
        </w:rPr>
      </w:pPr>
    </w:p>
    <w:p>
      <w:pPr>
        <w:jc w:val="both"/>
        <w:ind w:left="1300" w:hanging="1"/>
        <w:spacing w:after="0" w:line="254" w:lineRule="auto"/>
        <w:tabs>
          <w:tab w:leader="none" w:pos="1615"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will be continued by the Company, subject to any adjustment pursuant to Section 15.1 of the Plan; (c) upon written notice to a Participant, that the Participant’s Awards will terminate upon or immediately prior to the consummation of such merger or Change in Control; (d)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(e) (i) the termination of an Award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realization of the Participant’s rights, then such Award may be terminated by the Company without payment), or</w:t>
      </w:r>
    </w:p>
    <w:p>
      <w:pPr>
        <w:spacing w:after="0" w:line="13" w:lineRule="exact"/>
        <w:rPr>
          <w:sz w:val="20"/>
          <w:szCs w:val="20"/>
          <w:color w:val="auto"/>
        </w:rPr>
      </w:pPr>
    </w:p>
    <w:p>
      <w:pPr>
        <w:jc w:val="both"/>
        <w:ind w:left="640" w:hanging="1"/>
        <w:spacing w:after="0" w:line="232" w:lineRule="auto"/>
        <w:tabs>
          <w:tab w:leader="none" w:pos="95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replacement of such Award with other rights or property selected by the Administrator in its sole discretion; or (f)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209" w:lineRule="exact"/>
        <w:rPr>
          <w:sz w:val="20"/>
          <w:szCs w:val="20"/>
          <w:color w:val="auto"/>
        </w:rPr>
      </w:pPr>
    </w:p>
    <w:p>
      <w:pPr>
        <w:jc w:val="both"/>
        <w:ind w:firstLine="646"/>
        <w:spacing w:after="0" w:line="231" w:lineRule="auto"/>
        <w:rPr>
          <w:sz w:val="20"/>
          <w:szCs w:val="20"/>
          <w:color w:val="auto"/>
        </w:rPr>
      </w:pPr>
      <w:r>
        <w:rPr>
          <w:rFonts w:ascii="Times New Roman" w:cs="Times New Roman" w:eastAsia="Times New Roman" w:hAnsi="Times New Roman"/>
          <w:sz w:val="22"/>
          <w:szCs w:val="22"/>
          <w:color w:val="auto"/>
        </w:rPr>
        <w:t>For the purposes of this Section 15.3 and Section 15.4 of the Plan,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or Other Stock-Based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99" w:lineRule="exact"/>
        <w:rPr>
          <w:sz w:val="20"/>
          <w:szCs w:val="20"/>
          <w:color w:val="auto"/>
        </w:rPr>
      </w:pPr>
    </w:p>
    <w:p>
      <w:pPr>
        <w:jc w:val="both"/>
        <w:ind w:firstLine="646"/>
        <w:spacing w:after="0" w:line="234"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11"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20"/>
          <w:szCs w:val="20"/>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applicable under Section 409A.</w:t>
      </w:r>
    </w:p>
    <w:p>
      <w:pPr>
        <w:spacing w:after="0" w:line="182" w:lineRule="exact"/>
        <w:rPr>
          <w:sz w:val="20"/>
          <w:szCs w:val="20"/>
          <w:color w:val="auto"/>
        </w:rPr>
      </w:pPr>
    </w:p>
    <w:p>
      <w:pPr>
        <w:jc w:val="both"/>
        <w:ind w:left="640" w:hanging="645"/>
        <w:spacing w:after="0" w:line="237" w:lineRule="auto"/>
        <w:tabs>
          <w:tab w:leader="none" w:pos="62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2"/>
          <w:szCs w:val="22"/>
          <w:b w:val="1"/>
          <w:bCs w:val="1"/>
          <w:color w:val="auto"/>
        </w:rPr>
        <w:t>Effect of a Change in Control</w:t>
      </w:r>
      <w:r>
        <w:rPr>
          <w:rFonts w:ascii="Times New Roman" w:cs="Times New Roman" w:eastAsia="Times New Roman" w:hAnsi="Times New Roman"/>
          <w:sz w:val="22"/>
          <w:szCs w:val="22"/>
          <w:color w:val="auto"/>
        </w:rPr>
        <w:t>. Unless and until otherwise determined by the Administrator for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date of such determination (pursuant to the Administrator’s authority under the Plan, including (but not limited to) Section 15.3 and Section 4.2), the provisions of this Section 15.4 shall apply in the case of a Change in Control, unless otherwise provided in the applicable Award Agreement or separate written authorized agreement with a Participant governing the specific Award.</w:t>
      </w:r>
    </w:p>
    <w:p>
      <w:pPr>
        <w:spacing w:after="0" w:line="204" w:lineRule="exact"/>
        <w:rPr>
          <w:sz w:val="20"/>
          <w:szCs w:val="20"/>
          <w:color w:val="auto"/>
        </w:rPr>
      </w:pPr>
    </w:p>
    <w:p>
      <w:pPr>
        <w:jc w:val="both"/>
        <w:ind w:left="1280" w:hanging="645"/>
        <w:spacing w:after="0" w:line="236" w:lineRule="auto"/>
        <w:rPr>
          <w:sz w:val="20"/>
          <w:szCs w:val="20"/>
          <w:color w:val="auto"/>
        </w:rPr>
      </w:pPr>
      <w:r>
        <w:rPr>
          <w:rFonts w:ascii="Times New Roman" w:cs="Times New Roman" w:eastAsia="Times New Roman" w:hAnsi="Times New Roman"/>
          <w:sz w:val="22"/>
          <w:szCs w:val="22"/>
          <w:color w:val="auto"/>
        </w:rPr>
        <w:t xml:space="preserve">15.4.1. </w:t>
      </w:r>
      <w:r>
        <w:rPr>
          <w:rFonts w:ascii="Times New Roman" w:cs="Times New Roman" w:eastAsia="Times New Roman" w:hAnsi="Times New Roman"/>
          <w:sz w:val="22"/>
          <w:szCs w:val="22"/>
          <w:b w:val="1"/>
          <w:bCs w:val="1"/>
          <w:color w:val="auto"/>
        </w:rPr>
        <w:t>Awards Assumed or Substituted</w:t>
      </w:r>
      <w:r>
        <w:rPr>
          <w:rFonts w:ascii="Times New Roman" w:cs="Times New Roman" w:eastAsia="Times New Roman" w:hAnsi="Times New Roman"/>
          <w:sz w:val="22"/>
          <w:szCs w:val="22"/>
          <w:color w:val="auto"/>
        </w:rPr>
        <w:t>. With respect to Awards assumed by the Surviving Corporation (or an affiliate thereof) or otherwise continued or substituted in connection with a Change in Control, as described in Section 15.3 of the Plan: if within one year after the effective date of the Change in Control, a Participant’s</w:t>
      </w:r>
    </w:p>
    <w:p>
      <w:pPr>
        <w:spacing w:after="0" w:line="200" w:lineRule="exact"/>
        <w:rPr>
          <w:sz w:val="20"/>
          <w:szCs w:val="20"/>
          <w:color w:val="auto"/>
        </w:rPr>
      </w:pPr>
    </w:p>
    <w:p>
      <w:pPr>
        <w:spacing w:after="0" w:line="249" w:lineRule="exact"/>
        <w:rPr>
          <w:sz w:val="20"/>
          <w:szCs w:val="20"/>
          <w:color w:val="auto"/>
        </w:rPr>
      </w:pPr>
    </w:p>
    <w:p>
      <w:pPr>
        <w:ind w:left="9040"/>
        <w:spacing w:after="0"/>
        <w:rPr>
          <w:sz w:val="20"/>
          <w:szCs w:val="20"/>
          <w:color w:val="auto"/>
        </w:rPr>
      </w:pPr>
      <w:r>
        <w:rPr>
          <w:sz w:val="1"/>
          <w:szCs w:val="1"/>
          <w:color w:val="auto"/>
        </w:rPr>
        <w:drawing>
          <wp:inline distT="0" distB="0" distL="0" distR="0">
            <wp:extent cx="777240" cy="1625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96520</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employment is terminated without Cause or the Participant resigns for Good Reason, then:</w:t>
      </w:r>
    </w:p>
    <w:p>
      <w:pPr>
        <w:spacing w:after="0" w:line="231" w:lineRule="exact"/>
        <w:rPr>
          <w:sz w:val="20"/>
          <w:szCs w:val="20"/>
          <w:color w:val="auto"/>
        </w:rPr>
      </w:pPr>
    </w:p>
    <w:p>
      <w:pPr>
        <w:jc w:val="both"/>
        <w:ind w:left="2600" w:hanging="332"/>
        <w:spacing w:after="0" w:line="242" w:lineRule="auto"/>
        <w:tabs>
          <w:tab w:leader="none" w:pos="259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203" w:lineRule="exact"/>
        <w:rPr>
          <w:rFonts w:ascii="Times New Roman" w:cs="Times New Roman" w:eastAsia="Times New Roman" w:hAnsi="Times New Roman"/>
          <w:sz w:val="22"/>
          <w:szCs w:val="22"/>
          <w:color w:val="auto"/>
        </w:rPr>
      </w:pPr>
    </w:p>
    <w:p>
      <w:pPr>
        <w:jc w:val="both"/>
        <w:ind w:left="2600" w:hanging="332"/>
        <w:spacing w:after="0" w:line="237" w:lineRule="auto"/>
        <w:tabs>
          <w:tab w:leader="none" w:pos="259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that Participant’s outstanding Awards other than Options and SARs that are subject to time-based vesting restrictions shall become vested and such restrictions shall lapse as of the date of termination; and</w:t>
      </w:r>
    </w:p>
    <w:p>
      <w:pPr>
        <w:spacing w:after="0" w:line="205" w:lineRule="exact"/>
        <w:rPr>
          <w:rFonts w:ascii="Times New Roman" w:cs="Times New Roman" w:eastAsia="Times New Roman" w:hAnsi="Times New Roman"/>
          <w:sz w:val="22"/>
          <w:szCs w:val="22"/>
          <w:color w:val="auto"/>
        </w:rPr>
      </w:pPr>
    </w:p>
    <w:p>
      <w:pPr>
        <w:jc w:val="both"/>
        <w:ind w:left="2600" w:hanging="332"/>
        <w:spacing w:after="0" w:line="234" w:lineRule="auto"/>
        <w:tabs>
          <w:tab w:leader="none" w:pos="259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12 of the Plan), based upon the length of time within the performance period that has elapsed prior to the date of termination of employment.</w:t>
      </w:r>
    </w:p>
    <w:p>
      <w:pPr>
        <w:spacing w:after="0" w:line="211" w:lineRule="exact"/>
        <w:rPr>
          <w:sz w:val="20"/>
          <w:szCs w:val="20"/>
          <w:color w:val="auto"/>
        </w:rPr>
      </w:pPr>
    </w:p>
    <w:p>
      <w:pPr>
        <w:jc w:val="both"/>
        <w:ind w:left="660"/>
        <w:spacing w:after="0" w:line="278" w:lineRule="auto"/>
        <w:rPr>
          <w:sz w:val="20"/>
          <w:szCs w:val="20"/>
          <w:color w:val="auto"/>
        </w:rPr>
      </w:pPr>
      <w:r>
        <w:rPr>
          <w:rFonts w:ascii="Times New Roman" w:cs="Times New Roman" w:eastAsia="Times New Roman" w:hAnsi="Times New Roman"/>
          <w:sz w:val="20"/>
          <w:szCs w:val="20"/>
          <w:color w:val="auto"/>
        </w:rPr>
        <w:t>With regard to each Award, a Participant shall not be considered to have resigned for Good Reason unless the Award Agreement includes such provision. To the extent that this provision causes Incentive Stock Options to exceed the dollar limitation set forth in Code Section 422(d), the excess Options shall be deemed to be Nonstatutory Stock Options.\</w:t>
      </w:r>
    </w:p>
    <w:p>
      <w:pPr>
        <w:spacing w:after="0" w:line="152" w:lineRule="exact"/>
        <w:rPr>
          <w:sz w:val="20"/>
          <w:szCs w:val="20"/>
          <w:color w:val="auto"/>
        </w:rPr>
      </w:pPr>
    </w:p>
    <w:p>
      <w:pPr>
        <w:jc w:val="both"/>
        <w:ind w:left="1940" w:hanging="645"/>
        <w:spacing w:after="0" w:line="239" w:lineRule="auto"/>
        <w:rPr>
          <w:sz w:val="20"/>
          <w:szCs w:val="20"/>
          <w:color w:val="auto"/>
        </w:rPr>
      </w:pPr>
      <w:r>
        <w:rPr>
          <w:rFonts w:ascii="Times New Roman" w:cs="Times New Roman" w:eastAsia="Times New Roman" w:hAnsi="Times New Roman"/>
          <w:sz w:val="22"/>
          <w:szCs w:val="22"/>
          <w:color w:val="auto"/>
        </w:rPr>
        <w:t xml:space="preserve">15.4.2. </w:t>
      </w:r>
      <w:r>
        <w:rPr>
          <w:rFonts w:ascii="Times New Roman" w:cs="Times New Roman" w:eastAsia="Times New Roman" w:hAnsi="Times New Roman"/>
          <w:sz w:val="22"/>
          <w:szCs w:val="22"/>
          <w:b w:val="1"/>
          <w:bCs w:val="1"/>
          <w:color w:val="auto"/>
        </w:rPr>
        <w:t>Awards Not Assumed or Substituted</w:t>
      </w:r>
      <w:r>
        <w:rPr>
          <w:rFonts w:ascii="Times New Roman" w:cs="Times New Roman" w:eastAsia="Times New Roman" w:hAnsi="Times New Roman"/>
          <w:sz w:val="22"/>
          <w:szCs w:val="22"/>
          <w:color w:val="auto"/>
        </w:rPr>
        <w:t>. Upon the occurrence of a Change in Control, and except with respect to any Awards assumed by the Surviving Corporation (or an affiliate thereof) or otherwise continued or substituted in connection with the Change in Control, as described in Section 15.3 of the Plan and in a manner approved by the Administrator or the Board:</w:t>
      </w:r>
    </w:p>
    <w:p>
      <w:pPr>
        <w:spacing w:after="0" w:line="207" w:lineRule="exact"/>
        <w:rPr>
          <w:sz w:val="20"/>
          <w:szCs w:val="20"/>
          <w:color w:val="auto"/>
        </w:rPr>
      </w:pPr>
    </w:p>
    <w:p>
      <w:pPr>
        <w:jc w:val="both"/>
        <w:ind w:left="2600" w:hanging="332"/>
        <w:spacing w:after="0" w:line="242" w:lineRule="auto"/>
        <w:tabs>
          <w:tab w:leader="none" w:pos="259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203" w:lineRule="exact"/>
        <w:rPr>
          <w:rFonts w:ascii="Times New Roman" w:cs="Times New Roman" w:eastAsia="Times New Roman" w:hAnsi="Times New Roman"/>
          <w:sz w:val="22"/>
          <w:szCs w:val="22"/>
          <w:color w:val="auto"/>
        </w:rPr>
      </w:pPr>
    </w:p>
    <w:p>
      <w:pPr>
        <w:jc w:val="both"/>
        <w:ind w:left="2600" w:hanging="332"/>
        <w:spacing w:after="0" w:line="242" w:lineRule="auto"/>
        <w:tabs>
          <w:tab w:leader="none" w:pos="259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other than Options and SARs that are subject to time-based vesting restrictions shall become vested and such restrictions shall lapse as of the effective date of the Change in Control, and</w:t>
      </w:r>
    </w:p>
    <w:p>
      <w:pPr>
        <w:spacing w:after="0" w:line="189" w:lineRule="exact"/>
        <w:rPr>
          <w:rFonts w:ascii="Times New Roman" w:cs="Times New Roman" w:eastAsia="Times New Roman" w:hAnsi="Times New Roman"/>
          <w:sz w:val="22"/>
          <w:szCs w:val="22"/>
          <w:color w:val="auto"/>
        </w:rPr>
      </w:pPr>
    </w:p>
    <w:p>
      <w:pPr>
        <w:jc w:val="both"/>
        <w:ind w:left="2600" w:hanging="332"/>
        <w:spacing w:after="0" w:line="235" w:lineRule="auto"/>
        <w:tabs>
          <w:tab w:leader="none" w:pos="259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12 of the Plan), based upon the length of time within the performance period that has elapsed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22"/>
          <w:szCs w:val="22"/>
          <w:color w:val="auto"/>
        </w:rPr>
        <w:t>To the extent that this provision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227" w:lineRule="exact"/>
        <w:rPr>
          <w:sz w:val="20"/>
          <w:szCs w:val="20"/>
          <w:color w:val="auto"/>
        </w:rPr>
      </w:pPr>
    </w:p>
    <w:p>
      <w:pPr>
        <w:jc w:val="both"/>
        <w:ind w:left="1300" w:hanging="645"/>
        <w:spacing w:after="0" w:line="231" w:lineRule="auto"/>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With respect to Awards granted to an Outside Director while such individual was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Director that are assumed, continued or substituted for, as described in Section 15.3 of the Plan, if on the date of or following such assumption, continuation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213"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p>
    <w:p>
      <w:pPr>
        <w:spacing w:after="0" w:line="231" w:lineRule="exact"/>
        <w:rPr>
          <w:rFonts w:ascii="Times New Roman" w:cs="Times New Roman" w:eastAsia="Times New Roman" w:hAnsi="Times New Roman"/>
          <w:sz w:val="22"/>
          <w:szCs w:val="22"/>
          <w:color w:val="auto"/>
        </w:rPr>
      </w:pPr>
    </w:p>
    <w:p>
      <w:pPr>
        <w:ind w:left="1300" w:hanging="646"/>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the Tax-Related Items.</w:t>
      </w:r>
    </w:p>
    <w:p>
      <w:pPr>
        <w:spacing w:after="0" w:line="227" w:lineRule="exact"/>
        <w:rPr>
          <w:rFonts w:ascii="Times New Roman" w:cs="Times New Roman" w:eastAsia="Times New Roman" w:hAnsi="Times New Roman"/>
          <w:sz w:val="22"/>
          <w:szCs w:val="22"/>
          <w:color w:val="auto"/>
        </w:rPr>
      </w:pPr>
    </w:p>
    <w:p>
      <w:pPr>
        <w:ind w:left="1300" w:hanging="646"/>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in each case, provided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methods of payment. The amount of the</w:t>
      </w:r>
    </w:p>
    <w:p>
      <w:pPr>
        <w:spacing w:after="0" w:line="200" w:lineRule="exact"/>
        <w:rPr>
          <w:sz w:val="20"/>
          <w:szCs w:val="20"/>
          <w:color w:val="auto"/>
        </w:rPr>
      </w:pPr>
    </w:p>
    <w:p>
      <w:pPr>
        <w:spacing w:after="0" w:line="235"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83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withholding obligation will be deemed to include any amount which the Administrator agrees may be withheld at the time the election is made, not to exceed the amount determined by using the maximum federal, state or local or non-U.S. marginal income tax rates and rates applicable to other Tax-Related Items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Tax-Related Items are required to be withheld.</w:t>
      </w:r>
    </w:p>
    <w:p>
      <w:pPr>
        <w:spacing w:after="0" w:line="208" w:lineRule="exact"/>
        <w:rPr>
          <w:sz w:val="20"/>
          <w:szCs w:val="20"/>
          <w:color w:val="auto"/>
        </w:rPr>
      </w:pPr>
    </w:p>
    <w:p>
      <w:pPr>
        <w:jc w:val="both"/>
        <w:ind w:left="660" w:hanging="652"/>
        <w:spacing w:after="0" w:line="237" w:lineRule="auto"/>
        <w:tabs>
          <w:tab w:leader="none" w:pos="6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continuing the Participant’s service relationship with the Company or any of its Affiliates, as applicable, nor will they interfere in any way with the Participant’s right or the right of the Company and its Affiliates, as applicable, to terminate such relationship at any time with or without cause, free from any liability or claim under the Plan, to the extent permitted by Applicable Laws.</w:t>
      </w:r>
    </w:p>
    <w:p>
      <w:pPr>
        <w:spacing w:after="0" w:line="20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granting such Award, or such other later date as is determined by the Administrator. Notice of the determination will be provided to each Participant within a reasonable time after the date of such grant.</w:t>
      </w:r>
    </w:p>
    <w:p>
      <w:pPr>
        <w:spacing w:after="0" w:line="19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Subject to Section 23 of the Plan, the Plan will become effective upon the later to occur of (a) its initial</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adoption by the Board, or (b) initial approval by the Company’s stockholders. The Plan will continue in effect until the ten</w:t>
      </w: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(10) year anniversary of the Plan’s effective date, unless terminated earlier under Section 20 of the Plan.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 of the Plan).</w:t>
      </w:r>
    </w:p>
    <w:p>
      <w:pPr>
        <w:spacing w:after="0" w:line="204"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and Termination of the Plan</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82"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82" w:lineRule="exact"/>
        <w:rPr>
          <w:rFonts w:ascii="Times New Roman" w:cs="Times New Roman" w:eastAsia="Times New Roman" w:hAnsi="Times New Roman"/>
          <w:sz w:val="22"/>
          <w:szCs w:val="22"/>
          <w:color w:val="auto"/>
        </w:rPr>
      </w:pPr>
    </w:p>
    <w:p>
      <w:pPr>
        <w:ind w:left="1300" w:hanging="64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color w:val="auto"/>
        </w:rPr>
        <w:t>Effect of Amendment or Termination</w:t>
      </w:r>
      <w:r>
        <w:rPr>
          <w:rFonts w:ascii="Times New Roman" w:cs="Times New Roman" w:eastAsia="Times New Roman" w:hAnsi="Times New Roman"/>
          <w:sz w:val="20"/>
          <w:szCs w:val="20"/>
          <w:color w:val="auto"/>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ind w:left="1300" w:right="20" w:hanging="646"/>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190" w:lineRule="exact"/>
        <w:rPr>
          <w:rFonts w:ascii="Times New Roman" w:cs="Times New Roman" w:eastAsia="Times New Roman" w:hAnsi="Times New Roman"/>
          <w:sz w:val="22"/>
          <w:szCs w:val="22"/>
          <w:color w:val="auto"/>
        </w:rPr>
      </w:pPr>
    </w:p>
    <w:p>
      <w:pPr>
        <w:ind w:left="1300" w:hanging="646"/>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of an Option or SAR, issuance of Restricted Stock, or vesting or settlement of any other Award, the Company may require the person exercising or receiving such issuance, vesting or settlement to represent and warrant at the time of any such exercise, issuance, vesting or settlement that the Shares are being acquired only for investment and without any present intention to sell or distribute such Shares if, in the opinion of counsel for the Company, such a representation is required.</w:t>
      </w:r>
    </w:p>
    <w:p>
      <w:pPr>
        <w:spacing w:after="0" w:line="203" w:lineRule="exact"/>
        <w:rPr>
          <w:rFonts w:ascii="Times New Roman" w:cs="Times New Roman" w:eastAsia="Times New Roman" w:hAnsi="Times New Roman"/>
          <w:sz w:val="22"/>
          <w:szCs w:val="22"/>
          <w:color w:val="auto"/>
        </w:rPr>
      </w:pPr>
    </w:p>
    <w:p>
      <w:pPr>
        <w:jc w:val="both"/>
        <w:ind w:left="660" w:hanging="652"/>
        <w:spacing w:after="0" w:line="246" w:lineRule="exact"/>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Inability to Obtain Authority</w:t>
      </w:r>
      <w:r>
        <w:rPr>
          <w:rFonts w:ascii="Times New Roman" w:cs="Times New Roman" w:eastAsia="Times New Roman" w:hAnsi="Times New Roman"/>
          <w:sz w:val="22"/>
          <w:szCs w:val="22"/>
          <w:color w:val="auto"/>
        </w:rPr>
        <w:t>. If the Company determines it to be impossible or impractical to obtain authority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201"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96" w:lineRule="exact"/>
        <w:rPr>
          <w:rFonts w:ascii="Times New Roman" w:cs="Times New Roman" w:eastAsia="Times New Roman" w:hAnsi="Times New Roman"/>
          <w:sz w:val="22"/>
          <w:szCs w:val="22"/>
          <w:color w:val="auto"/>
        </w:rPr>
      </w:pPr>
    </w:p>
    <w:p>
      <w:pPr>
        <w:jc w:val="both"/>
        <w:ind w:left="660" w:hanging="652"/>
        <w:spacing w:after="0" w:line="254"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Forfeiture Events</w:t>
      </w:r>
      <w:r>
        <w:rPr>
          <w:rFonts w:ascii="Times New Roman" w:cs="Times New Roman" w:eastAsia="Times New Roman" w:hAnsi="Times New Roman"/>
          <w:sz w:val="20"/>
          <w:szCs w:val="20"/>
          <w:color w:val="auto"/>
        </w:rPr>
        <w:t>. The Administrator may specify in an Award Agreement that the Participant’s rights, payments,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may be in effect at grant or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or other Applicable Laws (collectively, the “</w:t>
      </w:r>
      <w:r>
        <w:rPr>
          <w:rFonts w:ascii="Times New Roman" w:cs="Times New Roman" w:eastAsia="Times New Roman" w:hAnsi="Times New Roman"/>
          <w:sz w:val="20"/>
          <w:szCs w:val="20"/>
          <w:b w:val="1"/>
          <w:bCs w:val="1"/>
          <w:color w:val="auto"/>
        </w:rPr>
        <w:t>Clawback Policy</w:t>
      </w:r>
      <w:r>
        <w:rPr>
          <w:rFonts w:ascii="Times New Roman" w:cs="Times New Roman" w:eastAsia="Times New Roman" w:hAnsi="Times New Roman"/>
          <w:sz w:val="20"/>
          <w:szCs w:val="20"/>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22"/>
          <w:szCs w:val="22"/>
          <w:color w:val="auto"/>
        </w:rPr>
        <w:t>will constitute an event that triggers or contributes to any right of a Participant to resign for “good reason” or “constructive termination” (or similar term) under any agreement with the Company or any Affiliate.</w:t>
      </w:r>
    </w:p>
    <w:p>
      <w:pPr>
        <w:spacing w:after="0" w:line="185" w:lineRule="exact"/>
        <w:rPr>
          <w:sz w:val="20"/>
          <w:szCs w:val="20"/>
          <w:color w:val="auto"/>
        </w:rPr>
      </w:pPr>
    </w:p>
    <w:p>
      <w:pPr>
        <w:jc w:val="both"/>
        <w:ind w:left="660" w:hanging="652"/>
        <w:spacing w:after="0" w:line="235"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The Administrator is authorized to grant Dividend Equivalents with respect to Full Value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granted hereunder to Participants subject to such terms and conditions as may be selected by the Administrator. No Option or Stock Appreciation Right shall provide for Dividend Equivalents. </w:t>
      </w:r>
      <w:r>
        <w:rPr>
          <w:rFonts w:ascii="Times New Roman" w:cs="Times New Roman" w:eastAsia="Times New Roman" w:hAnsi="Times New Roman"/>
          <w:sz w:val="19"/>
          <w:szCs w:val="19"/>
          <w:color w:val="auto"/>
        </w:rPr>
        <w:t>Dividend Equivalents, if any, will be credited to an 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in such form and manner as determined by the Administrator in its sole discretion, subject to the following. Dividend Equivalents will be subject to the same vesting provisions as the Awards to which they relate and while amounts may accrue while the Dividend Equivalent is unvested, the amounts </w:t>
      </w:r>
      <w:r>
        <w:rPr>
          <w:rFonts w:ascii="Times New Roman" w:cs="Times New Roman" w:eastAsia="Times New Roman" w:hAnsi="Times New Roman"/>
          <w:sz w:val="21"/>
          <w:szCs w:val="21"/>
          <w:color w:val="auto"/>
        </w:rPr>
        <w:t>payable with respect to Dividend Equivalents will not be paid before the Dividend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Equivalent or the Award to which it relates vests</w:t>
      </w:r>
      <w:r>
        <w:rPr>
          <w:rFonts w:ascii="Times New Roman" w:cs="Times New Roman" w:eastAsia="Times New Roman" w:hAnsi="Times New Roman"/>
          <w:sz w:val="19"/>
          <w:szCs w:val="19"/>
          <w:color w:val="auto"/>
        </w:rPr>
        <w:t>. In the event of a dividend or distribution paid in Shares or any other adjustment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made upon a change in the capital structure of the Company as described in Section 15 (excluding ordinary dividends or other ordinary distributions), appropriate adjustments will be made to the Participant’s Award and the associated Dividend Equivalent as provided in Section 15 (which Section 15 will control over this Section 25).</w:t>
      </w:r>
    </w:p>
    <w:p>
      <w:pPr>
        <w:spacing w:after="0" w:line="200"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Rights to Awards</w:t>
      </w:r>
      <w:r>
        <w:rPr>
          <w:rFonts w:ascii="Times New Roman" w:cs="Times New Roman" w:eastAsia="Times New Roman" w:hAnsi="Times New Roman"/>
          <w:sz w:val="22"/>
          <w:szCs w:val="22"/>
          <w:color w:val="auto"/>
        </w:rPr>
        <w:t>. No Service Provider shall have any claim to be granted any Award pursuant to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is not obligated to treat Service Providers, Participants or any other persons uniformly.</w:t>
      </w:r>
    </w:p>
    <w:p>
      <w:pPr>
        <w:spacing w:after="0" w:line="182"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and all determinations made and actions taken pursuant hereto shall be governed by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U.S. State of Delaware without giving effect to the conflict of laws principles thereof.</w:t>
      </w:r>
    </w:p>
    <w:p>
      <w:pPr>
        <w:spacing w:after="0" w:line="182"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the Plan or the application of any provision hereof to any person or circumstance is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207"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920"/>
        <w:spacing w:after="0"/>
        <w:rPr>
          <w:sz w:val="20"/>
          <w:szCs w:val="20"/>
          <w:color w:val="auto"/>
        </w:rPr>
      </w:pPr>
      <w:r>
        <w:rPr>
          <w:rFonts w:ascii="Arial" w:cs="Arial" w:eastAsia="Arial" w:hAnsi="Arial"/>
          <w:sz w:val="20"/>
          <w:szCs w:val="20"/>
          <w:b w:val="1"/>
          <w:bCs w:val="1"/>
          <w:color w:val="auto"/>
        </w:rPr>
        <w:t>APPENDIX B</w:t>
      </w:r>
    </w:p>
    <w:p>
      <w:pPr>
        <w:spacing w:after="0" w:line="264"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Each of the categories listed in the table below has the meaning as it is used in Nasdaq Rule 5605(f) and related instructions. The information regarding the diversity of our Board as of August 31, 2023 is available in our Fiscal 2023 Definitive Proxy, filed with the SEC on November 29, 2023.</w:t>
      </w:r>
    </w:p>
    <w:p>
      <w:pPr>
        <w:spacing w:after="0" w:line="23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Board Diversity Matrix</w:t>
      </w:r>
    </w:p>
    <w:p>
      <w:pPr>
        <w:ind w:left="4520"/>
        <w:spacing w:after="0"/>
        <w:rPr>
          <w:sz w:val="20"/>
          <w:szCs w:val="20"/>
          <w:color w:val="auto"/>
        </w:rPr>
      </w:pPr>
      <w:r>
        <w:rPr>
          <w:rFonts w:ascii="Arial" w:cs="Arial" w:eastAsia="Arial" w:hAnsi="Arial"/>
          <w:sz w:val="18"/>
          <w:szCs w:val="18"/>
          <w:b w:val="1"/>
          <w:bCs w:val="1"/>
          <w:color w:val="auto"/>
        </w:rPr>
        <w:t>(as of October 31, 2024)</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Total Number of Directors | </w:t>
      </w:r>
      <w:r>
        <w:rPr>
          <w:rFonts w:ascii="Arial" w:cs="Arial" w:eastAsia="Arial" w:hAnsi="Arial"/>
          <w:sz w:val="18"/>
          <w:szCs w:val="18"/>
          <w:b w:val="1"/>
          <w:bCs w:val="1"/>
          <w:color w:val="BD03F7"/>
        </w:rPr>
        <w:t>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Borders>
              <w:top w:val="single" w:sz="8" w:color="BD03F7"/>
            </w:tcBorders>
          </w:tcPr>
          <w:p>
            <w:pPr>
              <w:spacing w:after="0"/>
              <w:rPr>
                <w:sz w:val="15"/>
                <w:szCs w:val="15"/>
                <w:color w:val="auto"/>
              </w:rPr>
            </w:pPr>
          </w:p>
        </w:tc>
        <w:tc>
          <w:tcPr>
            <w:tcW w:w="150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8"/>
                <w:szCs w:val="18"/>
                <w:b w:val="1"/>
                <w:bCs w:val="1"/>
                <w:color w:val="auto"/>
                <w:w w:val="99"/>
              </w:rPr>
              <w:t>Female</w:t>
            </w:r>
          </w:p>
        </w:tc>
        <w:tc>
          <w:tcPr>
            <w:tcW w:w="150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8"/>
                <w:szCs w:val="18"/>
                <w:b w:val="1"/>
                <w:bCs w:val="1"/>
                <w:color w:val="auto"/>
                <w:w w:val="99"/>
              </w:rPr>
              <w:t>Male</w:t>
            </w:r>
          </w:p>
        </w:tc>
        <w:tc>
          <w:tcPr>
            <w:tcW w:w="152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8"/>
                <w:szCs w:val="18"/>
                <w:b w:val="1"/>
                <w:bCs w:val="1"/>
                <w:color w:val="auto"/>
                <w:w w:val="98"/>
              </w:rPr>
              <w:t>Non-Binary</w:t>
            </w:r>
          </w:p>
        </w:tc>
        <w:tc>
          <w:tcPr>
            <w:tcW w:w="1500" w:type="dxa"/>
            <w:vAlign w:val="bottom"/>
            <w:tcBorders>
              <w:top w:val="single" w:sz="8" w:color="BD03F7"/>
            </w:tcBorders>
          </w:tcPr>
          <w:p>
            <w:pPr>
              <w:jc w:val="center"/>
              <w:spacing w:after="0" w:line="176" w:lineRule="exact"/>
              <w:rPr>
                <w:sz w:val="20"/>
                <w:szCs w:val="20"/>
                <w:color w:val="auto"/>
              </w:rPr>
            </w:pPr>
            <w:r>
              <w:rPr>
                <w:rFonts w:ascii="Arial" w:cs="Arial" w:eastAsia="Arial" w:hAnsi="Arial"/>
                <w:sz w:val="18"/>
                <w:szCs w:val="18"/>
                <w:b w:val="1"/>
                <w:bCs w:val="1"/>
                <w:color w:val="auto"/>
                <w:w w:val="99"/>
              </w:rPr>
              <w:t>Did Not Disclose</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BD03F7"/>
            </w:tcBorders>
          </w:tcPr>
          <w:p>
            <w:pPr>
              <w:spacing w:after="0"/>
              <w:rPr>
                <w:sz w:val="20"/>
                <w:szCs w:val="20"/>
                <w:color w:val="auto"/>
              </w:rPr>
            </w:pPr>
          </w:p>
        </w:tc>
        <w:tc>
          <w:tcPr>
            <w:tcW w:w="1500" w:type="dxa"/>
            <w:vAlign w:val="bottom"/>
            <w:tcBorders>
              <w:bottom w:val="single" w:sz="8" w:color="BD03F7"/>
            </w:tcBorders>
            <w:vMerge w:val="continue"/>
          </w:tcPr>
          <w:p>
            <w:pPr>
              <w:spacing w:after="0"/>
              <w:rPr>
                <w:sz w:val="20"/>
                <w:szCs w:val="20"/>
                <w:color w:val="auto"/>
              </w:rPr>
            </w:pPr>
          </w:p>
        </w:tc>
        <w:tc>
          <w:tcPr>
            <w:tcW w:w="1500" w:type="dxa"/>
            <w:vAlign w:val="bottom"/>
            <w:tcBorders>
              <w:bottom w:val="single" w:sz="8" w:color="BD03F7"/>
            </w:tcBorders>
            <w:vMerge w:val="continue"/>
          </w:tcPr>
          <w:p>
            <w:pPr>
              <w:spacing w:after="0"/>
              <w:rPr>
                <w:sz w:val="20"/>
                <w:szCs w:val="20"/>
                <w:color w:val="auto"/>
              </w:rPr>
            </w:pPr>
          </w:p>
        </w:tc>
        <w:tc>
          <w:tcPr>
            <w:tcW w:w="1520" w:type="dxa"/>
            <w:vAlign w:val="bottom"/>
            <w:tcBorders>
              <w:bottom w:val="single" w:sz="8" w:color="BD03F7"/>
            </w:tcBorders>
            <w:vMerge w:val="continue"/>
          </w:tcPr>
          <w:p>
            <w:pPr>
              <w:spacing w:after="0"/>
              <w:rPr>
                <w:sz w:val="20"/>
                <w:szCs w:val="20"/>
                <w:color w:val="auto"/>
              </w:rPr>
            </w:pPr>
          </w:p>
        </w:tc>
        <w:tc>
          <w:tcPr>
            <w:tcW w:w="15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Gender</w:t>
            </w:r>
          </w:p>
        </w:tc>
        <w:tc>
          <w:tcPr>
            <w:tcW w:w="0" w:type="dxa"/>
            <w:vAlign w:val="bottom"/>
          </w:tcPr>
          <w:p>
            <w:pPr>
              <w:spacing w:after="0"/>
              <w:rPr>
                <w:sz w:val="1"/>
                <w:szCs w:val="1"/>
                <w:color w:val="auto"/>
              </w:rPr>
            </w:pPr>
          </w:p>
        </w:tc>
      </w:tr>
      <w:tr>
        <w:trPr>
          <w:trHeight w:val="222"/>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4</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5</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500" w:type="dxa"/>
            <w:vAlign w:val="bottom"/>
            <w:shd w:val="clear" w:color="auto" w:fill="F9F9F9"/>
          </w:tcPr>
          <w:p>
            <w:pPr>
              <w:spacing w:after="0"/>
              <w:rPr>
                <w:sz w:val="19"/>
                <w:szCs w:val="19"/>
                <w:color w:val="auto"/>
              </w:rPr>
            </w:pPr>
          </w:p>
        </w:tc>
        <w:tc>
          <w:tcPr>
            <w:tcW w:w="1500" w:type="dxa"/>
            <w:vAlign w:val="bottom"/>
            <w:shd w:val="clear" w:color="auto" w:fill="F9F9F9"/>
          </w:tcPr>
          <w:p>
            <w:pPr>
              <w:spacing w:after="0"/>
              <w:rPr>
                <w:sz w:val="19"/>
                <w:szCs w:val="19"/>
                <w:color w:val="auto"/>
              </w:rPr>
            </w:pPr>
          </w:p>
        </w:tc>
        <w:tc>
          <w:tcPr>
            <w:tcW w:w="1520" w:type="dxa"/>
            <w:vAlign w:val="bottom"/>
            <w:shd w:val="clear" w:color="auto" w:fill="F9F9F9"/>
          </w:tcPr>
          <w:p>
            <w:pPr>
              <w:spacing w:after="0"/>
              <w:rPr>
                <w:sz w:val="19"/>
                <w:szCs w:val="19"/>
                <w:color w:val="auto"/>
              </w:rPr>
            </w:pPr>
          </w:p>
        </w:tc>
        <w:tc>
          <w:tcPr>
            <w:tcW w:w="1500" w:type="dxa"/>
            <w:vAlign w:val="bottom"/>
            <w:shd w:val="clear" w:color="auto" w:fill="F9F9F9"/>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African American or Black</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1</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Alaskan Native or Native American</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Asian</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1</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Hispanic or Latinx</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Native Hawaiian or Pacific Islander</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White</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4</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Two or More Races or Ethnicities</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LGBTQ+</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Additional Diversity Characteristics</w:t>
            </w:r>
          </w:p>
        </w:tc>
        <w:tc>
          <w:tcPr>
            <w:tcW w:w="1500" w:type="dxa"/>
            <w:vAlign w:val="bottom"/>
            <w:shd w:val="clear" w:color="auto" w:fill="F9F9F9"/>
          </w:tcPr>
          <w:p>
            <w:pPr>
              <w:spacing w:after="0"/>
              <w:rPr>
                <w:sz w:val="19"/>
                <w:szCs w:val="19"/>
                <w:color w:val="auto"/>
              </w:rPr>
            </w:pPr>
          </w:p>
        </w:tc>
        <w:tc>
          <w:tcPr>
            <w:tcW w:w="1500" w:type="dxa"/>
            <w:vAlign w:val="bottom"/>
            <w:shd w:val="clear" w:color="auto" w:fill="F9F9F9"/>
          </w:tcPr>
          <w:p>
            <w:pPr>
              <w:spacing w:after="0"/>
              <w:rPr>
                <w:sz w:val="19"/>
                <w:szCs w:val="19"/>
                <w:color w:val="auto"/>
              </w:rPr>
            </w:pPr>
          </w:p>
        </w:tc>
        <w:tc>
          <w:tcPr>
            <w:tcW w:w="1520" w:type="dxa"/>
            <w:vAlign w:val="bottom"/>
            <w:shd w:val="clear" w:color="auto" w:fill="F9F9F9"/>
          </w:tcPr>
          <w:p>
            <w:pPr>
              <w:spacing w:after="0"/>
              <w:rPr>
                <w:sz w:val="19"/>
                <w:szCs w:val="19"/>
                <w:color w:val="auto"/>
              </w:rPr>
            </w:pPr>
          </w:p>
        </w:tc>
        <w:tc>
          <w:tcPr>
            <w:tcW w:w="1500" w:type="dxa"/>
            <w:vAlign w:val="bottom"/>
            <w:shd w:val="clear" w:color="auto" w:fill="F9F9F9"/>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BD03F7"/>
            </w:tcBorders>
          </w:tcPr>
          <w:p>
            <w:pPr>
              <w:ind w:left="220"/>
              <w:spacing w:after="0"/>
              <w:rPr>
                <w:sz w:val="20"/>
                <w:szCs w:val="20"/>
                <w:color w:val="auto"/>
              </w:rPr>
            </w:pPr>
            <w:r>
              <w:rPr>
                <w:rFonts w:ascii="Arial" w:cs="Arial" w:eastAsia="Arial" w:hAnsi="Arial"/>
                <w:sz w:val="18"/>
                <w:szCs w:val="18"/>
                <w:color w:val="auto"/>
              </w:rPr>
              <w:t>Military Veteran</w:t>
            </w:r>
          </w:p>
        </w:tc>
        <w:tc>
          <w:tcPr>
            <w:tcW w:w="150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color w:val="auto"/>
                <w:w w:val="99"/>
              </w:rPr>
              <w:t>1</w:t>
            </w:r>
          </w:p>
        </w:tc>
        <w:tc>
          <w:tcPr>
            <w:tcW w:w="152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9700"/>
        <w:spacing w:after="0"/>
        <w:rPr>
          <w:sz w:val="20"/>
          <w:szCs w:val="20"/>
          <w:color w:val="auto"/>
        </w:rPr>
      </w:pPr>
      <w:r>
        <w:rPr>
          <w:sz w:val="1"/>
          <w:szCs w:val="1"/>
          <w:color w:val="auto"/>
        </w:rPr>
        <w:drawing>
          <wp:inline distT="0" distB="0" distL="0" distR="0">
            <wp:extent cx="777240" cy="1625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7240" cy="162560"/>
                    </a:xfrm>
                    <a:prstGeom prst="rect">
                      <a:avLst/>
                    </a:prstGeom>
                    <a:noFill/>
                    <a:ln>
                      <a:noFill/>
                    </a:ln>
                  </pic:spPr>
                </pic:pic>
              </a:graphicData>
            </a:graphic>
          </wp:inline>
        </w:drawing>
      </w:r>
      <w:r>
        <w:rPr>
          <w:rFonts w:ascii="Arial" w:cs="Arial" w:eastAsia="Arial" w:hAnsi="Arial"/>
          <w:sz w:val="14"/>
          <w:szCs w:val="14"/>
          <w:b w:val="1"/>
          <w:bCs w:val="1"/>
          <w:color w:val="auto"/>
        </w:rPr>
        <w:t xml:space="preserv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242570</wp:posOffset>
            </wp:positionV>
            <wp:extent cx="7158355" cy="89992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8355" cy="899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242570</wp:posOffset>
            </wp:positionV>
            <wp:extent cx="7158355" cy="90506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8355" cy="9050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601345</wp:posOffset>
            </wp:positionV>
            <wp:extent cx="7158355" cy="85979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8355"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703580</wp:posOffset>
            </wp:positionH>
            <wp:positionV relativeFrom="page">
              <wp:posOffset>601345</wp:posOffset>
            </wp:positionV>
            <wp:extent cx="6150610" cy="79787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6150610" cy="7978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1"/>
      <w:numFmt w:val="bullet"/>
      <w:start w:val="1"/>
    </w:lvl>
  </w:abstractNum>
  <w:abstractNum w:abstractNumId="6">
    <w:nsid w:val="4AD084E9"/>
    <w:multiLevelType w:val="hybridMultilevel"/>
    <w:lvl w:ilvl="0">
      <w:lvlJc w:val="left"/>
      <w:lvlText w:val="2"/>
      <w:numFmt w:val="bullet"/>
      <w:start w:val="1"/>
    </w:lvl>
  </w:abstractNum>
  <w:abstractNum w:abstractNumId="7">
    <w:nsid w:val="1F48EAA1"/>
    <w:multiLevelType w:val="hybridMultilevel"/>
    <w:lvl w:ilvl="0">
      <w:lvlJc w:val="left"/>
      <w:lvlText w:val="4"/>
      <w:numFmt w:val="bullet"/>
      <w:start w:val="1"/>
    </w:lvl>
  </w:abstractNum>
  <w:abstractNum w:abstractNumId="8">
    <w:nsid w:val="1381823A"/>
    <w:multiLevelType w:val="hybridMultilevel"/>
    <w:lvl w:ilvl="0">
      <w:lvlJc w:val="left"/>
      <w:lvlText w:val="5"/>
      <w:numFmt w:val="bullet"/>
      <w:start w:val="1"/>
    </w:lvl>
  </w:abstractNum>
  <w:abstractNum w:abstractNumId="9">
    <w:nsid w:val="5DB70AE5"/>
    <w:multiLevelType w:val="hybridMultilevel"/>
    <w:lvl w:ilvl="0">
      <w:lvlJc w:val="left"/>
      <w:lvlText w:val="1"/>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8"/>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4"/>
      <w:numFmt w:val="bullet"/>
      <w:start w:val="1"/>
    </w:lvl>
  </w:abstractNum>
  <w:abstractNum w:abstractNumId="41">
    <w:nsid w:val="100F59DC"/>
    <w:multiLevelType w:val="hybridMultilevel"/>
    <w:lvl w:ilvl="0">
      <w:lvlJc w:val="left"/>
      <w:lvlText w:val="4"/>
      <w:numFmt w:val="bullet"/>
      <w:start w:val="1"/>
    </w:lvl>
  </w:abstractNum>
  <w:abstractNum w:abstractNumId="42">
    <w:nsid w:val="7FB7E0AA"/>
    <w:multiLevelType w:val="hybridMultilevel"/>
    <w:lvl w:ilvl="0">
      <w:lvlJc w:val="left"/>
      <w:lvlText w:val="5"/>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1)"/>
      <w:numFmt w:val="lowerRoman"/>
      <w:start w:val="6"/>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1)"/>
      <w:numFmt w:val="decimal"/>
      <w:start w:val="2"/>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4"/>
    </w:lvl>
    <w:lvl w:ilvl="1">
      <w:lvlJc w:val="left"/>
      <w:lvlText w:val="•"/>
      <w:numFmt w:val="bullet"/>
      <w:start w:val="1"/>
    </w:lvl>
  </w:abstractNum>
  <w:abstractNum w:abstractNumId="65">
    <w:nsid w:val="7055A5F5"/>
    <w:multiLevelType w:val="hybridMultilevel"/>
    <w:lvl w:ilvl="0">
      <w:lvlJc w:val="left"/>
      <w:lvlText w:val="(%1)"/>
      <w:numFmt w:val="decimal"/>
      <w:start w:val="1"/>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10"/>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1)"/>
      <w:numFmt w:val="decimal"/>
      <w:start w:val="3"/>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decimal"/>
      <w:start w:val="2"/>
    </w:lvl>
  </w:abstractNum>
  <w:abstractNum w:abstractNumId="88">
    <w:nsid w:val="59ADEA3D"/>
    <w:multiLevelType w:val="hybridMultilevel"/>
    <w:lvl w:ilvl="0">
      <w:lvlJc w:val="left"/>
      <w:lvlText w:val="(%1)"/>
      <w:numFmt w:val="lowerRoman"/>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1)"/>
      <w:numFmt w:val="decimal"/>
      <w:start w:val="3"/>
    </w:lvl>
  </w:abstractNum>
  <w:abstractNum w:abstractNumId="91">
    <w:nsid w:val="1D9F6E5F"/>
    <w:multiLevelType w:val="hybridMultilevel"/>
    <w:lvl w:ilvl="0">
      <w:lvlJc w:val="left"/>
      <w:lvlText w:val="1"/>
      <w:numFmt w:val="bullet"/>
      <w:start w:val="1"/>
    </w:lvl>
  </w:abstractNum>
  <w:abstractNum w:abstractNumId="92">
    <w:nsid w:val="97E1B4E"/>
    <w:multiLevelType w:val="hybridMultilevel"/>
    <w:lvl w:ilvl="0">
      <w:lvlJc w:val="left"/>
      <w:lvlText w:val="4"/>
      <w:numFmt w:val="bullet"/>
      <w:start w:val="1"/>
    </w:lvl>
  </w:abstractNum>
  <w:abstractNum w:abstractNumId="93">
    <w:nsid w:val="51088277"/>
    <w:multiLevelType w:val="hybridMultilevel"/>
    <w:lvl w:ilvl="0">
      <w:lvlJc w:val="left"/>
      <w:lvlText w:val="5"/>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1."/>
      <w:numFmt w:val="decimal"/>
      <w:start w:val="1"/>
    </w:lvl>
    <w:lvl w:ilvl="1">
      <w:lvlJc w:val="left"/>
      <w:lvlText w:val="•"/>
      <w:numFmt w:val="bullet"/>
      <w:start w:val="1"/>
    </w:lvl>
  </w:abstractNum>
  <w:abstractNum w:abstractNumId="97">
    <w:nsid w:val="7C58FD05"/>
    <w:multiLevelType w:val="hybridMultilevel"/>
    <w:lvl w:ilvl="0">
      <w:lvlJc w:val="left"/>
      <w:lvlText w:val="%1."/>
      <w:numFmt w:val="decimal"/>
      <w:start w:val="2"/>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upperLetter"/>
      <w:start w:val="1"/>
    </w:lvl>
  </w:abstractNum>
  <w:abstractNum w:abstractNumId="100">
    <w:nsid w:val="5C10FE21"/>
    <w:multiLevelType w:val="hybridMultilevel"/>
    <w:lvl w:ilvl="0">
      <w:lvlJc w:val="left"/>
      <w:lvlText w:val="(%1)"/>
      <w:numFmt w:val="lowerLetter"/>
      <w:start w:val="4"/>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1)"/>
      <w:numFmt w:val="lowerLetter"/>
      <w:start w:val="2"/>
    </w:lvl>
  </w:abstractNum>
  <w:abstractNum w:abstractNumId="103">
    <w:nsid w:val="4BD8591A"/>
    <w:multiLevelType w:val="hybridMultilevel"/>
    <w:lvl w:ilvl="0">
      <w:lvlJc w:val="left"/>
      <w:lvlText w:val="%1."/>
      <w:numFmt w:val="decimal"/>
      <w:start w:val="3"/>
    </w:lvl>
    <w:lvl w:ilvl="1">
      <w:lvlJc w:val="left"/>
      <w:lvlText w:val="(%2)"/>
      <w:numFmt w:val="lowerLetter"/>
      <w:start w:val="1"/>
    </w:lvl>
  </w:abstractNum>
  <w:abstractNum w:abstractNumId="104">
    <w:nsid w:val="78DF6A55"/>
    <w:multiLevelType w:val="hybridMultilevel"/>
    <w:lvl w:ilvl="0">
      <w:lvlJc w:val="left"/>
      <w:lvlText w:val="(%1)"/>
      <w:numFmt w:val="lowerLetter"/>
      <w:start w:val="7"/>
    </w:lvl>
  </w:abstractNum>
  <w:abstractNum w:abstractNumId="105">
    <w:nsid w:val="39B7AAA2"/>
    <w:multiLevelType w:val="hybridMultilevel"/>
    <w:lvl w:ilvl="0">
      <w:lvlJc w:val="left"/>
      <w:lvlText w:val="%1."/>
      <w:numFmt w:val="decimal"/>
      <w:start w:val="4"/>
    </w:lvl>
  </w:abstractNum>
  <w:abstractNum w:abstractNumId="106">
    <w:nsid w:val="2B0D8DBE"/>
    <w:multiLevelType w:val="hybridMultilevel"/>
    <w:lvl w:ilvl="0">
      <w:lvlJc w:val="left"/>
      <w:lvlText w:val="(%1)"/>
      <w:numFmt w:val="lowerLetter"/>
      <w:start w:val="1"/>
    </w:lvl>
  </w:abstractNum>
  <w:abstractNum w:abstractNumId="107">
    <w:nsid w:val="6C80EC70"/>
    <w:multiLevelType w:val="hybridMultilevel"/>
    <w:lvl w:ilvl="0">
      <w:lvlJc w:val="left"/>
      <w:lvlText w:val="(%1)"/>
      <w:numFmt w:val="lowerLetter"/>
      <w:start w:val="6"/>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decimal"/>
      <w:start w:val="1"/>
    </w:lvl>
    <w:lvl w:ilvl="1">
      <w:lvlJc w:val="left"/>
      <w:lvlText w:val="(%2)"/>
      <w:numFmt w:val="lowerLetter"/>
      <w:start w:val="1"/>
    </w:lvl>
  </w:abstractNum>
  <w:abstractNum w:abstractNumId="110">
    <w:nsid w:val="2C27173B"/>
    <w:multiLevelType w:val="hybridMultilevel"/>
    <w:lvl w:ilvl="0">
      <w:lvlJc w:val="left"/>
      <w:lvlText w:val="%1."/>
      <w:numFmt w:val="decimal"/>
      <w:start w:val="5"/>
    </w:lvl>
    <w:lvl w:ilvl="1">
      <w:lvlJc w:val="left"/>
      <w:lvlText w:val="%2"/>
      <w:numFmt w:val="lowerLetter"/>
      <w:start w:val="1"/>
    </w:lvl>
  </w:abstractNum>
  <w:abstractNum w:abstractNumId="111">
    <w:nsid w:val="4C9B0904"/>
    <w:multiLevelType w:val="hybridMultilevel"/>
    <w:lvl w:ilvl="0">
      <w:lvlJc w:val="left"/>
      <w:lvlText w:val="(%1)"/>
      <w:numFmt w:val="lowerLetter"/>
      <w:start w:val="1"/>
    </w:lvl>
  </w:abstractNum>
  <w:abstractNum w:abstractNumId="112">
    <w:nsid w:val="6AA7B75C"/>
    <w:multiLevelType w:val="hybridMultilevel"/>
    <w:lvl w:ilvl="0">
      <w:lvlJc w:val="left"/>
      <w:lvlText w:val="%1"/>
      <w:numFmt w:val="decimal"/>
      <w:start w:val="1"/>
    </w:lvl>
    <w:lvl w:ilvl="1">
      <w:lvlJc w:val="left"/>
      <w:lvlText w:val="(%2)"/>
      <w:numFmt w:val="lowerLetter"/>
      <w:start w:val="2"/>
    </w:lvl>
  </w:abstractNum>
  <w:abstractNum w:abstractNumId="113">
    <w:nsid w:val="1DF029D3"/>
    <w:multiLevelType w:val="hybridMultilevel"/>
    <w:lvl w:ilvl="0">
      <w:lvlJc w:val="left"/>
      <w:lvlText w:val="%1."/>
      <w:numFmt w:val="decimal"/>
      <w:start w:val="7"/>
    </w:lvl>
    <w:lvl w:ilvl="1">
      <w:lvlJc w:val="left"/>
      <w:lvlText w:val="(%2)"/>
      <w:numFmt w:val="lowerLetter"/>
      <w:start w:val="1"/>
    </w:lvl>
  </w:abstractNum>
  <w:abstractNum w:abstractNumId="114">
    <w:nsid w:val="5675FF36"/>
    <w:multiLevelType w:val="hybridMultilevel"/>
    <w:lvl w:ilvl="0">
      <w:lvlJc w:val="left"/>
      <w:lvlText w:val="%1."/>
      <w:numFmt w:val="decimal"/>
      <w:start w:val="8"/>
    </w:lvl>
  </w:abstractNum>
  <w:abstractNum w:abstractNumId="115">
    <w:nsid w:val="3DD15094"/>
    <w:multiLevelType w:val="hybridMultilevel"/>
    <w:lvl w:ilvl="0">
      <w:lvlJc w:val="left"/>
      <w:lvlText w:val="%1."/>
      <w:numFmt w:val="decimal"/>
      <w:start w:val="9"/>
    </w:lvl>
  </w:abstractNum>
  <w:abstractNum w:abstractNumId="116">
    <w:nsid w:val="3DB012B3"/>
    <w:multiLevelType w:val="hybridMultilevel"/>
    <w:lvl w:ilvl="0">
      <w:lvlJc w:val="left"/>
      <w:lvlText w:val="%1."/>
      <w:numFmt w:val="decimal"/>
      <w:start w:val="11"/>
    </w:lvl>
  </w:abstractNum>
  <w:abstractNum w:abstractNumId="117">
    <w:nsid w:val="2708C9AF"/>
    <w:multiLevelType w:val="hybridMultilevel"/>
    <w:lvl w:ilvl="0">
      <w:lvlJc w:val="left"/>
      <w:lvlText w:val="%1."/>
      <w:numFmt w:val="decimal"/>
      <w:start w:val="14"/>
    </w:lvl>
    <w:lvl w:ilvl="1">
      <w:lvlJc w:val="left"/>
      <w:lvlText w:val="(%2)"/>
      <w:numFmt w:val="lowerLetter"/>
      <w:start w:val="2"/>
    </w:lvl>
  </w:abstractNum>
  <w:abstractNum w:abstractNumId="118">
    <w:nsid w:val="5B25ACE2"/>
    <w:multiLevelType w:val="hybridMultilevel"/>
    <w:lvl w:ilvl="0">
      <w:lvlJc w:val="left"/>
      <w:lvlText w:val="(%1)"/>
      <w:numFmt w:val="lowerRoman"/>
      <w:start w:val="2"/>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decimal"/>
      <w:start w:val="16"/>
    </w:lvl>
  </w:abstractNum>
  <w:abstractNum w:abstractNumId="122">
    <w:nsid w:val="34FD6B4F"/>
    <w:multiLevelType w:val="hybridMultilevel"/>
    <w:lvl w:ilvl="0">
      <w:lvlJc w:val="left"/>
      <w:lvlText w:val="%1."/>
      <w:numFmt w:val="decimal"/>
      <w:start w:val="17"/>
    </w:lvl>
  </w:abstractNum>
  <w:abstractNum w:abstractNumId="123">
    <w:nsid w:val="5915FF32"/>
    <w:multiLevelType w:val="hybridMultilevel"/>
    <w:lvl w:ilvl="0">
      <w:lvlJc w:val="left"/>
      <w:lvlText w:val="%1."/>
      <w:numFmt w:val="decimal"/>
      <w:start w:val="20"/>
    </w:lvl>
  </w:abstractNum>
  <w:abstractNum w:abstractNumId="124">
    <w:nsid w:val="56438D15"/>
    <w:multiLevelType w:val="hybridMultilevel"/>
    <w:lvl w:ilvl="0">
      <w:lvlJc w:val="left"/>
      <w:lvlText w:val="%1."/>
      <w:numFmt w:val="decimal"/>
      <w:start w:val="21"/>
    </w:lvl>
  </w:abstractNum>
  <w:abstractNum w:abstractNumId="125">
    <w:nsid w:val="519E3149"/>
    <w:multiLevelType w:val="hybridMultilevel"/>
    <w:lvl w:ilvl="0">
      <w:lvlJc w:val="left"/>
      <w:lvlText w:val="%1."/>
      <w:numFmt w:val="decimal"/>
      <w:start w:val="2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2024-11-26T18:28:01Z</dcterms:created>
  <dcterms:modified xsi:type="dcterms:W3CDTF">2024-11-26T18:28:01Z</dcterms:modified>
</cp:coreProperties>
</file>