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965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96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Adams Mark</w:t>
        </w:r>
      </w:hyperlink>
    </w:p>
    <w:p>
      <w:pPr>
        <w:spacing w:after="0" w:line="21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8000 S FEDERAL WAY, MS 1-557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83707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06/27/2006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MU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60" w:type="dxa"/>
            <w:vAlign w:val="bottom"/>
            <w:gridSpan w:val="2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4. Relationship of Reporting Person(s) to Issuer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center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gridSpan w:val="2"/>
          </w:tcPr>
          <w:p>
            <w:pPr>
              <w:jc w:val="right"/>
              <w:ind w:right="1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1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</w:t>
            </w:r>
          </w:p>
        </w:tc>
        <w:tc>
          <w:tcPr>
            <w:tcW w:w="2760" w:type="dxa"/>
            <w:vAlign w:val="bottom"/>
            <w:gridSpan w:val="2"/>
            <w:vMerge w:val="restart"/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jc w:val="center"/>
              <w:ind w:righ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Vice President, Digital Media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118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1,169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Non-Qualified 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06/21/2006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02/16/2016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116,029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10.89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Incentive 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06/21/2006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02/16/2016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2,470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10.89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Non-Qualified 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06/21/2006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01/04/2016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21,901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14.51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Incentive Stock Option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0"/>
              </w:rPr>
              <w:t>06/21/2006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01/04/2016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37,348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14.51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008000"/>
        </w:rPr>
        <w:t>1. Options assumed in the merger between Lexar Media and Micron Technology, Inc. on 6/21/06, vesting was accelerated on 25% of the outstanding options at change of control. The regular vesting schedule of the options is 25% for first year and monthly for the remainder of the vesting period.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Katie Reid, Attorney-in-fact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06/29/2006</w:t>
            </w:r>
          </w:p>
        </w:tc>
      </w:tr>
      <w:tr>
        <w:trPr>
          <w:trHeight w:val="150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undersigned, as a Section 16 reporting person of Micron Technology, Inc. (the "Company"), hereby constitutes and appoints the Company's Global Stock and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complete and execute Forms 4 and 5 and other forms, and all amendments thereto, as such attorney-in-fact shall in his or her discretion determine to be required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all acts necessary in order to file such forms with the Securities and Exchange Commission, any securities exchange or national association, the Company and s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ratifies and confirms all that said attorneys-in-fact and agents shall do or cause to be done by virtue hereof. The undersigned acknow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shall remain in full force and effect until the undersigned is no longer required to file Forms 4 and 5 with respect to the undersigne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28 day of June , 2006 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88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Mark Adams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9123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2019-12-16T04:13:38Z</dcterms:created>
  <dcterms:modified xsi:type="dcterms:W3CDTF">2019-12-16T04:13:38Z</dcterms:modified>
</cp:coreProperties>
</file>