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15, 2009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(I.R.S. Employer Identification</w:t>
      </w:r>
    </w:p>
    <w:p>
      <w:pPr>
        <w:spacing w:after="0" w:line="32"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20" w:space="720"/>
            <w:col w:w="292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On April 15, 2009, Micron Technology, Inc. (“Micron” or the “Company”) entered into an Indenture (the “Indenture”) by and between Micron and Wells Fargo Bank, National Association, as trustee relating to the issuance by Micron of $230 million aggregate principal amount of its 4.25% Convertible Senior Notes due October 15, 2013 (the “Notes”). The Indenture and the form of global note are filed as Exhibit 4.1 and Exhibit 4.2, respectively, to this Current Report on Form 8-K. The Notes bear interest at a rate of 4.25% per year on the principal amount, accruing from April 15, 2009. Interest is payable semiannually in arrears in cash on April 15 and October 15 of each year, beginning on October 15, 2009. The Notes will mature on October 15, 2013, subject to earlier repurchase, redemption or conversion.</w:t>
      </w:r>
    </w:p>
    <w:p>
      <w:pPr>
        <w:spacing w:after="0" w:line="193"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The Notes are convertible into shares of Micron’s common stock, par value $0.10 per share (the “Common Stock”), at an initial conversion rate of 196.7052 shares of Common Stock per $1,000 principal amount of Notes. This is equivalent to an initial conversion price of approximately $5.08 per share of Common Stock. Holders may surrender their Notes for conversion at any time on or prior to the close of business on the business day immediately preceding the maturity date for the Notes. If a holder elects to convert its Notes in connection with a make-whole change in control, as that term is defined in the Indenture, Micron will, in certain circumstances, pay a make-whole change in control premium by increasing the conversion rate for Notes converted in connection with such make-whole change in control.</w:t>
      </w:r>
    </w:p>
    <w:p>
      <w:pPr>
        <w:spacing w:after="0" w:line="193"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Micron may not redeem the Notes prior to April 20, 2012. On or after April 20, 2012, Micron may redeem for cash all or part of the Notes if the last reported sale price of Common Stock has been at least 135% of the conversion price then in effect for at least 20 trading days during any 30 consecutive trading day period ending within five trading days prior to the date on which we provide notice of redemption. The redemption price will equal 100% of the principal amount of the Notes to be redeemed, plus accrued and unpaid interest, including any additional interest, plus a “make-whole premium” payment, as that term is defined in the Indenture.</w:t>
      </w:r>
    </w:p>
    <w:p>
      <w:pPr>
        <w:spacing w:after="0" w:line="188" w:lineRule="exact"/>
        <w:rPr>
          <w:sz w:val="24"/>
          <w:szCs w:val="24"/>
          <w:color w:val="auto"/>
        </w:rPr>
      </w:pPr>
    </w:p>
    <w:p>
      <w:pPr>
        <w:jc w:val="both"/>
        <w:ind w:right="280"/>
        <w:spacing w:after="0" w:line="342" w:lineRule="auto"/>
        <w:rPr>
          <w:sz w:val="20"/>
          <w:szCs w:val="20"/>
          <w:color w:val="auto"/>
        </w:rPr>
      </w:pPr>
      <w:r>
        <w:rPr>
          <w:rFonts w:ascii="Arial" w:cs="Arial" w:eastAsia="Arial" w:hAnsi="Arial"/>
          <w:sz w:val="16"/>
          <w:szCs w:val="16"/>
          <w:color w:val="auto"/>
        </w:rPr>
        <w:t>Upon a change in control or a termination of trading, as defined in the Indenture, the holders may require Micron to repurchase for cash all or a portion of their Notes at a repurchase price equal to 100% of the principal amount of the Notes, plus accrued and unpaid interest, including additional interest, if any.</w:t>
      </w:r>
    </w:p>
    <w:p>
      <w:pPr>
        <w:spacing w:after="0" w:line="12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Notes are Micron’s general, unsecured obligations and are effectively subordinated to all of Micron’s existing and future secured debt, to the extent of the assets securing such debt, and are structurally subordinated to all indebtedness and other liabilities of Micron’s subsidiaries. The Indenture does not limit the amount of indebtedness that Micron or any of its subsidiaries may incur.</w:t>
      </w:r>
    </w:p>
    <w:p>
      <w:pPr>
        <w:sectPr>
          <w:pgSz w:w="11900" w:h="16838" w:orient="portrait"/>
          <w:cols w:equalWidth="0" w:num="1">
            <w:col w:w="11400"/>
          </w:cols>
          <w:pgMar w:left="240" w:top="544"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 following events are considered “Events of Default,” which may result in the acceleration of the maturity of the Notes:</w:t>
      </w:r>
    </w:p>
    <w:p>
      <w:pPr>
        <w:spacing w:after="0" w:line="225" w:lineRule="exact"/>
        <w:rPr>
          <w:sz w:val="20"/>
          <w:szCs w:val="20"/>
          <w:color w:val="auto"/>
        </w:rPr>
      </w:pPr>
    </w:p>
    <w:p>
      <w:pPr>
        <w:ind w:left="1300" w:right="240" w:hanging="320"/>
        <w:spacing w:after="0" w:line="277"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pay when due the principal on any of the Notes at maturity, upon optional redemption, upon required repurchase, upon declaration or otherwise;</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pay interest, including any additional interest, on any of the Notes for 30 days after the date when due;</w:t>
      </w:r>
    </w:p>
    <w:p>
      <w:pPr>
        <w:spacing w:after="0" w:line="225" w:lineRule="exact"/>
        <w:rPr>
          <w:rFonts w:ascii="Arial" w:cs="Arial" w:eastAsia="Arial" w:hAnsi="Arial"/>
          <w:sz w:val="18"/>
          <w:szCs w:val="18"/>
          <w:color w:val="auto"/>
        </w:rPr>
      </w:pPr>
    </w:p>
    <w:p>
      <w:pPr>
        <w:ind w:left="1300" w:right="540" w:hanging="320"/>
        <w:spacing w:after="0" w:line="277" w:lineRule="auto"/>
        <w:tabs>
          <w:tab w:leader="none" w:pos="1246"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Micron’s failure to give timely notice of a termination of trading, a change of control or a make-whole change in control that does not constitute a change in control, which continues for a period of three business days;</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Micron’s failure to comply with its obligation to convert the Notes into Common Stock upon exercise of a holder’s conversion right;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hanging="320"/>
        <w:spacing w:after="0" w:line="277" w:lineRule="auto"/>
        <w:tabs>
          <w:tab w:leader="none" w:pos="1246"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comply with any other agreement under the Indenture or in the Notes and Micron fails to cure or obtain a waiver of such default for a period of 60 days after receiving notice of such failure as required by the Indenture;</w:t>
      </w:r>
    </w:p>
    <w:p>
      <w:pPr>
        <w:spacing w:after="0" w:line="170" w:lineRule="exact"/>
        <w:rPr>
          <w:rFonts w:ascii="Arial" w:cs="Arial" w:eastAsia="Arial" w:hAnsi="Arial"/>
          <w:sz w:val="18"/>
          <w:szCs w:val="18"/>
          <w:color w:val="auto"/>
        </w:rPr>
      </w:pPr>
    </w:p>
    <w:p>
      <w:pPr>
        <w:ind w:left="1300" w:right="60" w:hanging="320"/>
        <w:spacing w:after="0" w:line="312" w:lineRule="auto"/>
        <w:tabs>
          <w:tab w:leader="none" w:pos="1236" w:val="left"/>
        </w:tabs>
        <w:numPr>
          <w:ilvl w:val="0"/>
          <w:numId w:val="2"/>
        </w:numPr>
        <w:rPr>
          <w:rFonts w:ascii="Arial" w:cs="Arial" w:eastAsia="Arial" w:hAnsi="Arial"/>
          <w:sz w:val="16"/>
          <w:szCs w:val="16"/>
          <w:color w:val="auto"/>
        </w:rPr>
      </w:pPr>
      <w:r>
        <w:rPr>
          <w:rFonts w:ascii="Arial" w:cs="Arial" w:eastAsia="Arial" w:hAnsi="Arial"/>
          <w:sz w:val="16"/>
          <w:szCs w:val="16"/>
          <w:color w:val="auto"/>
        </w:rPr>
        <w:t>A default by Micron under any indebtedness that results in acceleration of such indebtedness, or the failure to pay any such indebtedness at maturity, in an aggregate principal amount in excess of $100 million, and such indebtedness has not been discharged or the acceleration has not been cured, waived, rescinded or annulled within 30 days after receiving notice as required by the Indenture; and</w:t>
      </w:r>
    </w:p>
    <w:p>
      <w:pPr>
        <w:spacing w:after="0" w:line="146" w:lineRule="exact"/>
        <w:rPr>
          <w:rFonts w:ascii="Arial" w:cs="Arial" w:eastAsia="Arial" w:hAnsi="Arial"/>
          <w:sz w:val="16"/>
          <w:szCs w:val="16"/>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the Company or any significant subsidiary.</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Indenture and related global note, which are included as Exhibits 4.1 and 4.2, respectively,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1.01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April 15, 2009, Micron completed its sale of 69,276,000 shares (the “Shares”) of Common Stock of the Company in a public offering pursuant to the Registration Statement and a related prospectus, including the related prospectus supplement, filed with the Securities and Exchange Commission. The public offering price of the Shares was $4.15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connection with the offering of the Notes, the Company also completed capped call transactions with the following entities affiliated with the Underwriters: one capped call transaction with Goldman, Sachs &amp; Co. (the “Goldman Sachs Capped Call”), one capped call transaction with Morgan Stanley &amp; Co. International plc (the “Morgan Stanley Capped Call”) and one capped call transaction with Deutsche Bank AG, London Branch (the “Deutsche Bank Capped Call” and collectively with the Goldman Sachs Capped Call and the Morgan Stanley Capped Call, the “Capped Calls”). The Capped Calls each have an initial strike price of approximately $5.08 per share, subject to certain adjustments, which matches the initial conversion price of the Notes. The Capped Calls have a cap price of $6.64 per share. The Capped Calls cover, subject to anti-dilution adjustments similar to those contained in the Notes, an approximate combined total of 45.2 million shares of Common Stock (after adjustment for the Underwriters’ exercise of their over-allotment option pursuant to the Note Underwriting Agreement), of which amount the Goldman Sachs Capped Call covers 45%, the Morgan Stanley Capped Call covers 35% and the Deutsche Bank Capped Call covers 20%. The Capped Calls are intended to reduce the potential dilution upon conversion of the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Micron paid approximately $24.7 million from the net proceeds from the issuance and sale of the Notes to purchase the Capped Calls. The Capped Calls expire in four and one-half years. Each of the Capped Calls is filed as Exhibits to Micron’s Form 8-K filed on April 14, 2009 and the description herein is qualified in its entirety by reference to the text of each applicable Capped Call.</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purpose of this Current Report is to incorporate by reference the Indenture, the form of global note and the opinion of WSGR (attached hereto as Exhibits 4.1, 4.2 and 99.1, respectively) into the Registration Statement. By filing this Current Report, such exhibits and this Current Report are hereby incorporated by reference into the Registration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vMerge w:val="restart"/>
          </w:tcPr>
          <w:p>
            <w:pPr>
              <w:ind w:left="27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5" w:right="239" w:bottom="0" w:gutter="0" w:footer="0" w:header="0"/>
        </w:sectPr>
      </w:pPr>
    </w:p>
    <w:tbl>
      <w:tblPr>
        <w:tblLayout w:type="fixed"/>
        <w:tblInd w:w="0" w:type="dxa"/>
        <w:tblCellMar>
          <w:top w:w="0" w:type="dxa"/>
          <w:left w:w="0" w:type="dxa"/>
          <w:bottom w:w="0" w:type="dxa"/>
          <w:right w:w="0" w:type="dxa"/>
        </w:tblCellMar>
      </w:tblPr>
      <w:tr>
        <w:trPr>
          <w:trHeight w:val="195"/>
        </w:trPr>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60" w:type="dxa"/>
            <w:vAlign w:val="bottom"/>
          </w:tcPr>
          <w:p>
            <w:pPr>
              <w:spacing w:after="0"/>
              <w:rPr>
                <w:sz w:val="16"/>
                <w:szCs w:val="16"/>
                <w:color w:val="auto"/>
              </w:rPr>
            </w:pPr>
          </w:p>
        </w:tc>
        <w:tc>
          <w:tcPr>
            <w:tcW w:w="10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Convertible Senior Indenture between the Company and Wells Fargo Bank, National Association, dated as of April 15, 2009.</w:t>
            </w:r>
          </w:p>
        </w:tc>
      </w:tr>
      <w:tr>
        <w:trPr>
          <w:trHeight w:val="216"/>
        </w:trPr>
        <w:tc>
          <w:tcPr>
            <w:tcW w:w="9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6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Form of 4.25% Convertible Senior Note due October 15, 2013 (included in Exhibit 4.1 hereto).</w:t>
            </w:r>
          </w:p>
        </w:tc>
      </w:tr>
      <w:tr>
        <w:trPr>
          <w:trHeight w:val="230"/>
        </w:trPr>
        <w:tc>
          <w:tcPr>
            <w:tcW w:w="98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60" w:type="dxa"/>
            <w:vAlign w:val="bottom"/>
          </w:tcPr>
          <w:p>
            <w:pPr>
              <w:spacing w:after="0"/>
              <w:rPr>
                <w:sz w:val="20"/>
                <w:szCs w:val="20"/>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Opinion of Wilson Sonsini Goodrich &amp; Rosati, Professional Corporation, relating to the validity of the Notes and the Shares.</w:t>
            </w:r>
          </w:p>
        </w:tc>
      </w:tr>
    </w:tbl>
    <w:p>
      <w:pPr>
        <w:sectPr>
          <w:pgSz w:w="11900" w:h="16838" w:orient="portrait"/>
          <w:cols w:equalWidth="0" w:num="1">
            <w:col w:w="11420"/>
          </w:cols>
          <w:pgMar w:left="240" w:top="125" w:right="239" w:bottom="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220"/>
              <w:spacing w:after="0"/>
              <w:rPr>
                <w:sz w:val="20"/>
                <w:szCs w:val="20"/>
                <w:color w:val="auto"/>
              </w:rPr>
            </w:pPr>
            <w:r>
              <w:rPr>
                <w:rFonts w:ascii="Arial" w:cs="Arial" w:eastAsia="Arial" w:hAnsi="Arial"/>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580" w:type="dxa"/>
            <w:vAlign w:val="bottom"/>
          </w:tcPr>
          <w:p>
            <w:pPr>
              <w:spacing w:after="0"/>
              <w:rPr>
                <w:sz w:val="20"/>
                <w:szCs w:val="20"/>
                <w:color w:val="auto"/>
              </w:rPr>
            </w:pPr>
            <w:r>
              <w:rPr>
                <w:rFonts w:ascii="Arial" w:cs="Arial" w:eastAsia="Arial" w:hAnsi="Arial"/>
                <w:sz w:val="18"/>
                <w:szCs w:val="18"/>
                <w:color w:val="auto"/>
              </w:rPr>
              <w:t>Date: April 20, 2009</w:t>
            </w:r>
          </w:p>
        </w:tc>
        <w:tc>
          <w:tcPr>
            <w:tcW w:w="2860" w:type="dxa"/>
            <w:vAlign w:val="bottom"/>
          </w:tcPr>
          <w:p>
            <w:pPr>
              <w:ind w:left="222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c>
          <w:tcPr>
            <w:tcW w:w="40" w:type="dxa"/>
            <w:vAlign w:val="bottom"/>
          </w:tcPr>
          <w:p>
            <w:pPr>
              <w:spacing w:after="0"/>
              <w:rPr>
                <w:sz w:val="24"/>
                <w:szCs w:val="24"/>
                <w:color w:val="auto"/>
              </w:rPr>
            </w:pPr>
          </w:p>
        </w:tc>
      </w:tr>
      <w:tr>
        <w:trPr>
          <w:trHeight w:val="195"/>
        </w:trPr>
        <w:tc>
          <w:tcPr>
            <w:tcW w:w="3580" w:type="dxa"/>
            <w:vAlign w:val="bottom"/>
          </w:tcPr>
          <w:p>
            <w:pPr>
              <w:spacing w:after="0"/>
              <w:rPr>
                <w:sz w:val="16"/>
                <w:szCs w:val="16"/>
                <w:color w:val="auto"/>
              </w:rPr>
            </w:pPr>
          </w:p>
        </w:tc>
        <w:tc>
          <w:tcPr>
            <w:tcW w:w="2860" w:type="dxa"/>
            <w:vAlign w:val="bottom"/>
          </w:tcPr>
          <w:p>
            <w:pPr>
              <w:ind w:left="222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16"/>
        </w:trPr>
        <w:tc>
          <w:tcPr>
            <w:tcW w:w="3580" w:type="dxa"/>
            <w:vAlign w:val="bottom"/>
          </w:tcPr>
          <w:p>
            <w:pPr>
              <w:spacing w:after="0"/>
              <w:rPr>
                <w:sz w:val="18"/>
                <w:szCs w:val="18"/>
                <w:color w:val="auto"/>
              </w:rPr>
            </w:pPr>
          </w:p>
        </w:tc>
        <w:tc>
          <w:tcPr>
            <w:tcW w:w="2860" w:type="dxa"/>
            <w:vAlign w:val="bottom"/>
          </w:tcPr>
          <w:p>
            <w:pPr>
              <w:ind w:left="222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Vice President of Finance and</w:t>
            </w:r>
          </w:p>
        </w:tc>
        <w:tc>
          <w:tcPr>
            <w:tcW w:w="40" w:type="dxa"/>
            <w:vAlign w:val="bottom"/>
          </w:tcPr>
          <w:p>
            <w:pPr>
              <w:spacing w:after="0"/>
              <w:rPr>
                <w:sz w:val="18"/>
                <w:szCs w:val="18"/>
                <w:color w:val="auto"/>
              </w:rPr>
            </w:pPr>
          </w:p>
        </w:tc>
      </w:tr>
      <w:tr>
        <w:trPr>
          <w:trHeight w:val="230"/>
        </w:trPr>
        <w:tc>
          <w:tcPr>
            <w:tcW w:w="35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58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Arial" w:cs="Arial" w:eastAsia="Arial" w:hAnsi="Arial"/>
                <w:sz w:val="18"/>
                <w:szCs w:val="18"/>
                <w:color w:val="auto"/>
              </w:rPr>
              <w:t>5</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8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49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80" w:type="dxa"/>
            <w:vAlign w:val="bottom"/>
          </w:tcPr>
          <w:p>
            <w:pPr>
              <w:jc w:val="center"/>
              <w:ind w:right="115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80" w:type="dxa"/>
            <w:vAlign w:val="bottom"/>
          </w:tcPr>
          <w:p>
            <w:pPr>
              <w:jc w:val="center"/>
              <w:ind w:right="1154"/>
              <w:spacing w:after="0"/>
              <w:rPr>
                <w:sz w:val="20"/>
                <w:szCs w:val="20"/>
                <w:color w:val="auto"/>
              </w:rPr>
            </w:pPr>
            <w:r>
              <w:rPr>
                <w:rFonts w:ascii="Arial" w:cs="Arial" w:eastAsia="Arial" w:hAnsi="Arial"/>
                <w:sz w:val="18"/>
                <w:szCs w:val="18"/>
                <w:b w:val="1"/>
                <w:bCs w:val="1"/>
                <w:color w:val="auto"/>
                <w:w w:val="99"/>
              </w:rPr>
              <w:t>THE CURRENT REPORT ON FORM 8-K DATED APRIL 14,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18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40" w:type="dxa"/>
            <w:vAlign w:val="bottom"/>
          </w:tcPr>
          <w:p>
            <w:pPr>
              <w:spacing w:after="0"/>
              <w:rPr>
                <w:sz w:val="16"/>
                <w:szCs w:val="16"/>
                <w:color w:val="auto"/>
              </w:rPr>
            </w:pPr>
          </w:p>
        </w:tc>
        <w:tc>
          <w:tcPr>
            <w:tcW w:w="10180" w:type="dxa"/>
            <w:vAlign w:val="bottom"/>
            <w:tcBorders>
              <w:top w:val="single" w:sz="8" w:color="auto"/>
            </w:tcBorders>
          </w:tcPr>
          <w:p>
            <w:pPr>
              <w:jc w:val="center"/>
              <w:ind w:right="1074"/>
              <w:spacing w:after="0" w:line="195" w:lineRule="exact"/>
              <w:rPr>
                <w:sz w:val="20"/>
                <w:szCs w:val="20"/>
                <w:color w:val="auto"/>
              </w:rPr>
            </w:pPr>
            <w:r>
              <w:rPr>
                <w:rFonts w:ascii="Arial" w:cs="Arial" w:eastAsia="Arial" w:hAnsi="Arial"/>
                <w:sz w:val="18"/>
                <w:szCs w:val="18"/>
                <w:color w:val="auto"/>
                <w:w w:val="91"/>
              </w:rPr>
              <w:t>Convertible Senior Indenture between the Company and Wells Fargo Bank, National Association, dated as of April 15, 2009.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10420" w:type="dxa"/>
            <w:vAlign w:val="bottom"/>
            <w:gridSpan w:val="2"/>
          </w:tcPr>
          <w:p>
            <w:pPr>
              <w:ind w:left="240"/>
              <w:spacing w:after="0"/>
              <w:rPr>
                <w:sz w:val="20"/>
                <w:szCs w:val="20"/>
                <w:color w:val="auto"/>
              </w:rPr>
            </w:pPr>
            <w:r>
              <w:rPr>
                <w:rFonts w:ascii="Arial" w:cs="Arial" w:eastAsia="Arial" w:hAnsi="Arial"/>
                <w:sz w:val="18"/>
                <w:szCs w:val="18"/>
                <w:color w:val="auto"/>
              </w:rPr>
              <w:t>Form of 4.25% Convertible Senior Note due October 15, 2013 (included in Exhibit 4.1 hereto).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10420" w:type="dxa"/>
            <w:vAlign w:val="bottom"/>
            <w:gridSpan w:val="2"/>
          </w:tcPr>
          <w:p>
            <w:pPr>
              <w:jc w:val="center"/>
              <w:ind w:right="874"/>
              <w:spacing w:after="0"/>
              <w:rPr>
                <w:sz w:val="20"/>
                <w:szCs w:val="20"/>
                <w:color w:val="auto"/>
              </w:rPr>
            </w:pPr>
            <w:r>
              <w:rPr>
                <w:rFonts w:ascii="Arial" w:cs="Arial" w:eastAsia="Arial" w:hAnsi="Arial"/>
                <w:sz w:val="18"/>
                <w:szCs w:val="18"/>
                <w:color w:val="auto"/>
                <w:w w:val="91"/>
              </w:rPr>
              <w:t>Opinion of Wilson Sonsini Goodrich &amp; Rosati, Professional Corporation, relating to the validity of the Notes and the Shares.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20" w:type="dxa"/>
            <w:vAlign w:val="bottom"/>
            <w:gridSpan w:val="2"/>
          </w:tcPr>
          <w:p>
            <w:pPr>
              <w:jc w:val="center"/>
              <w:ind w:right="914"/>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April 15,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4.25% Convertible Senior Notes due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Reconciliation and Tie between the Trust Indenture Act of 1939, as amended, and the Indenture, dated as of April 15, 2009, between Micron Technology, Inc. and Wells Fargo Bank, National Association, as Trustee.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80" w:type="dxa"/>
            <w:vAlign w:val="bottom"/>
            <w:gridSpan w:val="3"/>
          </w:tcPr>
          <w:p>
            <w:pPr>
              <w:ind w:left="20"/>
              <w:spacing w:after="0"/>
              <w:rPr>
                <w:sz w:val="20"/>
                <w:szCs w:val="20"/>
                <w:color w:val="auto"/>
              </w:rPr>
            </w:pPr>
            <w:r>
              <w:rPr>
                <w:rFonts w:ascii="Arial" w:cs="Arial" w:eastAsia="Arial" w:hAnsi="Arial"/>
                <w:sz w:val="14"/>
                <w:szCs w:val="14"/>
                <w:b w:val="1"/>
                <w:bCs w:val="1"/>
                <w:color w:val="auto"/>
              </w:rPr>
              <w:t>Trust Indenture Act Section</w:t>
            </w:r>
          </w:p>
        </w:tc>
        <w:tc>
          <w:tcPr>
            <w:tcW w:w="1940" w:type="dxa"/>
            <w:vAlign w:val="bottom"/>
          </w:tcPr>
          <w:p>
            <w:pPr>
              <w:jc w:val="right"/>
              <w:ind w:right="330"/>
              <w:spacing w:after="0"/>
              <w:rPr>
                <w:sz w:val="20"/>
                <w:szCs w:val="20"/>
                <w:color w:val="auto"/>
              </w:rPr>
            </w:pPr>
            <w:r>
              <w:rPr>
                <w:rFonts w:ascii="Arial" w:cs="Arial" w:eastAsia="Arial" w:hAnsi="Arial"/>
                <w:sz w:val="14"/>
                <w:szCs w:val="14"/>
                <w:b w:val="1"/>
                <w:bCs w:val="1"/>
                <w:color w:val="auto"/>
              </w:rPr>
              <w:t>Indenture Section</w:t>
            </w:r>
          </w:p>
        </w:tc>
      </w:tr>
      <w:tr>
        <w:trPr>
          <w:trHeight w:val="210"/>
        </w:trPr>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310</w:t>
            </w:r>
          </w:p>
        </w:tc>
        <w:tc>
          <w:tcPr>
            <w:tcW w:w="85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(a)(1)</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(a)(2)</w:t>
            </w:r>
          </w:p>
        </w:tc>
        <w:tc>
          <w:tcPr>
            <w:tcW w:w="194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(a)(3)</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(a)(4)</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(a)(5)</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7.08(a)(iii), 7.08(e)</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ind w:left="20"/>
              <w:spacing w:after="0"/>
              <w:rPr>
                <w:sz w:val="20"/>
                <w:szCs w:val="20"/>
                <w:color w:val="auto"/>
              </w:rPr>
            </w:pPr>
            <w:r>
              <w:rPr>
                <w:rFonts w:ascii="Arial" w:cs="Arial" w:eastAsia="Arial" w:hAnsi="Arial"/>
                <w:sz w:val="18"/>
                <w:szCs w:val="18"/>
                <w:color w:val="auto"/>
              </w:rPr>
              <w:t>§ 311</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w:t>
            </w:r>
          </w:p>
        </w:tc>
        <w:tc>
          <w:tcPr>
            <w:tcW w:w="194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312</w:t>
            </w: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13.02(a), 13.04</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13.02(a), 13.04</w:t>
            </w:r>
          </w:p>
        </w:tc>
      </w:tr>
      <w:tr>
        <w:trPr>
          <w:trHeight w:val="216"/>
        </w:trPr>
        <w:tc>
          <w:tcPr>
            <w:tcW w:w="600" w:type="dxa"/>
            <w:vAlign w:val="bottom"/>
          </w:tcPr>
          <w:p>
            <w:pPr>
              <w:ind w:left="20"/>
              <w:spacing w:after="0"/>
              <w:rPr>
                <w:sz w:val="20"/>
                <w:szCs w:val="20"/>
                <w:color w:val="auto"/>
              </w:rPr>
            </w:pPr>
            <w:r>
              <w:rPr>
                <w:rFonts w:ascii="Arial" w:cs="Arial" w:eastAsia="Arial" w:hAnsi="Arial"/>
                <w:sz w:val="18"/>
                <w:szCs w:val="18"/>
                <w:color w:val="auto"/>
              </w:rPr>
              <w:t>§ 313</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w:t>
            </w:r>
          </w:p>
        </w:tc>
        <w:tc>
          <w:tcPr>
            <w:tcW w:w="194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(c)</w:t>
            </w:r>
          </w:p>
        </w:tc>
        <w:tc>
          <w:tcPr>
            <w:tcW w:w="1940" w:type="dxa"/>
            <w:vAlign w:val="bottom"/>
          </w:tcPr>
          <w:p>
            <w:pPr>
              <w:jc w:val="right"/>
              <w:spacing w:after="0"/>
              <w:rPr>
                <w:sz w:val="20"/>
                <w:szCs w:val="20"/>
                <w:color w:val="auto"/>
              </w:rPr>
            </w:pPr>
            <w:r>
              <w:rPr>
                <w:rFonts w:ascii="Arial" w:cs="Arial" w:eastAsia="Arial" w:hAnsi="Arial"/>
                <w:sz w:val="18"/>
                <w:szCs w:val="18"/>
                <w:color w:val="auto"/>
              </w:rPr>
              <w:t>7.05, 7.06</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600" w:type="dxa"/>
            <w:vAlign w:val="bottom"/>
          </w:tcPr>
          <w:p>
            <w:pPr>
              <w:ind w:left="20"/>
              <w:spacing w:after="0"/>
              <w:rPr>
                <w:sz w:val="20"/>
                <w:szCs w:val="20"/>
                <w:color w:val="auto"/>
              </w:rPr>
            </w:pPr>
            <w:r>
              <w:rPr>
                <w:rFonts w:ascii="Arial" w:cs="Arial" w:eastAsia="Arial" w:hAnsi="Arial"/>
                <w:sz w:val="18"/>
                <w:szCs w:val="18"/>
                <w:color w:val="auto"/>
              </w:rPr>
              <w:t>§ 314</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w:t>
            </w:r>
          </w:p>
        </w:tc>
        <w:tc>
          <w:tcPr>
            <w:tcW w:w="1940" w:type="dxa"/>
            <w:vAlign w:val="bottom"/>
          </w:tcPr>
          <w:p>
            <w:pPr>
              <w:jc w:val="right"/>
              <w:spacing w:after="0"/>
              <w:rPr>
                <w:sz w:val="20"/>
                <w:szCs w:val="20"/>
                <w:color w:val="auto"/>
              </w:rPr>
            </w:pPr>
            <w:r>
              <w:rPr>
                <w:rFonts w:ascii="Arial" w:cs="Arial" w:eastAsia="Arial" w:hAnsi="Arial"/>
                <w:sz w:val="18"/>
                <w:szCs w:val="18"/>
                <w:color w:val="auto"/>
              </w:rPr>
              <w:t>4.04, 4.05</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(c)(1)</w:t>
            </w:r>
          </w:p>
        </w:tc>
        <w:tc>
          <w:tcPr>
            <w:tcW w:w="1940" w:type="dxa"/>
            <w:vAlign w:val="bottom"/>
          </w:tcPr>
          <w:p>
            <w:pPr>
              <w:jc w:val="right"/>
              <w:spacing w:after="0"/>
              <w:rPr>
                <w:sz w:val="20"/>
                <w:szCs w:val="20"/>
                <w:color w:val="auto"/>
              </w:rPr>
            </w:pPr>
            <w:r>
              <w:rPr>
                <w:rFonts w:ascii="Arial" w:cs="Arial" w:eastAsia="Arial" w:hAnsi="Arial"/>
                <w:sz w:val="18"/>
                <w:szCs w:val="18"/>
                <w:color w:val="auto"/>
              </w:rPr>
              <w:t>13.05(1)</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13.05(2)</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(c)(3)</w:t>
            </w:r>
          </w:p>
        </w:tc>
        <w:tc>
          <w:tcPr>
            <w:tcW w:w="194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(e)</w:t>
            </w:r>
          </w:p>
        </w:tc>
        <w:tc>
          <w:tcPr>
            <w:tcW w:w="194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315</w:t>
            </w: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(d)</w:t>
            </w:r>
          </w:p>
        </w:tc>
        <w:tc>
          <w:tcPr>
            <w:tcW w:w="1940" w:type="dxa"/>
            <w:vAlign w:val="bottom"/>
          </w:tcPr>
          <w:p>
            <w:pPr>
              <w:jc w:val="right"/>
              <w:spacing w:after="0"/>
              <w:rPr>
                <w:sz w:val="20"/>
                <w:szCs w:val="20"/>
                <w:color w:val="auto"/>
              </w:rPr>
            </w:pPr>
            <w:r>
              <w:rPr>
                <w:rFonts w:ascii="Arial" w:cs="Arial" w:eastAsia="Arial" w:hAnsi="Arial"/>
                <w:sz w:val="18"/>
                <w:szCs w:val="18"/>
                <w:color w:val="auto"/>
              </w:rPr>
              <w:t>7.01(c)</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(d)(2)</w:t>
            </w:r>
          </w:p>
        </w:tc>
        <w:tc>
          <w:tcPr>
            <w:tcW w:w="1940" w:type="dxa"/>
            <w:vAlign w:val="bottom"/>
          </w:tcPr>
          <w:p>
            <w:pPr>
              <w:jc w:val="right"/>
              <w:spacing w:after="0"/>
              <w:rPr>
                <w:sz w:val="20"/>
                <w:szCs w:val="20"/>
                <w:color w:val="auto"/>
              </w:rPr>
            </w:pPr>
            <w:r>
              <w:rPr>
                <w:rFonts w:ascii="Arial" w:cs="Arial" w:eastAsia="Arial" w:hAnsi="Arial"/>
                <w:sz w:val="18"/>
                <w:szCs w:val="18"/>
                <w:color w:val="auto"/>
              </w:rPr>
              <w:t>7.02(c)</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(d)(3)</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(e)</w:t>
            </w:r>
          </w:p>
        </w:tc>
        <w:tc>
          <w:tcPr>
            <w:tcW w:w="194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316</w:t>
            </w: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(a)(1)(A)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(a)(1)(B)</w:t>
            </w:r>
          </w:p>
        </w:tc>
        <w:tc>
          <w:tcPr>
            <w:tcW w:w="194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9.02(b)</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13.02(d)</w:t>
            </w:r>
          </w:p>
        </w:tc>
      </w:tr>
      <w:tr>
        <w:trPr>
          <w:trHeight w:val="216"/>
        </w:trPr>
        <w:tc>
          <w:tcPr>
            <w:tcW w:w="600" w:type="dxa"/>
            <w:vAlign w:val="bottom"/>
          </w:tcPr>
          <w:p>
            <w:pPr>
              <w:ind w:left="20"/>
              <w:spacing w:after="0"/>
              <w:rPr>
                <w:sz w:val="20"/>
                <w:szCs w:val="20"/>
                <w:color w:val="auto"/>
              </w:rPr>
            </w:pPr>
            <w:r>
              <w:rPr>
                <w:rFonts w:ascii="Arial" w:cs="Arial" w:eastAsia="Arial" w:hAnsi="Arial"/>
                <w:sz w:val="18"/>
                <w:szCs w:val="18"/>
                <w:color w:val="auto"/>
              </w:rPr>
              <w:t>§ 317</w:t>
            </w: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(a)(1)</w:t>
            </w:r>
          </w:p>
        </w:tc>
        <w:tc>
          <w:tcPr>
            <w:tcW w:w="194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600" w:type="dxa"/>
            <w:vAlign w:val="bottom"/>
            <w:shd w:val="clear" w:color="auto" w:fill="CCEEFF"/>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60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94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318</w:t>
            </w: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27"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20" w:type="dxa"/>
            <w:vAlign w:val="bottom"/>
            <w:gridSpan w:val="3"/>
            <w:vMerge w:val="restart"/>
          </w:tcPr>
          <w:p>
            <w:pPr>
              <w:ind w:left="20"/>
              <w:spacing w:after="0"/>
              <w:rPr>
                <w:sz w:val="20"/>
                <w:szCs w:val="20"/>
                <w:color w:val="auto"/>
              </w:rPr>
            </w:pPr>
            <w:r>
              <w:rPr>
                <w:rFonts w:ascii="Arial" w:cs="Arial" w:eastAsia="Arial" w:hAnsi="Arial"/>
                <w:sz w:val="18"/>
                <w:szCs w:val="18"/>
                <w:color w:val="auto"/>
              </w:rPr>
              <w:t>ARTICLE 1 Definitions and Incorporation by Reference</w:t>
            </w: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820" w:type="dxa"/>
            <w:vAlign w:val="bottom"/>
            <w:gridSpan w:val="3"/>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920" w:type="dxa"/>
            <w:vAlign w:val="bottom"/>
          </w:tcPr>
          <w:p>
            <w:pPr>
              <w:ind w:left="560"/>
              <w:spacing w:after="0"/>
              <w:rPr>
                <w:sz w:val="20"/>
                <w:szCs w:val="20"/>
                <w:color w:val="auto"/>
              </w:rPr>
            </w:pPr>
            <w:r>
              <w:rPr>
                <w:rFonts w:ascii="Arial" w:cs="Arial" w:eastAsia="Arial" w:hAnsi="Arial"/>
                <w:sz w:val="18"/>
                <w:szCs w:val="18"/>
                <w:color w:val="auto"/>
              </w:rPr>
              <w:t>Section 1.01.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Other Definitions</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1.03.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1.04.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Rules of Construction</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60"/>
              <w:spacing w:after="0"/>
              <w:rPr>
                <w:sz w:val="20"/>
                <w:szCs w:val="20"/>
                <w:color w:val="auto"/>
              </w:rPr>
            </w:pPr>
            <w:r>
              <w:rPr>
                <w:rFonts w:ascii="Arial" w:cs="Arial" w:eastAsia="Arial" w:hAnsi="Arial"/>
                <w:sz w:val="18"/>
                <w:szCs w:val="18"/>
                <w:color w:val="auto"/>
              </w:rPr>
              <w:t>Section 1.05.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Acts of 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tcPr>
          <w:p>
            <w:pPr>
              <w:ind w:left="20"/>
              <w:spacing w:after="0"/>
              <w:rPr>
                <w:sz w:val="20"/>
                <w:szCs w:val="20"/>
                <w:color w:val="auto"/>
              </w:rPr>
            </w:pPr>
            <w:r>
              <w:rPr>
                <w:rFonts w:ascii="Arial" w:cs="Arial" w:eastAsia="Arial" w:hAnsi="Arial"/>
                <w:sz w:val="18"/>
                <w:szCs w:val="18"/>
                <w:color w:val="auto"/>
              </w:rPr>
              <w:t>ARTICLE 2 The Notes</w:t>
            </w: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20" w:type="dxa"/>
            <w:vAlign w:val="bottom"/>
          </w:tcPr>
          <w:p>
            <w:pPr>
              <w:ind w:left="560"/>
              <w:spacing w:after="0"/>
              <w:rPr>
                <w:sz w:val="20"/>
                <w:szCs w:val="20"/>
                <w:color w:val="auto"/>
              </w:rPr>
            </w:pPr>
            <w:r>
              <w:rPr>
                <w:rFonts w:ascii="Arial" w:cs="Arial" w:eastAsia="Arial" w:hAnsi="Arial"/>
                <w:sz w:val="18"/>
                <w:szCs w:val="18"/>
                <w:color w:val="auto"/>
              </w:rPr>
              <w:t>Section 2.01.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Form, Dating and Denominations; Legends</w:t>
            </w: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Execution and Authentication</w:t>
            </w: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Registrar, Paying Agent and Conversion Agent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Paying Agent to Hold Money in Trust</w:t>
            </w: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Noteholder Lists</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2.06.</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Transfer and Exchange</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2.07.</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Replacement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2.08.</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Outstanding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2.09.</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Treasury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2.10.</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Temporary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2.11.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Cancellation</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2.12.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CUSIP Numbers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60"/>
              <w:spacing w:after="0"/>
              <w:rPr>
                <w:sz w:val="20"/>
                <w:szCs w:val="20"/>
                <w:color w:val="auto"/>
              </w:rPr>
            </w:pPr>
            <w:r>
              <w:rPr>
                <w:rFonts w:ascii="Arial" w:cs="Arial" w:eastAsia="Arial" w:hAnsi="Arial"/>
                <w:sz w:val="18"/>
                <w:szCs w:val="18"/>
                <w:color w:val="auto"/>
              </w:rPr>
              <w:t>Section 2.13.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Book-Entry Provisions for Global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tcPr>
          <w:p>
            <w:pPr>
              <w:ind w:left="20"/>
              <w:spacing w:after="0"/>
              <w:rPr>
                <w:sz w:val="20"/>
                <w:szCs w:val="20"/>
                <w:color w:val="auto"/>
              </w:rPr>
            </w:pPr>
            <w:r>
              <w:rPr>
                <w:rFonts w:ascii="Arial" w:cs="Arial" w:eastAsia="Arial" w:hAnsi="Arial"/>
                <w:sz w:val="18"/>
                <w:szCs w:val="18"/>
                <w:color w:val="auto"/>
                <w:w w:val="93"/>
              </w:rPr>
              <w:t>ARTICLE 3 Repurchases</w:t>
            </w: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20" w:type="dxa"/>
            <w:vAlign w:val="bottom"/>
          </w:tcPr>
          <w:p>
            <w:pPr>
              <w:ind w:left="560"/>
              <w:spacing w:after="0"/>
              <w:rPr>
                <w:sz w:val="20"/>
                <w:szCs w:val="20"/>
                <w:color w:val="auto"/>
              </w:rPr>
            </w:pPr>
            <w:r>
              <w:rPr>
                <w:rFonts w:ascii="Arial" w:cs="Arial" w:eastAsia="Arial" w:hAnsi="Arial"/>
                <w:sz w:val="18"/>
                <w:szCs w:val="18"/>
                <w:color w:val="auto"/>
              </w:rPr>
              <w:t>Section 3.01.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Repurchase at the Option of the Holders Upon Change in Control or Termination of Trading</w:t>
            </w: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3.02.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Effect of Repurchase Notice</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3.03.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Deposit of Repurchase Price</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3.04.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Notes Repurchased in Part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60"/>
              <w:spacing w:after="0"/>
              <w:rPr>
                <w:sz w:val="20"/>
                <w:szCs w:val="20"/>
                <w:color w:val="auto"/>
              </w:rPr>
            </w:pPr>
            <w:r>
              <w:rPr>
                <w:rFonts w:ascii="Arial" w:cs="Arial" w:eastAsia="Arial" w:hAnsi="Arial"/>
                <w:sz w:val="18"/>
                <w:szCs w:val="18"/>
                <w:color w:val="auto"/>
              </w:rPr>
              <w:t>Section 3.05.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Covenant to Comply with Securities Laws upon Repurchase of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tcPr>
          <w:p>
            <w:pPr>
              <w:ind w:left="20"/>
              <w:spacing w:after="0"/>
              <w:rPr>
                <w:sz w:val="20"/>
                <w:szCs w:val="20"/>
                <w:color w:val="auto"/>
              </w:rPr>
            </w:pPr>
            <w:r>
              <w:rPr>
                <w:rFonts w:ascii="Arial" w:cs="Arial" w:eastAsia="Arial" w:hAnsi="Arial"/>
                <w:sz w:val="18"/>
                <w:szCs w:val="18"/>
                <w:color w:val="auto"/>
              </w:rPr>
              <w:t>ARTICLE 4 Covenants</w:t>
            </w: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20" w:type="dxa"/>
            <w:vAlign w:val="bottom"/>
          </w:tcPr>
          <w:p>
            <w:pPr>
              <w:ind w:left="560"/>
              <w:spacing w:after="0"/>
              <w:rPr>
                <w:sz w:val="20"/>
                <w:szCs w:val="20"/>
                <w:color w:val="auto"/>
              </w:rPr>
            </w:pPr>
            <w:r>
              <w:rPr>
                <w:rFonts w:ascii="Arial" w:cs="Arial" w:eastAsia="Arial" w:hAnsi="Arial"/>
                <w:sz w:val="18"/>
                <w:szCs w:val="18"/>
                <w:color w:val="auto"/>
              </w:rPr>
              <w:t>Section 4.01.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Payment of Notes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4.02.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Maintenance of Office or Agency</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4.03.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Existence</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4.04.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Reports</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4.05.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Reports to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60"/>
              <w:spacing w:after="0"/>
              <w:rPr>
                <w:sz w:val="20"/>
                <w:szCs w:val="20"/>
                <w:color w:val="auto"/>
              </w:rPr>
            </w:pPr>
            <w:r>
              <w:rPr>
                <w:rFonts w:ascii="Arial" w:cs="Arial" w:eastAsia="Arial" w:hAnsi="Arial"/>
                <w:sz w:val="18"/>
                <w:szCs w:val="18"/>
                <w:color w:val="auto"/>
              </w:rPr>
              <w:t>Section 4.06.</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Stay, Extension and Usury Laws</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8900" w:type="dxa"/>
            <w:vAlign w:val="bottom"/>
            <w:gridSpan w:val="2"/>
          </w:tcPr>
          <w:p>
            <w:pPr>
              <w:jc w:val="center"/>
              <w:ind w:right="1320"/>
              <w:spacing w:after="0"/>
              <w:rPr>
                <w:sz w:val="20"/>
                <w:szCs w:val="20"/>
                <w:color w:val="auto"/>
              </w:rPr>
            </w:pPr>
            <w:r>
              <w:rPr>
                <w:rFonts w:ascii="Arial" w:cs="Arial" w:eastAsia="Arial" w:hAnsi="Arial"/>
                <w:sz w:val="18"/>
                <w:szCs w:val="18"/>
                <w:color w:val="auto"/>
              </w:rPr>
              <w:t>ii</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20" w:type="dxa"/>
            <w:vAlign w:val="bottom"/>
            <w:tcBorders>
              <w:bottom w:val="single" w:sz="8" w:color="010101"/>
            </w:tcBorders>
          </w:tcPr>
          <w:p>
            <w:pPr>
              <w:spacing w:after="0"/>
              <w:rPr>
                <w:sz w:val="11"/>
                <w:szCs w:val="11"/>
                <w:color w:val="auto"/>
              </w:rPr>
            </w:pPr>
          </w:p>
        </w:tc>
        <w:tc>
          <w:tcPr>
            <w:tcW w:w="88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1920" w:type="dxa"/>
            <w:vAlign w:val="bottom"/>
          </w:tcPr>
          <w:p>
            <w:pPr>
              <w:spacing w:after="0"/>
              <w:rPr>
                <w:sz w:val="24"/>
                <w:szCs w:val="24"/>
                <w:color w:val="auto"/>
              </w:rPr>
            </w:pPr>
          </w:p>
        </w:tc>
        <w:tc>
          <w:tcPr>
            <w:tcW w:w="890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8"/>
              </w:rPr>
              <w:t>TABLE OF CONTENTS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890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3"/>
              </w:rPr>
              <w:t>(Continued)</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800" w:type="dxa"/>
            <w:vAlign w:val="bottom"/>
            <w:gridSpan w:val="2"/>
            <w:vMerge w:val="restart"/>
          </w:tcPr>
          <w:p>
            <w:pPr>
              <w:ind w:left="20"/>
              <w:spacing w:after="0"/>
              <w:rPr>
                <w:sz w:val="20"/>
                <w:szCs w:val="20"/>
                <w:color w:val="auto"/>
              </w:rPr>
            </w:pPr>
            <w:r>
              <w:rPr>
                <w:rFonts w:ascii="Arial" w:cs="Arial" w:eastAsia="Arial" w:hAnsi="Arial"/>
                <w:sz w:val="18"/>
                <w:szCs w:val="18"/>
                <w:color w:val="auto"/>
              </w:rPr>
              <w:t>ARTICLE 5 Consolidation, Merger, Sale or Lease of Assets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8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920" w:type="dxa"/>
            <w:vAlign w:val="bottom"/>
          </w:tcPr>
          <w:p>
            <w:pPr>
              <w:ind w:left="560"/>
              <w:spacing w:after="0"/>
              <w:rPr>
                <w:sz w:val="20"/>
                <w:szCs w:val="20"/>
                <w:color w:val="auto"/>
              </w:rPr>
            </w:pPr>
            <w:r>
              <w:rPr>
                <w:rFonts w:ascii="Arial" w:cs="Arial" w:eastAsia="Arial" w:hAnsi="Arial"/>
                <w:sz w:val="18"/>
                <w:szCs w:val="18"/>
                <w:color w:val="auto"/>
              </w:rPr>
              <w:t>Section 5.01.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Consolidation, Merger, Sale or Lease of Assets by the Company</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820" w:type="dxa"/>
            <w:vAlign w:val="bottom"/>
            <w:gridSpan w:val="3"/>
          </w:tcPr>
          <w:p>
            <w:pPr>
              <w:ind w:left="20"/>
              <w:spacing w:after="0"/>
              <w:rPr>
                <w:sz w:val="20"/>
                <w:szCs w:val="20"/>
                <w:color w:val="auto"/>
              </w:rPr>
            </w:pPr>
            <w:r>
              <w:rPr>
                <w:rFonts w:ascii="Arial" w:cs="Arial" w:eastAsia="Arial" w:hAnsi="Arial"/>
                <w:sz w:val="18"/>
                <w:szCs w:val="18"/>
                <w:color w:val="auto"/>
              </w:rPr>
              <w:t>ARTICLE 6 Default and Remedies</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20" w:type="dxa"/>
            <w:vAlign w:val="bottom"/>
          </w:tcPr>
          <w:p>
            <w:pPr>
              <w:ind w:left="560"/>
              <w:spacing w:after="0"/>
              <w:rPr>
                <w:sz w:val="20"/>
                <w:szCs w:val="20"/>
                <w:color w:val="auto"/>
              </w:rPr>
            </w:pPr>
            <w:r>
              <w:rPr>
                <w:rFonts w:ascii="Arial" w:cs="Arial" w:eastAsia="Arial" w:hAnsi="Arial"/>
                <w:sz w:val="18"/>
                <w:szCs w:val="18"/>
                <w:color w:val="auto"/>
              </w:rPr>
              <w:t>Section 6.01.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Events of Default</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Acceleration</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Other Remedies</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Waiver of Past Defaults</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Control by Majority</w:t>
            </w: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6.06.</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Limitation on Suits</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6.07.</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Rights of Holders to Receive Payment</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6.08.</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Collection Suit by Trustee</w:t>
            </w: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6.09.</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Trustee May File Proofs of Claim</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6.10.</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Priorities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6.11.</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Restoration of Rights and Remedies</w:t>
            </w: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6.12.</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Undertaking for Costs</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6.13.</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Rights and Remedies Cumulative</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560"/>
              <w:spacing w:after="0"/>
              <w:rPr>
                <w:sz w:val="20"/>
                <w:szCs w:val="20"/>
                <w:color w:val="auto"/>
              </w:rPr>
            </w:pPr>
            <w:r>
              <w:rPr>
                <w:rFonts w:ascii="Arial" w:cs="Arial" w:eastAsia="Arial" w:hAnsi="Arial"/>
                <w:sz w:val="18"/>
                <w:szCs w:val="18"/>
                <w:color w:val="auto"/>
              </w:rPr>
              <w:t>Section 6.14.</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Delay or Omission Not Waiver</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560"/>
              <w:spacing w:after="0"/>
              <w:rPr>
                <w:sz w:val="20"/>
                <w:szCs w:val="20"/>
                <w:color w:val="auto"/>
              </w:rPr>
            </w:pPr>
            <w:r>
              <w:rPr>
                <w:rFonts w:ascii="Arial" w:cs="Arial" w:eastAsia="Arial" w:hAnsi="Arial"/>
                <w:sz w:val="18"/>
                <w:szCs w:val="18"/>
                <w:color w:val="auto"/>
              </w:rPr>
              <w:t>Section 6.15.</w:t>
            </w:r>
          </w:p>
        </w:tc>
        <w:tc>
          <w:tcPr>
            <w:tcW w:w="8900" w:type="dxa"/>
            <w:vAlign w:val="bottom"/>
            <w:gridSpan w:val="2"/>
          </w:tcPr>
          <w:p>
            <w:pPr>
              <w:ind w:left="40"/>
              <w:spacing w:after="0"/>
              <w:rPr>
                <w:sz w:val="20"/>
                <w:szCs w:val="20"/>
                <w:color w:val="auto"/>
              </w:rPr>
            </w:pPr>
            <w:r>
              <w:rPr>
                <w:rFonts w:ascii="Arial" w:cs="Arial" w:eastAsia="Arial" w:hAnsi="Arial"/>
                <w:sz w:val="18"/>
                <w:szCs w:val="18"/>
                <w:i w:val="1"/>
                <w:iCs w:val="1"/>
                <w:color w:val="auto"/>
              </w:rPr>
              <w:t>Failure to File</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20" w:type="dxa"/>
            <w:vAlign w:val="bottom"/>
          </w:tcPr>
          <w:p>
            <w:pPr>
              <w:ind w:left="20"/>
              <w:spacing w:after="0"/>
              <w:rPr>
                <w:sz w:val="20"/>
                <w:szCs w:val="20"/>
                <w:color w:val="auto"/>
              </w:rPr>
            </w:pPr>
            <w:r>
              <w:rPr>
                <w:rFonts w:ascii="Arial" w:cs="Arial" w:eastAsia="Arial" w:hAnsi="Arial"/>
                <w:sz w:val="18"/>
                <w:szCs w:val="18"/>
                <w:color w:val="auto"/>
                <w:w w:val="97"/>
              </w:rPr>
              <w:t>ARTICLE 7 The Trustee</w:t>
            </w:r>
          </w:p>
        </w:tc>
        <w:tc>
          <w:tcPr>
            <w:tcW w:w="8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-4057650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General</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Certain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Individual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Trustee’s Disclaimer</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7.05.</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Notice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7.06.</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Reports by Trustee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7.07.</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Compensation and Indemnity</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7.08.</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Replacement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7.09.</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Successor Trustee by Merger</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7.10.</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Eligibility</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7.11.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Money Held in Trust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rPr>
              <w:t>ARTICLE 8 Discharge</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8.01.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Satisfaction and Discharge of this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8.02.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8.03.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Repayment to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8.04.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Reinstatement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780" w:type="dxa"/>
            <w:vAlign w:val="bottom"/>
            <w:gridSpan w:val="2"/>
          </w:tcPr>
          <w:p>
            <w:pPr>
              <w:ind w:left="20"/>
              <w:spacing w:after="0"/>
              <w:rPr>
                <w:sz w:val="20"/>
                <w:szCs w:val="20"/>
                <w:color w:val="auto"/>
              </w:rPr>
            </w:pPr>
            <w:r>
              <w:rPr>
                <w:rFonts w:ascii="Arial" w:cs="Arial" w:eastAsia="Arial" w:hAnsi="Arial"/>
                <w:sz w:val="18"/>
                <w:szCs w:val="18"/>
                <w:color w:val="auto"/>
              </w:rPr>
              <w:t>ARTICLE 9 Amendments, Supplements and Waivers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Pr>
          <w:p>
            <w:pPr>
              <w:ind w:left="560"/>
              <w:spacing w:after="0"/>
              <w:rPr>
                <w:sz w:val="20"/>
                <w:szCs w:val="20"/>
                <w:color w:val="auto"/>
              </w:rPr>
            </w:pPr>
            <w:r>
              <w:rPr>
                <w:rFonts w:ascii="Arial" w:cs="Arial" w:eastAsia="Arial" w:hAnsi="Arial"/>
                <w:sz w:val="18"/>
                <w:szCs w:val="18"/>
                <w:color w:val="auto"/>
              </w:rPr>
              <w:t>Section 9.01.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Amendments Without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Pr>
          <w:p>
            <w:pPr>
              <w:spacing w:after="0"/>
              <w:rPr>
                <w:sz w:val="24"/>
                <w:szCs w:val="24"/>
                <w:color w:val="auto"/>
              </w:rPr>
            </w:pPr>
          </w:p>
        </w:tc>
        <w:tc>
          <w:tcPr>
            <w:tcW w:w="8840" w:type="dxa"/>
            <w:vAlign w:val="bottom"/>
          </w:tcPr>
          <w:p>
            <w:pPr>
              <w:jc w:val="center"/>
              <w:ind w:right="1210"/>
              <w:spacing w:after="0"/>
              <w:rPr>
                <w:sz w:val="20"/>
                <w:szCs w:val="20"/>
                <w:color w:val="auto"/>
              </w:rPr>
            </w:pPr>
            <w:r>
              <w:rPr>
                <w:rFonts w:ascii="Arial" w:cs="Arial" w:eastAsia="Arial" w:hAnsi="Arial"/>
                <w:sz w:val="18"/>
                <w:szCs w:val="18"/>
                <w:color w:val="auto"/>
              </w:rPr>
              <w:t>iii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40" w:type="dxa"/>
            <w:vAlign w:val="bottom"/>
            <w:tcBorders>
              <w:bottom w:val="single" w:sz="8" w:color="010101"/>
            </w:tcBorders>
          </w:tcPr>
          <w:p>
            <w:pPr>
              <w:spacing w:after="0"/>
              <w:rPr>
                <w:sz w:val="11"/>
                <w:szCs w:val="11"/>
                <w:color w:val="auto"/>
              </w:rPr>
            </w:pPr>
          </w:p>
        </w:tc>
        <w:tc>
          <w:tcPr>
            <w:tcW w:w="88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1940" w:type="dxa"/>
            <w:vAlign w:val="bottom"/>
          </w:tcPr>
          <w:p>
            <w:pPr>
              <w:spacing w:after="0"/>
              <w:rPr>
                <w:sz w:val="24"/>
                <w:szCs w:val="24"/>
                <w:color w:val="auto"/>
              </w:rPr>
            </w:pPr>
          </w:p>
        </w:tc>
        <w:tc>
          <w:tcPr>
            <w:tcW w:w="88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88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(Continued)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40" w:type="dxa"/>
            <w:vAlign w:val="bottom"/>
            <w:vMerge w:val="restart"/>
          </w:tcPr>
          <w:p>
            <w:pPr>
              <w:ind w:left="560"/>
              <w:spacing w:after="0"/>
              <w:rPr>
                <w:sz w:val="20"/>
                <w:szCs w:val="20"/>
                <w:color w:val="auto"/>
              </w:rPr>
            </w:pPr>
            <w:r>
              <w:rPr>
                <w:rFonts w:ascii="Arial" w:cs="Arial" w:eastAsia="Arial" w:hAnsi="Arial"/>
                <w:sz w:val="18"/>
                <w:szCs w:val="18"/>
                <w:color w:val="auto"/>
              </w:rPr>
              <w:t>Section 9.02.</w:t>
            </w:r>
          </w:p>
        </w:tc>
        <w:tc>
          <w:tcPr>
            <w:tcW w:w="88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Amendments With Consent of Holders</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8840" w:type="dxa"/>
            <w:vAlign w:val="bottom"/>
            <w:vMerge w:val="continue"/>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9.03.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Effect of Consent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9.04.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Trustee’s Rights and Obligations</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9.05.</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Conformity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9.06.</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Payments for Consents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w w:val="96"/>
              </w:rPr>
              <w:t>ARTICLE 10 Conversion</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10.01.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Conversion Privilege</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Conversion Procedures; Conversion Settlement</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Fractional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Taxes 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10.05.</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Company to Provide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10.06.</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for Change in Capital Stock</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10.07.</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for Rights, Options or Warrants Issue</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10.08.</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for Other Distributions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10.09.</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for Cash Dividends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10.10.</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for Tender Offer</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Provisions Governing Adjustment to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Disposition Events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Adjustment to Conversion Rate Upon a Make-Whole Change in Control; Discretionary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When Adjustment May Be Deferred</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10.15.</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When No Adjustment Required</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10.16.</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Notice of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10.17.</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Notice of Certain Transactions</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10.18.</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Right of Holders to Convert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10.19.</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Company Determination Final</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10.20.</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Trustee’s Adjustment Disclaimer</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10.21.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Simultaneous Adjustments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10.22.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Successive Adjustments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10.23.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Rights Issued in Respect of Common Stock Issued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10.24.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Withholding Taxes for Adjustments in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w w:val="93"/>
              </w:rPr>
              <w:t>ARTICLE 11 Redemption</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11.01.</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Right to Redeem; Notices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11.02.</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Selection of Notes to be Redeemed</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11.03.</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11.04.</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Effect of 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11.05.</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Deposit of Redemption Price</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11.06.</w:t>
            </w:r>
          </w:p>
        </w:tc>
        <w:tc>
          <w:tcPr>
            <w:tcW w:w="8840" w:type="dxa"/>
            <w:vAlign w:val="bottom"/>
          </w:tcPr>
          <w:p>
            <w:pPr>
              <w:ind w:left="20"/>
              <w:spacing w:after="0"/>
              <w:rPr>
                <w:sz w:val="20"/>
                <w:szCs w:val="20"/>
                <w:color w:val="auto"/>
              </w:rPr>
            </w:pPr>
            <w:r>
              <w:rPr>
                <w:rFonts w:ascii="Arial" w:cs="Arial" w:eastAsia="Arial" w:hAnsi="Arial"/>
                <w:sz w:val="18"/>
                <w:szCs w:val="18"/>
                <w:i w:val="1"/>
                <w:iCs w:val="1"/>
                <w:color w:val="auto"/>
              </w:rPr>
              <w:t>Notes Redeemed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-6527800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-6527800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6" w:name="page7"/>
    <w:bookmarkEnd w:id="6"/>
    <w:tbl>
      <w:tblPr>
        <w:tblLayout w:type="fixed"/>
        <w:tblInd w:w="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0" w:type="dxa"/>
            <w:vAlign w:val="bottom"/>
          </w:tcPr>
          <w:p>
            <w:pPr>
              <w:ind w:left="298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0" w:type="dxa"/>
            <w:vAlign w:val="bottom"/>
          </w:tcPr>
          <w:p>
            <w:pPr>
              <w:ind w:left="3460"/>
              <w:spacing w:after="0"/>
              <w:rPr>
                <w:sz w:val="20"/>
                <w:szCs w:val="20"/>
                <w:color w:val="auto"/>
              </w:rPr>
            </w:pPr>
            <w:r>
              <w:rPr>
                <w:rFonts w:ascii="Arial" w:cs="Arial" w:eastAsia="Arial" w:hAnsi="Arial"/>
                <w:sz w:val="18"/>
                <w:szCs w:val="18"/>
                <w:b w:val="1"/>
                <w:bCs w:val="1"/>
                <w:color w:val="auto"/>
              </w:rPr>
              <w:t>(Continued)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760" w:type="dxa"/>
            <w:vAlign w:val="bottom"/>
            <w:gridSpan w:val="3"/>
            <w:vMerge w:val="restart"/>
          </w:tcPr>
          <w:p>
            <w:pPr>
              <w:spacing w:after="0"/>
              <w:rPr>
                <w:sz w:val="20"/>
                <w:szCs w:val="20"/>
                <w:color w:val="auto"/>
              </w:rPr>
            </w:pPr>
            <w:r>
              <w:rPr>
                <w:rFonts w:ascii="Arial" w:cs="Arial" w:eastAsia="Arial" w:hAnsi="Arial"/>
                <w:sz w:val="18"/>
                <w:szCs w:val="18"/>
                <w:color w:val="auto"/>
              </w:rPr>
              <w:t>ARTICLE 12 Payment of Interest</w:t>
            </w: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76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04"/>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12.01.</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Interest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12.02.</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Defaulted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12.03.</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Interest Rights Preserved</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1076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8"/>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13.01.</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Trust Indenture Act of 1939</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13.02.</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Noteholder Communications; Noteholder Actions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13.03.</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13.04.</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Communication by Holders with Other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13.05.</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Certificate and Opinion as to Conditions Precedent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13.06.</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Statements Required in Certificate or Opinion</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13.07.</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Legal Holiday</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13.08.</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Rules by Trustee, Paying Agent, Conversion Agent and Registrar</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13.09.</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13.10.</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No Adverse Interpretation of Other Agreements</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13.11.</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Successors</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13.12.</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13.13.</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13.14.</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Table of Contents and Headings</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Section 13.15.</w:t>
            </w:r>
          </w:p>
        </w:tc>
        <w:tc>
          <w:tcPr>
            <w:tcW w:w="9000" w:type="dxa"/>
            <w:vAlign w:val="bottom"/>
          </w:tcPr>
          <w:p>
            <w:pPr>
              <w:ind w:left="180"/>
              <w:spacing w:after="0"/>
              <w:rPr>
                <w:sz w:val="20"/>
                <w:szCs w:val="20"/>
                <w:color w:val="auto"/>
              </w:rPr>
            </w:pPr>
            <w:r>
              <w:rPr>
                <w:rFonts w:ascii="Arial" w:cs="Arial" w:eastAsia="Arial" w:hAnsi="Arial"/>
                <w:sz w:val="18"/>
                <w:szCs w:val="18"/>
                <w:i w:val="1"/>
                <w:iCs w:val="1"/>
                <w:color w:val="auto"/>
              </w:rPr>
              <w:t>No Liability of Directors, Officers, Employees, Incorporators, Members and Stockholders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8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9000" w:type="dxa"/>
            <w:vAlign w:val="bottom"/>
          </w:tcPr>
          <w:p>
            <w:pPr>
              <w:ind w:left="900"/>
              <w:spacing w:after="0"/>
              <w:rPr>
                <w:sz w:val="20"/>
                <w:szCs w:val="20"/>
                <w:color w:val="auto"/>
              </w:rPr>
            </w:pPr>
            <w:r>
              <w:rPr>
                <w:rFonts w:ascii="Arial" w:cs="Arial" w:eastAsia="Arial" w:hAnsi="Arial"/>
                <w:sz w:val="18"/>
                <w:szCs w:val="18"/>
                <w:i w:val="1"/>
                <w:iCs w:val="1"/>
                <w:color w:val="auto"/>
              </w:rPr>
              <w:t>Form of Note</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9000" w:type="dxa"/>
            <w:vAlign w:val="bottom"/>
          </w:tcPr>
          <w:p>
            <w:pPr>
              <w:ind w:left="900"/>
              <w:spacing w:after="0"/>
              <w:rPr>
                <w:sz w:val="20"/>
                <w:szCs w:val="20"/>
                <w:color w:val="auto"/>
              </w:rPr>
            </w:pPr>
            <w:r>
              <w:rPr>
                <w:rFonts w:ascii="Arial" w:cs="Arial" w:eastAsia="Arial" w:hAnsi="Arial"/>
                <w:sz w:val="18"/>
                <w:szCs w:val="18"/>
                <w:i w:val="1"/>
                <w:iCs w:val="1"/>
                <w:color w:val="auto"/>
              </w:rPr>
              <w:t>DTC Legend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INDENTURE dated as of April 15, 2009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of $230,000,000 aggregate principal amount of the Company’s 4.25% Convertible Senior Notes due October 15, 2013 (the “</w:t>
      </w:r>
      <w:r>
        <w:rPr>
          <w:rFonts w:ascii="Arial" w:cs="Arial" w:eastAsia="Arial" w:hAnsi="Arial"/>
          <w:sz w:val="18"/>
          <w:szCs w:val="18"/>
          <w:b w:val="1"/>
          <w:bCs w:val="1"/>
          <w:color w:val="auto"/>
        </w:rPr>
        <w:t>Notes</w:t>
      </w:r>
      <w:r>
        <w:rPr>
          <w:rFonts w:ascii="Arial" w:cs="Arial" w:eastAsia="Arial" w:hAnsi="Arial"/>
          <w:sz w:val="18"/>
          <w:szCs w:val="18"/>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Indenture is subject to, and will be governed by, the provisions of the Trust Indenture Act that are required to be a part of and govern indentures qualified under the Trust Indenture Act.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i w:val="1"/>
          <w:iCs w:val="1"/>
          <w:color w:val="auto"/>
        </w:rPr>
        <w:t>Definitions</w:t>
      </w:r>
    </w:p>
    <w:p>
      <w:pPr>
        <w:spacing w:after="0" w:line="221"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131" w:gutter="0" w:footer="0" w:header="0"/>
        </w:sectPr>
      </w:pPr>
    </w:p>
    <w:bookmarkStart w:id="7" w:name="page8"/>
    <w:bookmarkEnd w:id="7"/>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4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have the meaning set forth in Section 3.01(a)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last ask prices or, if more than one in either case, the average of the average bid and the average ask prices) on that date as reported in composite transactions for the principal U.S. securities exchange on which Common Stock or such other security is traded.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dissolution or winding-up of the Company and which are not subject to redemption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43"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office of the Trustee at which the corporate trust business of the Trustee is principally administered, which at the date of this Indenture is located at 625 Marquette Avenue South, MAC N9311-110, Minneapolis, Minnesota 55479.</w:t>
      </w:r>
    </w:p>
    <w:p>
      <w:pPr>
        <w:spacing w:after="0" w:line="13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 all obligations of such Person for borrowed money (other than non-recourse obligations); and (b) all obligations of such Person evidenced by bonds, debentures, notes or other similar instruments.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ectPr>
          <w:pgSz w:w="11900" w:h="16838" w:orient="portrait"/>
          <w:cols w:equalWidth="0" w:num="1">
            <w:col w:w="11420"/>
          </w:cols>
          <w:pgMar w:left="240" w:top="580"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Noteholder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April 15 and October 15 of each year, commencing October 15, 2009.</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each $1,000 in principal amount of Notes, a payment in Cash, shares of Common Stock or a combination of Cash and shares of Common Stock, equal to the present values of the remaining scheduled payments of interest on the Notes to be redeemed from the Redemption Date to October 15, 2013 (excluding interest accrued to, but excluding, such Redemption Date, which is otherwise paid pursuant to clause (ii) of the definition of Redemption Price), computed using a discount rate equal to 2.5%.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October 15,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dated April 8, 2009 relating to the offering and sale of the Notes.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Regular Record Date</w:t>
      </w:r>
      <w:r>
        <w:rPr>
          <w:rFonts w:ascii="Arial" w:cs="Arial" w:eastAsia="Arial" w:hAnsi="Arial"/>
          <w:sz w:val="16"/>
          <w:szCs w:val="16"/>
          <w:color w:val="auto"/>
        </w:rPr>
        <w:t>” for the interest payable on any Interest Payment Date means the April 1 or October 1 next preceding such Interest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w:t>
      </w:r>
    </w:p>
    <w:p>
      <w:pPr>
        <w:spacing w:after="0" w:line="225"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58"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Company’s Common Stock, or other Capital Stock into which the Notes are then convertible, is not listed for trading on a United States national securities exchange or approved for quotation on a U.S. system of automated dissemination of quotations of securities prices similar to the Nasdaq National Market prior to its designation as a national securities exchange.</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with respect to Common Stock or any other security, a day during which (a) trading in Common Stock or such other security generally occurs and (b) a Closing Price for Common Stock or such other security (other than a Closing Price referred to in the next to last sentence of such definition) is available for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Common Stock or such other security is not admitted for trading or quotation on or by any exchange, bureau or other organization, Trading Day will mean any Business Day.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ectPr>
          <w:pgSz w:w="11900" w:h="16838" w:orient="portrait"/>
          <w:cols w:equalWidth="0" w:num="1">
            <w:col w:w="11360"/>
          </w:cols>
          <w:pgMar w:left="240" w:top="121" w:right="29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means Morgan Stanley &amp; Co. Incorporated, Goldman, Sachs &amp; Co. and Deutsche Bank Securities Inc.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dated as of April 8, 2009 among the Company and the Underwriters relating to the purchase of the Notes by the Underwriters.</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ind w:left="660"/>
              <w:spacing w:after="0"/>
              <w:rPr>
                <w:sz w:val="20"/>
                <w:szCs w:val="20"/>
                <w:color w:val="auto"/>
              </w:rPr>
            </w:pPr>
            <w:r>
              <w:rPr>
                <w:rFonts w:ascii="Arial" w:cs="Arial" w:eastAsia="Arial" w:hAnsi="Arial"/>
                <w:sz w:val="18"/>
                <w:szCs w:val="18"/>
                <w:color w:val="auto"/>
              </w:rPr>
              <w:t>Section 1.02.</w:t>
            </w:r>
          </w:p>
        </w:tc>
        <w:tc>
          <w:tcPr>
            <w:tcW w:w="248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5"/>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jc w:val="right"/>
              <w:ind w:right="492"/>
              <w:spacing w:after="0"/>
              <w:rPr>
                <w:sz w:val="20"/>
                <w:szCs w:val="20"/>
                <w:color w:val="auto"/>
              </w:rPr>
            </w:pPr>
            <w:r>
              <w:rPr>
                <w:rFonts w:ascii="Arial" w:cs="Arial" w:eastAsia="Arial" w:hAnsi="Arial"/>
                <w:sz w:val="14"/>
                <w:szCs w:val="14"/>
                <w:b w:val="1"/>
                <w:bCs w:val="1"/>
                <w:color w:val="auto"/>
              </w:rPr>
              <w:t>Defined in Section</w:t>
            </w: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w:t>
            </w:r>
          </w:p>
        </w:tc>
        <w:tc>
          <w:tcPr>
            <w:tcW w:w="2480" w:type="dxa"/>
            <w:vAlign w:val="bottom"/>
            <w:tcBorders>
              <w:top w:val="single" w:sz="8" w:color="auto"/>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692"/>
              <w:spacing w:after="0"/>
              <w:rPr>
                <w:sz w:val="20"/>
                <w:szCs w:val="20"/>
                <w:color w:val="auto"/>
              </w:rPr>
            </w:pPr>
            <w:r>
              <w:rPr>
                <w:rFonts w:ascii="Arial" w:cs="Arial" w:eastAsia="Arial" w:hAnsi="Arial"/>
                <w:sz w:val="18"/>
                <w:szCs w:val="18"/>
                <w:color w:val="auto"/>
              </w:rPr>
              <w:t>13.02(b)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“Act”</w:t>
            </w:r>
          </w:p>
        </w:tc>
        <w:tc>
          <w:tcPr>
            <w:tcW w:w="2480" w:type="dxa"/>
            <w:vAlign w:val="bottom"/>
          </w:tcPr>
          <w:p>
            <w:pPr>
              <w:spacing w:after="0"/>
              <w:rPr>
                <w:sz w:val="18"/>
                <w:szCs w:val="18"/>
                <w:color w:val="auto"/>
              </w:rPr>
            </w:pP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“Bankruptcy Default”</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6.01(h)</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5"/>
              </w:rPr>
              <w:t>“beneficial owner”</w:t>
            </w:r>
          </w:p>
        </w:tc>
        <w:tc>
          <w:tcPr>
            <w:tcW w:w="2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7"/>
              </w:rPr>
              <w:t>“Company Order”</w:t>
            </w:r>
          </w:p>
        </w:tc>
        <w:tc>
          <w:tcPr>
            <w:tcW w:w="2480" w:type="dxa"/>
            <w:vAlign w:val="bottom"/>
          </w:tcPr>
          <w:p>
            <w:pPr>
              <w:spacing w:after="0"/>
              <w:rPr>
                <w:sz w:val="18"/>
                <w:szCs w:val="18"/>
                <w:color w:val="auto"/>
              </w:rPr>
            </w:pP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Agent”</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3"/>
              </w:rPr>
              <w:t>“Conversion Date”</w:t>
            </w:r>
          </w:p>
        </w:tc>
        <w:tc>
          <w:tcPr>
            <w:tcW w:w="2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10.02(a)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“Conversion Rate”</w:t>
            </w:r>
          </w:p>
        </w:tc>
        <w:tc>
          <w:tcPr>
            <w:tcW w:w="248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“Distributed Assets”</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10.08(a)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2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10.13(b)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7"/>
              </w:rPr>
              <w:t>“Event of Default”</w:t>
            </w:r>
          </w:p>
        </w:tc>
        <w:tc>
          <w:tcPr>
            <w:tcW w:w="2480" w:type="dxa"/>
            <w:vAlign w:val="bottom"/>
          </w:tcPr>
          <w:p>
            <w:pPr>
              <w:spacing w:after="0"/>
              <w:rPr>
                <w:sz w:val="18"/>
                <w:szCs w:val="18"/>
                <w:color w:val="auto"/>
              </w:rPr>
            </w:pP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48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“group”</w:t>
            </w:r>
          </w:p>
        </w:tc>
        <w:tc>
          <w:tcPr>
            <w:tcW w:w="2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“Incremental Additional Interest”</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“Incremental Extension Right”</w:t>
            </w: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Additional Interest”</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“Initial Extension Right”</w:t>
            </w: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248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“Make-Whole Change in Control”</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10.13(a)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“Make-Whole Shares”</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10.13(a)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“Paying Agent”</w:t>
            </w:r>
          </w:p>
        </w:tc>
        <w:tc>
          <w:tcPr>
            <w:tcW w:w="2480" w:type="dxa"/>
            <w:vAlign w:val="bottom"/>
          </w:tcPr>
          <w:p>
            <w:pPr>
              <w:spacing w:after="0"/>
              <w:rPr>
                <w:sz w:val="18"/>
                <w:szCs w:val="18"/>
                <w:color w:val="auto"/>
              </w:rPr>
            </w:pP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2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“Primary Registrar”</w:t>
            </w: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“Purchased Shares”</w:t>
            </w: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692"/>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Period”</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10.08(a)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“Reference Property”</w:t>
            </w: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“Register”</w:t>
            </w:r>
          </w:p>
        </w:tc>
        <w:tc>
          <w:tcPr>
            <w:tcW w:w="248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ind w:right="89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“Registrar”</w:t>
            </w:r>
          </w:p>
        </w:tc>
        <w:tc>
          <w:tcPr>
            <w:tcW w:w="2480" w:type="dxa"/>
            <w:vAlign w:val="bottom"/>
          </w:tcPr>
          <w:p>
            <w:pPr>
              <w:spacing w:after="0"/>
              <w:rPr>
                <w:sz w:val="18"/>
                <w:szCs w:val="18"/>
                <w:color w:val="auto"/>
              </w:rPr>
            </w:pPr>
          </w:p>
        </w:tc>
        <w:tc>
          <w:tcPr>
            <w:tcW w:w="6780" w:type="dxa"/>
            <w:vAlign w:val="bottom"/>
            <w:gridSpan w:val="4"/>
          </w:tcPr>
          <w:p>
            <w:pPr>
              <w:jc w:val="right"/>
              <w:ind w:right="89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9"/>
              </w:rPr>
              <w:t>“Repurchase Date”</w:t>
            </w:r>
          </w:p>
        </w:tc>
        <w:tc>
          <w:tcPr>
            <w:tcW w:w="2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80" w:type="dxa"/>
            <w:vAlign w:val="bottom"/>
          </w:tcPr>
          <w:p>
            <w:pPr>
              <w:jc w:val="right"/>
              <w:ind w:right="29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2040" w:type="dxa"/>
            <w:vAlign w:val="bottom"/>
            <w:tcBorders>
              <w:bottom w:val="single" w:sz="8" w:color="010101"/>
            </w:tcBorders>
            <w:gridSpan w:val="2"/>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4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13"/>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jc w:val="right"/>
              <w:ind w:right="492"/>
              <w:spacing w:after="0"/>
              <w:rPr>
                <w:sz w:val="20"/>
                <w:szCs w:val="20"/>
                <w:color w:val="auto"/>
              </w:rPr>
            </w:pPr>
            <w:r>
              <w:rPr>
                <w:rFonts w:ascii="Arial" w:cs="Arial" w:eastAsia="Arial" w:hAnsi="Arial"/>
                <w:sz w:val="14"/>
                <w:szCs w:val="14"/>
                <w:b w:val="1"/>
                <w:bCs w:val="1"/>
                <w:color w:val="auto"/>
              </w:rPr>
              <w:t>Defined in Section</w:t>
            </w: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“Repurchase Notice”</w:t>
            </w:r>
          </w:p>
        </w:tc>
        <w:tc>
          <w:tcPr>
            <w:tcW w:w="4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8"/>
                <w:szCs w:val="18"/>
                <w:color w:val="auto"/>
              </w:rPr>
              <w:t>3.01(c)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“Repurchase Price”</w:t>
            </w: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73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480" w:type="dxa"/>
            <w:vAlign w:val="bottom"/>
            <w:shd w:val="clear" w:color="auto" w:fill="CCEEFF"/>
          </w:tcPr>
          <w:p>
            <w:pPr>
              <w:spacing w:after="0"/>
              <w:rPr>
                <w:sz w:val="18"/>
                <w:szCs w:val="18"/>
                <w:color w:val="auto"/>
              </w:rPr>
            </w:pPr>
          </w:p>
        </w:tc>
        <w:tc>
          <w:tcPr>
            <w:tcW w:w="6780" w:type="dxa"/>
            <w:vAlign w:val="bottom"/>
            <w:gridSpan w:val="4"/>
            <w:shd w:val="clear" w:color="auto" w:fill="CCEEFF"/>
          </w:tcPr>
          <w:p>
            <w:pPr>
              <w:jc w:val="right"/>
              <w:ind w:right="932"/>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“Shareholders Rights Plan”</w:t>
            </w:r>
          </w:p>
        </w:tc>
        <w:tc>
          <w:tcPr>
            <w:tcW w:w="6780" w:type="dxa"/>
            <w:vAlign w:val="bottom"/>
            <w:gridSpan w:val="4"/>
          </w:tcPr>
          <w:p>
            <w:pPr>
              <w:jc w:val="right"/>
              <w:ind w:right="932"/>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Record Date”</w:t>
            </w: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12.02(a)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“Spin-Off”</w:t>
            </w:r>
          </w:p>
        </w:tc>
        <w:tc>
          <w:tcPr>
            <w:tcW w:w="2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jc w:val="right"/>
              <w:ind w:right="732"/>
              <w:spacing w:after="0"/>
              <w:rPr>
                <w:sz w:val="20"/>
                <w:szCs w:val="20"/>
                <w:color w:val="auto"/>
              </w:rPr>
            </w:pPr>
            <w:r>
              <w:rPr>
                <w:rFonts w:ascii="Arial" w:cs="Arial" w:eastAsia="Arial" w:hAnsi="Arial"/>
                <w:sz w:val="18"/>
                <w:szCs w:val="18"/>
                <w:color w:val="auto"/>
              </w:rPr>
              <w:t>10.08(b)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8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rPr>
              <w:t>10.13(b)</w:t>
            </w:r>
          </w:p>
        </w:tc>
        <w:tc>
          <w:tcPr>
            <w:tcW w:w="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“Trigger Event”</w:t>
            </w:r>
          </w:p>
        </w:tc>
        <w:tc>
          <w:tcPr>
            <w:tcW w:w="2480" w:type="dxa"/>
            <w:vAlign w:val="bottom"/>
          </w:tcPr>
          <w:p>
            <w:pPr>
              <w:spacing w:after="0"/>
              <w:rPr>
                <w:sz w:val="20"/>
                <w:szCs w:val="20"/>
                <w:color w:val="auto"/>
              </w:rPr>
            </w:pPr>
          </w:p>
        </w:tc>
        <w:tc>
          <w:tcPr>
            <w:tcW w:w="6780" w:type="dxa"/>
            <w:vAlign w:val="bottom"/>
            <w:gridSpan w:val="4"/>
          </w:tcPr>
          <w:p>
            <w:pPr>
              <w:jc w:val="right"/>
              <w:ind w:right="932"/>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-1597025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-1597025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1.03</w:t>
      </w:r>
      <w:r>
        <w:rPr>
          <w:rFonts w:ascii="Arial" w:cs="Arial" w:eastAsia="Arial" w:hAnsi="Arial"/>
          <w:sz w:val="18"/>
          <w:szCs w:val="18"/>
          <w:i w:val="1"/>
          <w:iCs w:val="1"/>
          <w:color w:val="auto"/>
        </w:rPr>
        <w:t>. Incorporation by Reference of Trust Indenture Act</w:t>
      </w:r>
      <w:r>
        <w:rPr>
          <w:rFonts w:ascii="Arial" w:cs="Arial" w:eastAsia="Arial" w:hAnsi="Arial"/>
          <w:sz w:val="18"/>
          <w:szCs w:val="18"/>
          <w:color w:val="auto"/>
        </w:rPr>
        <w:t>. Whenever this Indenture refers to a provision of the Trust Indenture Act, the provision is incorporated by reference in and made a part of this Indenture. The following Trust Indenture Act terms used in this Indenture have the following meanings: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Noteholder.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ectPr>
          <w:pgSz w:w="11900" w:h="16838" w:orient="portrait"/>
          <w:cols w:equalWidth="0" w:num="1">
            <w:col w:w="11460"/>
          </w:cols>
          <w:pgMar w:left="240" w:top="121" w:right="199" w:bottom="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this Indenture securities means the Company.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All other Trust Indenture Act terms used in this Indenture that are defined by the Trust Indenture Act, defined by Trust Indenture Act reference to another statute or defined by Securities Exchange Commission rule have the meanings assigned to them by such definitions.</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640" w:hanging="335"/>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“herein,” “hereof” and other words of similar import refer to this Indenture as a whole and not to any particular Section, Article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120" w:firstLine="1305"/>
        <w:spacing w:after="0" w:line="277" w:lineRule="auto"/>
        <w:tabs>
          <w:tab w:leader="none" w:pos="1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Dating and Denominations; Legends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7" w:lineRule="auto"/>
        <w:tabs>
          <w:tab w:leader="none" w:pos="16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rFonts w:ascii="Arial" w:cs="Arial" w:eastAsia="Arial" w:hAnsi="Arial"/>
          <w:sz w:val="18"/>
          <w:szCs w:val="18"/>
          <w:color w:val="auto"/>
        </w:rPr>
      </w:pPr>
    </w:p>
    <w:p>
      <w:pPr>
        <w:ind w:right="180" w:firstLine="1305"/>
        <w:spacing w:after="0" w:line="277" w:lineRule="auto"/>
        <w:tabs>
          <w:tab w:leader="none" w:pos="1641"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that it shall represent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88" w:lineRule="exact"/>
        <w:rPr>
          <w:sz w:val="20"/>
          <w:szCs w:val="20"/>
          <w:color w:val="auto"/>
        </w:rPr>
      </w:pPr>
    </w:p>
    <w:p>
      <w:pPr>
        <w:jc w:val="both"/>
        <w:ind w:right="14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20" w:firstLine="8"/>
        <w:spacing w:after="0" w:line="255" w:lineRule="auto"/>
        <w:tabs>
          <w:tab w:leader="none" w:pos="21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ectPr>
          <w:pgSz w:w="11900" w:h="16838" w:orient="portrait"/>
          <w:cols w:equalWidth="0" w:num="1">
            <w:col w:w="11400"/>
          </w:cols>
          <w:pgMar w:left="240" w:top="337" w:right="259" w:bottom="0" w:gutter="0" w:footer="0" w:header="0"/>
        </w:sectPr>
      </w:pPr>
    </w:p>
    <w:bookmarkStart w:id="11" w:name="page12"/>
    <w:bookmarkEnd w:id="11"/>
    <w:p>
      <w:pPr>
        <w:spacing w:after="0" w:line="106" w:lineRule="exact"/>
        <w:rPr>
          <w:sz w:val="20"/>
          <w:szCs w:val="20"/>
          <w:color w:val="auto"/>
        </w:rPr>
      </w:pPr>
    </w:p>
    <w:p>
      <w:pPr>
        <w:ind w:right="160" w:firstLine="1305"/>
        <w:spacing w:after="0" w:line="286" w:lineRule="auto"/>
        <w:tabs>
          <w:tab w:leader="none" w:pos="1631"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6"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Execution and Authentication</w:t>
      </w:r>
      <w:r>
        <w:rPr>
          <w:rFonts w:ascii="Arial" w:cs="Arial" w:eastAsia="Arial" w:hAnsi="Arial"/>
          <w:sz w:val="18"/>
          <w:szCs w:val="18"/>
          <w:color w:val="auto"/>
        </w:rPr>
        <w:t>. An Officer shall sign the Notes for the Company by manual or facsimile signature. Typographic errors or defects in any such facsimile signature shall not affect the validity or enforceability of any Note which has been authenticated and delivered by the Trustee.</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Trustee shall authenticate and make available for delivery Notes for original issue in the aggregate principal amount of $230,000,000 upon receipt of a written order or orders of the Company signed by an Officer of the Company (a “</w:t>
      </w:r>
      <w:r>
        <w:rPr>
          <w:rFonts w:ascii="Arial" w:cs="Arial" w:eastAsia="Arial" w:hAnsi="Arial"/>
          <w:sz w:val="18"/>
          <w:szCs w:val="18"/>
          <w:b w:val="1"/>
          <w:bCs w:val="1"/>
          <w:color w:val="auto"/>
        </w:rPr>
        <w:t>Company Order</w:t>
      </w:r>
      <w:r>
        <w:rPr>
          <w:rFonts w:ascii="Arial" w:cs="Arial" w:eastAsia="Arial" w:hAnsi="Arial"/>
          <w:sz w:val="18"/>
          <w:szCs w:val="18"/>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$230,000,000 except as provided in Section 2.07.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Conversion Agent</w:t>
      </w:r>
      <w:r>
        <w:rPr>
          <w:rFonts w:ascii="Arial" w:cs="Arial" w:eastAsia="Arial" w:hAnsi="Arial"/>
          <w:sz w:val="18"/>
          <w:szCs w:val="18"/>
          <w:color w:val="auto"/>
        </w:rPr>
        <w:t>. The Company shall maintain one or more offices or agencies where Notes may be 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8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Company hereby initially designates the Trustee as Paying Agent, Registrar, and Conversion Agent, and each of the Corporate Trust Office of the Trustee and the office or agency of the Trustee in the United States (located at 625 Marquette Avenue South, MAC N9311-110, Minneapolis, Minnesota 55479, Tel. (800) 344-5128, Attention: Corporate Trust Services, one such office or agency of the Company for each of the aforesaid purposes.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Paying Agent to Hold Money in Trust</w:t>
      </w:r>
      <w:r>
        <w:rPr>
          <w:rFonts w:ascii="Arial" w:cs="Arial" w:eastAsia="Arial" w:hAnsi="Arial"/>
          <w:sz w:val="18"/>
          <w:szCs w:val="18"/>
          <w:color w:val="auto"/>
        </w:rPr>
        <w:t>. Prior to 12:00 p.m., New York City time, on each date on which the principal amount of or 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Noteholders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Noteholder Lists</w:t>
      </w:r>
      <w:r>
        <w:rPr>
          <w:rFonts w:ascii="Arial" w:cs="Arial" w:eastAsia="Arial" w:hAnsi="Arial"/>
          <w:sz w:val="18"/>
          <w:szCs w:val="18"/>
          <w:color w:val="auto"/>
        </w:rPr>
        <w:t>. The Trustee shall preserve in as current a form as is reasonably practicable the most recent list available to it of the names and addresses of Noteholders.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Noteholders.</w:t>
      </w:r>
    </w:p>
    <w:p>
      <w:pPr>
        <w:spacing w:after="0" w:line="187"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Section 2.06</w:t>
      </w:r>
      <w:r>
        <w:rPr>
          <w:rFonts w:ascii="Arial" w:cs="Arial" w:eastAsia="Arial" w:hAnsi="Arial"/>
          <w:sz w:val="16"/>
          <w:szCs w:val="16"/>
          <w:i w:val="1"/>
          <w:iCs w:val="1"/>
          <w:color w:val="auto"/>
        </w:rPr>
        <w:t>. Transfer and Exchange</w:t>
      </w:r>
      <w:r>
        <w:rPr>
          <w:rFonts w:ascii="Arial" w:cs="Arial" w:eastAsia="Arial" w:hAnsi="Arial"/>
          <w:sz w:val="16"/>
          <w:szCs w:val="16"/>
          <w:color w:val="auto"/>
        </w:rPr>
        <w:t xml:space="preserve">. Subject to compliance with any applicable additional requirements contained in Section 2.13, when a 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every Note presented or surrendered for registration of transfer or exchange shall be duly endorsed or accompanied by an assignment form in</w:t>
      </w:r>
    </w:p>
    <w:p>
      <w:pPr>
        <w:sectPr>
          <w:pgSz w:w="11900" w:h="16945" w:orient="portrait"/>
          <w:cols w:equalWidth="0" w:num="1">
            <w:col w:w="11420"/>
          </w:cols>
          <w:pgMar w:left="240" w:top="125" w:right="239" w:bottom="0" w:gutter="0" w:footer="0" w:header="0"/>
        </w:sectPr>
      </w:pPr>
    </w:p>
    <w:bookmarkStart w:id="12" w:name="page13"/>
    <w:bookmarkEnd w:id="12"/>
    <w:p>
      <w:pPr>
        <w:ind w:right="100"/>
        <w:spacing w:after="0" w:line="273" w:lineRule="auto"/>
        <w:rPr>
          <w:sz w:val="20"/>
          <w:szCs w:val="20"/>
          <w:color w:val="auto"/>
        </w:rPr>
      </w:pPr>
      <w:r>
        <w:rPr>
          <w:rFonts w:ascii="Arial" w:cs="Arial" w:eastAsia="Arial" w:hAnsi="Arial"/>
          <w:sz w:val="17"/>
          <w:szCs w:val="17"/>
          <w:color w:val="auto"/>
        </w:rPr>
        <w:t xml:space="preserve">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any exchange pursuant to Section 2.10, Section 3.04, Section 9.03(b) or Section 11.06 not involving any transfer.</w:t>
      </w:r>
    </w:p>
    <w:p>
      <w:pPr>
        <w:spacing w:after="0" w:line="17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 do so if and when expressly required by the terms of, this Indenture, and to examine the same to determine substantial compliance as to form with the express requirements hereof.</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Replacement Notes</w:t>
      </w:r>
      <w:r>
        <w:rPr>
          <w:rFonts w:ascii="Arial" w:cs="Arial" w:eastAsia="Arial" w:hAnsi="Arial"/>
          <w:sz w:val="17"/>
          <w:szCs w:val="17"/>
          <w:color w:val="auto"/>
        </w:rPr>
        <w:t>. If any mutilated Note is surrendered to the Company, a Registrar or the Trustee, or the Company, a Registrar 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2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 Notes outstanding at any time are all Notes authenticated by the Trustee, except for those canceled by it, those 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Treasury Notes</w:t>
      </w:r>
      <w:r>
        <w:rPr>
          <w:rFonts w:ascii="Arial" w:cs="Arial" w:eastAsia="Arial" w:hAnsi="Arial"/>
          <w:sz w:val="17"/>
          <w:szCs w:val="17"/>
          <w:color w:val="auto"/>
        </w:rPr>
        <w:t>. In determining whether the Holders of the required principal amount of Notes have concurred in any 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Notes</w:t>
      </w:r>
      <w:r>
        <w:rPr>
          <w:rFonts w:ascii="Arial" w:cs="Arial" w:eastAsia="Arial" w:hAnsi="Arial"/>
          <w:sz w:val="17"/>
          <w:szCs w:val="17"/>
          <w:color w:val="auto"/>
        </w:rPr>
        <w:t>. Until definitive Notes are ready for delivery, the Company may prepare and execute, and, upon receipt of a 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ectPr>
          <w:pgSz w:w="11900" w:h="16838" w:orient="portrait"/>
          <w:cols w:equalWidth="0" w:num="1">
            <w:col w:w="11420"/>
          </w:cols>
          <w:pgMar w:left="240" w:top="125" w:right="239" w:bottom="0" w:gutter="0" w:footer="0" w:header="0"/>
        </w:sectPr>
      </w:pPr>
    </w:p>
    <w:bookmarkStart w:id="13" w:name="page14"/>
    <w:bookmarkEnd w:id="13"/>
    <w:p>
      <w:pPr>
        <w:ind w:right="60" w:firstLine="648"/>
        <w:spacing w:after="0" w:line="27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Cancellation</w:t>
      </w:r>
      <w:r>
        <w:rPr>
          <w:rFonts w:ascii="Arial" w:cs="Arial" w:eastAsia="Arial" w:hAnsi="Arial"/>
          <w:sz w:val="17"/>
          <w:szCs w:val="17"/>
          <w:color w:val="auto"/>
        </w:rPr>
        <w:t>. The Company at any time may deliver Notes to the Trustee for cancellation. The Registrar, the Paying Agent and 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xml:space="preserve">. The Company in issuing the Notes may use one or more “CUSIP” numbers (if then generally in use), and, if so, 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2.13</w:t>
      </w:r>
      <w:r>
        <w:rPr>
          <w:rFonts w:ascii="Arial" w:cs="Arial" w:eastAsia="Arial" w:hAnsi="Arial"/>
          <w:sz w:val="18"/>
          <w:szCs w:val="18"/>
          <w:i w:val="1"/>
          <w:iCs w:val="1"/>
          <w:color w:val="auto"/>
        </w:rPr>
        <w:t>. Book-Entry Provisions for Global Notes</w:t>
      </w:r>
      <w:r>
        <w:rPr>
          <w:rFonts w:ascii="Arial" w:cs="Arial" w:eastAsia="Arial" w:hAnsi="Arial"/>
          <w:sz w:val="18"/>
          <w:szCs w:val="18"/>
          <w:color w:val="auto"/>
        </w:rPr>
        <w:t>. (a) Transfers of Global Notes shall be limited to transfers in whole, but not in part, to the Depositary, its successors or their respective nominees. In addition, Certificated Notes shall be transferred to all beneficial owners, as identified by the Depositary, in exchange for their beneficial interests in Global Notes only if (i) the Depositary notifies the Company that the Depositary is unwilling or unable to continue as depositary for any Global Note (or the Depositary ceases to be a “clearing agency” registered under Section 17A of the Exchange Act) and a successor Depositary is not appointed by the Company within 90 days of such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notice or cessation or (ii) an Event of Default has occurred and is continuing and the Registrar has received a written request from the Depositary to issue Certificated Notes.</w:t>
      </w:r>
    </w:p>
    <w:p>
      <w:pPr>
        <w:spacing w:after="0" w:line="170" w:lineRule="exact"/>
        <w:rPr>
          <w:sz w:val="20"/>
          <w:szCs w:val="20"/>
          <w:color w:val="auto"/>
        </w:rPr>
      </w:pPr>
    </w:p>
    <w:p>
      <w:pPr>
        <w:ind w:right="100" w:firstLine="1305"/>
        <w:spacing w:after="0" w:line="259" w:lineRule="auto"/>
        <w:tabs>
          <w:tab w:leader="none" w:pos="16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transfer of a Global Note in its entirety to beneficial owners pursuant to Section 2.13(a), such Global Note shall be deemed to be surrendered to the Trustee for cancellation, and the Company shall execute, and the Trustee shall upon written instructions from the Company authenticate and deliver, to each beneficial owner identified by the Depositary in exchange for its beneficial interest in such Global Note, an equal aggregate principal amount of Certificated Notes of authorized denominations.</w:t>
      </w:r>
    </w:p>
    <w:p>
      <w:pPr>
        <w:spacing w:after="0" w:line="186" w:lineRule="exact"/>
        <w:rPr>
          <w:rFonts w:ascii="Arial" w:cs="Arial" w:eastAsia="Arial" w:hAnsi="Arial"/>
          <w:sz w:val="18"/>
          <w:szCs w:val="18"/>
          <w:color w:val="auto"/>
        </w:rPr>
      </w:pPr>
    </w:p>
    <w:p>
      <w:pPr>
        <w:ind w:right="340" w:firstLine="1305"/>
        <w:spacing w:after="0" w:line="277" w:lineRule="auto"/>
        <w:tabs>
          <w:tab w:leader="none" w:pos="1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to take any action that a Holder is entitled to take under this Indenture or the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Repurchase at the Option of the Holders Upon Change in Control or Termination of Trading</w:t>
      </w:r>
      <w:r>
        <w:rPr>
          <w:rFonts w:ascii="Arial" w:cs="Arial" w:eastAsia="Arial" w:hAnsi="Arial"/>
          <w:sz w:val="17"/>
          <w:szCs w:val="17"/>
          <w:color w:val="auto"/>
        </w:rPr>
        <w:t>. (a) Upon the occurrence of a Change in Control or a Termination of Trading, each Holder shall have the right, at such Holder’s option, subject to the terms and conditions of Article 3 of this Indenture, to require the Company to repurchase for Cash all or any portion of such Holder’s Notes in integral multiples of $1,000 principal amount at a price (the “</w:t>
      </w:r>
      <w:r>
        <w:rPr>
          <w:rFonts w:ascii="Arial" w:cs="Arial" w:eastAsia="Arial" w:hAnsi="Arial"/>
          <w:sz w:val="17"/>
          <w:szCs w:val="17"/>
          <w:b w:val="1"/>
          <w:bCs w:val="1"/>
          <w:color w:val="auto"/>
        </w:rPr>
        <w:t>Repurchase Price</w:t>
      </w:r>
      <w:r>
        <w:rPr>
          <w:rFonts w:ascii="Arial" w:cs="Arial" w:eastAsia="Arial" w:hAnsi="Arial"/>
          <w:sz w:val="17"/>
          <w:szCs w:val="17"/>
          <w:color w:val="auto"/>
        </w:rPr>
        <w:t xml:space="preserve">”) equal to 100% of the principal amount of the Notes to be repurchased, plus accrued and unpaid interest (including Additional Interest), if any, to, but excluding, the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Repurchase Date is after a Regular Record Date and on or prior to the Interest Payment Date to which it relates, the interest accrued to the Interest Payment Date will be paid to Holders of the Notes as of the preceding Regular Record Date, and the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7"/>
          <w:szCs w:val="17"/>
          <w:b w:val="1"/>
          <w:bCs w:val="1"/>
          <w:color w:val="auto"/>
        </w:rPr>
        <w:t>Repurchase Date</w:t>
      </w:r>
      <w:r>
        <w:rPr>
          <w:rFonts w:ascii="Arial" w:cs="Arial" w:eastAsia="Arial" w:hAnsi="Arial"/>
          <w:sz w:val="17"/>
          <w:szCs w:val="17"/>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180" w:firstLine="1953"/>
        <w:spacing w:after="0" w:line="302" w:lineRule="auto"/>
        <w:tabs>
          <w:tab w:leader="none" w:pos="2614"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w:t>
      </w:r>
    </w:p>
    <w:p>
      <w:pPr>
        <w:spacing w:after="0" w:line="15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applicable rules and regulations under the Exchange Act, and (b) is not also then reportable on Schedule 13D (or any successor schedule) under the Exchange Act;</w:t>
      </w:r>
    </w:p>
    <w:p>
      <w:pPr>
        <w:spacing w:after="0" w:line="170" w:lineRule="exact"/>
        <w:rPr>
          <w:sz w:val="20"/>
          <w:szCs w:val="20"/>
          <w:color w:val="auto"/>
        </w:rPr>
      </w:pPr>
    </w:p>
    <w:p>
      <w:pPr>
        <w:ind w:right="40" w:firstLine="1953"/>
        <w:spacing w:after="0" w:line="293" w:lineRule="auto"/>
        <w:tabs>
          <w:tab w:leader="none" w:pos="26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provided that none of these circumstances will be a Change in Control if persons that beneficially own the Voting Securities of the Company immediately prior to the transaction own, directly or indirectly, a majority of the Voting Securities of the surviving or transferee person immediately after the transaction in substantially the same proportion as their ownership of the Company’s Voting Securities immediately prior to the transaction; or</w:t>
      </w:r>
    </w:p>
    <w:p>
      <w:pPr>
        <w:spacing w:after="0" w:line="164" w:lineRule="exact"/>
        <w:rPr>
          <w:rFonts w:ascii="Arial" w:cs="Arial" w:eastAsia="Arial" w:hAnsi="Arial"/>
          <w:sz w:val="16"/>
          <w:szCs w:val="16"/>
          <w:color w:val="auto"/>
        </w:rPr>
      </w:pPr>
    </w:p>
    <w:p>
      <w:pPr>
        <w:ind w:left="2640" w:hanging="687"/>
        <w:spacing w:after="0"/>
        <w:tabs>
          <w:tab w:leader="none" w:pos="2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For purposes of defining a Change in Control:</w:t>
      </w:r>
    </w:p>
    <w:p>
      <w:pPr>
        <w:spacing w:after="0" w:line="221" w:lineRule="exact"/>
        <w:rPr>
          <w:sz w:val="20"/>
          <w:szCs w:val="20"/>
          <w:color w:val="auto"/>
        </w:rPr>
      </w:pPr>
    </w:p>
    <w:p>
      <w:pPr>
        <w:ind w:left="3260" w:hanging="659"/>
        <w:spacing w:after="0"/>
        <w:tabs>
          <w:tab w:leader="none" w:pos="3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 or any successor provisions;</w:t>
      </w:r>
    </w:p>
    <w:p>
      <w:pPr>
        <w:sectPr>
          <w:pgSz w:w="11900" w:h="16838" w:orient="portrait"/>
          <w:cols w:equalWidth="0" w:num="1">
            <w:col w:w="11420"/>
          </w:cols>
          <w:pgMar w:left="240" w:top="125" w:right="239" w:bottom="18" w:gutter="0" w:footer="0" w:header="0"/>
        </w:sectPr>
      </w:pPr>
    </w:p>
    <w:bookmarkStart w:id="14" w:name="page15"/>
    <w:bookmarkEnd w:id="14"/>
    <w:p>
      <w:pPr>
        <w:ind w:right="400" w:firstLine="2601"/>
        <w:spacing w:after="0" w:line="282" w:lineRule="auto"/>
        <w:tabs>
          <w:tab w:leader="none" w:pos="3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ind w:right="80" w:firstLine="2601"/>
        <w:spacing w:after="0" w:line="266" w:lineRule="auto"/>
        <w:tabs>
          <w:tab w:leader="none" w:pos="3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100" w:firstLine="1305"/>
        <w:spacing w:after="0" w:line="259" w:lineRule="auto"/>
        <w:tabs>
          <w:tab w:leader="none" w:pos="16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8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right="300" w:firstLine="1953"/>
        <w:spacing w:after="0" w:line="277" w:lineRule="auto"/>
        <w:tabs>
          <w:tab w:leader="none" w:pos="26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firstLine="1305"/>
        <w:spacing w:after="0" w:line="313" w:lineRule="auto"/>
        <w:tabs>
          <w:tab w:leader="none" w:pos="1631"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Holder may exercise its rights specified in Section 3.01 by delivery of a written notice (a “</w:t>
      </w:r>
      <w:r>
        <w:rPr>
          <w:rFonts w:ascii="Arial" w:cs="Arial" w:eastAsia="Arial" w:hAnsi="Arial"/>
          <w:sz w:val="17"/>
          <w:szCs w:val="17"/>
          <w:b w:val="1"/>
          <w:bCs w:val="1"/>
          <w:color w:val="auto"/>
        </w:rPr>
        <w:t>Repurchase Notice</w:t>
      </w:r>
      <w:r>
        <w:rPr>
          <w:rFonts w:ascii="Arial" w:cs="Arial" w:eastAsia="Arial" w:hAnsi="Arial"/>
          <w:sz w:val="17"/>
          <w:szCs w:val="17"/>
          <w:color w:val="auto"/>
        </w:rPr>
        <w:t>”) to the Paying Agent at any time prior to the Close of Business on the Business Day immediately preceding the Repurchase Date. The Repurchase Notice shall state:</w:t>
      </w:r>
    </w:p>
    <w:p>
      <w:pPr>
        <w:spacing w:after="0" w:line="142" w:lineRule="exact"/>
        <w:rPr>
          <w:rFonts w:ascii="Arial" w:cs="Arial" w:eastAsia="Arial" w:hAnsi="Arial"/>
          <w:sz w:val="17"/>
          <w:szCs w:val="17"/>
          <w:color w:val="auto"/>
        </w:rPr>
      </w:pPr>
    </w:p>
    <w:p>
      <w:pPr>
        <w:ind w:right="300" w:firstLine="1953"/>
        <w:spacing w:after="0" w:line="277" w:lineRule="auto"/>
        <w:tabs>
          <w:tab w:leader="none" w:pos="2614"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The delivery of such Note to the Paying Agent prior to, on or after the Repurchase Date (together with all necessary endorsements and compliance by the Holder with the Applicable Procedures) at the offices of the Paying Agent shall be a condition to the receipt by the Holder of the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Repurchase Price shall be so paid pursuant to this Section 3.01 only if the Note so delivered to the Paying Agent shall conform in all respects to the description thereof set forth in the related Repurchase Notice.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 including the Repurchase Date) on or prior to the later of the Repurchase Date and the time of delivery of the Note to the Paying Agent in accordance with this Section 3.01.</w:t>
      </w:r>
    </w:p>
    <w:p>
      <w:pPr>
        <w:spacing w:after="0" w:line="147" w:lineRule="exact"/>
        <w:rPr>
          <w:sz w:val="20"/>
          <w:szCs w:val="20"/>
          <w:color w:val="auto"/>
        </w:rPr>
      </w:pPr>
    </w:p>
    <w:p>
      <w:pPr>
        <w:ind w:right="660" w:firstLine="648"/>
        <w:spacing w:after="0" w:line="312" w:lineRule="auto"/>
        <w:rPr>
          <w:sz w:val="20"/>
          <w:szCs w:val="20"/>
          <w:color w:val="auto"/>
        </w:rPr>
      </w:pPr>
      <w:r>
        <w:rPr>
          <w:rFonts w:ascii="Arial" w:cs="Arial" w:eastAsia="Arial" w:hAnsi="Arial"/>
          <w:sz w:val="16"/>
          <w:szCs w:val="16"/>
          <w:color w:val="auto"/>
        </w:rPr>
        <w:t>Notwithstanding anything herein to the contrary, any Holder delivering to the Paying Agent the Repurchase Notice contemplated by this Section 3.01(c) shall have the right to withdraw such Repurchase Notice at any time prior to the Close of Business on the Business Day immediately preceding the Repurchase Date by delivery of a written notice of withdrawal to the Paying Agent in accordance with Section 3.02(b).</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Paying Agent shall promptly notify the Company of the receipt by it of any Repurchase Notice or written withdrawal thereof.</w:t>
      </w:r>
    </w:p>
    <w:p>
      <w:pPr>
        <w:sectPr>
          <w:pgSz w:w="11900" w:h="16838" w:orient="portrait"/>
          <w:cols w:equalWidth="0" w:num="1">
            <w:col w:w="11380"/>
          </w:cols>
          <w:pgMar w:left="240" w:top="121" w:right="279" w:bottom="32" w:gutter="0" w:footer="0" w:header="0"/>
        </w:sectPr>
      </w:pPr>
    </w:p>
    <w:bookmarkStart w:id="15" w:name="page16"/>
    <w:bookmarkEnd w:id="15"/>
    <w:p>
      <w:pPr>
        <w:ind w:right="140" w:firstLine="648"/>
        <w:spacing w:after="0" w:line="255" w:lineRule="auto"/>
        <w:rPr>
          <w:sz w:val="20"/>
          <w:szCs w:val="20"/>
          <w:color w:val="auto"/>
        </w:rPr>
      </w:pPr>
      <w:r>
        <w:rPr>
          <w:rFonts w:ascii="Arial" w:cs="Arial" w:eastAsia="Arial" w:hAnsi="Arial"/>
          <w:sz w:val="18"/>
          <w:szCs w:val="18"/>
          <w:color w:val="auto"/>
        </w:rPr>
        <w:t>No Notes may be repurchased by the Company at the option of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the date on which such repurchase is to be consummated. The Paying Agent will promptly return to the respective Holders thereof any Notes (x) with respect to which a Repurchase Notice has been withdrawn in compliance with this Indenture, or (y) held by it during the continuance of acceleration described in the immediately preceding sentence in which case, upon such return, the Repurchase Notice with respect thereto shall be deemed to have been withdrawn.</w:t>
      </w:r>
    </w:p>
    <w:p>
      <w:pPr>
        <w:spacing w:after="0" w:line="193"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i w:val="1"/>
          <w:iCs w:val="1"/>
          <w:color w:val="auto"/>
        </w:rPr>
        <w:t>Effect of Repurchase Notice</w:t>
      </w:r>
      <w:r>
        <w:rPr>
          <w:rFonts w:ascii="Arial" w:cs="Arial" w:eastAsia="Arial" w:hAnsi="Arial"/>
          <w:sz w:val="16"/>
          <w:szCs w:val="16"/>
          <w:color w:val="auto"/>
        </w:rPr>
        <w:t>. (a) Upon receipt by the Paying Agent of the Repurchase Notice specified in Section 3.01(c),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Holder of the Note in respect of which such Repurchase Notice was given shall (unless such Repurchase Notice is withdrawn as specified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3.02) thereafter be entitled to receive solely the Repurchase Price and any accrued and unpaid interest (including any Additional Interest) to but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Repurchase Date, with respect to such Note. Such Repurchase Price shall be paid to such Holder, subject to receipt of funds by the Paying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on or prior to the later of (x) the Repurchase Date, with respect to such Note (provided the conditions in Section 3.01(c) have been satisfied) and</w:t>
      </w:r>
    </w:p>
    <w:p>
      <w:pPr>
        <w:spacing w:after="0" w:line="21" w:lineRule="exact"/>
        <w:rPr>
          <w:sz w:val="20"/>
          <w:szCs w:val="20"/>
          <w:color w:val="auto"/>
        </w:rPr>
      </w:pPr>
    </w:p>
    <w:p>
      <w:pPr>
        <w:jc w:val="both"/>
        <w:ind w:right="560" w:firstLine="8"/>
        <w:spacing w:after="0" w:line="277"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 of delivery of such Note to the Paying Agent by the Holder thereof in the manner required by Section 3.01(c).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308" w:lineRule="auto"/>
        <w:tabs>
          <w:tab w:leader="none" w:pos="16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Such notice of withdrawal shall state:</w:t>
      </w:r>
    </w:p>
    <w:p>
      <w:pPr>
        <w:spacing w:after="0" w:line="146" w:lineRule="exact"/>
        <w:rPr>
          <w:rFonts w:ascii="Arial" w:cs="Arial" w:eastAsia="Arial" w:hAnsi="Arial"/>
          <w:sz w:val="17"/>
          <w:szCs w:val="17"/>
          <w:color w:val="auto"/>
        </w:rPr>
      </w:pPr>
    </w:p>
    <w:p>
      <w:pPr>
        <w:ind w:left="2620" w:hanging="667"/>
        <w:spacing w:after="0"/>
        <w:tabs>
          <w:tab w:leader="none" w:pos="2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140" w:firstLine="1953"/>
        <w:spacing w:after="0" w:line="277" w:lineRule="auto"/>
        <w:tabs>
          <w:tab w:leader="none" w:pos="26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Deposit of Repurchase Price</w:t>
      </w:r>
      <w:r>
        <w:rPr>
          <w:rFonts w:ascii="Arial" w:cs="Arial" w:eastAsia="Arial" w:hAnsi="Arial"/>
          <w:sz w:val="16"/>
          <w:szCs w:val="16"/>
          <w:color w:val="auto"/>
        </w:rPr>
        <w:t>. Prior to 12:00 p.m. (New York City time) on or prior to the Repurchase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the Paying Agent holds money sufficient to pay the Repurchase Price with respect to the Notes to be repurchased on the Repurchase Date in accordance with the terms of this Indenture, then, immediately on and after the Repurchase Date,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8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Notes Repurchased in Part</w:t>
      </w:r>
      <w:r>
        <w:rPr>
          <w:rFonts w:ascii="Arial" w:cs="Arial" w:eastAsia="Arial" w:hAnsi="Arial"/>
          <w:sz w:val="16"/>
          <w:szCs w:val="16"/>
          <w:color w:val="auto"/>
        </w:rPr>
        <w:t>. Any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5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to the extent required by applicable law, the Company shall: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comply with the provisions of Rule 13e-4, Rule 14e-1 and any other tender offer rules under the Exchange Act that may then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and</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  otherwise comply with all federal and state securities laws as necessary to effect a repurchase of Notes by the Company at the option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Notes</w:t>
      </w:r>
      <w:r>
        <w:rPr>
          <w:rFonts w:ascii="Arial" w:cs="Arial" w:eastAsia="Arial" w:hAnsi="Arial"/>
          <w:sz w:val="18"/>
          <w:szCs w:val="18"/>
          <w:color w:val="auto"/>
        </w:rPr>
        <w:t xml:space="preserve">. (a) The Company agrees to pay the principal of and interest (including any Additional Interest) on the Notes on 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Company or any Affiliate of the 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89" w:lineRule="exact"/>
        <w:rPr>
          <w:sz w:val="20"/>
          <w:szCs w:val="20"/>
          <w:color w:val="auto"/>
        </w:rPr>
      </w:pPr>
    </w:p>
    <w:p>
      <w:pPr>
        <w:ind w:right="120" w:firstLine="1305"/>
        <w:spacing w:after="0" w:line="259" w:lineRule="auto"/>
        <w:tabs>
          <w:tab w:leader="none" w:pos="16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ectPr>
          <w:pgSz w:w="11900" w:h="16838" w:orient="portrait"/>
          <w:cols w:equalWidth="0" w:num="1">
            <w:col w:w="11420"/>
          </w:cols>
          <w:pgMar w:left="240" w:top="125" w:right="239" w:bottom="0" w:gutter="0" w:footer="0" w:header="0"/>
        </w:sectPr>
      </w:pPr>
    </w:p>
    <w:bookmarkStart w:id="16" w:name="page17"/>
    <w:bookmarkEnd w:id="16"/>
    <w:p>
      <w:pPr>
        <w:spacing w:after="0" w:line="13" w:lineRule="exact"/>
        <w:rPr>
          <w:sz w:val="20"/>
          <w:szCs w:val="20"/>
          <w:color w:val="auto"/>
        </w:rPr>
      </w:pPr>
    </w:p>
    <w:p>
      <w:pPr>
        <w:ind w:right="440" w:firstLine="1305"/>
        <w:spacing w:after="0" w:line="277" w:lineRule="auto"/>
        <w:tabs>
          <w:tab w:leader="none" w:pos="16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jc w:val="both"/>
        <w:ind w:right="120" w:firstLine="1305"/>
        <w:spacing w:after="0" w:line="259" w:lineRule="auto"/>
        <w:tabs>
          <w:tab w:leader="none" w:pos="16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w:t>
      </w:r>
    </w:p>
    <w:p>
      <w:pPr>
        <w:spacing w:after="0" w:line="187" w:lineRule="exact"/>
        <w:rPr>
          <w:sz w:val="20"/>
          <w:szCs w:val="20"/>
          <w:color w:val="auto"/>
        </w:rPr>
      </w:pPr>
    </w:p>
    <w:p>
      <w:pPr>
        <w:ind w:right="220" w:firstLine="1297"/>
        <w:spacing w:after="0" w:line="342" w:lineRule="auto"/>
        <w:rPr>
          <w:sz w:val="20"/>
          <w:szCs w:val="20"/>
          <w:color w:val="auto"/>
        </w:rPr>
      </w:pPr>
      <w:r>
        <w:rPr>
          <w:rFonts w:ascii="Arial" w:cs="Arial" w:eastAsia="Arial" w:hAnsi="Arial"/>
          <w:sz w:val="16"/>
          <w:szCs w:val="16"/>
          <w:color w:val="auto"/>
        </w:rPr>
        <w:t>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pacing w:after="0" w:line="12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i w:val="1"/>
          <w:iCs w:val="1"/>
          <w:color w:val="auto"/>
        </w:rPr>
        <w:t>Maintenance of Office or Agency</w:t>
      </w:r>
      <w:r>
        <w:rPr>
          <w:rFonts w:ascii="Arial" w:cs="Arial" w:eastAsia="Arial" w:hAnsi="Arial"/>
          <w:sz w:val="17"/>
          <w:szCs w:val="17"/>
          <w:color w:val="auto"/>
        </w:rPr>
        <w:t>. The Company will maintain in the United States, an office or agency where Notes may be 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agency. If at any time the Company fails to maintain any such required office or agency or fails to furnish the Trustee with the address thereof, such presentations, surrenders, notices and demands may be made or served to the Trustee.</w:t>
      </w:r>
    </w:p>
    <w:p>
      <w:pPr>
        <w:spacing w:after="0" w:line="170"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The Company will do or cause to be done all things necessary to preserve and keep in full force and effect its existence 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Section does not prohibit any transaction otherwise permitted by Section 5.01.</w:t>
      </w:r>
    </w:p>
    <w:p>
      <w:pPr>
        <w:spacing w:after="0" w:line="187"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Reports</w:t>
      </w:r>
      <w:r>
        <w:rPr>
          <w:rFonts w:ascii="Arial" w:cs="Arial" w:eastAsia="Arial" w:hAnsi="Arial"/>
          <w:sz w:val="16"/>
          <w:szCs w:val="16"/>
          <w:color w:val="auto"/>
        </w:rPr>
        <w:t>. The Company shall deliver to the Trustee, within 15 days after the Company is required to file the 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w:t>
      </w:r>
    </w:p>
    <w:p>
      <w:pPr>
        <w:ind w:right="480"/>
        <w:spacing w:after="0" w:line="261" w:lineRule="auto"/>
        <w:rPr>
          <w:sz w:val="20"/>
          <w:szCs w:val="20"/>
          <w:color w:val="auto"/>
        </w:rPr>
      </w:pPr>
      <w:r>
        <w:rPr>
          <w:rFonts w:ascii="Arial" w:cs="Arial" w:eastAsia="Arial" w:hAnsi="Arial"/>
          <w:sz w:val="18"/>
          <w:szCs w:val="18"/>
          <w:color w:val="auto"/>
        </w:rPr>
        <w:t>Section 15(d) of the Exchange Act; provided that any such information, documents or reports filed with the Commission pursuant to its Electronic Data Gathering, Analysis and Retrieval (or EDGAR) system shall be deemed to be filed with the Trustee.</w:t>
      </w:r>
    </w:p>
    <w:p>
      <w:pPr>
        <w:spacing w:after="0" w:line="1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jc w:val="both"/>
        <w:ind w:right="200" w:firstLine="656"/>
        <w:spacing w:after="0" w:line="286" w:lineRule="auto"/>
        <w:tabs>
          <w:tab w:leader="none" w:pos="1307"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65" w:lineRule="exact"/>
        <w:rPr>
          <w:rFonts w:ascii="Arial" w:cs="Arial" w:eastAsia="Arial" w:hAnsi="Arial"/>
          <w:sz w:val="17"/>
          <w:szCs w:val="17"/>
          <w:color w:val="auto"/>
        </w:rPr>
      </w:pPr>
    </w:p>
    <w:p>
      <w:pPr>
        <w:ind w:right="20" w:firstLine="656"/>
        <w:spacing w:after="0" w:line="342" w:lineRule="auto"/>
        <w:tabs>
          <w:tab w:leader="none" w:pos="16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that it will not at any time insist upon, plead, or in any manner whatsoever claim or take the benefit or advantage of, any stay, extension or usury law wherever enacted, now or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Consolidation, Merger, Sale or Lease of Assets by the Company</w:t>
      </w:r>
      <w:r>
        <w:rPr>
          <w:rFonts w:ascii="Arial" w:cs="Arial" w:eastAsia="Arial" w:hAnsi="Arial"/>
          <w:sz w:val="16"/>
          <w:szCs w:val="16"/>
          <w:color w:val="auto"/>
        </w:rPr>
        <w:t>. (a) The Company may consolidate with or merge into any Person or convey, transfer or lease its properties and assets substantially as an entirety to another Person (other than a Subsidiary of the Company) only if:</w:t>
      </w:r>
    </w:p>
    <w:p>
      <w:pPr>
        <w:spacing w:after="0" w:line="124" w:lineRule="exact"/>
        <w:rPr>
          <w:sz w:val="20"/>
          <w:szCs w:val="20"/>
          <w:color w:val="auto"/>
        </w:rPr>
      </w:pPr>
    </w:p>
    <w:p>
      <w:pPr>
        <w:ind w:right="40" w:firstLine="1953"/>
        <w:spacing w:after="0" w:line="277" w:lineRule="auto"/>
        <w:tabs>
          <w:tab w:leader="none" w:pos="26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 and</w:t>
      </w:r>
    </w:p>
    <w:p>
      <w:pPr>
        <w:sectPr>
          <w:pgSz w:w="11900" w:h="16851" w:orient="portrait"/>
          <w:cols w:equalWidth="0" w:num="1">
            <w:col w:w="11420"/>
          </w:cols>
          <w:pgMar w:left="240" w:top="125" w:right="239" w:bottom="0" w:gutter="0" w:footer="0" w:header="0"/>
        </w:sectPr>
      </w:pPr>
    </w:p>
    <w:bookmarkStart w:id="17" w:name="page18"/>
    <w:bookmarkEnd w:id="17"/>
    <w:p>
      <w:pPr>
        <w:spacing w:after="0" w:line="106" w:lineRule="exact"/>
        <w:rPr>
          <w:sz w:val="20"/>
          <w:szCs w:val="20"/>
          <w:color w:val="auto"/>
        </w:rPr>
      </w:pPr>
    </w:p>
    <w:p>
      <w:pPr>
        <w:ind w:right="840" w:firstLine="1953"/>
        <w:spacing w:after="0" w:line="308" w:lineRule="auto"/>
        <w:tabs>
          <w:tab w:leader="none" w:pos="261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46" w:lineRule="exact"/>
        <w:rPr>
          <w:rFonts w:ascii="Arial" w:cs="Arial" w:eastAsia="Arial" w:hAnsi="Arial"/>
          <w:sz w:val="17"/>
          <w:szCs w:val="17"/>
          <w:color w:val="auto"/>
        </w:rPr>
      </w:pPr>
    </w:p>
    <w:p>
      <w:pPr>
        <w:ind w:right="60" w:firstLine="1305"/>
        <w:spacing w:after="0" w:line="257" w:lineRule="auto"/>
        <w:tabs>
          <w:tab w:leader="none" w:pos="1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200" w:firstLine="1305"/>
        <w:spacing w:after="0" w:line="277" w:lineRule="auto"/>
        <w:tabs>
          <w:tab w:leader="none" w:pos="16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w:t>
      </w:r>
    </w:p>
    <w:p>
      <w:pPr>
        <w:spacing w:after="0" w:line="17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77" w:lineRule="auto"/>
        <w:tabs>
          <w:tab w:leader="none" w:pos="16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320" w:firstLine="1305"/>
        <w:spacing w:after="0" w:line="264" w:lineRule="auto"/>
        <w:tabs>
          <w:tab w:leader="none" w:pos="163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a Change in Control as required under Section 3.01(b) of this Indenture or a Make-Whole Change in Control that does not constitute a Change in Control as required under Section 10.13(a) of this Indenture, and such default continues for a period of three Business Days;</w:t>
      </w:r>
    </w:p>
    <w:p>
      <w:pPr>
        <w:spacing w:after="0" w:line="181" w:lineRule="exact"/>
        <w:rPr>
          <w:rFonts w:ascii="Arial" w:cs="Arial" w:eastAsia="Arial" w:hAnsi="Arial"/>
          <w:sz w:val="18"/>
          <w:szCs w:val="18"/>
          <w:color w:val="auto"/>
        </w:rPr>
      </w:pPr>
    </w:p>
    <w:p>
      <w:pPr>
        <w:ind w:right="140" w:firstLine="1305"/>
        <w:spacing w:after="0" w:line="277" w:lineRule="auto"/>
        <w:tabs>
          <w:tab w:leader="none" w:pos="162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Common Stock upon exercise of a Holder’s right to convert its Notes pursuant to Article 10;</w:t>
      </w:r>
    </w:p>
    <w:p>
      <w:pPr>
        <w:spacing w:after="0" w:line="170" w:lineRule="exact"/>
        <w:rPr>
          <w:rFonts w:ascii="Arial" w:cs="Arial" w:eastAsia="Arial" w:hAnsi="Arial"/>
          <w:sz w:val="18"/>
          <w:szCs w:val="18"/>
          <w:color w:val="auto"/>
        </w:rPr>
      </w:pPr>
    </w:p>
    <w:p>
      <w:pPr>
        <w:ind w:right="120" w:firstLine="1305"/>
        <w:spacing w:after="0" w:line="264" w:lineRule="auto"/>
        <w:tabs>
          <w:tab w:leader="none" w:pos="163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3" w:lineRule="auto"/>
        <w:tabs>
          <w:tab w:leader="none" w:pos="1638" w:val="left"/>
        </w:tabs>
        <w:numPr>
          <w:ilvl w:val="1"/>
          <w:numId w:val="25"/>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 (2) above shall cease or be cured, waived, rescinded or annulled, then the resulting Event of Default shall be deemed not to have occurred;</w:t>
      </w:r>
    </w:p>
    <w:p>
      <w:pPr>
        <w:spacing w:after="0" w:line="164" w:lineRule="exact"/>
        <w:rPr>
          <w:rFonts w:ascii="Arial" w:cs="Arial" w:eastAsia="Arial" w:hAnsi="Arial"/>
          <w:sz w:val="16"/>
          <w:szCs w:val="16"/>
          <w:color w:val="auto"/>
        </w:rPr>
      </w:pPr>
    </w:p>
    <w:p>
      <w:pPr>
        <w:ind w:left="1640" w:hanging="335"/>
        <w:spacing w:after="0"/>
        <w:tabs>
          <w:tab w:leader="none" w:pos="16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Company, pursuant to or under or within the meaning of any Bankruptcy Law, (i) commences a voluntary case or proceeding;</w:t>
      </w:r>
    </w:p>
    <w:p>
      <w:pPr>
        <w:spacing w:after="0" w:line="34" w:lineRule="exact"/>
        <w:rPr>
          <w:rFonts w:ascii="Arial" w:cs="Arial" w:eastAsia="Arial" w:hAnsi="Arial"/>
          <w:sz w:val="17"/>
          <w:szCs w:val="17"/>
          <w:color w:val="auto"/>
        </w:rPr>
      </w:pPr>
    </w:p>
    <w:p>
      <w:pPr>
        <w:ind w:right="80" w:firstLine="8"/>
        <w:spacing w:after="0" w:line="295" w:lineRule="auto"/>
        <w:tabs>
          <w:tab w:leader="none" w:pos="2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61" w:lineRule="exact"/>
        <w:rPr>
          <w:rFonts w:ascii="Arial" w:cs="Arial" w:eastAsia="Arial" w:hAnsi="Arial"/>
          <w:sz w:val="16"/>
          <w:szCs w:val="16"/>
          <w:color w:val="auto"/>
        </w:rPr>
      </w:pPr>
    </w:p>
    <w:p>
      <w:pPr>
        <w:ind w:right="20" w:firstLine="1305"/>
        <w:spacing w:after="0" w:line="279" w:lineRule="auto"/>
        <w:tabs>
          <w:tab w:leader="none" w:pos="1628" w:val="left"/>
        </w:tabs>
        <w:numPr>
          <w:ilvl w:val="1"/>
          <w:numId w:val="26"/>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7"/>
          <w:szCs w:val="17"/>
          <w:b w:val="1"/>
          <w:bCs w:val="1"/>
          <w:color w:val="auto"/>
        </w:rPr>
        <w:t>Bankruptcy Default</w:t>
      </w:r>
      <w:r>
        <w:rPr>
          <w:rFonts w:ascii="Arial" w:cs="Arial" w:eastAsia="Arial" w:hAnsi="Arial"/>
          <w:sz w:val="17"/>
          <w:szCs w:val="17"/>
          <w:color w:val="auto"/>
        </w:rPr>
        <w:t>”).</w:t>
      </w:r>
    </w:p>
    <w:p>
      <w:pPr>
        <w:spacing w:after="0" w:line="17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If an Event of Default, other than a Bankruptcy Default and subject to Section 6.15 of this Indenture, occurs and is 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and unpaid interest (including any Additional Interest) on the Notes then outstanding will become immediately due and payable automatically without any declaration or other act on the part of the Trustee or any Holder.</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 If an Event of Default occurs and is continuing, the Trustee may pursue, in its own name or as trustee of an 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Waiver of Past Defaults</w:t>
      </w:r>
      <w:r>
        <w:rPr>
          <w:rFonts w:ascii="Arial" w:cs="Arial" w:eastAsia="Arial" w:hAnsi="Arial"/>
          <w:sz w:val="16"/>
          <w:szCs w:val="16"/>
          <w:color w:val="auto"/>
        </w:rPr>
        <w:t>. Except as otherwise provided in Section 6.07 and Section 9.02(b), Holders of a majority in principal amount of the outstanding Notes by written notice to the Company and to the Trustee may waive any existing or future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w:t>
      </w:r>
    </w:p>
    <w:p>
      <w:pPr>
        <w:sectPr>
          <w:pgSz w:w="11900" w:h="16945" w:orient="portrait"/>
          <w:cols w:equalWidth="0" w:num="1">
            <w:col w:w="11400"/>
          </w:cols>
          <w:pgMar w:left="240" w:top="341" w:right="259" w:bottom="0" w:gutter="0" w:footer="0" w:header="0"/>
        </w:sectPr>
      </w:pPr>
    </w:p>
    <w:bookmarkStart w:id="18" w:name="page19"/>
    <w:bookmarkEnd w:id="18"/>
    <w:p>
      <w:pPr>
        <w:jc w:val="both"/>
        <w:ind w:right="140"/>
        <w:spacing w:after="0" w:line="264" w:lineRule="auto"/>
        <w:rPr>
          <w:sz w:val="20"/>
          <w:szCs w:val="20"/>
          <w:color w:val="auto"/>
        </w:rPr>
      </w:pPr>
      <w:r>
        <w:rPr>
          <w:rFonts w:ascii="Arial" w:cs="Arial" w:eastAsia="Arial" w:hAnsi="Arial"/>
          <w:sz w:val="18"/>
          <w:szCs w:val="18"/>
          <w:color w:val="auto"/>
        </w:rPr>
        <w:t>respect to any Note or the Repurchase Price or Redemption Price with respect to any Note, (b) in the delivery of the Common Stock due upon conversion or the redemption of the Notes or (c) in respect of any provision that under this Indenture cannot be modified or amended without the consent of the Holder of each outstanding Note affected) if:</w:t>
      </w:r>
    </w:p>
    <w:p>
      <w:pPr>
        <w:spacing w:after="0" w:line="181" w:lineRule="exact"/>
        <w:rPr>
          <w:sz w:val="20"/>
          <w:szCs w:val="20"/>
          <w:color w:val="auto"/>
        </w:rPr>
      </w:pPr>
    </w:p>
    <w:p>
      <w:pPr>
        <w:ind w:right="520" w:firstLine="1953"/>
        <w:spacing w:after="0" w:line="277" w:lineRule="auto"/>
        <w:tabs>
          <w:tab w:leader="none" w:pos="26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Control by Majority</w:t>
      </w:r>
      <w:r>
        <w:rPr>
          <w:rFonts w:ascii="Arial" w:cs="Arial" w:eastAsia="Arial" w:hAnsi="Arial"/>
          <w:sz w:val="16"/>
          <w:szCs w:val="16"/>
          <w:color w:val="auto"/>
        </w:rPr>
        <w:t>. The Holders of a majority in aggregate principal amount of the outstanding Notes may direct the time, method and place of conducting any proceeding for any remedy available to the Trustee or exercising any trust or power conferred on the Trustee.</w:t>
      </w:r>
    </w:p>
    <w:p>
      <w:pPr>
        <w:spacing w:after="0" w:line="1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 A Holder may not institute any proceeding, judicial or otherwise, with respect to this Indenture or the Notes, or for the appointment of a receiver or trustee, or for any other remedy under this Indenture or the Notes, unless:</w:t>
      </w:r>
    </w:p>
    <w:p>
      <w:pPr>
        <w:spacing w:after="0" w:line="170" w:lineRule="exact"/>
        <w:rPr>
          <w:sz w:val="20"/>
          <w:szCs w:val="20"/>
          <w:color w:val="auto"/>
        </w:rPr>
      </w:pPr>
    </w:p>
    <w:p>
      <w:pPr>
        <w:ind w:left="2620" w:hanging="667"/>
        <w:spacing w:after="0"/>
        <w:tabs>
          <w:tab w:leader="none" w:pos="2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180" w:firstLine="1953"/>
        <w:spacing w:after="0" w:line="277" w:lineRule="auto"/>
        <w:tabs>
          <w:tab w:leader="none" w:pos="2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20" w:firstLine="1953"/>
        <w:spacing w:after="0" w:line="277" w:lineRule="auto"/>
        <w:tabs>
          <w:tab w:leader="none" w:pos="2633"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320" w:firstLine="1953"/>
        <w:spacing w:after="0" w:line="277" w:lineRule="auto"/>
        <w:tabs>
          <w:tab w:leader="none" w:pos="2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right="80" w:firstLine="8"/>
        <w:spacing w:after="0" w:line="273" w:lineRule="auto"/>
        <w:tabs>
          <w:tab w:leader="none" w:pos="295"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payment of principal of or interest (including any Additional Interest) on its Note on the Maturity Date or the relevant Interest Payment Date, as the case may be, (x) payment of the Repurchase Price on the Repurchase Date, (y) payment of the Redemption Price on the Redemption Date and (z) delivery of Common Stock upon conversion of such Note on the date specified in Section 10.02(b), or to bring suit for the enforcement of any such payment or delivery, as the case may be, on or after such respective dates, may not be impaired or affected without the consent of that Holder.</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in payment of principal or interest (including any Additional Interest) specified in 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Trustee May File Proofs of Claim</w:t>
      </w:r>
      <w:r>
        <w:rPr>
          <w:rFonts w:ascii="Arial" w:cs="Arial" w:eastAsia="Arial" w:hAnsi="Arial"/>
          <w:sz w:val="16"/>
          <w:szCs w:val="16"/>
          <w:color w:val="auto"/>
        </w:rPr>
        <w:t>. The Trustee may file proofs of claim and other papers or documents as may be necessary or 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 If the Trustee collects any money or property pursuant to this Article, it shall pay out the money or property in the 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ectPr>
          <w:pgSz w:w="11900" w:h="16838" w:orient="portrait"/>
          <w:cols w:equalWidth="0" w:num="1">
            <w:col w:w="11400"/>
          </w:cols>
          <w:pgMar w:left="240" w:top="125" w:right="259" w:bottom="0" w:gutter="0" w:footer="0" w:header="0"/>
        </w:sectPr>
      </w:pPr>
    </w:p>
    <w:bookmarkStart w:id="19" w:name="page20"/>
    <w:bookmarkEnd w:id="19"/>
    <w:p>
      <w:pPr>
        <w:ind w:right="10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Noteholder and the Company a notice that states the record date, the payment date and the amount to be paid.</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Restoration of Rights and Remedies</w:t>
      </w:r>
      <w:r>
        <w:rPr>
          <w:rFonts w:ascii="Arial" w:cs="Arial" w:eastAsia="Arial" w:hAnsi="Arial"/>
          <w:sz w:val="18"/>
          <w:szCs w:val="18"/>
          <w:color w:val="auto"/>
        </w:rPr>
        <w:t>. If the Trustee or any Holder has instituted a proceeding to enforce any right or remedy under 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thereafter all rights and remedies of the Company, the Trustee and the Holders will continue as though no such proceeding had been instituted.</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Common Stock due upon conversion of a Note or (e) a suit by Holders of more than 10% in principal amount of the outstanding Notes.</w:t>
      </w:r>
    </w:p>
    <w:p>
      <w:pPr>
        <w:spacing w:after="0" w:line="17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i w:val="1"/>
          <w:iCs w:val="1"/>
          <w:color w:val="auto"/>
        </w:rPr>
        <w:t>Rights and Remedies Cumulative</w:t>
      </w:r>
      <w:r>
        <w:rPr>
          <w:rFonts w:ascii="Arial" w:cs="Arial" w:eastAsia="Arial" w:hAnsi="Arial"/>
          <w:sz w:val="17"/>
          <w:szCs w:val="17"/>
          <w:color w:val="auto"/>
        </w:rPr>
        <w:t>. No right or remedy conferred or reserved to the Trustee or to the Holders under this Indenture is 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Failure to File</w:t>
      </w:r>
      <w:r>
        <w:rPr>
          <w:rFonts w:ascii="Arial" w:cs="Arial" w:eastAsia="Arial" w:hAnsi="Arial"/>
          <w:sz w:val="16"/>
          <w:szCs w:val="16"/>
          <w:color w:val="auto"/>
        </w:rPr>
        <w:t>. Notwithstanding anything in this Article 6, the Company may, at its option, elect that the sole remedy for an Event of Default relating to its failure to comply with its obligations described under Section 4.04 or its failure to comply with the requirements of Section 314(a)</w:t>
      </w:r>
    </w:p>
    <w:p>
      <w:pPr>
        <w:ind w:right="20" w:firstLine="8"/>
        <w:spacing w:after="0" w:line="268" w:lineRule="auto"/>
        <w:tabs>
          <w:tab w:leader="none" w:pos="2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of the Trust Indenture Act will for the first 90 days after the occurrence of such an Event of Default (which will be the 60th day after written notice is provided to the Company in accordance with Section 6.01(e)), consist exclusively of the right to receive additional interest on the Notes in an amount equal to 0.25% of the principal amount of the Notes (the “</w:t>
      </w:r>
      <w:r>
        <w:rPr>
          <w:rFonts w:ascii="Arial" w:cs="Arial" w:eastAsia="Arial" w:hAnsi="Arial"/>
          <w:sz w:val="17"/>
          <w:szCs w:val="17"/>
          <w:b w:val="1"/>
          <w:bCs w:val="1"/>
          <w:color w:val="auto"/>
        </w:rPr>
        <w:t>Initial Additional Interest</w:t>
      </w:r>
      <w:r>
        <w:rPr>
          <w:rFonts w:ascii="Arial" w:cs="Arial" w:eastAsia="Arial" w:hAnsi="Arial"/>
          <w:sz w:val="17"/>
          <w:szCs w:val="17"/>
          <w:color w:val="auto"/>
        </w:rPr>
        <w:t>”) (such election, the “</w:t>
      </w:r>
      <w:r>
        <w:rPr>
          <w:rFonts w:ascii="Arial" w:cs="Arial" w:eastAsia="Arial" w:hAnsi="Arial"/>
          <w:sz w:val="17"/>
          <w:szCs w:val="17"/>
          <w:b w:val="1"/>
          <w:bCs w:val="1"/>
          <w:color w:val="auto"/>
        </w:rPr>
        <w:t>Initial Extension Right</w:t>
      </w:r>
      <w:r>
        <w:rPr>
          <w:rFonts w:ascii="Arial" w:cs="Arial" w:eastAsia="Arial" w:hAnsi="Arial"/>
          <w:sz w:val="17"/>
          <w:szCs w:val="17"/>
          <w:color w:val="auto"/>
        </w:rPr>
        <w:t xml:space="preserve">”). If the Company exercises the Initial Extension Right, the Initial Additional Interest will be payable to all Noteholders of record on the record date specified by the Company in its notice that it is electing to use the Initial Extension Right (which will fall between the date of that notice and the date of the related Event of Default). On the 91st day after such Event of Default (if such violation is not cured or waived prior to such 91st day), the Notes will be subject to acceleration as provided in Section 6.02;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at its option, elect that the sole remedy of Noteholders will for the succeeding 90 days consist exclusively of the right to receive an additional payment of additional interest on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Notes in an amount equal to 0.25% of the principal amount of the Notes (the “</w:t>
      </w:r>
      <w:r>
        <w:rPr>
          <w:rFonts w:ascii="Arial" w:cs="Arial" w:eastAsia="Arial" w:hAnsi="Arial"/>
          <w:sz w:val="17"/>
          <w:szCs w:val="17"/>
          <w:b w:val="1"/>
          <w:bCs w:val="1"/>
          <w:color w:val="auto"/>
        </w:rPr>
        <w:t>Incremental Additional Interest</w:t>
      </w:r>
      <w:r>
        <w:rPr>
          <w:rFonts w:ascii="Arial" w:cs="Arial" w:eastAsia="Arial" w:hAnsi="Arial"/>
          <w:sz w:val="17"/>
          <w:szCs w:val="17"/>
          <w:color w:val="auto"/>
        </w:rPr>
        <w:t>” and each of the Incremental Additional Interest and the Initial Additional Interest, the “</w:t>
      </w:r>
      <w:r>
        <w:rPr>
          <w:rFonts w:ascii="Arial" w:cs="Arial" w:eastAsia="Arial" w:hAnsi="Arial"/>
          <w:sz w:val="17"/>
          <w:szCs w:val="17"/>
          <w:b w:val="1"/>
          <w:bCs w:val="1"/>
          <w:color w:val="auto"/>
        </w:rPr>
        <w:t>Additional Interest</w:t>
      </w:r>
      <w:r>
        <w:rPr>
          <w:rFonts w:ascii="Arial" w:cs="Arial" w:eastAsia="Arial" w:hAnsi="Arial"/>
          <w:sz w:val="17"/>
          <w:szCs w:val="17"/>
          <w:color w:val="auto"/>
        </w:rPr>
        <w:t>” ) (such election, the “</w:t>
      </w:r>
      <w:r>
        <w:rPr>
          <w:rFonts w:ascii="Arial" w:cs="Arial" w:eastAsia="Arial" w:hAnsi="Arial"/>
          <w:sz w:val="17"/>
          <w:szCs w:val="17"/>
          <w:b w:val="1"/>
          <w:bCs w:val="1"/>
          <w:color w:val="auto"/>
        </w:rPr>
        <w:t>Incremental Extension Right</w:t>
      </w:r>
      <w:r>
        <w:rPr>
          <w:rFonts w:ascii="Arial" w:cs="Arial" w:eastAsia="Arial" w:hAnsi="Arial"/>
          <w:sz w:val="17"/>
          <w:szCs w:val="17"/>
          <w:color w:val="auto"/>
        </w:rPr>
        <w:t>”). On the 181st day after such Event of Default (if the Event of Default relating to the reporting obligations is not cured or waived prior to such 181st day), the Notes shall be subject to acceleration as provided in Section 6.02. In the event the Company does not elect to pay the Initial Additional Interest or the Incremental Additional Interest upon any such Event of Default in accordance with this paragraph, the Notes will be subject to acceleration as provided in Section 6.02. This Section 6.15 shall not affect the rights of Holders of Notes if any other Event of Default occurs under the Indenture.</w:t>
      </w:r>
    </w:p>
    <w:p>
      <w:pPr>
        <w:spacing w:after="0" w:line="17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In order to exercise the Initial Extension Right and elect to pay the Initial Additional Interest as the sole remedy during the first 90 days after the occurrence of any Event of Default relating to the failure to comply with the reporting obligations in accordance with the preceding paragraph, the Company must (i) notify all holders of Notes and the Trustee and Paying Agent of such election in writing prior to the Close of Business on the date on which such Event of Default occurs and (ii) pay such Initial Additional Interest on or before the Close of Business on the date on which such Event of Default occurs. In order to exercise the Incremental Extension Right (following the exercise of the Initial Extension Right) and to pay the Incremental Additional Interest as the sole remedy starting the 91st day after the occurrence of any Event of Default relating to the failure to comply with the reporting obligations in accordance with the preceding paragraph, the Company must (i) notify all holders of Notes and the Trustee and Paying Agent in writing of such election prior to the Close of Business on the 89th day after the occurrence of an Event of Default for which the Company has elected to exercise its Incremental Extension Right and (ii) pay such Incremental Additional Interest on the record date specified in the notice that the Company is electing to use the Incremental Extension Right (which record date will fall between the date of that notice and such 91st day). If the Company fails to timely give either such notice or pay any Additional Interest after giving the applicable notice, the Notes will be immediately subject to acceleration as provided in Section 6.02.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ectPr>
          <w:pgSz w:w="11900" w:h="16838" w:orient="portrait"/>
          <w:cols w:equalWidth="0" w:num="1">
            <w:col w:w="11420"/>
          </w:cols>
          <w:pgMar w:left="240" w:top="125" w:right="239" w:bottom="0" w:gutter="0" w:footer="0" w:header="0"/>
        </w:sectPr>
      </w:pPr>
    </w:p>
    <w:bookmarkStart w:id="20" w:name="page21"/>
    <w:bookmarkEnd w:id="20"/>
    <w:p>
      <w:pPr>
        <w:spacing w:after="0" w:line="106"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r>
        <w:rPr>
          <w:rFonts w:ascii="Arial" w:cs="Arial" w:eastAsia="Arial" w:hAnsi="Arial"/>
          <w:sz w:val="18"/>
          <w:szCs w:val="18"/>
          <w:color w:val="auto"/>
        </w:rPr>
        <w:t>. (a) The duties and responsibilities of the Trustee are as provided by the Trust Indenture Act and as set forth herein. 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20" w:firstLine="1305"/>
        <w:spacing w:after="0" w:line="279" w:lineRule="auto"/>
        <w:tabs>
          <w:tab w:leader="none" w:pos="1628"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1305"/>
        <w:spacing w:after="0" w:line="277" w:lineRule="auto"/>
        <w:tabs>
          <w:tab w:leader="none" w:pos="16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80" w:firstLine="1305"/>
        <w:spacing w:after="0" w:line="255" w:lineRule="auto"/>
        <w:tabs>
          <w:tab w:leader="none" w:pos="1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89" w:lineRule="exact"/>
        <w:rPr>
          <w:rFonts w:ascii="Arial" w:cs="Arial" w:eastAsia="Arial" w:hAnsi="Arial"/>
          <w:sz w:val="18"/>
          <w:szCs w:val="18"/>
          <w:color w:val="auto"/>
        </w:rPr>
      </w:pPr>
    </w:p>
    <w:p>
      <w:pPr>
        <w:ind w:right="400" w:firstLine="1305"/>
        <w:spacing w:after="0" w:line="342" w:lineRule="auto"/>
        <w:tabs>
          <w:tab w:leader="none" w:pos="16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13.06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right="640" w:firstLine="1305"/>
        <w:spacing w:after="0" w:line="277" w:lineRule="auto"/>
        <w:tabs>
          <w:tab w:leader="none" w:pos="1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w:t>
      </w:r>
    </w:p>
    <w:p>
      <w:pPr>
        <w:spacing w:after="0" w:line="170" w:lineRule="exact"/>
        <w:rPr>
          <w:rFonts w:ascii="Arial" w:cs="Arial" w:eastAsia="Arial" w:hAnsi="Arial"/>
          <w:sz w:val="18"/>
          <w:szCs w:val="18"/>
          <w:color w:val="auto"/>
        </w:rPr>
      </w:pPr>
    </w:p>
    <w:p>
      <w:pPr>
        <w:ind w:firstLine="1305"/>
        <w:spacing w:after="0" w:line="264" w:lineRule="auto"/>
        <w:tabs>
          <w:tab w:leader="none" w:pos="1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jc w:val="both"/>
        <w:ind w:right="60" w:firstLine="1305"/>
        <w:spacing w:after="0" w:line="259" w:lineRule="auto"/>
        <w:tabs>
          <w:tab w:leader="none" w:pos="16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380" w:firstLine="1305"/>
        <w:spacing w:after="0" w:line="308" w:lineRule="auto"/>
        <w:tabs>
          <w:tab w:leader="none" w:pos="1638"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220" w:firstLine="1305"/>
        <w:spacing w:after="0" w:line="264" w:lineRule="auto"/>
        <w:tabs>
          <w:tab w:leader="none" w:pos="16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79" w:lineRule="auto"/>
        <w:tabs>
          <w:tab w:leader="none" w:pos="1628"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500" w:firstLine="1305"/>
        <w:spacing w:after="0" w:line="264" w:lineRule="auto"/>
        <w:tabs>
          <w:tab w:leader="none" w:pos="164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The Trustee, in its individual or any other capacity, may become the owner or pledgee of Notes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Trustee’s Disclaimer</w:t>
      </w:r>
      <w:r>
        <w:rPr>
          <w:rFonts w:ascii="Arial" w:cs="Arial" w:eastAsia="Arial" w:hAnsi="Arial"/>
          <w:sz w:val="18"/>
          <w:szCs w:val="18"/>
          <w:color w:val="auto"/>
        </w:rPr>
        <w:t>. The Trustee (a) makes no representation as to the validity or adequacy of this Indenture or the Notes, (b) is 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Notice of Default</w:t>
      </w:r>
      <w:r>
        <w:rPr>
          <w:rFonts w:ascii="Arial" w:cs="Arial" w:eastAsia="Arial" w:hAnsi="Arial"/>
          <w:sz w:val="16"/>
          <w:szCs w:val="16"/>
          <w:color w:val="auto"/>
        </w:rPr>
        <w:t xml:space="preserve">. If any Default or Event of Default occurs and is continuing and is known to the Trustee, the Trustee will send notice of the Default or Event of Default to each Holder within 90 days after it occurs, unless the Default or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w:t>
      </w:r>
    </w:p>
    <w:p>
      <w:pPr>
        <w:sectPr>
          <w:pgSz w:w="11900" w:h="16945" w:orient="portrait"/>
          <w:cols w:equalWidth="0" w:num="1">
            <w:col w:w="11420"/>
          </w:cols>
          <w:pgMar w:left="240" w:top="125" w:right="239" w:bottom="0" w:gutter="0" w:footer="0" w:header="0"/>
        </w:sectPr>
      </w:pPr>
    </w:p>
    <w:bookmarkStart w:id="21" w:name="page22"/>
    <w:bookmarkEnd w:id="21"/>
    <w:p>
      <w:pPr>
        <w:ind w:right="60"/>
        <w:spacing w:after="0" w:line="264" w:lineRule="auto"/>
        <w:rPr>
          <w:sz w:val="20"/>
          <w:szCs w:val="20"/>
          <w:color w:val="auto"/>
        </w:rPr>
      </w:pPr>
      <w:r>
        <w:rPr>
          <w:rFonts w:ascii="Arial" w:cs="Arial" w:eastAsia="Arial" w:hAnsi="Arial"/>
          <w:sz w:val="18"/>
          <w:szCs w:val="18"/>
          <w:color w:val="auto"/>
        </w:rPr>
        <w:t>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Reports by Trustee to Holders</w:t>
      </w:r>
      <w:r>
        <w:rPr>
          <w:rFonts w:ascii="Arial" w:cs="Arial" w:eastAsia="Arial" w:hAnsi="Arial"/>
          <w:sz w:val="16"/>
          <w:szCs w:val="16"/>
          <w:color w:val="auto"/>
        </w:rPr>
        <w:t>. Within 60 days after each June 1, beginning with June 1, 2009, the Trustee will mail to each Holder, as provided in Trust Indenture Act Section 313(c), a brief report dated as of such June 1, if required by Trust Indenture Act Section 313(a), and file such reports with each stock exchange upon which its Notes are listed and with the Commission as required by Trust Indenture Act Section 313(d).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(a) The Company will pay the Trustee compensation as agreed upon in writing for its services. The 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79" w:lineRule="auto"/>
        <w:tabs>
          <w:tab w:leader="none" w:pos="16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jc w:val="both"/>
        <w:ind w:right="200" w:firstLine="1305"/>
        <w:spacing w:after="0" w:line="264" w:lineRule="auto"/>
        <w:tabs>
          <w:tab w:leader="none" w:pos="1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40" w:hanging="687"/>
        <w:spacing w:after="0"/>
        <w:tabs>
          <w:tab w:leader="none" w:pos="2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1953"/>
        <w:spacing w:after="0" w:line="264" w:lineRule="auto"/>
        <w:tabs>
          <w:tab w:leader="none" w:pos="2633"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1953"/>
        <w:spacing w:after="0" w:line="264" w:lineRule="auto"/>
        <w:tabs>
          <w:tab w:leader="none" w:pos="26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ind w:right="120" w:firstLine="1305"/>
        <w:spacing w:after="0" w:line="257" w:lineRule="auto"/>
        <w:tabs>
          <w:tab w:leader="none" w:pos="16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93" w:lineRule="auto"/>
        <w:tabs>
          <w:tab w:leader="none" w:pos="1631"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 (i) 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64" w:lineRule="exact"/>
        <w:rPr>
          <w:rFonts w:ascii="Arial" w:cs="Arial" w:eastAsia="Arial" w:hAnsi="Arial"/>
          <w:sz w:val="16"/>
          <w:szCs w:val="16"/>
          <w:color w:val="auto"/>
        </w:rPr>
      </w:pPr>
    </w:p>
    <w:p>
      <w:pPr>
        <w:ind w:right="220" w:firstLine="1305"/>
        <w:spacing w:after="0" w:line="277" w:lineRule="auto"/>
        <w:tabs>
          <w:tab w:leader="none" w:pos="1628"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w:t>
      </w:r>
      <w:r>
        <w:rPr>
          <w:rFonts w:ascii="Arial" w:cs="Arial" w:eastAsia="Arial" w:hAnsi="Arial"/>
          <w:sz w:val="18"/>
          <w:szCs w:val="18"/>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w:t>
      </w:r>
      <w:r>
        <w:rPr>
          <w:rFonts w:ascii="Arial" w:cs="Arial" w:eastAsia="Arial" w:hAnsi="Arial"/>
          <w:sz w:val="18"/>
          <w:szCs w:val="18"/>
          <w:color w:val="auto"/>
        </w:rPr>
        <w:t>. This Indenture must always have a Trustee that satisfies the requirements of Trust Indenture Act Section 310(a) and has a combined capital and surplus of at least $25,000,000 as set forth in its most recent published annual report of condition.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will not be liable for interest on any money received by it except as it may agree in writing with the Company. Money held in trust by the Trustee need not be segregated from other funds except to the extent required by law and except for money held in trust under Article 8.</w:t>
      </w:r>
    </w:p>
    <w:p>
      <w:pPr>
        <w:sectPr>
          <w:pgSz w:w="11900" w:h="16838" w:orient="portrait"/>
          <w:cols w:equalWidth="0" w:num="1">
            <w:col w:w="11420"/>
          </w:cols>
          <w:pgMar w:left="240" w:top="125" w:right="239" w:bottom="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this Indenture</w:t>
      </w:r>
      <w:r>
        <w:rPr>
          <w:rFonts w:ascii="Arial" w:cs="Arial" w:eastAsia="Arial" w:hAnsi="Arial"/>
          <w:sz w:val="18"/>
          <w:szCs w:val="18"/>
          <w:color w:val="auto"/>
        </w:rPr>
        <w:t>. (a) This Indenture shall cease to be of further effect if either: (i) all outstanding Notes (other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to be settled, with the Trustee, the Paying Agent (if the Paying Agent is not the Company or any of its Affiliates) or the Conversion Agent, Cash in respect of such payment or Common Stock in respect of any such conversion on the Maturity Date, the Repurchase Date, the Redemption Date or the date such conversion is to be settled,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cases, the Company shall pay to the Trustee all other sums payable hereunder by the Company.</w:t>
      </w:r>
    </w:p>
    <w:p>
      <w:pPr>
        <w:spacing w:after="0" w:line="187" w:lineRule="exact"/>
        <w:rPr>
          <w:sz w:val="20"/>
          <w:szCs w:val="20"/>
          <w:color w:val="auto"/>
        </w:rPr>
      </w:pPr>
    </w:p>
    <w:p>
      <w:pPr>
        <w:ind w:left="1640" w:hanging="335"/>
        <w:spacing w:after="0"/>
        <w:tabs>
          <w:tab w:leader="none" w:pos="1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right="40" w:firstLine="2277"/>
        <w:spacing w:after="0" w:line="277" w:lineRule="auto"/>
        <w:tabs>
          <w:tab w:leader="none" w:pos="2624" w:val="left"/>
        </w:tabs>
        <w:numPr>
          <w:ilvl w:val="1"/>
          <w:numId w:val="40"/>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80" w:firstLine="2277"/>
        <w:spacing w:after="0" w:line="264" w:lineRule="auto"/>
        <w:tabs>
          <w:tab w:leader="none" w:pos="2633"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Subject to the provisions of Section 8.03, the Trustee or a Paying Agent shall hold in trust, for the 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the Common Stock issuable upon conversion of the Notes.</w:t>
      </w:r>
    </w:p>
    <w:p>
      <w:pPr>
        <w:spacing w:after="0" w:line="18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to Company</w:t>
      </w:r>
      <w:r>
        <w:rPr>
          <w:rFonts w:ascii="Arial" w:cs="Arial" w:eastAsia="Arial" w:hAnsi="Arial"/>
          <w:sz w:val="18"/>
          <w:szCs w:val="18"/>
          <w:color w:val="auto"/>
        </w:rPr>
        <w:t>. The Trustee and each Paying Agent shall promptly pay or deliver, as the case may be, to the Company upon request any excess money, Common Stock or other consideration (x) paid or delivered to them pursuant to Section 8.01 and (y) held by them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7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any Paying Agent is unable to apply any money, Common Stock or other consideration in 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ectPr>
          <w:pgSz w:w="11900" w:h="16838" w:orient="portrait"/>
          <w:cols w:equalWidth="0" w:num="1">
            <w:col w:w="11420"/>
          </w:cols>
          <w:pgMar w:left="240" w:top="121" w:right="239" w:bottom="0" w:gutter="0" w:footer="0" w:header="0"/>
        </w:sectPr>
      </w:pPr>
    </w:p>
    <w:bookmarkStart w:id="23" w:name="page24"/>
    <w:bookmarkEnd w:id="23"/>
    <w:p>
      <w:pPr>
        <w:spacing w:after="0" w:line="13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Amendments Without Consent of Holders</w:t>
      </w:r>
      <w:r>
        <w:rPr>
          <w:rFonts w:ascii="Arial" w:cs="Arial" w:eastAsia="Arial" w:hAnsi="Arial"/>
          <w:sz w:val="18"/>
          <w:szCs w:val="18"/>
          <w:color w:val="auto"/>
        </w:rPr>
        <w:t>. The Company and the Trustee may amend or supplement this Indenture or the Notes without notice to or the consent of any Noteholder:</w:t>
      </w:r>
    </w:p>
    <w:p>
      <w:pPr>
        <w:spacing w:after="0" w:line="170" w:lineRule="exact"/>
        <w:rPr>
          <w:sz w:val="20"/>
          <w:szCs w:val="20"/>
          <w:color w:val="auto"/>
        </w:rPr>
      </w:pPr>
    </w:p>
    <w:p>
      <w:pPr>
        <w:ind w:right="120" w:firstLine="1305"/>
        <w:spacing w:after="0" w:line="277" w:lineRule="auto"/>
        <w:tabs>
          <w:tab w:leader="none" w:pos="16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7" w:lineRule="auto"/>
        <w:tabs>
          <w:tab w:leader="none" w:pos="16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 successor to the Company and the assumption by that successor of the obligations of the Company under this Indenture in accordance with Article 5 or Section 10.12 of this Indenture;</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640" w:hanging="335"/>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Amendments With Consent of Holders</w:t>
      </w:r>
      <w:r>
        <w:rPr>
          <w:rFonts w:ascii="Arial" w:cs="Arial" w:eastAsia="Arial" w:hAnsi="Arial"/>
          <w:sz w:val="17"/>
          <w:szCs w:val="17"/>
          <w:color w:val="auto"/>
        </w:rPr>
        <w:t>. (a) Except as otherwise provided in Section 6.07 or paragraph (b), the Company and the 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delivery of the Common Stock due upon conversion or redemption of the Notes or (v) in respect of any provision that under this Indenture cannot be modified or amended without the consent of the Holder of each outstanding Note affected.</w:t>
      </w:r>
    </w:p>
    <w:p>
      <w:pPr>
        <w:spacing w:after="0" w:line="178" w:lineRule="exact"/>
        <w:rPr>
          <w:sz w:val="20"/>
          <w:szCs w:val="20"/>
          <w:color w:val="auto"/>
        </w:rPr>
      </w:pPr>
    </w:p>
    <w:p>
      <w:pPr>
        <w:ind w:left="1640" w:hanging="335"/>
        <w:spacing w:after="0"/>
        <w:tabs>
          <w:tab w:leader="none" w:pos="1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Notwithstanding the provisions of paragraph (a), without the consent of each Holder affected, an amendment or waiver may not:</w:t>
      </w:r>
    </w:p>
    <w:p>
      <w:pPr>
        <w:spacing w:after="0" w:line="236" w:lineRule="exact"/>
        <w:rPr>
          <w:rFonts w:ascii="Arial" w:cs="Arial" w:eastAsia="Arial" w:hAnsi="Arial"/>
          <w:sz w:val="17"/>
          <w:szCs w:val="17"/>
          <w:color w:val="auto"/>
        </w:rPr>
      </w:pPr>
    </w:p>
    <w:p>
      <w:pPr>
        <w:ind w:left="2620" w:hanging="667"/>
        <w:spacing w:after="0"/>
        <w:tabs>
          <w:tab w:leader="none" w:pos="26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reduce the principal amount of, or premium or interest payment on, any Note, or reduce the Repurchase Price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on any Note;</w:t>
      </w:r>
    </w:p>
    <w:p>
      <w:pPr>
        <w:spacing w:after="0" w:line="210" w:lineRule="exact"/>
        <w:rPr>
          <w:rFonts w:ascii="Arial" w:cs="Arial" w:eastAsia="Arial" w:hAnsi="Arial"/>
          <w:sz w:val="17"/>
          <w:szCs w:val="17"/>
          <w:color w:val="auto"/>
        </w:rPr>
      </w:pPr>
    </w:p>
    <w:p>
      <w:pPr>
        <w:ind w:left="2640" w:hanging="687"/>
        <w:spacing w:after="0"/>
        <w:tabs>
          <w:tab w:leader="none" w:pos="2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make any change that adversely affects the right of a Holder to require the Company to repurchase a Note upon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occurrence of a Change in Control;</w:t>
      </w:r>
    </w:p>
    <w:p>
      <w:pPr>
        <w:spacing w:after="0" w:line="210" w:lineRule="exact"/>
        <w:rPr>
          <w:rFonts w:ascii="Arial" w:cs="Arial" w:eastAsia="Arial" w:hAnsi="Arial"/>
          <w:sz w:val="17"/>
          <w:szCs w:val="17"/>
          <w:color w:val="auto"/>
        </w:rPr>
      </w:pPr>
    </w:p>
    <w:p>
      <w:pPr>
        <w:ind w:right="20" w:firstLine="1953"/>
        <w:spacing w:after="0" w:line="277" w:lineRule="auto"/>
        <w:tabs>
          <w:tab w:leader="none" w:pos="2619" w:val="left"/>
        </w:tabs>
        <w:numPr>
          <w:ilvl w:val="1"/>
          <w:numId w:val="44"/>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firstLine="1305"/>
        <w:spacing w:after="0" w:line="277" w:lineRule="auto"/>
        <w:tabs>
          <w:tab w:leader="none" w:pos="16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not necessary for Noteholders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120" w:firstLine="1305"/>
        <w:spacing w:after="0" w:line="291" w:lineRule="auto"/>
        <w:tabs>
          <w:tab w:leader="none" w:pos="16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amendment, supplement or waiver delivered under this Section will become effective on receipt by the Trustee of written consents from the Holders of the requisite percentage in principal amount of the outstanding Notes. After an amendment, supplement or waiver under this</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9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Effect of Consent</w:t>
      </w:r>
      <w:r>
        <w:rPr>
          <w:rFonts w:ascii="Arial" w:cs="Arial" w:eastAsia="Arial" w:hAnsi="Arial"/>
          <w:sz w:val="18"/>
          <w:szCs w:val="18"/>
          <w:color w:val="auto"/>
        </w:rPr>
        <w:t>. (a)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87" w:lineRule="exact"/>
        <w:rPr>
          <w:sz w:val="20"/>
          <w:szCs w:val="20"/>
          <w:color w:val="auto"/>
        </w:rPr>
      </w:pPr>
    </w:p>
    <w:p>
      <w:pPr>
        <w:ind w:right="80" w:firstLine="1305"/>
        <w:spacing w:after="0" w:line="279" w:lineRule="auto"/>
        <w:tabs>
          <w:tab w:leader="none" w:pos="1628"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Trustee’s Rights and Obligations</w:t>
      </w:r>
      <w:r>
        <w:rPr>
          <w:rFonts w:ascii="Arial" w:cs="Arial" w:eastAsia="Arial" w:hAnsi="Arial"/>
          <w:sz w:val="16"/>
          <w:szCs w:val="16"/>
          <w:color w:val="auto"/>
        </w:rPr>
        <w:t>. The Trustee is entitled to receive, and will be fully protected in relying upon, an Officers’ Certificate and/or an Opinion of Counsel stating that the execution of any amendment, supplement or waiver authorized pursuant to this Article is authorized</w:t>
      </w:r>
    </w:p>
    <w:p>
      <w:pPr>
        <w:sectPr>
          <w:pgSz w:w="11900" w:h="16975" w:orient="portrait"/>
          <w:cols w:equalWidth="0" w:num="1">
            <w:col w:w="11420"/>
          </w:cols>
          <w:pgMar w:left="240" w:top="125" w:right="239" w:bottom="0" w:gutter="0" w:footer="0" w:header="0"/>
        </w:sectPr>
      </w:pPr>
    </w:p>
    <w:bookmarkStart w:id="24" w:name="page25"/>
    <w:bookmarkEnd w:id="24"/>
    <w:p>
      <w:pPr>
        <w:ind w:right="180"/>
        <w:spacing w:after="0" w:line="264" w:lineRule="auto"/>
        <w:rPr>
          <w:sz w:val="20"/>
          <w:szCs w:val="20"/>
          <w:color w:val="auto"/>
        </w:rPr>
      </w:pPr>
      <w:r>
        <w:rPr>
          <w:rFonts w:ascii="Arial" w:cs="Arial" w:eastAsia="Arial" w:hAnsi="Arial"/>
          <w:sz w:val="18"/>
          <w:szCs w:val="18"/>
          <w:color w:val="auto"/>
        </w:rPr>
        <w:t>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Payments for Consents</w:t>
      </w:r>
      <w:r>
        <w:rPr>
          <w:rFonts w:ascii="Arial" w:cs="Arial" w:eastAsia="Arial" w:hAnsi="Arial"/>
          <w:sz w:val="18"/>
          <w:szCs w:val="18"/>
          <w:color w:val="auto"/>
        </w:rPr>
        <w:t>. The Company shall not, and shall not permit or suffer any of its Subsidiaries or Affiliates to,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Conversion Privilege</w:t>
      </w:r>
      <w:r>
        <w:rPr>
          <w:rFonts w:ascii="Arial" w:cs="Arial" w:eastAsia="Arial" w:hAnsi="Arial"/>
          <w:sz w:val="17"/>
          <w:szCs w:val="17"/>
          <w:color w:val="auto"/>
        </w:rPr>
        <w:t>. Subject to and upon compliance with the provisions of this Article 10, a Noteholder shall have the right, at such Noteholder’s option, to convert all or any portion (if the portion to be converted is $1,000 principal amount or an integral multiple thereof) of such Noteholder’s Notes at any time prior to the Close of Business on the Business Day immediately preceding the Maturity Date at a conversion rate (the “</w:t>
      </w:r>
      <w:r>
        <w:rPr>
          <w:rFonts w:ascii="Arial" w:cs="Arial" w:eastAsia="Arial" w:hAnsi="Arial"/>
          <w:sz w:val="17"/>
          <w:szCs w:val="17"/>
          <w:b w:val="1"/>
          <w:bCs w:val="1"/>
          <w:color w:val="auto"/>
        </w:rPr>
        <w:t>Conversion Rate</w:t>
      </w:r>
      <w:r>
        <w:rPr>
          <w:rFonts w:ascii="Arial" w:cs="Arial" w:eastAsia="Arial" w:hAnsi="Arial"/>
          <w:sz w:val="17"/>
          <w:szCs w:val="17"/>
          <w:color w:val="auto"/>
        </w:rPr>
        <w:t>”) of 196.7052 shares of Common Stock per $1,000 principal amount of Notes, subject to adjustment as set forth in this Article 10.</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Conversion Procedures; Conversion Settlement</w:t>
      </w:r>
      <w:r>
        <w:rPr>
          <w:rFonts w:ascii="Arial" w:cs="Arial" w:eastAsia="Arial" w:hAnsi="Arial"/>
          <w:sz w:val="17"/>
          <w:szCs w:val="17"/>
          <w:color w:val="auto"/>
        </w:rPr>
        <w:t>. (a) To convert a Note that is represented by a Certificated Note, a Noteholder must (1) 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amount of interest due on the next Interest Payment Date for such Note. If a Noteholder holds a beneficial interest in a Global Note, to convert such beneficial interest, such Noteholder must comply with the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 beneficial interest therein) have been satisfied is referred to in this Indenture as the “</w:t>
      </w:r>
      <w:r>
        <w:rPr>
          <w:rFonts w:ascii="Arial" w:cs="Arial" w:eastAsia="Arial" w:hAnsi="Arial"/>
          <w:sz w:val="17"/>
          <w:szCs w:val="17"/>
          <w:b w:val="1"/>
          <w:bCs w:val="1"/>
          <w:color w:val="auto"/>
        </w:rPr>
        <w:t>Conversion Date</w:t>
      </w:r>
      <w:r>
        <w:rPr>
          <w:rFonts w:ascii="Arial" w:cs="Arial" w:eastAsia="Arial" w:hAnsi="Arial"/>
          <w:sz w:val="17"/>
          <w:szCs w:val="17"/>
          <w:color w:val="auto"/>
        </w:rPr>
        <w:t>.” The Conversion Agent shall, within one (1) Business Day of any Conversion Date, provide notice to the Company, as set forth in Section 13.03, of the occurrence of such Conversion Date.</w:t>
      </w:r>
    </w:p>
    <w:p>
      <w:pPr>
        <w:spacing w:after="0" w:line="178" w:lineRule="exact"/>
        <w:rPr>
          <w:sz w:val="20"/>
          <w:szCs w:val="20"/>
          <w:color w:val="auto"/>
        </w:rPr>
      </w:pPr>
    </w:p>
    <w:p>
      <w:pPr>
        <w:ind w:right="60" w:firstLine="1305"/>
        <w:spacing w:after="0" w:line="277" w:lineRule="auto"/>
        <w:tabs>
          <w:tab w:leader="none" w:pos="16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Delivery of shares of Common Stock upon conversion of Notes shall occur as soon as practicable after the Conversion Date, but in any event within five Business Days of the relevant Conversion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308" w:lineRule="auto"/>
        <w:tabs>
          <w:tab w:leader="none" w:pos="163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Holder receiving Common Stock upon conversion shall not be entitled to any rights as a holder of Common Stock, including, among other things, the right to vote and receive dividends and notices of stockholder meetings, until the Close of Business on the Conversion Date.</w:t>
      </w:r>
    </w:p>
    <w:p>
      <w:pPr>
        <w:spacing w:after="0" w:line="146" w:lineRule="exact"/>
        <w:rPr>
          <w:rFonts w:ascii="Arial" w:cs="Arial" w:eastAsia="Arial" w:hAnsi="Arial"/>
          <w:sz w:val="17"/>
          <w:szCs w:val="17"/>
          <w:color w:val="auto"/>
        </w:rPr>
      </w:pPr>
    </w:p>
    <w:p>
      <w:pPr>
        <w:ind w:right="60" w:firstLine="1305"/>
        <w:spacing w:after="0" w:line="255" w:lineRule="auto"/>
        <w:tabs>
          <w:tab w:leader="none" w:pos="16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payment or adjustment will be made for dividends on, or other distributions with respect to, any Common Stock except as provided in this Article 10. Upon conversion of a Note, a Noteholder will not receive, except as described below, any Cash payment representing accrued interest (including any Additional Interest). Instead, accrued interest (including any Additional Interest) will be deemed paid by the shares of Common Stock received by the Noteholder upon conversion. Delivery to the Noteholder of such shares of Common Stock shall thus be deemed to satisfy (1) the Company’s obligation to pay the principal amount of a Note, and (2) the Company’s obligation to pay any accrued and unpaid interest (including any Additional Interest) on the Note. As a result, upon conversion of a Note, accrued and unpaid interest (including any Additional Interest) on such Note is deemed paid in full rather than cancelled, extinguished or forfeited.</w:t>
      </w:r>
    </w:p>
    <w:p>
      <w:pPr>
        <w:spacing w:after="0" w:line="189" w:lineRule="exact"/>
        <w:rPr>
          <w:rFonts w:ascii="Arial" w:cs="Arial" w:eastAsia="Arial" w:hAnsi="Arial"/>
          <w:sz w:val="18"/>
          <w:szCs w:val="18"/>
          <w:color w:val="auto"/>
        </w:rPr>
      </w:pPr>
    </w:p>
    <w:p>
      <w:pPr>
        <w:ind w:right="40" w:firstLine="1305"/>
        <w:spacing w:after="0" w:line="291" w:lineRule="auto"/>
        <w:tabs>
          <w:tab w:leader="none" w:pos="1631"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Notwithstanding Section 10.02(d), if Notes are converted after a record date but prior to the next succeeding Interest Payment Date, Holders of such Notes at the Close of Business on such record date will receive the interest payable on such Notes on the corresponding Interest Payment Date notwithstanding the conversion. Such Notes, upon surrender for conversion, must be accompanied by Cash equal to the amount of interest payable on such Interest Payment Date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(1) if the Company has specified a Redemption Date that is after a record date but on or prior to the next succeeding Interest Payment Date, (2) if the Company has specified a Repurchase Date that is after a record date but on or prior to the next succeeding Interest Payment Date, (3) with respect to any Notes converted after the record date immediately preceding the Maturity Date or (4) to the extent of any Defaulted Interest that exists at the time of conversion with respect to such Note.</w:t>
      </w:r>
    </w:p>
    <w:p>
      <w:pPr>
        <w:spacing w:after="0" w:line="167" w:lineRule="exact"/>
        <w:rPr>
          <w:rFonts w:ascii="Arial" w:cs="Arial" w:eastAsia="Arial" w:hAnsi="Arial"/>
          <w:sz w:val="16"/>
          <w:szCs w:val="16"/>
          <w:color w:val="auto"/>
        </w:rPr>
      </w:pPr>
    </w:p>
    <w:p>
      <w:pPr>
        <w:ind w:right="620" w:firstLine="1305"/>
        <w:spacing w:after="0" w:line="342" w:lineRule="auto"/>
        <w:tabs>
          <w:tab w:leader="none" w:pos="16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 Noteholder converts more than one Note at the same time, the number of shares of Common Stock and the amount of Cash delivered in lieu of fractional shares, if any, due upon conversion shall be determined based on the total principal amount of the Notes converted.</w:t>
      </w:r>
    </w:p>
    <w:p>
      <w:pPr>
        <w:spacing w:after="0" w:line="123" w:lineRule="exact"/>
        <w:rPr>
          <w:rFonts w:ascii="Arial" w:cs="Arial" w:eastAsia="Arial" w:hAnsi="Arial"/>
          <w:sz w:val="16"/>
          <w:szCs w:val="16"/>
          <w:color w:val="auto"/>
        </w:rPr>
      </w:pPr>
    </w:p>
    <w:p>
      <w:pPr>
        <w:ind w:right="380" w:firstLine="1305"/>
        <w:spacing w:after="0" w:line="308" w:lineRule="auto"/>
        <w:tabs>
          <w:tab w:leader="none" w:pos="1628" w:val="left"/>
        </w:tabs>
        <w:numPr>
          <w:ilvl w:val="0"/>
          <w:numId w:val="48"/>
        </w:numPr>
        <w:rPr>
          <w:rFonts w:ascii="Arial" w:cs="Arial" w:eastAsia="Arial" w:hAnsi="Arial"/>
          <w:sz w:val="17"/>
          <w:szCs w:val="17"/>
          <w:color w:val="auto"/>
        </w:rPr>
      </w:pPr>
      <w:r>
        <w:rPr>
          <w:rFonts w:ascii="Arial" w:cs="Arial" w:eastAsia="Arial" w:hAnsi="Arial"/>
          <w:sz w:val="17"/>
          <w:szCs w:val="17"/>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4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Fractional Shares</w:t>
      </w:r>
      <w:r>
        <w:rPr>
          <w:rFonts w:ascii="Arial" w:cs="Arial" w:eastAsia="Arial" w:hAnsi="Arial"/>
          <w:sz w:val="18"/>
          <w:szCs w:val="18"/>
          <w:color w:val="auto"/>
        </w:rPr>
        <w:t>. The Company will not issue a fractional share of Common Stock upon conversion of a Note. Instead, the Company shall pay Cash in lieu of fractional shares based on the Closing Price of Common Stock on the Trading Day prior to the applicable Conversion Date.</w:t>
      </w:r>
    </w:p>
    <w:p>
      <w:pPr>
        <w:spacing w:after="0" w:line="181"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10.04. </w:t>
      </w:r>
      <w:r>
        <w:rPr>
          <w:rFonts w:ascii="Arial" w:cs="Arial" w:eastAsia="Arial" w:hAnsi="Arial"/>
          <w:sz w:val="16"/>
          <w:szCs w:val="16"/>
          <w:i w:val="1"/>
          <w:iCs w:val="1"/>
          <w:color w:val="auto"/>
        </w:rPr>
        <w:t>Taxes on Conversion</w:t>
      </w:r>
      <w:r>
        <w:rPr>
          <w:rFonts w:ascii="Arial" w:cs="Arial" w:eastAsia="Arial" w:hAnsi="Arial"/>
          <w:sz w:val="16"/>
          <w:szCs w:val="16"/>
          <w:color w:val="auto"/>
        </w:rPr>
        <w:t>. If a Holder converts a Note, the Company shall pay any documentary, stamp or similar issue or transfer tax due on the issue of any shares of Common Stock upon the conversion. However, the Holder shall pay any such tax which is due because the Holder</w:t>
      </w:r>
    </w:p>
    <w:p>
      <w:pPr>
        <w:sectPr>
          <w:pgSz w:w="11900" w:h="16838" w:orient="portrait"/>
          <w:cols w:equalWidth="0" w:num="1">
            <w:col w:w="11420"/>
          </w:cols>
          <w:pgMar w:left="240" w:top="125" w:right="23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Company to Provide Common Stock</w:t>
      </w:r>
      <w:r>
        <w:rPr>
          <w:rFonts w:ascii="Arial" w:cs="Arial" w:eastAsia="Arial" w:hAnsi="Arial"/>
          <w:sz w:val="18"/>
          <w:szCs w:val="18"/>
          <w:color w:val="auto"/>
        </w:rPr>
        <w:t>. The Company shall, from time to time as may be necessary, reserve out of its authorized but unissued shares of Common Stock a sufficient number of shares of Common Stock to permit the delivery in respect of all outstanding Notes of the number of shares of Common Stock due upon conversion.</w:t>
      </w:r>
    </w:p>
    <w:p>
      <w:pPr>
        <w:spacing w:after="0" w:line="18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Adjustment for Change in Capital Stock</w:t>
      </w:r>
      <w:r>
        <w:rPr>
          <w:rFonts w:ascii="Arial" w:cs="Arial" w:eastAsia="Arial" w:hAnsi="Arial"/>
          <w:sz w:val="18"/>
          <w:szCs w:val="18"/>
          <w:color w:val="auto"/>
        </w:rPr>
        <w:t>. (a) If the Company shall, at any time and from time to time while any of the Notes are outstanding, issue dividends or make distributions on Common Stock payable in shares of Common Stock, then the Conversion Rate shall be increased so that the same shall equal the rate determined by multiplying the Conversion Rate in effect at the opening of business on the Ex-Date for such dividend or distribution by a fraction:</w:t>
      </w:r>
    </w:p>
    <w:p>
      <w:pPr>
        <w:spacing w:after="0" w:line="187" w:lineRule="exact"/>
        <w:rPr>
          <w:sz w:val="20"/>
          <w:szCs w:val="20"/>
          <w:color w:val="auto"/>
        </w:rPr>
      </w:pPr>
    </w:p>
    <w:p>
      <w:pPr>
        <w:ind w:firstLine="1953"/>
        <w:spacing w:after="0" w:line="264" w:lineRule="auto"/>
        <w:tabs>
          <w:tab w:leader="none" w:pos="26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numerator of which shall be the sum of the number of shares of Common Stock outstanding at the Close of Business on the Business Day immediately preceding the Ex-Date for such dividend or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total number of shares of Common Stock constituting such dividend or distribution; and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denominator of which shall be the number of shares of Common Stock outstanding at the Close of Business on the Business Day immediately preceding such Ex-Date.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any dividend or distribution of the type described in this Section 10.06 is declared but not so paid or made, the Conversion Rate shall again be adjusted to the Conversion Rate which would then be in effect if such dividend or distribution had not been declared. In no event shall the Conversion Rate be decreased pursuant to this Section 10.06.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69" w:lineRule="auto"/>
        <w:tabs>
          <w:tab w:leader="none" w:pos="162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Company shall, at any time or from time to time while any of the Notes are outstanding, subdivide or reclassify outstanding shares of Common Stock into a greater number of shares of Common Stock, then the Conversion Rate in effect at the opening of business on the day upon which such subdivision or reclassification becomes effective shall be proportionately increased, and conversely, if the Company shall, at any time or from time to time while any of the Notes are outstanding, combine or reclassify outstanding shares of Common Stock into a smaller number of shares of Common Stock, then the Conversion Rate in effect at the opening of business on the day upon which such combination or reclassification becomes effective shall be proportionately decreased. In each such case, the Conversion Rate shall be adjusted by multiplying such Conversion Rate by a fraction, the numerator of which shall be the number of shares of Common Stock outstanding immediately after giving effect to such subdivision, combination or reclassification and the denominator of which shall be the number of shares of Common Stock outstanding immediately prior to such subdivision, combination or reclassification. Such increase or reduction (solely in the case of any combination or reclassification of outstanding shares of Common Stock into a smaller number of shares of Common Stock), as the case may be, shall become effective immediately after the opening of business on the day upon which such subdivision, combination or reclassification becomes effective.</w:t>
      </w:r>
    </w:p>
    <w:p>
      <w:pPr>
        <w:spacing w:after="0" w:line="18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i w:val="1"/>
          <w:iCs w:val="1"/>
          <w:color w:val="auto"/>
        </w:rPr>
        <w:t>Adjustment for Rights, Options or Warrants Issue</w:t>
      </w:r>
      <w:r>
        <w:rPr>
          <w:rFonts w:ascii="Arial" w:cs="Arial" w:eastAsia="Arial" w:hAnsi="Arial"/>
          <w:sz w:val="17"/>
          <w:szCs w:val="17"/>
          <w:color w:val="auto"/>
        </w:rPr>
        <w:t>. If the Company shall, at any time or from time to time while the Notes are outstanding, distribute to all holders of Common Stock rights, options or warrants to purchase shares of Common Stock for a period expiring within 60 days after the record date for such distribution at less than the average of the Closing Prices of Common Stock for the five consecutive Trading Days immediately preceding the first public announcement of such distribution, then the Conversion Rate shall be increased so that the same shall equal the rate determined by multiplying the Conversion Rate in effect at the opening of business on the Ex-Date for such distribution by a fraction:</w:t>
      </w:r>
    </w:p>
    <w:p>
      <w:pPr>
        <w:spacing w:after="0" w:line="173" w:lineRule="exact"/>
        <w:rPr>
          <w:sz w:val="20"/>
          <w:szCs w:val="20"/>
          <w:color w:val="auto"/>
        </w:rPr>
      </w:pPr>
    </w:p>
    <w:p>
      <w:pPr>
        <w:ind w:right="40" w:firstLine="1305"/>
        <w:spacing w:after="0" w:line="342" w:lineRule="auto"/>
        <w:tabs>
          <w:tab w:leader="none" w:pos="197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numerator of which shall be the number of shares of Common Stock outstanding at the Close of Business on the Business Day immediately preceding the Ex-Date for such distribution,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total number of additional shares of Common Stock so offered for purchase; and</w:t>
      </w:r>
    </w:p>
    <w:p>
      <w:pPr>
        <w:spacing w:after="0" w:line="123" w:lineRule="exact"/>
        <w:rPr>
          <w:rFonts w:ascii="Arial" w:cs="Arial" w:eastAsia="Arial" w:hAnsi="Arial"/>
          <w:sz w:val="16"/>
          <w:szCs w:val="16"/>
          <w:color w:val="auto"/>
        </w:rPr>
      </w:pPr>
    </w:p>
    <w:p>
      <w:pPr>
        <w:ind w:right="40" w:firstLine="1305"/>
        <w:spacing w:after="0" w:line="257" w:lineRule="auto"/>
        <w:tabs>
          <w:tab w:leader="none" w:pos="19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denominator of which shall be the number of shares of Common Stock outstanding on the Close of Business on the Business Day immediately preceding the Ex-Date for such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number of shares of Common Stock that the aggregate offering price of the total number of shares of Common Stock so offered would 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adjustment shall become effective immediately after the opening of business on the Ex-Date for such distribution.</w:t>
      </w:r>
    </w:p>
    <w:p>
      <w:pPr>
        <w:sectPr>
          <w:pgSz w:w="11900" w:h="16838" w:orient="portrait"/>
          <w:cols w:equalWidth="0" w:num="1">
            <w:col w:w="11400"/>
          </w:cols>
          <w:pgMar w:left="240" w:top="125" w:right="259" w:bottom="27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71" w:gutter="0" w:footer="0" w:header="0"/>
          <w:type w:val="continuous"/>
        </w:sectPr>
      </w:pPr>
    </w:p>
    <w:bookmarkStart w:id="26" w:name="page27"/>
    <w:bookmarkEnd w:id="26"/>
    <w:p>
      <w:pPr>
        <w:ind w:firstLine="648"/>
        <w:spacing w:after="0" w:line="270" w:lineRule="auto"/>
        <w:rPr>
          <w:sz w:val="20"/>
          <w:szCs w:val="20"/>
          <w:color w:val="auto"/>
        </w:rPr>
      </w:pPr>
      <w:r>
        <w:rPr>
          <w:rFonts w:ascii="Arial" w:cs="Arial" w:eastAsia="Arial" w:hAnsi="Arial"/>
          <w:sz w:val="17"/>
          <w:szCs w:val="17"/>
          <w:color w:val="auto"/>
        </w:rPr>
        <w:t>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which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In no event shall the Conversion Rate be decreased pursuant to this Section 10.07.</w:t>
      </w:r>
    </w:p>
    <w:p>
      <w:pPr>
        <w:spacing w:after="0" w:line="182"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Adjustment for Other Distributions</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93" w:lineRule="auto"/>
        <w:tabs>
          <w:tab w:leader="none" w:pos="1631"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the Notes are outstanding, distribute to all holders of Common Stock any of its Capital Stock, assets (including shares of any Subsidiary of the Company or business unit of the Company), or debt securities or rights to purchase securities of the Company (excluding (x) any dividends or distributions described in Section 10.06(a), (y) any rights, options or warrants described in Section 10.07 and (z) any dividends or other distributions described in Section 10.09 (such Capital Stock, assets, debt securities or rights to purchase securities of the Company hereinafter in this Section 10.08 called the “</w:t>
      </w:r>
      <w:r>
        <w:rPr>
          <w:rFonts w:ascii="Arial" w:cs="Arial" w:eastAsia="Arial" w:hAnsi="Arial"/>
          <w:sz w:val="16"/>
          <w:szCs w:val="16"/>
          <w:b w:val="1"/>
          <w:bCs w:val="1"/>
          <w:color w:val="auto"/>
        </w:rPr>
        <w:t>Distributed Assets</w:t>
      </w:r>
      <w:r>
        <w:rPr>
          <w:rFonts w:ascii="Arial" w:cs="Arial" w:eastAsia="Arial" w:hAnsi="Arial"/>
          <w:sz w:val="16"/>
          <w:szCs w:val="16"/>
          <w:color w:val="auto"/>
        </w:rPr>
        <w:t>”)), then the Conversion Rate shall be increased so that the same shall equal the rate determined by multiplying the Conversion Rate in effect at the opening of business on the Ex-Date for such distribution by a fraction:</w:t>
      </w:r>
    </w:p>
    <w:p>
      <w:pPr>
        <w:spacing w:after="0" w:line="164" w:lineRule="exact"/>
        <w:rPr>
          <w:rFonts w:ascii="Arial" w:cs="Arial" w:eastAsia="Arial" w:hAnsi="Arial"/>
          <w:sz w:val="16"/>
          <w:szCs w:val="16"/>
          <w:color w:val="auto"/>
        </w:rPr>
      </w:pPr>
    </w:p>
    <w:p>
      <w:pPr>
        <w:ind w:left="2620" w:hanging="667"/>
        <w:spacing w:after="0"/>
        <w:tabs>
          <w:tab w:leader="none" w:pos="2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right="400" w:firstLine="1953"/>
        <w:spacing w:after="0" w:line="264" w:lineRule="auto"/>
        <w:tabs>
          <w:tab w:leader="none" w:pos="2624"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of Common Stock on the Business Day immediately preceding the Ex-Date for such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fair market value, as determined by the Board of Directors, of the portion of Distributed Assets so distributed applicable to one share of Common Stock;</w:t>
      </w:r>
    </w:p>
    <w:p>
      <w:pPr>
        <w:spacing w:after="0" w:line="181" w:lineRule="exact"/>
        <w:rPr>
          <w:sz w:val="20"/>
          <w:szCs w:val="20"/>
          <w:color w:val="auto"/>
        </w:rPr>
      </w:pPr>
    </w:p>
    <w:p>
      <w:pPr>
        <w:ind w:right="160" w:firstLine="1297"/>
        <w:spacing w:after="0" w:line="255" w:lineRule="auto"/>
        <w:rPr>
          <w:sz w:val="20"/>
          <w:szCs w:val="20"/>
          <w:color w:val="auto"/>
        </w:rPr>
      </w:pPr>
      <w:r>
        <w:rPr>
          <w:rFonts w:ascii="Arial" w:cs="Arial" w:eastAsia="Arial" w:hAnsi="Arial"/>
          <w:sz w:val="18"/>
          <w:szCs w:val="18"/>
          <w:color w:val="auto"/>
        </w:rPr>
        <w:t xml:space="preserve">Such increase shall become effective immediately after the opening of business on the Ex-Date for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fair market value, as determined by the Board of Directors, of the portion of Distributed Assets so distributed applicable to one share of Common Stock” as set forth above is equal to or greater than “the Current Market Price of Common Stock on the Business Day immediately preceding the Ex-Date for such distribution” as set forth above, in lieu of the foregoing adjustment, adequate provision shall be made so that each Noteholder shall receive on the date on which the Distributed Assets are distributed to holders of Common Stock, for each $1,000 principal amount of Notes, the amount of Distributed Assets such Noteholder would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have received had such Noteholder owned a number of shares of Common Stock equal to the Conversion Rate on the record date for such distribution. In the event that such distribution is not so made, the Conversion Rate shall again be adjusted to be the Conversion Rate which would then be in effect if such distribution had not been declared. In no event shall the Conversion Rate be decreased pursuant to this Section 10.08(a).</w:t>
      </w:r>
    </w:p>
    <w:p>
      <w:pPr>
        <w:spacing w:after="0" w:line="16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If the Board of Directors determines the fair market value of any distribution for purposes of this Section 10.08(a)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7"/>
          <w:szCs w:val="17"/>
          <w:b w:val="1"/>
          <w:bCs w:val="1"/>
          <w:color w:val="auto"/>
        </w:rPr>
        <w:t>Reference Period</w:t>
      </w:r>
      <w:r>
        <w:rPr>
          <w:rFonts w:ascii="Arial" w:cs="Arial" w:eastAsia="Arial" w:hAnsi="Arial"/>
          <w:sz w:val="17"/>
          <w:szCs w:val="17"/>
          <w:color w:val="auto"/>
        </w:rPr>
        <w:t>”) used in computing the Current Market Price for purposes of clause (i) above, unless the Board of Directors determines in good faith that determining the fair market value during the Reference Period would not be in the best interest of the Holders.</w:t>
      </w:r>
    </w:p>
    <w:p>
      <w:pPr>
        <w:spacing w:after="0" w:line="171" w:lineRule="exact"/>
        <w:rPr>
          <w:sz w:val="20"/>
          <w:szCs w:val="20"/>
          <w:color w:val="auto"/>
        </w:rPr>
      </w:pPr>
    </w:p>
    <w:p>
      <w:pPr>
        <w:ind w:right="60" w:firstLine="1305"/>
        <w:spacing w:after="0" w:line="238" w:lineRule="auto"/>
        <w:tabs>
          <w:tab w:leader="none" w:pos="16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10.08, if the Company distributes Capital Stock of, or similar equity interests in, a Subsidiary of the Company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shall be increased so that the same shall equal the rate determined by multiplying the Conversion Rate in effect at the opening of business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Trading Day immediately following the Ex-Date for such Spin-Off by a fraction:</w:t>
      </w:r>
    </w:p>
    <w:p>
      <w:pPr>
        <w:spacing w:after="0" w:line="202" w:lineRule="exact"/>
        <w:rPr>
          <w:rFonts w:ascii="Arial" w:cs="Arial" w:eastAsia="Arial" w:hAnsi="Arial"/>
          <w:sz w:val="18"/>
          <w:szCs w:val="18"/>
          <w:color w:val="auto"/>
        </w:rPr>
      </w:pPr>
    </w:p>
    <w:p>
      <w:pPr>
        <w:ind w:right="260" w:firstLine="1953"/>
        <w:spacing w:after="0" w:line="279" w:lineRule="auto"/>
        <w:tabs>
          <w:tab w:leader="none" w:pos="2627"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numerator of which will be the sum of (A) 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the Spin-Off and (B) the average of the Closing Prices of Common Stock over the ten consecutive Trading Day period immediately following, and including, the fifth Trading Day after the Ex-Date for the Spin-Off; and</w:t>
      </w:r>
    </w:p>
    <w:p>
      <w:pPr>
        <w:spacing w:after="0" w:line="171" w:lineRule="exact"/>
        <w:rPr>
          <w:rFonts w:ascii="Arial" w:cs="Arial" w:eastAsia="Arial" w:hAnsi="Arial"/>
          <w:sz w:val="17"/>
          <w:szCs w:val="17"/>
          <w:color w:val="auto"/>
        </w:rPr>
      </w:pPr>
    </w:p>
    <w:p>
      <w:pPr>
        <w:ind w:right="260" w:firstLine="1953"/>
        <w:spacing w:after="0" w:line="277" w:lineRule="auto"/>
        <w:tabs>
          <w:tab w:leader="none" w:pos="2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denominator of which is the average of the Closing Prices of Common Stock over the ten consecutive Trading Day period immediately following, and including, the fifth Trading Day after the Ex-Date for the Spin-Off.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event shall the Conversion Rate be decreased pursuant to this Section 10.08(b).</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Adjustment for Cash Dividends</w:t>
      </w:r>
      <w:r>
        <w:rPr>
          <w:rFonts w:ascii="Arial" w:cs="Arial" w:eastAsia="Arial" w:hAnsi="Arial"/>
          <w:sz w:val="18"/>
          <w:szCs w:val="18"/>
          <w:color w:val="auto"/>
        </w:rPr>
        <w:t>. If the Company shall, at any time or from time to time while any of the Notes are outstanding, distribute dividends or make other distributions paid entirely in Cash to all or substantially all holders of Common Stock (other than (x) distributions described in Section 10.10 below or (y) any dividend or distribution in connection with the Company’s liquidation, dissolution or winding up), then the Conversion Rate shall be increased so that the same shall equal the rate determined by multiplying the Conversion Rate in effect at the opening of business on the Ex-Date for such dividend or distribution by a fraction:</w:t>
      </w:r>
    </w:p>
    <w:p>
      <w:pPr>
        <w:spacing w:after="0" w:line="188" w:lineRule="exact"/>
        <w:rPr>
          <w:sz w:val="20"/>
          <w:szCs w:val="20"/>
          <w:color w:val="auto"/>
        </w:rPr>
      </w:pPr>
    </w:p>
    <w:p>
      <w:pPr>
        <w:ind w:left="5620" w:right="3640" w:hanging="4315"/>
        <w:spacing w:after="0" w:line="528" w:lineRule="auto"/>
        <w:tabs>
          <w:tab w:leader="none" w:pos="198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 41</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700" w:firstLine="1305"/>
        <w:spacing w:after="0" w:line="277" w:lineRule="auto"/>
        <w:tabs>
          <w:tab w:leader="none" w:pos="19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per share of Common Stock on the Business Day immediately preceding the Ex-Date for such dividend or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per share of such dividend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7" w:name="page28"/>
    <w:bookmarkEnd w:id="27"/>
    <w:p>
      <w:pPr>
        <w:spacing w:after="0" w:line="13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Such adjustment shall become effective immediately after the opening of business on the Ex-Date for such distribution or dividend;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amount per share of such dividend or distribution” as set forth above is equal to or greater than “the Current Market Price per share of Common Stock on the Business Day immediately preceding the Ex-Date for such dividend or distribution” as set forth above, in lieu of the foregoing adjustment, adequate provision shall be made so that each Noteholder shall have the right to receive on the date on which the relevant Cash dividend or distribution is distributed to holders of Common Stock, for each $1,000 principal amount of Notes upon conversion, the amount of Cash such Noteholder would have received had such Noteholder owned a number of shares equal to the Conversion Rate on the record date for such dividend or distribution. In the event that such distribution or dividend is not so made, the Conversion Rate shall again be adjusted to be the Conversion Rate which would then be in effect if such dividend or distribution had not been declared.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the Conversion Rate be decreased pursuant to this Section 10.09.</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i w:val="1"/>
          <w:iCs w:val="1"/>
          <w:color w:val="auto"/>
        </w:rPr>
        <w:t>Adjustment for Tender Offer</w:t>
      </w:r>
      <w:r>
        <w:rPr>
          <w:rFonts w:ascii="Arial" w:cs="Arial" w:eastAsia="Arial" w:hAnsi="Arial"/>
          <w:sz w:val="16"/>
          <w:szCs w:val="16"/>
          <w:color w:val="auto"/>
        </w:rPr>
        <w:t>. If the Company or any of its Subsidiaries shall, at any time or from time to time, while any of the Notes are outstanding, distribute Cash or other consideration in respect of a tender offer or exchange offer for Common Stock, where such Cash and the value of any such other consideration per share of Common Stock validly tendered or exchanged exceeds the Closing Price of Common Stock on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then the Conversion Rate shall be increased so that the same shall equal the rate determined by multiplying the Conversion Rate in effect at the opening of business on the Business Day immediately following the Trading Day immediately following the Expiration Date by a fraction:</w:t>
      </w:r>
    </w:p>
    <w:p>
      <w:pPr>
        <w:spacing w:after="0" w:line="165" w:lineRule="exact"/>
        <w:rPr>
          <w:sz w:val="20"/>
          <w:szCs w:val="20"/>
          <w:color w:val="auto"/>
        </w:rPr>
      </w:pPr>
    </w:p>
    <w:p>
      <w:pPr>
        <w:jc w:val="both"/>
        <w:ind w:right="180" w:firstLine="1305"/>
        <w:spacing w:after="0" w:line="279" w:lineRule="auto"/>
        <w:tabs>
          <w:tab w:leader="none" w:pos="19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numerator of which will be the sum of (A) the fair market value, as determined by the Board of Directors, of the aggregate consideration payable for all shares of Common Stock that the Company purchases in such tender or exchange offer and (B) the product of the number of shares of Common Stock outstanding, less the number of shares of Common Stock purchased in the relevant tender offer or exchange offer (the “Purchased Shares”), and the Closing Price of Common Stock on the Trading Day immediately following the Expiration Date; and</w:t>
      </w:r>
    </w:p>
    <w:p>
      <w:pPr>
        <w:spacing w:after="0" w:line="171" w:lineRule="exact"/>
        <w:rPr>
          <w:rFonts w:ascii="Arial" w:cs="Arial" w:eastAsia="Arial" w:hAnsi="Arial"/>
          <w:sz w:val="17"/>
          <w:szCs w:val="17"/>
          <w:color w:val="auto"/>
        </w:rPr>
      </w:pPr>
    </w:p>
    <w:p>
      <w:pPr>
        <w:ind w:right="380" w:firstLine="1305"/>
        <w:spacing w:after="0" w:line="277" w:lineRule="auto"/>
        <w:tabs>
          <w:tab w:leader="none" w:pos="19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Common Stock outstanding, including the Purchased Shares, and the Closing Price of Common Stock on the Trading Day immediately following the Expiration Date.</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An adjustment, if any, to the Conversion Rate pursuant to this Section 10.10 shall become effective immediately prior to the opening of business on the second Trading Day immediately following the Expiration Date. In the event that the Company or a Subsidiary of the Company is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10.10 to any tender offer or exchange offer would result in a decrease in the Conversion Rate, no adjustment shall be made for such tender offer or exchange offer under this Section 10.10.</w:t>
      </w:r>
    </w:p>
    <w:p>
      <w:pPr>
        <w:spacing w:after="0" w:line="18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Provisions Governing Adjustment to Conversion Rate</w:t>
      </w:r>
      <w:r>
        <w:rPr>
          <w:rFonts w:ascii="Arial" w:cs="Arial" w:eastAsia="Arial" w:hAnsi="Arial"/>
          <w:sz w:val="16"/>
          <w:szCs w:val="16"/>
          <w:color w:val="auto"/>
        </w:rPr>
        <w:t>. Rights or warrants distributed by the Company to all holders of 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Section 10.06, Section 10.07, Section 10.08, Section 10.09 or Section 10.10 (and no adjustment to the Conversion Rate under Section 10.06, Section 10.07, Section 10.08, Section 10.09 or Section 10.10 will be required) until the occurrence of the earliest Trigger Event, whereupon such rights, options and warrants shall be deemed to have been distributed and an appropriate adjustment (if any is required) to the Conversion Rate shall be made under Section 10.08, and, if applicable, Section 10.23.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10.23. In addition, except as set forth in Section 10.23,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10.06, Section 10.07, Section 10.08, Section 10.09 or Section 10.10 was made (including any adjustment contemplated in Section 10.23),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631"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each case, in which holders of outstanding Common Stock would be entitled to receive Cash, securities or other property for their shares of Common Stock, if a Holder converts its Notes on or after the effective date of any such event, Notes will be convertible into, in lieu of the shares of Common Stock</w:t>
      </w:r>
    </w:p>
    <w:p>
      <w:pPr>
        <w:sectPr>
          <w:pgSz w:w="11900" w:h="16975" w:orient="portrait"/>
          <w:cols w:equalWidth="0" w:num="1">
            <w:col w:w="11400"/>
          </w:cols>
          <w:pgMar w:left="240" w:top="125" w:right="259" w:bottom="0" w:gutter="0" w:footer="0" w:header="0"/>
        </w:sectPr>
      </w:pPr>
    </w:p>
    <w:bookmarkStart w:id="28" w:name="page29"/>
    <w:bookmarkEnd w:id="28"/>
    <w:p>
      <w:pPr>
        <w:ind w:right="420"/>
        <w:spacing w:after="0" w:line="277" w:lineRule="auto"/>
        <w:rPr>
          <w:sz w:val="20"/>
          <w:szCs w:val="20"/>
          <w:color w:val="auto"/>
        </w:rPr>
      </w:pPr>
      <w:r>
        <w:rPr>
          <w:rFonts w:ascii="Arial" w:cs="Arial" w:eastAsia="Arial" w:hAnsi="Arial"/>
          <w:sz w:val="18"/>
          <w:szCs w:val="18"/>
          <w:color w:val="auto"/>
        </w:rPr>
        <w:t>otherwise deliverable, the same type (in the same proportions) of consideration received by holders of Common Stock in the relevant event (collectively, “</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the Disposition Event provides the holders of Common Stock with the right to receive more than a single type of consideration determined based in part upon any form of stockholder election, the Reference Property shall be comprised of the weighted average of the types and amounts of consideration received by the holders of Common Stock upon the occurrence of such event.</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the occurrence of a Disposition Event, 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permitted under Section 9.02(b) providing for the conversion and settlement of the Notes as set forth in this Indenture. Such supplemental indenture shall provide for adjustments that shall be as nearly equivalent as may be practicable to the adjustments provided for in this Article 10. 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event the Company shall execute a supplemental indenture pursuant to this Section 10.12,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Register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provided for in this Indenture, within 20 days after execution thereof. Failure to deliver such notice shall not affect the legality or validity of such supplemental indenture.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i w:val="1"/>
          <w:iCs w:val="1"/>
          <w:color w:val="auto"/>
        </w:rPr>
        <w:t>Adjustment to Conversion Rate Upon a Make-Whole Change in Control; Discretionary Adjustment</w:t>
      </w:r>
      <w:r>
        <w:rPr>
          <w:rFonts w:ascii="Arial" w:cs="Arial" w:eastAsia="Arial" w:hAnsi="Arial"/>
          <w:sz w:val="17"/>
          <w:szCs w:val="17"/>
          <w:color w:val="auto"/>
        </w:rPr>
        <w:t xml:space="preserve">. (a) If, after the date hereof, a 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10.13.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80" w:firstLine="1305"/>
        <w:spacing w:after="0" w:line="297" w:lineRule="auto"/>
        <w:tabs>
          <w:tab w:leader="none" w:pos="1641"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which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257" w:lineRule="auto"/>
        <w:tabs>
          <w:tab w:leader="none" w:pos="163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Stock Prices set forth in the first row of the table below will be adjusted as of any date on which the Applicable Conversion Rate is adjusted. The adjusted Stock Prices will equal the Stock Prices immediately prior to such adjustment, multiplied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10.06 through Section 10.10.</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the stock price and number of make-whole shares of our common stock to be added to the conversion rate per $1,000 principal amount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Effective</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ind w:left="220"/>
              <w:spacing w:after="0"/>
              <w:rPr>
                <w:sz w:val="20"/>
                <w:szCs w:val="20"/>
                <w:color w:val="auto"/>
              </w:rPr>
            </w:pPr>
            <w:r>
              <w:rPr>
                <w:rFonts w:ascii="Arial" w:cs="Arial" w:eastAsia="Arial" w:hAnsi="Arial"/>
                <w:sz w:val="12"/>
                <w:szCs w:val="12"/>
                <w:b w:val="1"/>
                <w:bCs w:val="1"/>
                <w:color w:val="auto"/>
              </w:rPr>
              <w:t>Stock Price</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jc w:val="right"/>
              <w:ind w:right="42"/>
              <w:spacing w:after="0" w:line="129" w:lineRule="exact"/>
              <w:rPr>
                <w:sz w:val="20"/>
                <w:szCs w:val="20"/>
                <w:color w:val="auto"/>
              </w:rPr>
            </w:pPr>
            <w:r>
              <w:rPr>
                <w:rFonts w:ascii="Arial" w:cs="Arial" w:eastAsia="Arial" w:hAnsi="Arial"/>
                <w:sz w:val="12"/>
                <w:szCs w:val="12"/>
                <w:b w:val="1"/>
                <w:bCs w:val="1"/>
                <w:color w:val="auto"/>
              </w:rPr>
              <w:t>$4.15</w:t>
            </w:r>
          </w:p>
        </w:tc>
        <w:tc>
          <w:tcPr>
            <w:tcW w:w="180" w:type="dxa"/>
            <w:vAlign w:val="bottom"/>
          </w:tcPr>
          <w:p>
            <w:pPr>
              <w:spacing w:after="0"/>
              <w:rPr>
                <w:sz w:val="11"/>
                <w:szCs w:val="11"/>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2"/>
                <w:szCs w:val="12"/>
                <w:b w:val="1"/>
                <w:bCs w:val="1"/>
                <w:color w:val="auto"/>
              </w:rPr>
              <w:t>$4.25</w:t>
            </w:r>
          </w:p>
        </w:tc>
        <w:tc>
          <w:tcPr>
            <w:tcW w:w="160" w:type="dxa"/>
            <w:vAlign w:val="bottom"/>
          </w:tcPr>
          <w:p>
            <w:pPr>
              <w:spacing w:after="0"/>
              <w:rPr>
                <w:sz w:val="11"/>
                <w:szCs w:val="11"/>
                <w:color w:val="auto"/>
              </w:rPr>
            </w:pPr>
          </w:p>
        </w:tc>
        <w:tc>
          <w:tcPr>
            <w:tcW w:w="4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$4.50</w:t>
            </w:r>
          </w:p>
        </w:tc>
        <w:tc>
          <w:tcPr>
            <w:tcW w:w="180" w:type="dxa"/>
            <w:vAlign w:val="bottom"/>
          </w:tcPr>
          <w:p>
            <w:pPr>
              <w:spacing w:after="0"/>
              <w:rPr>
                <w:sz w:val="11"/>
                <w:szCs w:val="11"/>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2"/>
                <w:szCs w:val="12"/>
                <w:b w:val="1"/>
                <w:bCs w:val="1"/>
                <w:color w:val="auto"/>
              </w:rPr>
              <w:t>$5.00</w:t>
            </w:r>
          </w:p>
        </w:tc>
        <w:tc>
          <w:tcPr>
            <w:tcW w:w="180" w:type="dxa"/>
            <w:vAlign w:val="bottom"/>
          </w:tcPr>
          <w:p>
            <w:pPr>
              <w:spacing w:after="0"/>
              <w:rPr>
                <w:sz w:val="11"/>
                <w:szCs w:val="11"/>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2"/>
                <w:szCs w:val="12"/>
                <w:b w:val="1"/>
                <w:bCs w:val="1"/>
                <w:color w:val="auto"/>
              </w:rPr>
              <w:t>$6.00</w:t>
            </w:r>
          </w:p>
        </w:tc>
        <w:tc>
          <w:tcPr>
            <w:tcW w:w="180" w:type="dxa"/>
            <w:vAlign w:val="bottom"/>
          </w:tcPr>
          <w:p>
            <w:pPr>
              <w:spacing w:after="0"/>
              <w:rPr>
                <w:sz w:val="11"/>
                <w:szCs w:val="11"/>
                <w:color w:val="auto"/>
              </w:rPr>
            </w:pPr>
          </w:p>
        </w:tc>
        <w:tc>
          <w:tcPr>
            <w:tcW w:w="460" w:type="dxa"/>
            <w:vAlign w:val="bottom"/>
          </w:tcPr>
          <w:p>
            <w:pPr>
              <w:jc w:val="right"/>
              <w:ind w:right="42"/>
              <w:spacing w:after="0" w:line="129" w:lineRule="exact"/>
              <w:rPr>
                <w:sz w:val="20"/>
                <w:szCs w:val="20"/>
                <w:color w:val="auto"/>
              </w:rPr>
            </w:pPr>
            <w:r>
              <w:rPr>
                <w:rFonts w:ascii="Arial" w:cs="Arial" w:eastAsia="Arial" w:hAnsi="Arial"/>
                <w:sz w:val="12"/>
                <w:szCs w:val="12"/>
                <w:b w:val="1"/>
                <w:bCs w:val="1"/>
                <w:color w:val="auto"/>
              </w:rPr>
              <w:t>$8.00</w:t>
            </w:r>
          </w:p>
        </w:tc>
        <w:tc>
          <w:tcPr>
            <w:tcW w:w="160" w:type="dxa"/>
            <w:vAlign w:val="bottom"/>
          </w:tcPr>
          <w:p>
            <w:pPr>
              <w:spacing w:after="0"/>
              <w:rPr>
                <w:sz w:val="11"/>
                <w:szCs w:val="11"/>
                <w:color w:val="auto"/>
              </w:rPr>
            </w:pPr>
          </w:p>
        </w:tc>
        <w:tc>
          <w:tcPr>
            <w:tcW w:w="46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$10.00</w:t>
            </w:r>
          </w:p>
        </w:tc>
        <w:tc>
          <w:tcPr>
            <w:tcW w:w="180" w:type="dxa"/>
            <w:vAlign w:val="bottom"/>
          </w:tcPr>
          <w:p>
            <w:pPr>
              <w:spacing w:after="0"/>
              <w:rPr>
                <w:sz w:val="11"/>
                <w:szCs w:val="11"/>
                <w:color w:val="auto"/>
              </w:rPr>
            </w:pPr>
          </w:p>
        </w:tc>
        <w:tc>
          <w:tcPr>
            <w:tcW w:w="46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$12.50</w:t>
            </w:r>
          </w:p>
        </w:tc>
        <w:tc>
          <w:tcPr>
            <w:tcW w:w="180" w:type="dxa"/>
            <w:vAlign w:val="bottom"/>
          </w:tcPr>
          <w:p>
            <w:pPr>
              <w:spacing w:after="0"/>
              <w:rPr>
                <w:sz w:val="11"/>
                <w:szCs w:val="11"/>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w w:val="97"/>
              </w:rPr>
              <w:t>$15.00</w:t>
            </w:r>
          </w:p>
        </w:tc>
        <w:tc>
          <w:tcPr>
            <w:tcW w:w="180" w:type="dxa"/>
            <w:vAlign w:val="bottom"/>
          </w:tcPr>
          <w:p>
            <w:pPr>
              <w:spacing w:after="0"/>
              <w:rPr>
                <w:sz w:val="11"/>
                <w:szCs w:val="11"/>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w w:val="97"/>
              </w:rPr>
              <w:t>$17.50</w:t>
            </w:r>
          </w:p>
        </w:tc>
        <w:tc>
          <w:tcPr>
            <w:tcW w:w="16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$20.00</w:t>
            </w:r>
          </w:p>
        </w:tc>
        <w:tc>
          <w:tcPr>
            <w:tcW w:w="180" w:type="dxa"/>
            <w:vAlign w:val="bottom"/>
          </w:tcPr>
          <w:p>
            <w:pPr>
              <w:spacing w:after="0"/>
              <w:rPr>
                <w:sz w:val="11"/>
                <w:szCs w:val="11"/>
                <w:color w:val="auto"/>
              </w:rPr>
            </w:pPr>
          </w:p>
        </w:tc>
        <w:tc>
          <w:tcPr>
            <w:tcW w:w="46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rPr>
              <w:t>$25.00</w:t>
            </w:r>
          </w:p>
        </w:tc>
        <w:tc>
          <w:tcPr>
            <w:tcW w:w="160" w:type="dxa"/>
            <w:vAlign w:val="bottom"/>
          </w:tcPr>
          <w:p>
            <w:pPr>
              <w:spacing w:after="0"/>
              <w:rPr>
                <w:sz w:val="11"/>
                <w:szCs w:val="11"/>
                <w:color w:val="auto"/>
              </w:rPr>
            </w:pP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$30.00</w:t>
            </w:r>
          </w:p>
        </w:tc>
        <w:tc>
          <w:tcPr>
            <w:tcW w:w="180" w:type="dxa"/>
            <w:vAlign w:val="bottom"/>
          </w:tcPr>
          <w:p>
            <w:pPr>
              <w:spacing w:after="0"/>
              <w:rPr>
                <w:sz w:val="11"/>
                <w:szCs w:val="11"/>
                <w:color w:val="auto"/>
              </w:rPr>
            </w:pPr>
          </w:p>
        </w:tc>
        <w:tc>
          <w:tcPr>
            <w:tcW w:w="44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w w:val="97"/>
              </w:rPr>
              <w:t>$35.00</w:t>
            </w:r>
          </w:p>
        </w:tc>
        <w:tc>
          <w:tcPr>
            <w:tcW w:w="160" w:type="dxa"/>
            <w:vAlign w:val="bottom"/>
          </w:tcPr>
          <w:p>
            <w:pPr>
              <w:spacing w:after="0"/>
              <w:rPr>
                <w:sz w:val="11"/>
                <w:szCs w:val="11"/>
                <w:color w:val="auto"/>
              </w:rPr>
            </w:pPr>
          </w:p>
        </w:tc>
        <w:tc>
          <w:tcPr>
            <w:tcW w:w="440" w:type="dxa"/>
            <w:vAlign w:val="bottom"/>
          </w:tcPr>
          <w:p>
            <w:pPr>
              <w:jc w:val="right"/>
              <w:ind w:right="2"/>
              <w:spacing w:after="0" w:line="129" w:lineRule="exact"/>
              <w:rPr>
                <w:sz w:val="20"/>
                <w:szCs w:val="20"/>
                <w:color w:val="auto"/>
              </w:rPr>
            </w:pPr>
            <w:r>
              <w:rPr>
                <w:rFonts w:ascii="Arial" w:cs="Arial" w:eastAsia="Arial" w:hAnsi="Arial"/>
                <w:sz w:val="12"/>
                <w:szCs w:val="12"/>
                <w:b w:val="1"/>
                <w:bCs w:val="1"/>
                <w:color w:val="auto"/>
                <w:w w:val="97"/>
              </w:rPr>
              <w:t>$40.00</w:t>
            </w:r>
          </w:p>
        </w:tc>
        <w:tc>
          <w:tcPr>
            <w:tcW w:w="160" w:type="dxa"/>
            <w:vAlign w:val="bottom"/>
          </w:tcPr>
          <w:p>
            <w:pPr>
              <w:spacing w:after="0"/>
              <w:rPr>
                <w:sz w:val="11"/>
                <w:szCs w:val="11"/>
                <w:color w:val="auto"/>
              </w:rPr>
            </w:pPr>
          </w:p>
        </w:tc>
        <w:tc>
          <w:tcPr>
            <w:tcW w:w="46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w w:val="97"/>
              </w:rPr>
              <w:t>$50.00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top w:val="single" w:sz="8" w:color="auto"/>
            </w:tcBorders>
            <w:shd w:val="clear" w:color="auto" w:fill="CCEEFF"/>
          </w:tcPr>
          <w:p>
            <w:pPr>
              <w:jc w:val="right"/>
              <w:ind w:right="302"/>
              <w:spacing w:after="0" w:line="129" w:lineRule="exact"/>
              <w:rPr>
                <w:sz w:val="20"/>
                <w:szCs w:val="20"/>
                <w:color w:val="auto"/>
              </w:rPr>
            </w:pPr>
            <w:r>
              <w:rPr>
                <w:rFonts w:ascii="Arial" w:cs="Arial" w:eastAsia="Arial" w:hAnsi="Arial"/>
                <w:sz w:val="12"/>
                <w:szCs w:val="12"/>
                <w:color w:val="auto"/>
              </w:rPr>
              <w:t>04/15/2009</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44.2587</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42.6889</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2"/>
                <w:szCs w:val="12"/>
                <w:color w:val="auto"/>
                <w:w w:val="82"/>
              </w:rPr>
              <w:t>38.9362</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32.8178</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24.6846</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16.1268</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11.7457</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8.6265</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6.7115</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5.4057</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140"/>
              <w:spacing w:after="0" w:line="129" w:lineRule="exact"/>
              <w:rPr>
                <w:sz w:val="20"/>
                <w:szCs w:val="20"/>
                <w:color w:val="auto"/>
              </w:rPr>
            </w:pPr>
            <w:r>
              <w:rPr>
                <w:rFonts w:ascii="Arial" w:cs="Arial" w:eastAsia="Arial" w:hAnsi="Arial"/>
                <w:sz w:val="12"/>
                <w:szCs w:val="12"/>
                <w:color w:val="auto"/>
                <w:w w:val="81"/>
              </w:rPr>
              <w:t>4.4591</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3.1751</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120"/>
              <w:spacing w:after="0" w:line="129" w:lineRule="exact"/>
              <w:rPr>
                <w:sz w:val="20"/>
                <w:szCs w:val="20"/>
                <w:color w:val="auto"/>
              </w:rPr>
            </w:pPr>
            <w:r>
              <w:rPr>
                <w:rFonts w:ascii="Arial" w:cs="Arial" w:eastAsia="Arial" w:hAnsi="Arial"/>
                <w:sz w:val="12"/>
                <w:szCs w:val="12"/>
                <w:color w:val="auto"/>
                <w:w w:val="81"/>
              </w:rPr>
              <w:t>2.3486</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1.7768</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1.3621</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0.8121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40" w:type="dxa"/>
            <w:vAlign w:val="bottom"/>
            <w:shd w:val="clear" w:color="auto" w:fill="CCEEFF"/>
          </w:tcPr>
          <w:p>
            <w:pPr>
              <w:jc w:val="right"/>
              <w:ind w:right="302"/>
              <w:spacing w:after="0" w:line="135" w:lineRule="exact"/>
              <w:rPr>
                <w:sz w:val="20"/>
                <w:szCs w:val="20"/>
                <w:color w:val="auto"/>
              </w:rPr>
            </w:pPr>
            <w:r>
              <w:rPr>
                <w:rFonts w:ascii="Arial" w:cs="Arial" w:eastAsia="Arial" w:hAnsi="Arial"/>
                <w:sz w:val="12"/>
                <w:szCs w:val="12"/>
                <w:color w:val="auto"/>
              </w:rPr>
              <w:t>10/15/2009</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44.2587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41.8557</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37.8988</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31.6282</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23.4394</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15.0080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10.8406</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7.9357</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6.1619</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4.9641</w:t>
            </w:r>
          </w:p>
        </w:tc>
        <w:tc>
          <w:tcPr>
            <w:tcW w:w="6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4.0937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2.9110</w:t>
            </w:r>
          </w:p>
        </w:tc>
        <w:tc>
          <w:tcPr>
            <w:tcW w:w="6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2.1464</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1.6149</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1.2282</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0.7148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40" w:type="dxa"/>
            <w:vAlign w:val="bottom"/>
            <w:shd w:val="clear" w:color="auto" w:fill="CCEEFF"/>
          </w:tcPr>
          <w:p>
            <w:pPr>
              <w:jc w:val="right"/>
              <w:ind w:right="302"/>
              <w:spacing w:after="0" w:line="135" w:lineRule="exact"/>
              <w:rPr>
                <w:sz w:val="20"/>
                <w:szCs w:val="20"/>
                <w:color w:val="auto"/>
              </w:rPr>
            </w:pPr>
            <w:r>
              <w:rPr>
                <w:rFonts w:ascii="Arial" w:cs="Arial" w:eastAsia="Arial" w:hAnsi="Arial"/>
                <w:sz w:val="12"/>
                <w:szCs w:val="12"/>
                <w:color w:val="auto"/>
              </w:rPr>
              <w:t>10/15/2010</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44.2587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40.0773</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35.7428</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28.9663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20.4353</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12.4327</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8.7957</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6.3987</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4.9787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4.0226</w:t>
            </w:r>
          </w:p>
        </w:tc>
        <w:tc>
          <w:tcPr>
            <w:tcW w:w="6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3.3268</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2.3757</w:t>
            </w:r>
          </w:p>
        </w:tc>
        <w:tc>
          <w:tcPr>
            <w:tcW w:w="6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1.7550</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1.3203</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1.0020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0.5756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40" w:type="dxa"/>
            <w:vAlign w:val="bottom"/>
            <w:shd w:val="clear" w:color="auto" w:fill="CCEEFF"/>
          </w:tcPr>
          <w:p>
            <w:pPr>
              <w:jc w:val="right"/>
              <w:ind w:right="302"/>
              <w:spacing w:after="0" w:line="135" w:lineRule="exact"/>
              <w:rPr>
                <w:sz w:val="20"/>
                <w:szCs w:val="20"/>
                <w:color w:val="auto"/>
              </w:rPr>
            </w:pPr>
            <w:r>
              <w:rPr>
                <w:rFonts w:ascii="Arial" w:cs="Arial" w:eastAsia="Arial" w:hAnsi="Arial"/>
                <w:sz w:val="12"/>
                <w:szCs w:val="12"/>
                <w:color w:val="auto"/>
              </w:rPr>
              <w:t>10/15/2011</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44.2587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39.5301</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33.3703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25.6053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16.3823</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9.0456</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6.2629</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4.5730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3.5868</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2.9163</w:t>
            </w:r>
          </w:p>
        </w:tc>
        <w:tc>
          <w:tcPr>
            <w:tcW w:w="6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2.4230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1.7403</w:t>
            </w:r>
          </w:p>
        </w:tc>
        <w:tc>
          <w:tcPr>
            <w:tcW w:w="6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1.2889</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0.9693</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0.7327</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0.4111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40" w:type="dxa"/>
            <w:vAlign w:val="bottom"/>
            <w:shd w:val="clear" w:color="auto" w:fill="CCEEFF"/>
          </w:tcPr>
          <w:p>
            <w:pPr>
              <w:jc w:val="right"/>
              <w:ind w:right="302"/>
              <w:spacing w:after="0" w:line="135" w:lineRule="exact"/>
              <w:rPr>
                <w:sz w:val="20"/>
                <w:szCs w:val="20"/>
                <w:color w:val="auto"/>
              </w:rPr>
            </w:pPr>
            <w:r>
              <w:rPr>
                <w:rFonts w:ascii="Arial" w:cs="Arial" w:eastAsia="Arial" w:hAnsi="Arial"/>
                <w:sz w:val="12"/>
                <w:szCs w:val="12"/>
                <w:color w:val="auto"/>
              </w:rPr>
              <w:t>10/15/2012</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44.2587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39.0595</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30.9434</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21.3292</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10.6819</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4.5652</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3.2731</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2.4423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1.9343</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1.5790</w:t>
            </w:r>
          </w:p>
        </w:tc>
        <w:tc>
          <w:tcPr>
            <w:tcW w:w="6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1.3140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0.9435</w:t>
            </w:r>
          </w:p>
        </w:tc>
        <w:tc>
          <w:tcPr>
            <w:tcW w:w="6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0.6967</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0.5205</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0.3886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0.2061</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40" w:type="dxa"/>
            <w:vAlign w:val="bottom"/>
            <w:shd w:val="clear" w:color="auto" w:fill="CCEEFF"/>
          </w:tcPr>
          <w:p>
            <w:pPr>
              <w:jc w:val="right"/>
              <w:ind w:right="302"/>
              <w:spacing w:after="0" w:line="135" w:lineRule="exact"/>
              <w:rPr>
                <w:sz w:val="20"/>
                <w:szCs w:val="20"/>
                <w:color w:val="auto"/>
              </w:rPr>
            </w:pPr>
            <w:r>
              <w:rPr>
                <w:rFonts w:ascii="Arial" w:cs="Arial" w:eastAsia="Arial" w:hAnsi="Arial"/>
                <w:sz w:val="12"/>
                <w:szCs w:val="12"/>
                <w:color w:val="auto"/>
              </w:rPr>
              <w:t>10/15/2013</w:t>
            </w:r>
          </w:p>
        </w:tc>
        <w:tc>
          <w:tcPr>
            <w:tcW w:w="1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44.2587</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38.5889</w:t>
            </w:r>
          </w:p>
        </w:tc>
        <w:tc>
          <w:tcPr>
            <w:tcW w:w="64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2"/>
                <w:szCs w:val="12"/>
                <w:color w:val="auto"/>
              </w:rPr>
              <w:t>25.5170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3.2948</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0.0000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0.0000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0.0000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0.0000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0.0000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0.0000</w:t>
            </w:r>
          </w:p>
        </w:tc>
        <w:tc>
          <w:tcPr>
            <w:tcW w:w="6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2"/>
                <w:szCs w:val="12"/>
                <w:color w:val="auto"/>
              </w:rPr>
              <w:t>0.0000</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0.0000</w:t>
            </w:r>
          </w:p>
        </w:tc>
        <w:tc>
          <w:tcPr>
            <w:tcW w:w="6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2"/>
                <w:szCs w:val="12"/>
                <w:color w:val="auto"/>
              </w:rPr>
              <w:t>0.0000</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0.0000</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0.0000</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ind w:right="20" w:firstLine="1305"/>
        <w:spacing w:after="0" w:line="312" w:lineRule="auto"/>
        <w:tabs>
          <w:tab w:leader="none" w:pos="20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w:t>
      </w:r>
    </w:p>
    <w:p>
      <w:pPr>
        <w:sectPr>
          <w:pgSz w:w="11900" w:h="16838" w:orient="portrait"/>
          <w:cols w:equalWidth="0" w:num="1">
            <w:col w:w="11420"/>
          </w:cols>
          <w:pgMar w:left="240" w:top="125" w:right="239" w:bottom="0" w:gutter="0" w:footer="0" w:header="0"/>
          <w:type w:val="continuous"/>
        </w:sectPr>
      </w:pPr>
    </w:p>
    <w:bookmarkStart w:id="29" w:name="page30"/>
    <w:bookmarkEnd w:id="29"/>
    <w:p>
      <w:pPr>
        <w:jc w:val="both"/>
        <w:ind w:right="200"/>
        <w:spacing w:after="0" w:line="312" w:lineRule="auto"/>
        <w:rPr>
          <w:sz w:val="20"/>
          <w:szCs w:val="20"/>
          <w:color w:val="auto"/>
        </w:rPr>
      </w:pPr>
      <w:r>
        <w:rPr>
          <w:rFonts w:ascii="Arial" w:cs="Arial" w:eastAsia="Arial" w:hAnsi="Arial"/>
          <w:sz w:val="16"/>
          <w:szCs w:val="16"/>
          <w:color w:val="auto"/>
        </w:rPr>
        <w:t>Dates in the table, as applicable, based on a 365-day year, (ii) if the Stock Price is in excess of $50.00 per share of Common Stock (subject to adjustment as set forth in Section 10.13(c)), no Make-Whole Shares will be issued upon conversion of the Notes; and (iii) if the Stock Price is less than $4.15 per share of Common Stock (subject to adjustment as set forth in Section 10.13(c)), no Make-Whole Shares will be issued upon conversion of the Notes.</w:t>
      </w:r>
    </w:p>
    <w:p>
      <w:pPr>
        <w:spacing w:after="0" w:line="147" w:lineRule="exact"/>
        <w:rPr>
          <w:sz w:val="20"/>
          <w:szCs w:val="20"/>
          <w:color w:val="auto"/>
        </w:rPr>
      </w:pPr>
    </w:p>
    <w:p>
      <w:pPr>
        <w:ind w:right="20" w:firstLine="1305"/>
        <w:spacing w:after="0" w:line="312" w:lineRule="auto"/>
        <w:tabs>
          <w:tab w:leader="none" w:pos="163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may make such increases in the Conversion Rate, in addition to those required by Section 10.06, 10.07, 10.08, 10.09 and 10.10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46" w:lineRule="exact"/>
        <w:rPr>
          <w:rFonts w:ascii="Arial" w:cs="Arial" w:eastAsia="Arial" w:hAnsi="Arial"/>
          <w:sz w:val="16"/>
          <w:szCs w:val="16"/>
          <w:color w:val="auto"/>
        </w:rPr>
      </w:pPr>
    </w:p>
    <w:p>
      <w:pPr>
        <w:ind w:right="220" w:firstLine="1305"/>
        <w:spacing w:after="0" w:line="255" w:lineRule="auto"/>
        <w:tabs>
          <w:tab w:leader="none" w:pos="165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from time to time may increase the Conversion Rate by any amount for any period of time if the period is at least twenty (20) Business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19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i w:val="1"/>
          <w:iCs w:val="1"/>
          <w:color w:val="auto"/>
        </w:rPr>
        <w:t>When Adjustment May Be Deferred</w:t>
      </w:r>
      <w:r>
        <w:rPr>
          <w:rFonts w:ascii="Arial" w:cs="Arial" w:eastAsia="Arial" w:hAnsi="Arial"/>
          <w:sz w:val="17"/>
          <w:szCs w:val="17"/>
          <w:color w:val="auto"/>
        </w:rPr>
        <w:t>. No adjustment in the Conversion Rate need be made unless the adjustment would require an 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repurchases of the Notes pursuant to Section 3.01, and on the Scheduled Trading Day prior to the Maturity Date.</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When No Adjustment Required</w:t>
      </w:r>
      <w:r>
        <w:rPr>
          <w:rFonts w:ascii="Arial" w:cs="Arial" w:eastAsia="Arial" w:hAnsi="Arial"/>
          <w:sz w:val="16"/>
          <w:szCs w:val="16"/>
          <w:color w:val="auto"/>
        </w:rPr>
        <w:t xml:space="preserve">. (a) No adjustment need be made for a transaction referred to in Section 10.06, 10.07, 10.08, 10.09 or 10.10 if Noteholders 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Noteholders, at such time, held a number of shares of Common Stock equal to the Applicable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Noteholder, without having to convert their Notes.</w:t>
      </w:r>
    </w:p>
    <w:p>
      <w:pPr>
        <w:spacing w:after="0" w:line="158" w:lineRule="exact"/>
        <w:rPr>
          <w:sz w:val="20"/>
          <w:szCs w:val="20"/>
          <w:color w:val="auto"/>
        </w:rPr>
      </w:pPr>
    </w:p>
    <w:p>
      <w:pPr>
        <w:ind w:right="100" w:firstLine="1305"/>
        <w:spacing w:after="0" w:line="277" w:lineRule="auto"/>
        <w:tabs>
          <w:tab w:leader="none" w:pos="16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 adjustment need be made for rights to purchase Common Stock pursuant to a Company plan for reinvestment of dividends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interest.</w:t>
      </w:r>
    </w:p>
    <w:p>
      <w:pPr>
        <w:spacing w:after="0" w:line="210" w:lineRule="exact"/>
        <w:rPr>
          <w:rFonts w:ascii="Arial" w:cs="Arial" w:eastAsia="Arial" w:hAnsi="Arial"/>
          <w:sz w:val="17"/>
          <w:szCs w:val="17"/>
          <w:color w:val="auto"/>
        </w:rPr>
      </w:pPr>
    </w:p>
    <w:p>
      <w:pPr>
        <w:ind w:left="1640" w:hanging="335"/>
        <w:spacing w:after="0"/>
        <w:tabs>
          <w:tab w:leader="none" w:pos="1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480" w:firstLine="1305"/>
        <w:spacing w:after="0" w:line="277" w:lineRule="auto"/>
        <w:tabs>
          <w:tab w:leader="none" w:pos="16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into Cash, no adjustment need be made thereafter as to the Cash. Interest will not accrue on the Cash.</w:t>
      </w:r>
    </w:p>
    <w:p>
      <w:pPr>
        <w:spacing w:after="0" w:line="170" w:lineRule="exact"/>
        <w:rPr>
          <w:rFonts w:ascii="Arial" w:cs="Arial" w:eastAsia="Arial" w:hAnsi="Arial"/>
          <w:sz w:val="18"/>
          <w:szCs w:val="18"/>
          <w:color w:val="auto"/>
        </w:rPr>
      </w:pPr>
    </w:p>
    <w:p>
      <w:pPr>
        <w:ind w:right="320" w:firstLine="1305"/>
        <w:spacing w:after="0" w:line="264" w:lineRule="auto"/>
        <w:tabs>
          <w:tab w:leader="none" w:pos="16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the Applicable Conversion Rate shall not exceed 240.9638 per $1,000 principal amount of Notes, other than on account of adjustments to the Conversion Rate in the manner set forth in Sections 10.06, 10.07, 10.08, 10.09 and 10.10.</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Notice of Adjustment</w:t>
      </w:r>
      <w:r>
        <w:rPr>
          <w:rFonts w:ascii="Arial" w:cs="Arial" w:eastAsia="Arial" w:hAnsi="Arial"/>
          <w:sz w:val="18"/>
          <w:szCs w:val="18"/>
          <w:color w:val="auto"/>
        </w:rPr>
        <w:t>. Whenever the Conversion Rate is adjusted, the Company shall promptly send to Noteholders a written notice of 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Notice of Certain Transactions</w:t>
      </w:r>
      <w:r>
        <w:rPr>
          <w:rFonts w:ascii="Arial" w:cs="Arial" w:eastAsia="Arial" w:hAnsi="Arial"/>
          <w:sz w:val="18"/>
          <w:szCs w:val="18"/>
          <w:color w:val="auto"/>
        </w:rPr>
        <w:t>. If (a) the Company takes any action that would require an adjustment in the Conversion Rate pursuant to Section 10.06, 10.07, 10.08, 10.09 or 10.10 (unless no adjustment is to occur pursuant to Section 10.14 or Section 10.15), (b) the Company takes any action that would require a supplemental indenture pursuant to Section 10.12, or (c) there is a liquidation or dissolution of the Company, then the Company shall send to Noteholders and file with the Trustee and the Conversion Agent a written notice stating the proposed Ex-Date for a dividend or distribution or the proposed effective date of a subdivision,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consolidation, merger, combination, sale or conveyance. The Company shall file and send the notice at least 15 days before such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Failure to file or send the notice or any defect in it shall not affect the validity of the transaction.</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Right of Holders to Convert</w:t>
      </w:r>
      <w:r>
        <w:rPr>
          <w:rFonts w:ascii="Arial" w:cs="Arial" w:eastAsia="Arial" w:hAnsi="Arial"/>
          <w:sz w:val="18"/>
          <w:szCs w:val="18"/>
          <w:color w:val="auto"/>
        </w:rPr>
        <w:t>. Notwithstanding any other provision in this Indenture, the Holder of any Note shall have the right to 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Company Determination Final</w:t>
      </w:r>
      <w:r>
        <w:rPr>
          <w:rFonts w:ascii="Arial" w:cs="Arial" w:eastAsia="Arial" w:hAnsi="Arial"/>
          <w:sz w:val="18"/>
          <w:szCs w:val="18"/>
          <w:color w:val="auto"/>
        </w:rPr>
        <w:t>. The Company shall be responsible for making all calculations called for hereunder and under the Notes. The Company shall make all these calculations using commercially reasonable means and, absent manifest error, the Company’s calculations will be final and binding on Noteholders. The Company shall provide a schedule of the Company’s calculations to the Trustee, and the Trustee is entitled to rely upon the accuracy of the Company’s calculations without independent verification.</w:t>
      </w:r>
    </w:p>
    <w:p>
      <w:pPr>
        <w:sectPr>
          <w:pgSz w:w="11900" w:h="16838" w:orient="portrait"/>
          <w:cols w:equalWidth="0" w:num="1">
            <w:col w:w="11420"/>
          </w:cols>
          <w:pgMar w:left="240" w:top="125" w:right="239" w:bottom="0" w:gutter="0" w:footer="0" w:header="0"/>
        </w:sectPr>
      </w:pPr>
    </w:p>
    <w:bookmarkStart w:id="30" w:name="page31"/>
    <w:bookmarkEnd w:id="30"/>
    <w:p>
      <w:pPr>
        <w:spacing w:after="0" w:line="13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i w:val="1"/>
          <w:iCs w:val="1"/>
          <w:color w:val="auto"/>
        </w:rPr>
        <w:t>Trustee’s Adjustment Disclaimer</w:t>
      </w:r>
      <w:r>
        <w:rPr>
          <w:rFonts w:ascii="Arial" w:cs="Arial" w:eastAsia="Arial" w:hAnsi="Arial"/>
          <w:sz w:val="17"/>
          <w:szCs w:val="17"/>
          <w:color w:val="auto"/>
        </w:rPr>
        <w:t>. The Trustee has no duty to determine when an adjustment under this Article 10 should be made, 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10.20 as the Trustee.</w:t>
      </w:r>
    </w:p>
    <w:p>
      <w:pPr>
        <w:spacing w:after="0" w:line="17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i w:val="1"/>
          <w:iCs w:val="1"/>
          <w:color w:val="auto"/>
        </w:rPr>
        <w:t>Simultaneous Adjustments</w:t>
      </w:r>
      <w:r>
        <w:rPr>
          <w:rFonts w:ascii="Arial" w:cs="Arial" w:eastAsia="Arial" w:hAnsi="Arial"/>
          <w:sz w:val="18"/>
          <w:szCs w:val="18"/>
          <w:color w:val="auto"/>
        </w:rPr>
        <w:t>. For purposes of Section 10.08, Section 10.06 and Section 10.07, any dividend or distribution to which Section 10.08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10.08 with respect to such dividend or distribution shall then be made) immediately followed by (2) a dividend or distribution of such shares of Common Stock or such rights (and any further Conversion Rate adjustment required by Section 10.06 and Section 10.07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10.06.</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Successive Adjustments</w:t>
      </w:r>
      <w:r>
        <w:rPr>
          <w:rFonts w:ascii="Arial" w:cs="Arial" w:eastAsia="Arial" w:hAnsi="Arial"/>
          <w:sz w:val="18"/>
          <w:szCs w:val="18"/>
          <w:color w:val="auto"/>
        </w:rPr>
        <w:t>. After an adjustment to the Conversion Rate under this Article 10, any subsequent event requiring an adjustment under this Article 10 shall cause an adjustment to the Conversion Rate as so adjusted.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10.23. </w:t>
      </w:r>
      <w:r>
        <w:rPr>
          <w:rFonts w:ascii="Arial" w:cs="Arial" w:eastAsia="Arial" w:hAnsi="Arial"/>
          <w:sz w:val="18"/>
          <w:szCs w:val="18"/>
          <w:i w:val="1"/>
          <w:iCs w:val="1"/>
          <w:color w:val="auto"/>
        </w:rPr>
        <w:t>Rights Issued in Respect of Common Stock Issued Upon Conversion</w:t>
      </w:r>
      <w:r>
        <w:rPr>
          <w:rFonts w:ascii="Arial" w:cs="Arial" w:eastAsia="Arial" w:hAnsi="Arial"/>
          <w:sz w:val="18"/>
          <w:szCs w:val="18"/>
          <w:color w:val="auto"/>
        </w:rPr>
        <w:t>. Each share of Common Stock issued upon conversion of Notes pursuant to this Article 10 shall be entitled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receive the appropriate number of rights (“</w:t>
      </w:r>
      <w:r>
        <w:rPr>
          <w:rFonts w:ascii="Arial" w:cs="Arial" w:eastAsia="Arial" w:hAnsi="Arial"/>
          <w:sz w:val="18"/>
          <w:szCs w:val="18"/>
          <w:b w:val="1"/>
          <w:bCs w:val="1"/>
          <w:color w:val="auto"/>
        </w:rPr>
        <w:t>Rights</w:t>
      </w:r>
      <w:r>
        <w:rPr>
          <w:rFonts w:ascii="Arial" w:cs="Arial" w:eastAsia="Arial" w:hAnsi="Arial"/>
          <w:sz w:val="18"/>
          <w:szCs w:val="18"/>
          <w:color w:val="auto"/>
        </w:rPr>
        <w:t>”), if any, and the certificates representing Common Stock issued upon such conversion shall bear such legends, if any, in each case as may be provided by the terms of any rights plan (i.e., a poison pill) adopted by the Company, as the same may be amended form time to time, is in effect, (in each case, a “</w:t>
      </w:r>
      <w:r>
        <w:rPr>
          <w:rFonts w:ascii="Arial" w:cs="Arial" w:eastAsia="Arial" w:hAnsi="Arial"/>
          <w:sz w:val="18"/>
          <w:szCs w:val="18"/>
          <w:b w:val="1"/>
          <w:bCs w:val="1"/>
          <w:color w:val="auto"/>
        </w:rPr>
        <w:t>Shareholders Rights Plan</w:t>
      </w:r>
      <w:r>
        <w:rPr>
          <w:rFonts w:ascii="Arial" w:cs="Arial" w:eastAsia="Arial" w:hAnsi="Arial"/>
          <w:sz w:val="18"/>
          <w:szCs w:val="18"/>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10.08, subject to readjustment 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9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i w:val="1"/>
          <w:iCs w:val="1"/>
          <w:color w:val="auto"/>
        </w:rPr>
        <w:t>Withholding Taxes for Adjustments in Conversion Rate</w:t>
      </w:r>
      <w:r>
        <w:rPr>
          <w:rFonts w:ascii="Arial" w:cs="Arial" w:eastAsia="Arial" w:hAnsi="Arial"/>
          <w:sz w:val="18"/>
          <w:szCs w:val="18"/>
          <w:color w:val="auto"/>
        </w:rPr>
        <w:t>. The Company may, at its option, set-off withholding taxes due with 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9" w:lineRule="auto"/>
        <w:tabs>
          <w:tab w:leader="none" w:pos="16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Notes are not redeemable by the Company prior to April 20, 2012. On or after April 20, 2012, the Notes may be redeemed in whole or in part at the option of the Company if the Closing Price of the Company’s Common Stock has been greater than or equal to 135% of the Conversion Price then in effect for at least 20 Trading Days during any 30 consecutive Trading Day period ending within five Trading Days prior to the date on which the Company provides notice of redemption.</w:t>
      </w:r>
    </w:p>
    <w:p>
      <w:pPr>
        <w:spacing w:after="0" w:line="182" w:lineRule="exact"/>
        <w:rPr>
          <w:rFonts w:ascii="Arial" w:cs="Arial" w:eastAsia="Arial" w:hAnsi="Arial"/>
          <w:sz w:val="18"/>
          <w:szCs w:val="18"/>
          <w:color w:val="auto"/>
        </w:rPr>
      </w:pPr>
    </w:p>
    <w:p>
      <w:pPr>
        <w:ind w:firstLine="1305"/>
        <w:spacing w:after="0" w:line="274" w:lineRule="auto"/>
        <w:tabs>
          <w:tab w:leader="none" w:pos="16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redemption price at which the Notes are redeemable (the “</w:t>
      </w:r>
      <w:r>
        <w:rPr>
          <w:rFonts w:ascii="Arial" w:cs="Arial" w:eastAsia="Arial" w:hAnsi="Arial"/>
          <w:sz w:val="17"/>
          <w:szCs w:val="17"/>
          <w:b w:val="1"/>
          <w:bCs w:val="1"/>
          <w:color w:val="auto"/>
        </w:rPr>
        <w:t>Redemption Price</w:t>
      </w:r>
      <w:r>
        <w:rPr>
          <w:rFonts w:ascii="Arial" w:cs="Arial" w:eastAsia="Arial" w:hAnsi="Arial"/>
          <w:sz w:val="17"/>
          <w:szCs w:val="17"/>
          <w:color w:val="auto"/>
        </w:rPr>
        <w:t xml:space="preserve">”) shall be equal to (i) 100% of the principal of Notes to be redeemed, plus (ii) accrued and unpaid interest (including Additional Interest), if any, to, but excluding, the Redemption Date, plus (iii) the Make-Whole Premium;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87" w:lineRule="exact"/>
        <w:rPr>
          <w:sz w:val="20"/>
          <w:szCs w:val="20"/>
          <w:color w:val="auto"/>
        </w:rPr>
      </w:pPr>
    </w:p>
    <w:p>
      <w:pPr>
        <w:ind w:right="20" w:firstLine="1305"/>
        <w:spacing w:after="0" w:line="276" w:lineRule="auto"/>
        <w:tabs>
          <w:tab w:leader="none" w:pos="1631"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any redemption in accordance with this Article 11, the Company shall pay the Make-Whole Premium with respect to the Notes called for redemption to Holders, at its option, in Cash, shares of Common Stock or a combination of Cash and shares of Common Stock and shall specify the type of consideration for the Make-Whole Premium (and, if a combination, will specify the dollar amount of the Make-Whole Premium to be paid in Cash) in the notice of redemption sent by the Company pursuant to Section 11.03. If the Company does not specify the type of consideration for the Make-Whole Premium in such notice of redemption, the Company shall pay the Make-Whole Premium entirely in Cash.</w:t>
      </w:r>
    </w:p>
    <w:p>
      <w:pPr>
        <w:spacing w:after="0" w:line="1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Company may elect to pay the Make-Whole Premium or any portion thereof, subject to the fulfillment by the Company of the conditions set forth in Section 11.01(i), by delivering the number of shares of Common Stock equal to (i) the amount of the Make-Whole Premium (or such lesser portion</w:t>
      </w:r>
    </w:p>
    <w:p>
      <w:pPr>
        <w:sectPr>
          <w:pgSz w:w="11900" w:h="16975" w:orient="portrait"/>
          <w:cols w:equalWidth="0" w:num="1">
            <w:col w:w="11400"/>
          </w:cols>
          <w:pgMar w:left="240" w:top="125" w:right="259" w:bottom="0" w:gutter="0" w:footer="0" w:header="0"/>
        </w:sectPr>
      </w:pPr>
    </w:p>
    <w:bookmarkStart w:id="31" w:name="page32"/>
    <w:bookmarkEnd w:id="31"/>
    <w:p>
      <w:pPr>
        <w:spacing w:after="0" w:line="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thereof that the Company elects to pay in shares of Common Stock if the Company pays the Make-Whole Premium in a combination of Cash and shares of Common Stock) divided by (ii) the product of (x) the average of the Closing Prices per share of Common Stock for the five consecutive Trading Days immediately preceding and including the third Trading Day prior to the Redemption Date and (y) 97.5%.</w:t>
      </w:r>
    </w:p>
    <w:p>
      <w:pPr>
        <w:spacing w:after="0" w:line="181" w:lineRule="exact"/>
        <w:rPr>
          <w:sz w:val="20"/>
          <w:szCs w:val="20"/>
          <w:color w:val="auto"/>
        </w:rPr>
      </w:pPr>
    </w:p>
    <w:p>
      <w:pPr>
        <w:ind w:right="280" w:firstLine="1305"/>
        <w:spacing w:after="0" w:line="264" w:lineRule="auto"/>
        <w:tabs>
          <w:tab w:leader="none" w:pos="16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shall pay the Make-Whole Premium on all Notes called for redemption on or after April 20, 2012 and prior to October 15, 2013, including any Notes converted into Common Stock pursuant to the terms of the Indenture after the date of the notice of redemption sent pursuant to Section 11.03 of this Indenture and prior to such Redemption Date.</w:t>
      </w:r>
    </w:p>
    <w:p>
      <w:pPr>
        <w:spacing w:after="0" w:line="181" w:lineRule="exact"/>
        <w:rPr>
          <w:rFonts w:ascii="Arial" w:cs="Arial" w:eastAsia="Arial" w:hAnsi="Arial"/>
          <w:sz w:val="18"/>
          <w:szCs w:val="18"/>
          <w:color w:val="auto"/>
        </w:rPr>
      </w:pPr>
    </w:p>
    <w:p>
      <w:pPr>
        <w:ind w:right="40" w:firstLine="1305"/>
        <w:spacing w:after="0" w:line="259" w:lineRule="auto"/>
        <w:tabs>
          <w:tab w:leader="none" w:pos="163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may not redeem any Notes or deliver to any Holder of Notes a notice of redemption pursuant to Section 11.03 at any time when there exists any accrued and unpaid Defaulted Interest.</w:t>
      </w:r>
    </w:p>
    <w:p>
      <w:pPr>
        <w:spacing w:after="0" w:line="186" w:lineRule="exact"/>
        <w:rPr>
          <w:rFonts w:ascii="Arial" w:cs="Arial" w:eastAsia="Arial" w:hAnsi="Arial"/>
          <w:sz w:val="18"/>
          <w:szCs w:val="18"/>
          <w:color w:val="auto"/>
        </w:rPr>
      </w:pPr>
    </w:p>
    <w:p>
      <w:pPr>
        <w:ind w:right="80" w:firstLine="1305"/>
        <w:spacing w:after="0" w:line="255" w:lineRule="auto"/>
        <w:tabs>
          <w:tab w:leader="none" w:pos="165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Any issuance of shares of Common Stock in respect of the Make-Whole Premium shall be deemed to have been effected immediately prior to the Close of Business on the Redemption Date and the Person or Persons in whose name or names any stock certificate or stock certificates representing shares of Common Stock shall be issuable upon such redemption shall be deemed to have become on the Redemption Date the holder or holders of record of the shares represented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surrender for redemption on a date when the stock transfer books of the Company shall be closed shall constitute the Person or Persons in whose name or names the stock certificate or stock certificates representing such shares are to be issued as the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holder or holders of record of the shares represented thereby for all purposes at the opening of business on the next succeeding day on which such stock transfer books are open. No payment or adjustment shall be made for dividends or distributions on any Common Stock declared prior to the Redemption Date.</w:t>
      </w:r>
    </w:p>
    <w:p>
      <w:pPr>
        <w:spacing w:after="0" w:line="181"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A Holder receiving shares of Common Stock in respect of the Make-Whole Premium shall not be entitled to any rights as a holder of Common Stock, including, among other things, the right to vote and receive dividends and notices of stockholder meetings, until the Close of Business on the Redemption Date.</w:t>
      </w:r>
    </w:p>
    <w:p>
      <w:pPr>
        <w:spacing w:after="0" w:line="181" w:lineRule="exact"/>
        <w:rPr>
          <w:sz w:val="20"/>
          <w:szCs w:val="20"/>
          <w:color w:val="auto"/>
        </w:rPr>
      </w:pPr>
    </w:p>
    <w:p>
      <w:pPr>
        <w:ind w:right="160" w:firstLine="1305"/>
        <w:spacing w:after="0" w:line="342" w:lineRule="auto"/>
        <w:tabs>
          <w:tab w:leader="none" w:pos="1641"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Company will not issue a fractional share of Common Stock upon payment of the Make-Whole Premium. Instead, the Company shall pay Cash in lieu of fractional shares based on the Closing Price of Common Stock on the Trading Day prior to the applicable Conversion Date.</w:t>
      </w:r>
    </w:p>
    <w:p>
      <w:pPr>
        <w:spacing w:after="0" w:line="123" w:lineRule="exact"/>
        <w:rPr>
          <w:rFonts w:ascii="Arial" w:cs="Arial" w:eastAsia="Arial" w:hAnsi="Arial"/>
          <w:sz w:val="16"/>
          <w:szCs w:val="16"/>
          <w:color w:val="auto"/>
        </w:rPr>
      </w:pPr>
    </w:p>
    <w:p>
      <w:pPr>
        <w:ind w:right="20" w:firstLine="1305"/>
        <w:spacing w:after="0" w:line="293" w:lineRule="auto"/>
        <w:tabs>
          <w:tab w:leader="none" w:pos="1641"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Any issuance and delivery of stock certificates representing shares of Common Stock on payment of the Make-Whole Premium shall be made without charge to the Holder of Notes being redeemed or for any tax or duty in respect of the issuance or delivery of such stock certificates or the Notes represented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pay any tax or duty which may be payable in respect of (i) income of the Holder or (ii) any transfer involved in the issuance or delivery of stock certificates representing shares of Common Stock in a name other than that of the Holder of the Notes being redeemed, and no such issuance or delivery shall be made unless the Persons requesting such issuance or delivery has paid to the Company the amount of any such tax or duty or has established, to the satisfaction of the Company, that such tax or duty has been paid.</w:t>
      </w:r>
    </w:p>
    <w:p>
      <w:pPr>
        <w:spacing w:after="0" w:line="164" w:lineRule="exact"/>
        <w:rPr>
          <w:rFonts w:ascii="Arial" w:cs="Arial" w:eastAsia="Arial" w:hAnsi="Arial"/>
          <w:sz w:val="16"/>
          <w:szCs w:val="16"/>
          <w:color w:val="auto"/>
        </w:rPr>
      </w:pPr>
    </w:p>
    <w:p>
      <w:pPr>
        <w:ind w:right="180" w:firstLine="1305"/>
        <w:spacing w:after="0" w:line="277" w:lineRule="auto"/>
        <w:tabs>
          <w:tab w:leader="none" w:pos="164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Company may, at its option, pay the Make-Whole Premium payable to Holders pursuant to Section 11.01(b) upon redemption of the Notes, in shares of Common Stock, if the following conditions are satisfied: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shares of Common Stock to be so issued:</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2018" w:val="left"/>
        </w:tabs>
        <w:numPr>
          <w:ilvl w:val="1"/>
          <w:numId w:val="65"/>
        </w:numPr>
        <w:rPr>
          <w:rFonts w:ascii="Arial" w:cs="Arial" w:eastAsia="Arial" w:hAnsi="Arial"/>
          <w:sz w:val="18"/>
          <w:szCs w:val="18"/>
          <w:color w:val="auto"/>
        </w:rPr>
      </w:pPr>
      <w:r>
        <w:rPr>
          <w:rFonts w:ascii="Arial" w:cs="Arial" w:eastAsia="Arial" w:hAnsi="Arial"/>
          <w:sz w:val="18"/>
          <w:szCs w:val="18"/>
          <w:color w:val="auto"/>
        </w:rPr>
        <w:t>shall not require registration under any federal securities law before such shares may be freely transferable without being subject to any transfer restrictions under the Securities Act upon redemption or if such registration is required, such registration shall be completed and shall become effective prior to the Redemption Date; and</w:t>
      </w:r>
    </w:p>
    <w:p>
      <w:pPr>
        <w:spacing w:after="0" w:line="181" w:lineRule="exact"/>
        <w:rPr>
          <w:sz w:val="20"/>
          <w:szCs w:val="20"/>
          <w:color w:val="auto"/>
        </w:rPr>
      </w:pPr>
    </w:p>
    <w:p>
      <w:pPr>
        <w:ind w:left="660" w:right="100" w:firstLine="645"/>
        <w:spacing w:after="0" w:line="264" w:lineRule="auto"/>
        <w:tabs>
          <w:tab w:leader="none" w:pos="2023"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shall not require registration with, or approval of, any governmental authority under any state law or any other federal law before shares may be validly issued or delivered upon redemption or if such registration is required or such approval must be obtained, such registration shall be completed or such approval shall be obtained prior to the Redemption 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656"/>
        <w:spacing w:after="0" w:line="342" w:lineRule="auto"/>
        <w:tabs>
          <w:tab w:leader="none" w:pos="13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shares of Common Stock to be listed upon redemption of Notes hereunder are, or shall have been, approved for listing on The New York Stock Exchange or any other stock exchange on which the shares of Common Stock are then listed, in any case, prior to the Redemption Date.</w:t>
      </w:r>
    </w:p>
    <w:p>
      <w:pPr>
        <w:spacing w:after="0" w:line="123" w:lineRule="exact"/>
        <w:rPr>
          <w:rFonts w:ascii="Arial" w:cs="Arial" w:eastAsia="Arial" w:hAnsi="Arial"/>
          <w:sz w:val="16"/>
          <w:szCs w:val="16"/>
          <w:color w:val="auto"/>
        </w:rPr>
      </w:pPr>
    </w:p>
    <w:p>
      <w:pPr>
        <w:ind w:right="60" w:firstLine="656"/>
        <w:spacing w:after="0" w:line="308" w:lineRule="auto"/>
        <w:tabs>
          <w:tab w:leader="none" w:pos="1383"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shares of Common Stock which may be issued upon redemption of Notes shall be newly issued shares or treasury shares, shall be duly and validly issued and fully paid and nonassessable and shall be free from preemptive rights and free of any lien or adverse claim.</w:t>
      </w:r>
    </w:p>
    <w:p>
      <w:pPr>
        <w:spacing w:after="0" w:line="146" w:lineRule="exact"/>
        <w:rPr>
          <w:rFonts w:ascii="Arial" w:cs="Arial" w:eastAsia="Arial" w:hAnsi="Arial"/>
          <w:sz w:val="17"/>
          <w:szCs w:val="17"/>
          <w:color w:val="auto"/>
        </w:rPr>
      </w:pPr>
    </w:p>
    <w:p>
      <w:pPr>
        <w:ind w:right="220" w:firstLine="656"/>
        <w:spacing w:after="0" w:line="277" w:lineRule="auto"/>
        <w:tabs>
          <w:tab w:leader="none" w:pos="134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any of the conditions set forth in clauses (A) through (C) of this Section 11.01(i) are not satisfied in accordance with the terms thereof, the Make-Whole Premium shall be paid by the Company only in Cash.</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Selection of Notes to be Redeemed</w:t>
      </w:r>
      <w:r>
        <w:rPr>
          <w:rFonts w:ascii="Arial" w:cs="Arial" w:eastAsia="Arial" w:hAnsi="Arial"/>
          <w:sz w:val="16"/>
          <w:szCs w:val="16"/>
          <w:color w:val="auto"/>
        </w:rPr>
        <w:t>. If less than all the Notes are to be redeemed, the Trustee shall select the Notes to be redeemed pro rata or by lot or by any other method the Trustee considers fair and appropriate (so long as such method is not prohibited by the rules of The New York Stock Exchange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5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ectPr>
          <w:pgSz w:w="11900" w:h="16918" w:orient="portrait"/>
          <w:cols w:equalWidth="0" w:num="1">
            <w:col w:w="11420"/>
          </w:cols>
          <w:pgMar w:left="240" w:top="125" w:right="239" w:bottom="0" w:gutter="0" w:footer="0" w:header="0"/>
        </w:sectPr>
      </w:pPr>
    </w:p>
    <w:bookmarkStart w:id="32" w:name="page33"/>
    <w:bookmarkEnd w:id="32"/>
    <w:p>
      <w:pPr>
        <w:jc w:val="both"/>
        <w:ind w:right="14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Notice of Redemption</w:t>
      </w:r>
      <w:r>
        <w:rPr>
          <w:rFonts w:ascii="Arial" w:cs="Arial" w:eastAsia="Arial" w:hAnsi="Arial"/>
          <w:sz w:val="17"/>
          <w:szCs w:val="17"/>
          <w:color w:val="auto"/>
        </w:rPr>
        <w:t xml:space="preserve">. At least 30 days but not more than 60 days before a Redemption Date, the Company shall mail a notice of 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Company may not deliver any such notice to any Holder of Notes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620" w:hanging="343"/>
        <w:spacing w:after="0"/>
        <w:tabs>
          <w:tab w:leader="none" w:pos="2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343"/>
        <w:spacing w:after="0"/>
        <w:tabs>
          <w:tab w:leader="none" w:pos="2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60" w:firstLine="2277"/>
        <w:spacing w:after="0" w:line="277" w:lineRule="auto"/>
        <w:tabs>
          <w:tab w:leader="none" w:pos="26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rFonts w:ascii="Arial" w:cs="Arial" w:eastAsia="Arial" w:hAnsi="Arial"/>
          <w:sz w:val="18"/>
          <w:szCs w:val="18"/>
          <w:color w:val="auto"/>
        </w:rPr>
      </w:pPr>
    </w:p>
    <w:p>
      <w:pPr>
        <w:ind w:left="2620" w:hanging="343"/>
        <w:spacing w:after="0"/>
        <w:tabs>
          <w:tab w:leader="none" w:pos="2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Effect of Notice of Redemption</w:t>
      </w:r>
      <w:r>
        <w:rPr>
          <w:rFonts w:ascii="Arial" w:cs="Arial" w:eastAsia="Arial" w:hAnsi="Arial"/>
          <w:sz w:val="18"/>
          <w:szCs w:val="18"/>
          <w:color w:val="auto"/>
        </w:rPr>
        <w:t>. Once notice of redemption is given, Notes called for redemption become 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Deposit of Redemption Price</w:t>
      </w:r>
      <w:r>
        <w:rPr>
          <w:rFonts w:ascii="Arial" w:cs="Arial" w:eastAsia="Arial" w:hAnsi="Arial"/>
          <w:sz w:val="16"/>
          <w:szCs w:val="16"/>
          <w:color w:val="auto"/>
        </w:rPr>
        <w:t>. Prior to 12:00 p.m. (New York City time) on or prior to the Redemption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Notes Redeemed in Part</w:t>
      </w:r>
      <w:r>
        <w:rPr>
          <w:rFonts w:ascii="Arial" w:cs="Arial" w:eastAsia="Arial" w:hAnsi="Arial"/>
          <w:sz w:val="18"/>
          <w:szCs w:val="18"/>
          <w:color w:val="auto"/>
        </w:rPr>
        <w:t xml:space="preserve">. Any Note which is to be redeemed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given to all Holders of Notes to be redeemed or (ii) register the transfer of or exchange any Notes so selected for redemption, in whole or in part, except the unredeemed portion of any Notes being redeemed in part.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12.01</w:t>
      </w:r>
      <w:r>
        <w:rPr>
          <w:rFonts w:ascii="Arial" w:cs="Arial" w:eastAsia="Arial" w:hAnsi="Arial"/>
          <w:sz w:val="17"/>
          <w:szCs w:val="17"/>
          <w:i w:val="1"/>
          <w:iCs w:val="1"/>
          <w:color w:val="auto"/>
        </w:rPr>
        <w:t>. Interest Payments</w:t>
      </w:r>
      <w:r>
        <w:rPr>
          <w:rFonts w:ascii="Arial" w:cs="Arial" w:eastAsia="Arial" w:hAnsi="Arial"/>
          <w:sz w:val="17"/>
          <w:szCs w:val="17"/>
          <w:color w:val="auto"/>
        </w:rPr>
        <w:t>. Interest (including any Additional Interest) on any Note that is payable, and is punctually paid or duly provided 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ectPr>
          <w:pgSz w:w="11900" w:h="16838" w:orient="portrait"/>
          <w:cols w:equalWidth="0" w:num="1">
            <w:col w:w="11400"/>
          </w:cols>
          <w:pgMar w:left="240" w:top="341" w:right="259" w:bottom="0" w:gutter="0" w:footer="0" w:header="0"/>
        </w:sectPr>
      </w:pPr>
    </w:p>
    <w:bookmarkStart w:id="33" w:name="page34"/>
    <w:bookmarkEnd w:id="33"/>
    <w:p>
      <w:pPr>
        <w:spacing w:after="0" w:line="5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Section 12.02</w:t>
      </w:r>
      <w:r>
        <w:rPr>
          <w:rFonts w:ascii="Arial" w:cs="Arial" w:eastAsia="Arial" w:hAnsi="Arial"/>
          <w:sz w:val="17"/>
          <w:szCs w:val="17"/>
          <w:i w:val="1"/>
          <w:iCs w:val="1"/>
          <w:color w:val="auto"/>
        </w:rPr>
        <w:t>. Defaulted Interest</w:t>
      </w:r>
      <w:r>
        <w:rPr>
          <w:rFonts w:ascii="Arial" w:cs="Arial" w:eastAsia="Arial" w:hAnsi="Arial"/>
          <w:sz w:val="17"/>
          <w:szCs w:val="17"/>
          <w:color w:val="auto"/>
        </w:rPr>
        <w:t>. Any interest (including any Additional Interest) on any Note that is payable, but is not punctually paid or duly 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firstLine="1305"/>
        <w:spacing w:after="0" w:line="289" w:lineRule="auto"/>
        <w:tabs>
          <w:tab w:leader="none" w:pos="1631"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 The Trustee shall promptly notify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Company of such Special Record Date and, in the name and at the expense of the Company, shall cause notice of the proposed payment of such Defaulted Interest and the Special Record Date therefor to be mailed, first-class postage prepaid, to each Holder of Notes at his address as it appears on the list of Noteholders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58" w:lineRule="exact"/>
        <w:rPr>
          <w:sz w:val="20"/>
          <w:szCs w:val="20"/>
          <w:color w:val="auto"/>
        </w:rPr>
      </w:pPr>
    </w:p>
    <w:p>
      <w:pPr>
        <w:ind w:right="80" w:firstLine="1305"/>
        <w:spacing w:after="0" w:line="312" w:lineRule="auto"/>
        <w:tabs>
          <w:tab w:leader="none" w:pos="162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Interest Rights Preserved</w:t>
      </w:r>
      <w:r>
        <w:rPr>
          <w:rFonts w:ascii="Arial" w:cs="Arial" w:eastAsia="Arial" w:hAnsi="Arial"/>
          <w:sz w:val="18"/>
          <w:szCs w:val="18"/>
          <w:color w:val="auto"/>
        </w:rPr>
        <w:t>. Subject to the foregoing provisions of this Article 12 and Section 2.06, each Note delivered under this 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Noteholder Communications; Noteholder Actions</w:t>
      </w:r>
      <w:r>
        <w:rPr>
          <w:rFonts w:ascii="Arial" w:cs="Arial" w:eastAsia="Arial" w:hAnsi="Arial"/>
          <w:sz w:val="18"/>
          <w:szCs w:val="18"/>
          <w:color w:val="auto"/>
        </w:rPr>
        <w:t>. (a) The rights of Holders to communicate with other Holders with respect to this 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right="20" w:firstLine="1305"/>
        <w:spacing w:after="0" w:line="286" w:lineRule="auto"/>
        <w:tabs>
          <w:tab w:leader="none" w:pos="1551"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Any request, demand, authorization, direction, notice, consent to amendment, supplement or waiver or other action provided by this Indenture to be given or taken by a Holder (an “</w:t>
      </w:r>
      <w:r>
        <w:rPr>
          <w:rFonts w:ascii="Arial" w:cs="Arial" w:eastAsia="Arial" w:hAnsi="Arial"/>
          <w:sz w:val="17"/>
          <w:szCs w:val="17"/>
          <w:b w:val="1"/>
          <w:bCs w:val="1"/>
          <w:color w:val="auto"/>
        </w:rPr>
        <w:t>act</w:t>
      </w:r>
      <w:r>
        <w:rPr>
          <w:rFonts w:ascii="Arial" w:cs="Arial" w:eastAsia="Arial" w:hAnsi="Arial"/>
          <w:sz w:val="17"/>
          <w:szCs w:val="17"/>
          <w:color w:val="auto"/>
        </w:rPr>
        <w:t>”) may be evidenced by an instrument signed by the Holder delivered to the Trustee. The fact and date of the execution of the instrument, or the authority of the person executing it, may be proved in any manner that the Trustee deems sufficient.</w:t>
      </w:r>
    </w:p>
    <w:p>
      <w:pPr>
        <w:spacing w:after="0" w:line="165" w:lineRule="exact"/>
        <w:rPr>
          <w:rFonts w:ascii="Arial" w:cs="Arial" w:eastAsia="Arial" w:hAnsi="Arial"/>
          <w:sz w:val="17"/>
          <w:szCs w:val="17"/>
          <w:color w:val="auto"/>
        </w:rPr>
      </w:pPr>
    </w:p>
    <w:p>
      <w:pPr>
        <w:ind w:left="2640" w:hanging="363"/>
        <w:spacing w:after="0"/>
        <w:tabs>
          <w:tab w:leader="none" w:pos="26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Holders.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1305"/>
        <w:spacing w:after="0" w:line="286" w:lineRule="auto"/>
        <w:tabs>
          <w:tab w:leader="none" w:pos="1631"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65" w:lineRule="exact"/>
        <w:rPr>
          <w:rFonts w:ascii="Arial" w:cs="Arial" w:eastAsia="Arial" w:hAnsi="Arial"/>
          <w:sz w:val="17"/>
          <w:szCs w:val="17"/>
          <w:color w:val="auto"/>
        </w:rPr>
      </w:pPr>
    </w:p>
    <w:p>
      <w:pPr>
        <w:ind w:right="200" w:firstLine="1305"/>
        <w:spacing w:after="0" w:line="273" w:lineRule="auto"/>
        <w:tabs>
          <w:tab w:leader="none" w:pos="16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78"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500" w:firstLine="8"/>
        <w:spacing w:after="0" w:line="261"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ectPr>
          <w:pgSz w:w="11900" w:h="16888" w:orient="portrait"/>
          <w:cols w:equalWidth="0" w:num="1">
            <w:col w:w="11420"/>
          </w:cols>
          <w:pgMar w:left="240" w:top="125" w:right="239" w:bottom="0" w:gutter="0" w:footer="0" w:header="0"/>
        </w:sectPr>
      </w:pPr>
    </w:p>
    <w:bookmarkStart w:id="34" w:name="page35"/>
    <w:bookmarkEnd w:id="34"/>
    <w:p>
      <w:pPr>
        <w:ind w:left="1300"/>
        <w:spacing w:after="0"/>
        <w:rPr>
          <w:sz w:val="20"/>
          <w:szCs w:val="20"/>
          <w:color w:val="auto"/>
        </w:rPr>
      </w:pPr>
      <w:r>
        <w:rPr>
          <w:rFonts w:ascii="Arial" w:cs="Arial" w:eastAsia="Arial" w:hAnsi="Arial"/>
          <w:sz w:val="18"/>
          <w:szCs w:val="18"/>
          <w:color w:val="auto"/>
        </w:rPr>
        <w:t>Boise, Idaho 83716</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625 Marquette Avenue South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N9311-110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Micron Account Manager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(800) 344-5128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(612) 667-9825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0" w:firstLine="1305"/>
        <w:spacing w:after="0" w:line="257" w:lineRule="auto"/>
        <w:tabs>
          <w:tab w:leader="none" w:pos="16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240" w:firstLine="1305"/>
        <w:spacing w:after="0" w:line="264" w:lineRule="auto"/>
        <w:tabs>
          <w:tab w:leader="none" w:pos="16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Noteholders may communicate pursuant to Section 312(b) of the Trust Indenture Act with other Noteholders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400" w:firstLine="1953"/>
        <w:spacing w:after="0" w:line="277" w:lineRule="auto"/>
        <w:tabs>
          <w:tab w:leader="none" w:pos="26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must include:</w:t>
      </w:r>
    </w:p>
    <w:p>
      <w:pPr>
        <w:spacing w:after="0" w:line="170" w:lineRule="exact"/>
        <w:rPr>
          <w:sz w:val="20"/>
          <w:szCs w:val="20"/>
          <w:color w:val="auto"/>
        </w:rPr>
      </w:pPr>
    </w:p>
    <w:p>
      <w:pPr>
        <w:ind w:left="2620" w:hanging="667"/>
        <w:spacing w:after="0"/>
        <w:tabs>
          <w:tab w:leader="none" w:pos="26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40" w:firstLine="1953"/>
        <w:spacing w:after="0" w:line="277" w:lineRule="auto"/>
        <w:tabs>
          <w:tab w:leader="none" w:pos="261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40" w:firstLine="1953"/>
        <w:spacing w:after="0" w:line="342" w:lineRule="auto"/>
        <w:tabs>
          <w:tab w:leader="none" w:pos="261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right="100" w:firstLine="1953"/>
        <w:spacing w:after="0" w:line="308" w:lineRule="auto"/>
        <w:tabs>
          <w:tab w:leader="none" w:pos="2614"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ectPr>
          <w:pgSz w:w="11900" w:h="16838" w:orient="portrait"/>
          <w:cols w:equalWidth="0" w:num="1">
            <w:col w:w="11400"/>
          </w:cols>
          <w:pgMar w:left="240" w:top="125" w:right="259" w:bottom="0" w:gutter="0" w:footer="0" w:header="0"/>
        </w:sectPr>
      </w:pPr>
    </w:p>
    <w:bookmarkStart w:id="35" w:name="page36"/>
    <w:bookmarkEnd w:id="35"/>
    <w:p>
      <w:pPr>
        <w:ind w:right="240" w:firstLine="648"/>
        <w:spacing w:after="0" w:line="28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Legal Holiday</w:t>
      </w:r>
      <w:r>
        <w:rPr>
          <w:rFonts w:ascii="Arial" w:cs="Arial" w:eastAsia="Arial" w:hAnsi="Arial"/>
          <w:sz w:val="17"/>
          <w:szCs w:val="17"/>
          <w:color w:val="auto"/>
        </w:rPr>
        <w:t>. A “</w:t>
      </w:r>
      <w:r>
        <w:rPr>
          <w:rFonts w:ascii="Arial" w:cs="Arial" w:eastAsia="Arial" w:hAnsi="Arial"/>
          <w:sz w:val="17"/>
          <w:szCs w:val="17"/>
          <w:b w:val="1"/>
          <w:bCs w:val="1"/>
          <w:color w:val="auto"/>
        </w:rPr>
        <w:t>Legal Holiday</w:t>
      </w:r>
      <w:r>
        <w:rPr>
          <w:rFonts w:ascii="Arial" w:cs="Arial" w:eastAsia="Arial" w:hAnsi="Arial"/>
          <w:sz w:val="17"/>
          <w:szCs w:val="17"/>
          <w:color w:val="auto"/>
        </w:rPr>
        <w:t>” is any day other than a Business Day. If any specified date (including a date for giving notice) 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62"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Rules by Trustee, Paying Agent, Conversion Agent and Registrar</w:t>
      </w:r>
      <w:r>
        <w:rPr>
          <w:rFonts w:ascii="Arial" w:cs="Arial" w:eastAsia="Arial" w:hAnsi="Arial"/>
          <w:sz w:val="17"/>
          <w:szCs w:val="17"/>
          <w:color w:val="auto"/>
        </w:rPr>
        <w:t>. The Trustee may make reasonable rules for action by or a meeting of Noteholders. The Registrar, Conversion Agent and the Paying Agent may make reasonable rules for their functions.</w:t>
      </w:r>
    </w:p>
    <w:p>
      <w:pPr>
        <w:spacing w:after="0" w:line="14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13.09</w:t>
      </w:r>
      <w:r>
        <w:rPr>
          <w:rFonts w:ascii="Arial" w:cs="Arial" w:eastAsia="Arial" w:hAnsi="Arial"/>
          <w:sz w:val="18"/>
          <w:szCs w:val="18"/>
          <w:i w:val="1"/>
          <w:iCs w:val="1"/>
          <w:color w:val="auto"/>
        </w:rPr>
        <w:t>. Governing Law</w:t>
      </w:r>
      <w:r>
        <w:rPr>
          <w:rFonts w:ascii="Arial" w:cs="Arial" w:eastAsia="Arial" w:hAnsi="Arial"/>
          <w:sz w:val="18"/>
          <w:szCs w:val="18"/>
          <w:color w:val="auto"/>
        </w:rPr>
        <w:t>. THIS INDENTURE AND EACH NOTE SHALL BE DEEMED TO BE A CONTRACT MADE UNDER THE LAWS OF THE STATE OF NEW YORK, AND FOR ALL PURPOSES SHALL BE CONSTRUED IN ACCORDANCE WITH THE LAWS OF THE STATE OF NEW YORK.</w:t>
      </w:r>
    </w:p>
    <w:p>
      <w:pPr>
        <w:spacing w:after="0" w:line="181"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Notes will bind its successors. All agreements of the Trustee in this Indenture will bind its successor.</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Table of Contents and Headings</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i w:val="1"/>
          <w:iCs w:val="1"/>
          <w:color w:val="auto"/>
        </w:rPr>
        <w:t>No Liability of Directors, Officers, Employees, Incorporators, Members and Stockholders</w:t>
      </w:r>
      <w:r>
        <w:rPr>
          <w:rFonts w:ascii="Arial" w:cs="Arial" w:eastAsia="Arial" w:hAnsi="Arial"/>
          <w:sz w:val="18"/>
          <w:szCs w:val="18"/>
          <w:color w:val="auto"/>
        </w:rPr>
        <w:t>. No director, officer, employee, incorporator, member or stockholder of the Company, as such, will have any liability for any obligations of the Company under the Notes or this Indenture or for any claim based on, in respect of, or by reason of, such obligations. Each Holder of Notes by accepting a Note waives and releases all such liability. The waiver and release are part of the consideration for issuance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20"/>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600" w:type="dxa"/>
            <w:vAlign w:val="bottom"/>
          </w:tcPr>
          <w:p>
            <w:pPr>
              <w:spacing w:after="0"/>
              <w:rPr>
                <w:sz w:val="20"/>
                <w:szCs w:val="20"/>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Lynn M. Steiner</w:t>
      </w:r>
    </w:p>
    <w:p>
      <w:pPr>
        <w:spacing w:after="0" w:line="23"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Name:</w:t>
        <w:tab/>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 Convertible Senior Note due October 15,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 ]</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CUSIP 595112 AJ 2</w:t>
      </w:r>
    </w:p>
    <w:p>
      <w:pPr>
        <w:spacing w:after="0" w:line="225"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ISIN US595112 AJ 29</w:t>
      </w:r>
    </w:p>
    <w:p>
      <w:pPr>
        <w:sectPr>
          <w:pgSz w:w="11900" w:h="16838" w:orient="portrait"/>
          <w:cols w:equalWidth="0" w:num="1">
            <w:col w:w="11420"/>
          </w:cols>
          <w:pgMar w:left="240" w:top="121" w:right="239" w:bottom="0" w:gutter="0" w:footer="0" w:header="0"/>
        </w:sectPr>
      </w:pPr>
    </w:p>
    <w:bookmarkStart w:id="36" w:name="page37"/>
    <w:bookmarkEnd w:id="36"/>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w:t>
      </w:r>
    </w:p>
    <w:p>
      <w:pPr>
        <w:spacing w:after="0" w:line="50"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for value received, promises to pay to Cede &amp; Co. or its registered assigns, the principal sum of Dollars ($ ) [(which principal amount may from time to time be increased or decreased to such other principal amounts (which, taken together with the principal amounts of all other outstanding Notes, shall not exceed $230,000,000) by adjustments made by the Trustee as set forth on Schedule I hereto)]* on October 15, 2013.</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4.25%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commencing October 15,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April 1 and October 1.</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700" w:hanging="368"/>
        <w:spacing w:after="0"/>
        <w:tabs>
          <w:tab w:leader="none" w:pos="7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15, 2009</w:t>
      </w:r>
      <w:r>
        <w:rPr>
          <w:sz w:val="20"/>
          <w:szCs w:val="20"/>
          <w:color w:val="auto"/>
        </w:rPr>
        <w:tab/>
      </w:r>
      <w:r>
        <w:rPr>
          <w:rFonts w:ascii="Arial" w:cs="Arial" w:eastAsia="Arial" w:hAnsi="Arial"/>
          <w:sz w:val="17"/>
          <w:szCs w:val="17"/>
          <w:color w:val="auto"/>
        </w:rPr>
        <w:t>MICRON TECHNOLOGY,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4.25% Convertible Senior Notes due October 15, 2013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4.25% Convertible Senior Note due October 15, 2013</w:t>
      </w:r>
    </w:p>
    <w:p>
      <w:pPr>
        <w:spacing w:after="0" w:line="225" w:lineRule="exact"/>
        <w:rPr>
          <w:sz w:val="20"/>
          <w:szCs w:val="20"/>
          <w:color w:val="auto"/>
        </w:rPr>
      </w:pPr>
    </w:p>
    <w:p>
      <w:pPr>
        <w:ind w:left="1020" w:hanging="364"/>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October 15, 2013.</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4.25% per annum.</w:t>
      </w:r>
    </w:p>
    <w:p>
      <w:pPr>
        <w:spacing w:after="0" w:line="170"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April 15 or October 15 immediately preceding the interest payment date) on each interest payment date, commencing October 15, 2009.</w:t>
      </w:r>
    </w:p>
    <w:p>
      <w:pPr>
        <w:spacing w:after="0" w:line="170"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Interest on this Note will accrue from the most recent date to which interest has been paid or provided for on this Note or the Note surrendered in exchange for this Note or, if no interest has been paid, from April 15, 2009, through the day before each Interest Payment Date. Interest will be computed in the basis of a 360-day year of twelve 30-day months.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the Company elects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4.25%. Defaulted Interest shall be paid to the Persons that are Holders on a Special Record Date, which will established as set forth in the Indenture.</w:t>
      </w:r>
    </w:p>
    <w:p>
      <w:pPr>
        <w:spacing w:after="0" w:line="181" w:lineRule="exact"/>
        <w:rPr>
          <w:sz w:val="20"/>
          <w:szCs w:val="20"/>
          <w:color w:val="auto"/>
        </w:rPr>
      </w:pPr>
    </w:p>
    <w:p>
      <w:pPr>
        <w:ind w:left="1020" w:hanging="364"/>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w:t>
      </w:r>
    </w:p>
    <w:p>
      <w:pPr>
        <w:sectPr>
          <w:pgSz w:w="11900" w:h="16838" w:orient="portrait"/>
          <w:cols w:equalWidth="0" w:num="1">
            <w:col w:w="11400"/>
          </w:cols>
          <w:pgMar w:left="240" w:top="337" w:right="259" w:bottom="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will pay any Cash amounts in money of the United States that at the time of payment is legal tender for payment of public and private debts.</w:t>
      </w:r>
    </w:p>
    <w:p>
      <w:pPr>
        <w:spacing w:after="0" w:line="225" w:lineRule="exact"/>
        <w:rPr>
          <w:sz w:val="20"/>
          <w:szCs w:val="20"/>
          <w:color w:val="auto"/>
        </w:rPr>
      </w:pPr>
    </w:p>
    <w:p>
      <w:pPr>
        <w:ind w:left="1020" w:hanging="364"/>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their Affiliates may act as Paying Agent, Conversion Agent, Registrar or co-registrar. The Company may maintain deposit accounts and conduct other banking transactions with the Trustee in the normal course of business.</w:t>
      </w:r>
    </w:p>
    <w:p>
      <w:pPr>
        <w:spacing w:after="0" w:line="170" w:lineRule="exact"/>
        <w:rPr>
          <w:sz w:val="20"/>
          <w:szCs w:val="20"/>
          <w:color w:val="auto"/>
        </w:rPr>
      </w:pPr>
    </w:p>
    <w:p>
      <w:pPr>
        <w:ind w:left="1020" w:hanging="364"/>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April 15, 2009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1020" w:hanging="364"/>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 upon Change in Control or Termination of Trading</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1020" w:hanging="364"/>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right="40" w:firstLine="1297"/>
        <w:spacing w:after="0" w:line="285" w:lineRule="auto"/>
        <w:rPr>
          <w:sz w:val="20"/>
          <w:szCs w:val="20"/>
          <w:color w:val="auto"/>
        </w:rPr>
      </w:pPr>
      <w:r>
        <w:rPr>
          <w:rFonts w:ascii="Arial" w:cs="Arial" w:eastAsia="Arial" w:hAnsi="Arial"/>
          <w:sz w:val="16"/>
          <w:szCs w:val="16"/>
          <w:color w:val="auto"/>
        </w:rPr>
        <w:t>No sinking fund is provided for the Notes. The Notes are redeemable as a whole, or from time to time in part, at any time commencing on April 20, 2012 at the option of the Company if the Closing Price of the Company’s Common Stock has been greater than or equal to 135%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for any such redemption is equal to (i) 100% of the Principal Amount of Notes to be redeemed, plus (ii) accrued and unpaid interest (including Additional Interest), if any, to, but excluding, the Redemption Date, plus</w:t>
      </w:r>
    </w:p>
    <w:p>
      <w:pPr>
        <w:spacing w:after="0" w:line="2"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Make-Whole Premium.</w:t>
      </w:r>
    </w:p>
    <w:p>
      <w:pPr>
        <w:spacing w:after="0" w:line="210" w:lineRule="exact"/>
        <w:rPr>
          <w:rFonts w:ascii="Arial" w:cs="Arial" w:eastAsia="Arial" w:hAnsi="Arial"/>
          <w:sz w:val="18"/>
          <w:szCs w:val="18"/>
          <w:color w:val="auto"/>
        </w:rPr>
      </w:pPr>
    </w:p>
    <w:p>
      <w:pPr>
        <w:ind w:left="1020" w:hanging="364"/>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Subject to the provisions of the Indenture, the Holder hereof has the right, at its option, prior to the close of business on the Business Day immediately preceding the Maturity Date, to convert this Note or portion thereof that is $1,000 or an integral multiple thereof, into Common Stock at a Conversion Rate specified in the Indenture, as adjusted from time to time as provided in the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89" w:lineRule="exact"/>
        <w:rPr>
          <w:sz w:val="20"/>
          <w:szCs w:val="20"/>
          <w:color w:val="auto"/>
        </w:rPr>
      </w:pPr>
    </w:p>
    <w:p>
      <w:pPr>
        <w:ind w:left="1020" w:hanging="364"/>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1020" w:hanging="364"/>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1000" w:hanging="344"/>
        <w:spacing w:after="0"/>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ectPr>
          <w:pgSz w:w="11900" w:h="16838" w:orient="portrait"/>
          <w:cols w:equalWidth="0" w:num="1">
            <w:col w:w="11400"/>
          </w:cols>
          <w:pgMar w:left="240" w:top="125" w:right="259" w:bottom="0" w:gutter="0" w:footer="0" w:header="0"/>
        </w:sectPr>
      </w:pPr>
    </w:p>
    <w:bookmarkStart w:id="38" w:name="page39"/>
    <w:bookmarkEnd w:id="38"/>
    <w:p>
      <w:pPr>
        <w:ind w:left="1020" w:hanging="364"/>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1020" w:hanging="364"/>
        <w:spacing w:after="0"/>
        <w:tabs>
          <w:tab w:leader="none" w:pos="10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1020" w:hanging="364"/>
        <w:spacing w:after="0"/>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1020" w:hanging="364"/>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1020" w:hanging="364"/>
        <w:spacing w:after="0"/>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125" w:right="279" w:bottom="451" w:gutter="0" w:footer="0" w:header="0"/>
        </w:sectPr>
      </w:pPr>
    </w:p>
    <w:bookmarkStart w:id="39" w:name="page40"/>
    <w:bookmarkEnd w:id="39"/>
    <w:p>
      <w:pPr>
        <w:spacing w:after="0" w:line="62" w:lineRule="exact"/>
        <w:rPr>
          <w:sz w:val="20"/>
          <w:szCs w:val="20"/>
          <w:color w:val="auto"/>
        </w:rPr>
      </w:pPr>
    </w:p>
    <w:p>
      <w:pPr>
        <w:ind w:right="200" w:firstLine="332"/>
        <w:spacing w:after="0" w:line="264" w:lineRule="auto"/>
        <w:tabs>
          <w:tab w:leader="none" w:pos="68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625 Marquette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N9311-110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Micron Account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667-9825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convert only part of this Note, state the principal amount to be converted (must be $1,000 principal amount or an integral multiple of $1,000</w:t>
      </w:r>
    </w:p>
    <w:p>
      <w:pPr>
        <w:spacing w:after="0" w:line="3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stock certificate made out in another person’s name,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32"/>
        <w:spacing w:after="0" w:line="264" w:lineRule="auto"/>
        <w:tabs>
          <w:tab w:leader="none" w:pos="68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2"/>
          </w:tcPr>
          <w:p>
            <w:pPr>
              <w:ind w:left="2060"/>
              <w:spacing w:after="0"/>
              <w:rPr>
                <w:sz w:val="20"/>
                <w:szCs w:val="20"/>
                <w:color w:val="auto"/>
              </w:rPr>
            </w:pPr>
            <w:r>
              <w:rPr>
                <w:rFonts w:ascii="Arial" w:cs="Arial" w:eastAsia="Arial" w:hAnsi="Arial"/>
                <w:sz w:val="18"/>
                <w:szCs w:val="18"/>
                <w:b w:val="1"/>
                <w:bCs w:val="1"/>
                <w:color w:val="auto"/>
                <w:w w:val="90"/>
              </w:rPr>
              <w:t>Schedule I*</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No. [</w:t>
            </w:r>
          </w:p>
        </w:tc>
        <w:tc>
          <w:tcPr>
            <w:tcW w:w="1620" w:type="dxa"/>
            <w:vAlign w:val="bottom"/>
          </w:tcPr>
          <w:p>
            <w:pPr>
              <w:jc w:val="right"/>
              <w:ind w:right="13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w w:val="93"/>
              </w:rPr>
              <w:t>The initial principal amount of this Global Note is $230,000,000.</w:t>
            </w:r>
          </w:p>
        </w:tc>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Principal Amount of this</w:t>
            </w:r>
          </w:p>
        </w:tc>
        <w:tc>
          <w:tcPr>
            <w:tcW w:w="3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Notation Explaining</w:t>
            </w:r>
          </w:p>
        </w:tc>
        <w:tc>
          <w:tcPr>
            <w:tcW w:w="2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2"/>
            <w:vMerge w:val="continue"/>
          </w:tcPr>
          <w:p>
            <w:pPr>
              <w:spacing w:after="0"/>
              <w:rPr>
                <w:sz w:val="12"/>
                <w:szCs w:val="12"/>
                <w:color w:val="auto"/>
              </w:rPr>
            </w:pPr>
          </w:p>
        </w:tc>
        <w:tc>
          <w:tcPr>
            <w:tcW w:w="3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 Principal</w:t>
            </w:r>
          </w:p>
        </w:tc>
        <w:tc>
          <w:tcPr>
            <w:tcW w:w="2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Global Note</w:t>
            </w:r>
          </w:p>
        </w:tc>
        <w:tc>
          <w:tcPr>
            <w:tcW w:w="3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2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142"/>
        </w:trPr>
        <w:tc>
          <w:tcPr>
            <w:tcW w:w="46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0" w:name="page41"/>
    <w:bookmarkEnd w:id="40"/>
    <w:p>
      <w:pPr>
        <w:ind w:left="700" w:hanging="368"/>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389255</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WILSON SONSINI GOODRICH &amp; ROSATI, P.C.]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83716</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 Micron Technology, Inc.—Registration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acted as special counsel to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April 7, 2009 of a registration statement on Form S-3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that is automatically effective under the Securities Act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Rule 462(e) promulgated thereunder. The Registration Statement relates to, among other things, the proposed issuance and sale, from time to time, by the Company of convertible senior securities and shares of the Company’s Common Stock, $0.10 par value per share (the “Common Stock”), each with an indeterminate amount as may at various times be issued at indeterminate prices, in reliance on Rule 456(b) and Rule 457(r) under the Securities Act. Pursuant to the prospectus and prospectus supplements, which comprise part of the Registration Statement, the Company may offer and sell the Debt Securities and Common Stock from time to time or on a continuous basis.</w:t>
      </w:r>
    </w:p>
    <w:p>
      <w:pPr>
        <w:spacing w:after="0" w:line="17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Pursuant to the Registration Statement, the Company has issued $230,000,000 of Convertible Senior Notes due October 15, 2013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all of which will be sold to Morgan Stanley &amp; Co. Incorporated, Goldman, Sachs &amp; Co. and Deutsche Bank Securities Inc. (collectively,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pursuant to that certain Underwriting Agreement, dated as of April 8, 2009 (the “</w:t>
      </w:r>
      <w:r>
        <w:rPr>
          <w:rFonts w:ascii="Arial" w:cs="Arial" w:eastAsia="Arial" w:hAnsi="Arial"/>
          <w:sz w:val="18"/>
          <w:szCs w:val="18"/>
          <w:b w:val="1"/>
          <w:bCs w:val="1"/>
          <w:i w:val="1"/>
          <w:iCs w:val="1"/>
          <w:color w:val="auto"/>
        </w:rPr>
        <w:t>Note Underwriting Agreement</w:t>
      </w:r>
      <w:r>
        <w:rPr>
          <w:rFonts w:ascii="Arial" w:cs="Arial" w:eastAsia="Arial" w:hAnsi="Arial"/>
          <w:sz w:val="18"/>
          <w:szCs w:val="18"/>
          <w:color w:val="auto"/>
        </w:rPr>
        <w:t>”), between the Company and the Underwriters. Additionally, the Company has issues 69,276,000 shares of Common Stock, all of which will be sold to the Underwriters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pursuant to that certain Underwriting Agreement, dated as of April 8, 2009 (the “</w:t>
      </w:r>
      <w:r>
        <w:rPr>
          <w:rFonts w:ascii="Arial" w:cs="Arial" w:eastAsia="Arial" w:hAnsi="Arial"/>
          <w:sz w:val="18"/>
          <w:szCs w:val="18"/>
          <w:b w:val="1"/>
          <w:bCs w:val="1"/>
          <w:i w:val="1"/>
          <w:iCs w:val="1"/>
          <w:color w:val="auto"/>
        </w:rPr>
        <w:t>Common Stock Underwriting Agreement</w:t>
      </w:r>
      <w:r>
        <w:rPr>
          <w:rFonts w:ascii="Arial" w:cs="Arial" w:eastAsia="Arial" w:hAnsi="Arial"/>
          <w:sz w:val="18"/>
          <w:szCs w:val="18"/>
          <w:color w:val="auto"/>
        </w:rPr>
        <w:t>”), between the Company and the Underwriters.</w:t>
      </w:r>
    </w:p>
    <w:p>
      <w:pPr>
        <w:spacing w:after="0" w:line="19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Notes have been issued in the form set forth in the Indenture. The Notes are also convertible into 55,421,674 shares of Common Stock (the “</w:t>
      </w:r>
      <w:r>
        <w:rPr>
          <w:rFonts w:ascii="Arial" w:cs="Arial" w:eastAsia="Arial" w:hAnsi="Arial"/>
          <w:sz w:val="18"/>
          <w:szCs w:val="18"/>
          <w:b w:val="1"/>
          <w:bCs w:val="1"/>
          <w:i w:val="1"/>
          <w:iCs w:val="1"/>
          <w:color w:val="auto"/>
        </w:rPr>
        <w:t>Conversion Shares</w:t>
      </w:r>
      <w:r>
        <w:rPr>
          <w:rFonts w:ascii="Arial" w:cs="Arial" w:eastAsia="Arial" w:hAnsi="Arial"/>
          <w:sz w:val="18"/>
          <w:szCs w:val="18"/>
          <w:color w:val="auto"/>
        </w:rPr>
        <w:t>”) issuable upon conversion of the Notes.</w:t>
      </w:r>
    </w:p>
    <w:p>
      <w:pPr>
        <w:spacing w:after="0" w:line="170"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have examined the Registration Statement, together with the exhibits thereto and the documents incorporated by reference therein; the base prospectus, dated April 7, 2009, together with the documents incorporated by reference therein, filed with the Registration Statement relating to the offering of each of the Notes and the Shares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the preliminary prospectus supplement, dated April 7, 2009, in the form filed with the Commission pursuant to Rule 424(b) of the Securities Act relating to the offering of the Notes;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prospectus supplement, dated April 8, 2009, in the form filed with Commission pursuant to Rule 424(b) of the Securities Act relating to the offering of the Notes (collectively with the Base Prospectus, the “</w:t>
      </w:r>
      <w:r>
        <w:rPr>
          <w:rFonts w:ascii="Arial" w:cs="Arial" w:eastAsia="Arial" w:hAnsi="Arial"/>
          <w:sz w:val="17"/>
          <w:szCs w:val="17"/>
          <w:b w:val="1"/>
          <w:bCs w:val="1"/>
          <w:i w:val="1"/>
          <w:iCs w:val="1"/>
          <w:color w:val="auto"/>
        </w:rPr>
        <w:t>Note Prospectus Supplement</w:t>
      </w:r>
      <w:r>
        <w:rPr>
          <w:rFonts w:ascii="Arial" w:cs="Arial" w:eastAsia="Arial" w:hAnsi="Arial"/>
          <w:sz w:val="17"/>
          <w:szCs w:val="17"/>
          <w:color w:val="auto"/>
        </w:rPr>
        <w:t>”); the preliminary prospectus supplement, dated April 7, 2009, in the form filed with the Commission pursuant to Rule 424(b) of the Securities Act relating to the offering of the Shares; the final prospectus supplement, dated April 8, 2009, in the form filed with Commission pursuant to Rule 424(b) of the Securities Act relating to the offering of the Shares (collectively with the Base Prospectus, the “</w:t>
      </w:r>
      <w:r>
        <w:rPr>
          <w:rFonts w:ascii="Arial" w:cs="Arial" w:eastAsia="Arial" w:hAnsi="Arial"/>
          <w:sz w:val="17"/>
          <w:szCs w:val="17"/>
          <w:b w:val="1"/>
          <w:bCs w:val="1"/>
          <w:i w:val="1"/>
          <w:iCs w:val="1"/>
          <w:color w:val="auto"/>
        </w:rPr>
        <w:t>Common Stock Prospectus Supplement,</w:t>
      </w:r>
      <w:r>
        <w:rPr>
          <w:rFonts w:ascii="Arial" w:cs="Arial" w:eastAsia="Arial" w:hAnsi="Arial"/>
          <w:sz w:val="17"/>
          <w:szCs w:val="17"/>
          <w:color w:val="auto"/>
        </w:rPr>
        <w:t>” and together with the Note Prospectus Supplement, the “</w:t>
      </w:r>
      <w:r>
        <w:rPr>
          <w:rFonts w:ascii="Arial" w:cs="Arial" w:eastAsia="Arial" w:hAnsi="Arial"/>
          <w:sz w:val="17"/>
          <w:szCs w:val="17"/>
          <w:b w:val="1"/>
          <w:bCs w:val="1"/>
          <w:i w:val="1"/>
          <w:iCs w:val="1"/>
          <w:color w:val="auto"/>
        </w:rPr>
        <w:t>Prospectus Supplements</w:t>
      </w:r>
      <w:r>
        <w:rPr>
          <w:rFonts w:ascii="Arial" w:cs="Arial" w:eastAsia="Arial" w:hAnsi="Arial"/>
          <w:sz w:val="17"/>
          <w:szCs w:val="17"/>
          <w:color w:val="auto"/>
        </w:rPr>
        <w:t>”); the Indenture and the Notes. In addition, we have examined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(iv) each Underwriting Agreement has been duly authorized and validly executed and delivered by the parties thereto (other than the Company); and (v)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8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Members of our firm are admitted to the bar in the State of New York, and we express no opinion as to any matter relating to laws of any jurisdiction other than the federal laws of the United States of America,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Delaware Limited Liability Company Act (the “</w:t>
      </w:r>
      <w:r>
        <w:rPr>
          <w:rFonts w:ascii="Arial" w:cs="Arial" w:eastAsia="Arial" w:hAnsi="Arial"/>
          <w:sz w:val="16"/>
          <w:szCs w:val="16"/>
          <w:b w:val="1"/>
          <w:bCs w:val="1"/>
          <w:i w:val="1"/>
          <w:iCs w:val="1"/>
          <w:color w:val="auto"/>
        </w:rPr>
        <w:t>DLLCA</w:t>
      </w:r>
      <w:r>
        <w:rPr>
          <w:rFonts w:ascii="Arial" w:cs="Arial" w:eastAsia="Arial" w:hAnsi="Arial"/>
          <w:sz w:val="16"/>
          <w:szCs w:val="16"/>
          <w:color w:val="auto"/>
        </w:rPr>
        <w:t xml:space="preserve">”), and the laws of the State of New </w:t>
      </w:r>
      <w:r>
        <w:rPr>
          <w:rFonts w:ascii="Arial" w:cs="Arial" w:eastAsia="Arial" w:hAnsi="Arial"/>
          <w:sz w:val="15"/>
          <w:szCs w:val="15"/>
          <w:color w:val="auto"/>
        </w:rPr>
        <w:t>York</w:t>
      </w:r>
      <w:r>
        <w:rPr>
          <w:rFonts w:ascii="Arial" w:cs="Arial" w:eastAsia="Arial" w:hAnsi="Arial"/>
          <w:sz w:val="16"/>
          <w:szCs w:val="16"/>
          <w:color w:val="auto"/>
        </w:rPr>
        <w:t>, as such are in effect on the date hereof, and we have made no inquiry into, and we express no opinion as to, the statutes, regulations, treaties, common laws or other laws of any other nation, state or jurisdiction. We are not licensed to practice law in the State of Delaware and, accordingly, our opinions as to the DGCL and DLLCA are based solely on a review of the official statutes of the State of Delaware and the applicable provisions of the Delaware Constitution and the reported judicial decisions interpreting such statues and provisions.</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limitations on rights of acceleration, whether considered in a proceeding in equity or at law.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such examination, we are of the opinion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656"/>
        <w:spacing w:after="0" w:line="277" w:lineRule="auto"/>
        <w:tabs>
          <w:tab w:leader="none" w:pos="87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Notes have been validly issued and constitute valid and binding obligations of the Company, enforceable against the Company in accordance with their terms, and entitled to the benefits of the Indenture.</w:t>
      </w:r>
    </w:p>
    <w:p>
      <w:pPr>
        <w:sectPr>
          <w:pgSz w:w="11900" w:h="16838" w:orient="portrait"/>
          <w:cols w:equalWidth="0" w:num="1">
            <w:col w:w="11420"/>
          </w:cols>
          <w:pgMar w:left="240" w:top="121" w:right="239" w:bottom="0" w:gutter="0" w:footer="0" w:header="0"/>
        </w:sectPr>
      </w:pPr>
    </w:p>
    <w:bookmarkStart w:id="42" w:name="page43"/>
    <w:bookmarkEnd w:id="42"/>
    <w:p>
      <w:pPr>
        <w:ind w:firstLine="656"/>
        <w:spacing w:after="0" w:line="264" w:lineRule="auto"/>
        <w:tabs>
          <w:tab w:leader="none" w:pos="87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When the applicable conversion right has been duly exercised in accordance with the terms of the Notes and the Indenture, and the Conversion Shares have been issued and delivered upon such exercise in accordance with the terms of the Notes and the Indenture, the Conversion Shares will be validly issued, fully paid and nonassessable.</w:t>
      </w:r>
    </w:p>
    <w:p>
      <w:pPr>
        <w:spacing w:after="0" w:line="181"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Shares has been validly issued, and is fully paid and nonassessable.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hereby consent to the filing of this opinion as an exhibit to the above-referenced Registration Statement and to the use of our name wherever it appears in the Registration Statement, the Base Prospectus, each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1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WILSON SONSINI GOODRICH &amp; ROSATI</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1)"/>
      <w:numFmt w:val="lowerLetter"/>
      <w:start w:val="1"/>
    </w:lvl>
  </w:abstractNum>
  <w:abstractNum w:abstractNumId="3">
    <w:nsid w:val="12E685FB"/>
    <w:multiLevelType w:val="hybridMultilevel"/>
    <w:lvl w:ilvl="0">
      <w:lvlJc w:val="left"/>
      <w:lvlText w:val="(%1)"/>
      <w:numFmt w:val="lowerLetter"/>
      <w:start w:val="5"/>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Roman"/>
      <w:start w:val="1"/>
    </w:lvl>
  </w:abstractNum>
  <w:abstractNum w:abstractNumId="6">
    <w:nsid w:val="374A3FE6"/>
    <w:multiLevelType w:val="hybridMultilevel"/>
    <w:lvl w:ilvl="0">
      <w:lvlJc w:val="left"/>
      <w:lvlText w:val="(%1)"/>
      <w:numFmt w:val="lowerLetter"/>
      <w:start w:val="3"/>
    </w:lvl>
  </w:abstractNum>
  <w:abstractNum w:abstractNumId="7">
    <w:nsid w:val="4F4EF005"/>
    <w:multiLevelType w:val="hybridMultilevel"/>
    <w:lvl w:ilvl="0">
      <w:lvlJc w:val="left"/>
      <w:lvlText w:val="(%1)"/>
      <w:numFmt w:val="lowerLetter"/>
      <w:start w:val="2"/>
    </w:lvl>
  </w:abstractNum>
  <w:abstractNum w:abstractNumId="8">
    <w:nsid w:val="23F9C13C"/>
    <w:multiLevelType w:val="hybridMultilevel"/>
    <w:lvl w:ilvl="0">
      <w:lvlJc w:val="left"/>
      <w:lvlText w:val="(%1)"/>
      <w:numFmt w:val="lowerRoman"/>
      <w:start w:val="1"/>
    </w:lvl>
  </w:abstractNum>
  <w:abstractNum w:abstractNumId="9">
    <w:nsid w:val="649BB77C"/>
    <w:multiLevelType w:val="hybridMultilevel"/>
    <w:lvl w:ilvl="0">
      <w:lvlJc w:val="left"/>
      <w:lvlText w:val="(%1)"/>
      <w:numFmt w:val="lowerRoman"/>
      <w:start w:val="2"/>
    </w:lvl>
  </w:abstractNum>
  <w:abstractNum w:abstractNumId="10">
    <w:nsid w:val="275AC794"/>
    <w:multiLevelType w:val="hybridMultilevel"/>
    <w:lvl w:ilvl="0">
      <w:lvlJc w:val="left"/>
      <w:lvlText w:val="(%1)"/>
      <w:numFmt w:val="upperLetter"/>
      <w:start w:val="1"/>
    </w:lvl>
  </w:abstractNum>
  <w:abstractNum w:abstractNumId="11">
    <w:nsid w:val="39386575"/>
    <w:multiLevelType w:val="hybridMultilevel"/>
    <w:lvl w:ilvl="0">
      <w:lvlJc w:val="left"/>
      <w:lvlText w:val="(%1)"/>
      <w:numFmt w:val="upperLetter"/>
      <w:start w:val="2"/>
    </w:lvl>
  </w:abstractNum>
  <w:abstractNum w:abstractNumId="12">
    <w:nsid w:val="1CF10FD8"/>
    <w:multiLevelType w:val="hybridMultilevel"/>
    <w:lvl w:ilvl="0">
      <w:lvlJc w:val="left"/>
      <w:lvlText w:val="(%1)"/>
      <w:numFmt w:val="lowerLetter"/>
      <w:start w:val="2"/>
    </w:lvl>
  </w:abstractNum>
  <w:abstractNum w:abstractNumId="13">
    <w:nsid w:val="180115BE"/>
    <w:multiLevelType w:val="hybridMultilevel"/>
    <w:lvl w:ilvl="0">
      <w:lvlJc w:val="left"/>
      <w:lvlText w:val="%1"/>
      <w:numFmt w:val="lowerLetter"/>
      <w:start w:val="1"/>
    </w:lvl>
    <w:lvl w:ilvl="1">
      <w:lvlJc w:val="left"/>
      <w:lvlText w:val="(%2)"/>
      <w:numFmt w:val="lowerRoman"/>
      <w:start w:val="1"/>
    </w:lvl>
  </w:abstractNum>
  <w:abstractNum w:abstractNumId="14">
    <w:nsid w:val="235BA861"/>
    <w:multiLevelType w:val="hybridMultilevel"/>
    <w:lvl w:ilvl="0">
      <w:lvlJc w:val="left"/>
      <w:lvlText w:val="(%1)"/>
      <w:numFmt w:val="lowerLetter"/>
      <w:start w:val="3"/>
    </w:lvl>
    <w:lvl w:ilvl="1">
      <w:lvlJc w:val="left"/>
      <w:lvlText w:val="(%2)"/>
      <w:numFmt w:val="lowerRoman"/>
      <w:start w:val="1"/>
    </w:lvl>
  </w:abstractNum>
  <w:abstractNum w:abstractNumId="15">
    <w:nsid w:val="47398C89"/>
    <w:multiLevelType w:val="hybridMultilevel"/>
    <w:lvl w:ilvl="0">
      <w:lvlJc w:val="left"/>
      <w:lvlText w:val="(%1)"/>
      <w:numFmt w:val="lowerLetter"/>
      <w:start w:val="25"/>
    </w:lvl>
  </w:abstractNum>
  <w:abstractNum w:abstractNumId="16">
    <w:nsid w:val="354FE9F9"/>
    <w:multiLevelType w:val="hybridMultilevel"/>
    <w:lvl w:ilvl="0">
      <w:lvlJc w:val="left"/>
      <w:lvlText w:val="(%1)"/>
      <w:numFmt w:val="lowerLetter"/>
      <w:start w:val="2"/>
    </w:lvl>
    <w:lvl w:ilvl="1">
      <w:lvlJc w:val="left"/>
      <w:lvlText w:val="(%2)"/>
      <w:numFmt w:val="lowerRoman"/>
      <w:start w:val="1"/>
    </w:lvl>
  </w:abstractNum>
  <w:abstractNum w:abstractNumId="17">
    <w:nsid w:val="15B5AF5C"/>
    <w:multiLevelType w:val="hybridMultilevel"/>
    <w:lvl w:ilvl="0">
      <w:lvlJc w:val="left"/>
      <w:lvlText w:val="(%1)"/>
      <w:numFmt w:val="lowerLetter"/>
      <w:start w:val="2"/>
    </w:lvl>
  </w:abstractNum>
  <w:abstractNum w:abstractNumId="18">
    <w:nsid w:val="741226BB"/>
    <w:multiLevelType w:val="hybridMultilevel"/>
    <w:lvl w:ilvl="0">
      <w:lvlJc w:val="left"/>
      <w:lvlText w:val="(%1)"/>
      <w:numFmt w:val="lowerLetter"/>
      <w:start w:val="3"/>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lowerRoman"/>
      <w:start w:val="1"/>
    </w:lvl>
  </w:abstractNum>
  <w:abstractNum w:abstractNumId="21">
    <w:nsid w:val="3F6AB60F"/>
    <w:multiLevelType w:val="hybridMultilevel"/>
    <w:lvl w:ilvl="0">
      <w:lvlJc w:val="left"/>
      <w:lvlText w:val="%1"/>
      <w:numFmt w:val="lowerLetter"/>
      <w:start w:val="1"/>
    </w:lvl>
    <w:lvl w:ilvl="1">
      <w:lvlJc w:val="left"/>
      <w:lvlText w:val="(%2)"/>
      <w:numFmt w:val="lowerRoman"/>
      <w:start w:val="4"/>
    </w:lvl>
  </w:abstractNum>
  <w:abstractNum w:abstractNumId="22">
    <w:nsid w:val="61574095"/>
    <w:multiLevelType w:val="hybridMultilevel"/>
    <w:lvl w:ilvl="0">
      <w:lvlJc w:val="left"/>
      <w:lvlText w:val="(%1)"/>
      <w:numFmt w:val="lowerLetter"/>
      <w:start w:val="2"/>
    </w:lvl>
    <w:lvl w:ilvl="1">
      <w:lvlJc w:val="left"/>
      <w:lvlText w:val="%2"/>
      <w:numFmt w:val="lowerRoman"/>
      <w:start w:val="1"/>
    </w:lvl>
  </w:abstractNum>
  <w:abstractNum w:abstractNumId="23">
    <w:nsid w:val="7E0C57B1"/>
    <w:multiLevelType w:val="hybridMultilevel"/>
    <w:lvl w:ilvl="0">
      <w:lvlJc w:val="left"/>
      <w:lvlText w:val="(%1)"/>
      <w:numFmt w:val="lowerLetter"/>
      <w:start w:val="1"/>
    </w:lvl>
  </w:abstractNum>
  <w:abstractNum w:abstractNumId="24">
    <w:nsid w:val="77AE35EB"/>
    <w:multiLevelType w:val="hybridMultilevel"/>
    <w:lvl w:ilvl="0">
      <w:lvlJc w:val="left"/>
      <w:lvlText w:val="%1"/>
      <w:numFmt w:val="lowerLetter"/>
      <w:start w:val="1"/>
    </w:lvl>
    <w:lvl w:ilvl="1">
      <w:lvlJc w:val="left"/>
      <w:lvlText w:val="(%2)"/>
      <w:numFmt w:val="lowerLetter"/>
      <w:start w:val="2"/>
    </w:lvl>
  </w:abstractNum>
  <w:abstractNum w:abstractNumId="25">
    <w:nsid w:val="579BE4F1"/>
    <w:multiLevelType w:val="hybridMultilevel"/>
    <w:lvl w:ilvl="0">
      <w:lvlJc w:val="left"/>
      <w:lvlText w:val="(%1)"/>
      <w:numFmt w:val="lowerLetter"/>
      <w:start w:val="35"/>
    </w:lvl>
    <w:lvl w:ilvl="1">
      <w:lvlJc w:val="left"/>
      <w:lvlText w:val="(%2)"/>
      <w:numFmt w:val="lowerLetter"/>
      <w:start w:val="8"/>
    </w:lvl>
  </w:abstractNum>
  <w:abstractNum w:abstractNumId="26">
    <w:nsid w:val="310C50B3"/>
    <w:multiLevelType w:val="hybridMultilevel"/>
    <w:lvl w:ilvl="0">
      <w:lvlJc w:val="left"/>
      <w:lvlText w:val="(%1)"/>
      <w:numFmt w:val="lowerRoman"/>
      <w:start w:val="1"/>
    </w:lvl>
  </w:abstractNum>
  <w:abstractNum w:abstractNumId="27">
    <w:nsid w:val="5FF87E05"/>
    <w:multiLevelType w:val="hybridMultilevel"/>
    <w:lvl w:ilvl="0">
      <w:lvlJc w:val="left"/>
      <w:lvlText w:val="(%1)"/>
      <w:numFmt w:val="lowerRoman"/>
      <w:start w:val="1"/>
    </w:lvl>
  </w:abstractNum>
  <w:abstractNum w:abstractNumId="28">
    <w:nsid w:val="2F305DEF"/>
    <w:multiLevelType w:val="hybridMultilevel"/>
    <w:lvl w:ilvl="0">
      <w:lvlJc w:val="left"/>
      <w:lvlText w:val="(%1)"/>
      <w:numFmt w:val="lowerLetter"/>
      <w:start w:val="23"/>
    </w:lvl>
  </w:abstractNum>
  <w:abstractNum w:abstractNumId="29">
    <w:nsid w:val="25A70BF7"/>
    <w:multiLevelType w:val="hybridMultilevel"/>
    <w:lvl w:ilvl="0">
      <w:lvlJc w:val="left"/>
      <w:lvlText w:val="(%1)"/>
      <w:numFmt w:val="decimal"/>
      <w:start w:val="1"/>
    </w:lvl>
  </w:abstractNum>
  <w:abstractNum w:abstractNumId="30">
    <w:nsid w:val="1DBABF00"/>
    <w:multiLevelType w:val="hybridMultilevel"/>
    <w:lvl w:ilvl="0">
      <w:lvlJc w:val="left"/>
      <w:lvlText w:val="(%1)"/>
      <w:numFmt w:val="lowerLetter"/>
      <w:start w:val="2"/>
    </w:lvl>
  </w:abstractNum>
  <w:abstractNum w:abstractNumId="31">
    <w:nsid w:val="4AD084E9"/>
    <w:multiLevelType w:val="hybridMultilevel"/>
    <w:lvl w:ilvl="0">
      <w:lvlJc w:val="left"/>
      <w:lvlText w:val="(%1)"/>
      <w:numFmt w:val="lowerLetter"/>
      <w:start w:val="3"/>
    </w:lvl>
  </w:abstractNum>
  <w:abstractNum w:abstractNumId="32">
    <w:nsid w:val="1F48EAA1"/>
    <w:multiLevelType w:val="hybridMultilevel"/>
    <w:lvl w:ilvl="0">
      <w:lvlJc w:val="left"/>
      <w:lvlText w:val="(%1)"/>
      <w:numFmt w:val="lowerLetter"/>
      <w:start w:val="1"/>
    </w:lvl>
  </w:abstractNum>
  <w:abstractNum w:abstractNumId="33">
    <w:nsid w:val="1381823A"/>
    <w:multiLevelType w:val="hybridMultilevel"/>
    <w:lvl w:ilvl="0">
      <w:lvlJc w:val="left"/>
      <w:lvlText w:val="(%1)"/>
      <w:numFmt w:val="lowerLetter"/>
      <w:start w:val="8"/>
    </w:lvl>
  </w:abstractNum>
  <w:abstractNum w:abstractNumId="34">
    <w:nsid w:val="5DB70AE5"/>
    <w:multiLevelType w:val="hybridMultilevel"/>
    <w:lvl w:ilvl="0">
      <w:lvlJc w:val="left"/>
      <w:lvlText w:val="(%1)"/>
      <w:numFmt w:val="lowerLetter"/>
      <w:start w:val="2"/>
    </w:lvl>
  </w:abstractNum>
  <w:abstractNum w:abstractNumId="35">
    <w:nsid w:val="100F8FCA"/>
    <w:multiLevelType w:val="hybridMultilevel"/>
    <w:lvl w:ilvl="0">
      <w:lvlJc w:val="left"/>
      <w:lvlText w:val="(%1)"/>
      <w:numFmt w:val="lowerRoman"/>
      <w:start w:val="2"/>
    </w:lvl>
  </w:abstractNum>
  <w:abstractNum w:abstractNumId="36">
    <w:nsid w:val="6590700B"/>
    <w:multiLevelType w:val="hybridMultilevel"/>
    <w:lvl w:ilvl="0">
      <w:lvlJc w:val="left"/>
      <w:lvlText w:val="(%1)"/>
      <w:numFmt w:val="lowerRoman"/>
      <w:start w:val="3"/>
    </w:lvl>
  </w:abstractNum>
  <w:abstractNum w:abstractNumId="37">
    <w:nsid w:val="15014ACB"/>
    <w:multiLevelType w:val="hybridMultilevel"/>
    <w:lvl w:ilvl="0">
      <w:lvlJc w:val="left"/>
      <w:lvlText w:val="(%1)"/>
      <w:numFmt w:val="lowerLetter"/>
      <w:start w:val="2"/>
    </w:lvl>
  </w:abstractNum>
  <w:abstractNum w:abstractNumId="38">
    <w:nsid w:val="5F5E7FD0"/>
    <w:multiLevelType w:val="hybridMultilevel"/>
    <w:lvl w:ilvl="0">
      <w:lvlJc w:val="left"/>
      <w:lvlText w:val="(%1)"/>
      <w:numFmt w:val="lowerLetter"/>
      <w:start w:val="3"/>
    </w:lvl>
  </w:abstractNum>
  <w:abstractNum w:abstractNumId="39">
    <w:nsid w:val="98A3148"/>
    <w:multiLevelType w:val="hybridMultilevel"/>
    <w:lvl w:ilvl="0">
      <w:lvlJc w:val="left"/>
      <w:lvlText w:val="(%1)"/>
      <w:numFmt w:val="lowerLetter"/>
      <w:start w:val="2"/>
    </w:lvl>
    <w:lvl w:ilvl="1">
      <w:lvlJc w:val="left"/>
      <w:lvlText w:val="(%2)"/>
      <w:numFmt w:val="lowerRoman"/>
      <w:start w:val="1"/>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Letter"/>
      <w:start w:val="2"/>
    </w:lvl>
  </w:abstractNum>
  <w:abstractNum w:abstractNumId="42">
    <w:nsid w:val="42C296BD"/>
    <w:multiLevelType w:val="hybridMultilevel"/>
    <w:lvl w:ilvl="0">
      <w:lvlJc w:val="left"/>
      <w:lvlText w:val="(%1)"/>
      <w:numFmt w:val="lowerLetter"/>
      <w:start w:val="2"/>
    </w:lvl>
    <w:lvl w:ilvl="1">
      <w:lvlJc w:val="left"/>
      <w:lvlText w:val="(%2)"/>
      <w:numFmt w:val="lowerRoman"/>
      <w:start w:val="1"/>
    </w:lvl>
  </w:abstractNum>
  <w:abstractNum w:abstractNumId="43">
    <w:nsid w:val="168E121F"/>
    <w:multiLevelType w:val="hybridMultilevel"/>
    <w:lvl w:ilvl="0">
      <w:lvlJc w:val="left"/>
      <w:lvlText w:val="%1"/>
      <w:numFmt w:val="lowerLetter"/>
      <w:start w:val="1"/>
    </w:lvl>
    <w:lvl w:ilvl="1">
      <w:lvlJc w:val="left"/>
      <w:lvlText w:val="(%2)"/>
      <w:numFmt w:val="lowerRoman"/>
      <w:start w:val="6"/>
    </w:lvl>
  </w:abstractNum>
  <w:abstractNum w:abstractNumId="44">
    <w:nsid w:val="1EBA5D23"/>
    <w:multiLevelType w:val="hybridMultilevel"/>
    <w:lvl w:ilvl="0">
      <w:lvlJc w:val="left"/>
      <w:lvlText w:val="(%1)"/>
      <w:numFmt w:val="lowerLetter"/>
      <w:start w:val="3"/>
    </w:lvl>
    <w:lvl w:ilvl="1">
      <w:lvlJc w:val="left"/>
      <w:lvlText w:val="%2"/>
      <w:numFmt w:val="lowerRoman"/>
      <w:start w:val="1"/>
    </w:lvl>
  </w:abstractNum>
  <w:abstractNum w:abstractNumId="45">
    <w:nsid w:val="661E3F1E"/>
    <w:multiLevelType w:val="hybridMultilevel"/>
    <w:lvl w:ilvl="0">
      <w:lvlJc w:val="left"/>
      <w:lvlText w:val="(%1)"/>
      <w:numFmt w:val="lowerLetter"/>
      <w:start w:val="2"/>
    </w:lvl>
  </w:abstractNum>
  <w:abstractNum w:abstractNumId="46">
    <w:nsid w:val="5DC79EA8"/>
    <w:multiLevelType w:val="hybridMultilevel"/>
    <w:lvl w:ilvl="0">
      <w:lvlJc w:val="left"/>
      <w:lvlText w:val="(%1)"/>
      <w:numFmt w:val="lowerLetter"/>
      <w:start w:val="2"/>
    </w:lvl>
  </w:abstractNum>
  <w:abstractNum w:abstractNumId="47">
    <w:nsid w:val="540A471C"/>
    <w:multiLevelType w:val="hybridMultilevel"/>
    <w:lvl w:ilvl="0">
      <w:lvlJc w:val="left"/>
      <w:lvlText w:val="(%1)"/>
      <w:numFmt w:val="lowerLetter"/>
      <w:start w:val="3"/>
    </w:lvl>
  </w:abstractNum>
  <w:abstractNum w:abstractNumId="48">
    <w:nsid w:val="7BD3EE7B"/>
    <w:multiLevelType w:val="hybridMultilevel"/>
    <w:lvl w:ilvl="0">
      <w:lvlJc w:val="left"/>
      <w:lvlText w:val="(%1)"/>
      <w:numFmt w:val="lowerRoman"/>
      <w:start w:val="1"/>
    </w:lvl>
  </w:abstractNum>
  <w:abstractNum w:abstractNumId="49">
    <w:nsid w:val="51D9C564"/>
    <w:multiLevelType w:val="hybridMultilevel"/>
    <w:lvl w:ilvl="0">
      <w:lvlJc w:val="left"/>
      <w:lvlText w:val="(%1)"/>
      <w:numFmt w:val="lowerLetter"/>
      <w:start w:val="2"/>
    </w:lvl>
  </w:abstractNum>
  <w:abstractNum w:abstractNumId="50">
    <w:nsid w:val="613EFDC5"/>
    <w:multiLevelType w:val="hybridMultilevel"/>
    <w:lvl w:ilvl="0">
      <w:lvlJc w:val="left"/>
      <w:lvlText w:val="(%1)"/>
      <w:numFmt w:val="lowerLetter"/>
      <w:start w:val="24"/>
    </w:lvl>
  </w:abstractNum>
  <w:abstractNum w:abstractNumId="51">
    <w:nsid w:val="BF72B14"/>
    <w:multiLevelType w:val="hybridMultilevel"/>
    <w:lvl w:ilvl="0">
      <w:lvlJc w:val="left"/>
      <w:lvlText w:val="(%1)"/>
      <w:numFmt w:val="lowerLetter"/>
      <w:start w:val="1"/>
    </w:lvl>
    <w:lvl w:ilvl="1">
      <w:lvlJc w:val="left"/>
      <w:lvlText w:val="(%2)"/>
      <w:numFmt w:val="lowerRoman"/>
      <w:start w:val="1"/>
    </w:lvl>
  </w:abstractNum>
  <w:abstractNum w:abstractNumId="52">
    <w:nsid w:val="11447B73"/>
    <w:multiLevelType w:val="hybridMultilevel"/>
    <w:lvl w:ilvl="0">
      <w:lvlJc w:val="left"/>
      <w:lvlText w:val="(%1)"/>
      <w:numFmt w:val="lowerLetter"/>
      <w:start w:val="2"/>
    </w:lvl>
    <w:lvl w:ilvl="1">
      <w:lvlJc w:val="left"/>
      <w:lvlText w:val="(%2)"/>
      <w:numFmt w:val="lowerLetter"/>
      <w:start w:val="24"/>
    </w:lvl>
  </w:abstractNum>
  <w:abstractNum w:abstractNumId="53">
    <w:nsid w:val="42963E5A"/>
    <w:multiLevelType w:val="hybridMultilevel"/>
    <w:lvl w:ilvl="0">
      <w:lvlJc w:val="left"/>
      <w:lvlText w:val="(%1)"/>
      <w:numFmt w:val="lowerLetter"/>
      <w:start w:val="24"/>
    </w:lvl>
  </w:abstractNum>
  <w:abstractNum w:abstractNumId="54">
    <w:nsid w:val="A0382C5"/>
    <w:multiLevelType w:val="hybridMultilevel"/>
    <w:lvl w:ilvl="0">
      <w:lvlJc w:val="left"/>
      <w:lvlText w:val="(%1)"/>
      <w:numFmt w:val="lowerLetter"/>
      <w:start w:val="24"/>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Letter"/>
      <w:start w:val="2"/>
    </w:lvl>
  </w:abstractNum>
  <w:abstractNum w:abstractNumId="57">
    <w:nsid w:val="3B0FD379"/>
    <w:multiLevelType w:val="hybridMultilevel"/>
    <w:lvl w:ilvl="0">
      <w:lvlJc w:val="left"/>
      <w:lvlText w:val="(%1)"/>
      <w:numFmt w:val="lowerLetter"/>
      <w:start w:val="4"/>
    </w:lvl>
  </w:abstractNum>
  <w:abstractNum w:abstractNumId="58">
    <w:nsid w:val="68EB2F63"/>
    <w:multiLevelType w:val="hybridMultilevel"/>
    <w:lvl w:ilvl="0">
      <w:lvlJc w:val="left"/>
      <w:lvlText w:val="(%1)"/>
      <w:numFmt w:val="lowerLetter"/>
      <w:start w:val="5"/>
    </w:lvl>
  </w:abstractNum>
  <w:abstractNum w:abstractNumId="59">
    <w:nsid w:val="4962813B"/>
    <w:multiLevelType w:val="hybridMultilevel"/>
    <w:lvl w:ilvl="0">
      <w:lvlJc w:val="left"/>
      <w:lvlText w:val="(%1)"/>
      <w:numFmt w:val="lowerLetter"/>
      <w:start w:val="2"/>
    </w:lvl>
  </w:abstractNum>
  <w:abstractNum w:abstractNumId="60">
    <w:nsid w:val="60B6DF70"/>
    <w:multiLevelType w:val="hybridMultilevel"/>
    <w:lvl w:ilvl="0">
      <w:lvlJc w:val="left"/>
      <w:lvlText w:val="(%1)"/>
      <w:numFmt w:val="lowerLetter"/>
      <w:start w:val="1"/>
    </w:lvl>
  </w:abstractNum>
  <w:abstractNum w:abstractNumId="61">
    <w:nsid w:val="6A5EE64"/>
    <w:multiLevelType w:val="hybridMultilevel"/>
    <w:lvl w:ilvl="0">
      <w:lvlJc w:val="left"/>
      <w:lvlText w:val="(%1)"/>
      <w:numFmt w:val="lowerLetter"/>
      <w:start w:val="3"/>
    </w:lvl>
  </w:abstractNum>
  <w:abstractNum w:abstractNumId="62">
    <w:nsid w:val="14330624"/>
    <w:multiLevelType w:val="hybridMultilevel"/>
    <w:lvl w:ilvl="0">
      <w:lvlJc w:val="left"/>
      <w:lvlText w:val="(%1)"/>
      <w:numFmt w:val="lowerLetter"/>
      <w:start w:val="4"/>
    </w:lvl>
  </w:abstractNum>
  <w:abstractNum w:abstractNumId="63">
    <w:nsid w:val="7FFFCA11"/>
    <w:multiLevelType w:val="hybridMultilevel"/>
    <w:lvl w:ilvl="0">
      <w:lvlJc w:val="left"/>
      <w:lvlText w:val="%1"/>
      <w:numFmt w:val="upperLetter"/>
      <w:start w:val="1"/>
    </w:lvl>
    <w:lvl w:ilvl="1">
      <w:lvlJc w:val="left"/>
      <w:lvlText w:val="(%2)"/>
      <w:numFmt w:val="lowerLetter"/>
      <w:start w:val="7"/>
    </w:lvl>
  </w:abstractNum>
  <w:abstractNum w:abstractNumId="64">
    <w:nsid w:val="1A27709E"/>
    <w:multiLevelType w:val="hybridMultilevel"/>
    <w:lvl w:ilvl="0">
      <w:lvlJc w:val="left"/>
      <w:lvlText w:val="(%1)"/>
      <w:numFmt w:val="upperLetter"/>
      <w:start w:val="1"/>
    </w:lvl>
    <w:lvl w:ilvl="1">
      <w:lvlJc w:val="left"/>
      <w:lvlText w:val="(%2)"/>
      <w:numFmt w:val="lowerLetter"/>
      <w:start w:val="9"/>
    </w:lvl>
  </w:abstractNum>
  <w:abstractNum w:abstractNumId="65">
    <w:nsid w:val="71EA1109"/>
    <w:multiLevelType w:val="hybridMultilevel"/>
    <w:lvl w:ilvl="0">
      <w:lvlJc w:val="left"/>
      <w:lvlText w:val="(%1)"/>
      <w:numFmt w:val="lowerRoman"/>
      <w:start w:val="2"/>
    </w:lvl>
  </w:abstractNum>
  <w:abstractNum w:abstractNumId="66">
    <w:nsid w:val="100F59DC"/>
    <w:multiLevelType w:val="hybridMultilevel"/>
    <w:lvl w:ilvl="0">
      <w:lvlJc w:val="left"/>
      <w:lvlText w:val="(%1)"/>
      <w:numFmt w:val="upperLetter"/>
      <w:start w:val="2"/>
    </w:lvl>
  </w:abstractNum>
  <w:abstractNum w:abstractNumId="67">
    <w:nsid w:val="7FB7E0AA"/>
    <w:multiLevelType w:val="hybridMultilevel"/>
    <w:lvl w:ilvl="0">
      <w:lvlJc w:val="left"/>
      <w:lvlText w:val="(%1)"/>
      <w:numFmt w:val="lowerRoman"/>
      <w:start w:val="1"/>
    </w:lvl>
  </w:abstractNum>
  <w:abstractNum w:abstractNumId="68">
    <w:nsid w:val="6EB5BD4"/>
    <w:multiLevelType w:val="hybridMultilevel"/>
    <w:lvl w:ilvl="0">
      <w:lvlJc w:val="left"/>
      <w:lvlText w:val="(%1)"/>
      <w:numFmt w:val="lowerRoman"/>
      <w:start w:val="4"/>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2"/>
    </w:lvl>
  </w:abstractNum>
  <w:abstractNum w:abstractNumId="71">
    <w:nsid w:val="885E1B"/>
    <w:multiLevelType w:val="hybridMultilevel"/>
    <w:lvl w:ilvl="0">
      <w:lvlJc w:val="left"/>
      <w:lvlText w:val="(%1)"/>
      <w:numFmt w:val="lowerLetter"/>
      <w:start w:val="2"/>
    </w:lvl>
    <w:lvl w:ilvl="1">
      <w:lvlJc w:val="left"/>
      <w:lvlText w:val="(%2)"/>
      <w:numFmt w:val="lowerLetter"/>
      <w:start w:val="35"/>
    </w:lvl>
  </w:abstractNum>
  <w:abstractNum w:abstractNumId="72">
    <w:nsid w:val="76272110"/>
    <w:multiLevelType w:val="hybridMultilevel"/>
    <w:lvl w:ilvl="0">
      <w:lvlJc w:val="left"/>
      <w:lvlText w:val="(%1)"/>
      <w:numFmt w:val="lowerLetter"/>
      <w:start w:val="3"/>
    </w:lvl>
  </w:abstractNum>
  <w:abstractNum w:abstractNumId="73">
    <w:nsid w:val="4C04A8AF"/>
    <w:multiLevelType w:val="hybridMultilevel"/>
    <w:lvl w:ilvl="0">
      <w:lvlJc w:val="left"/>
      <w:lvlText w:val="(%1)"/>
      <w:numFmt w:val="lowerRoman"/>
      <w:start w:val="2"/>
    </w:lvl>
  </w:abstractNum>
  <w:abstractNum w:abstractNumId="74">
    <w:nsid w:val="1716703B"/>
    <w:multiLevelType w:val="hybridMultilevel"/>
    <w:lvl w:ilvl="0">
      <w:lvlJc w:val="left"/>
      <w:lvlText w:val="(%1)"/>
      <w:numFmt w:val="lowerLetter"/>
      <w:start w:val="2"/>
    </w:lvl>
  </w:abstractNum>
  <w:abstractNum w:abstractNumId="75">
    <w:nsid w:val="14E17E33"/>
    <w:multiLevelType w:val="hybridMultilevel"/>
    <w:lvl w:ilvl="0">
      <w:lvlJc w:val="left"/>
      <w:lvlText w:val="(%1)"/>
      <w:numFmt w:val="decimal"/>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2"/>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2"/>
    </w:lvl>
  </w:abstractNum>
  <w:abstractNum w:abstractNumId="81">
    <w:nsid w:val="4A2AC315"/>
    <w:multiLevelType w:val="hybridMultilevel"/>
    <w:lvl w:ilvl="0">
      <w:lvlJc w:val="left"/>
      <w:lvlText w:val="%1."/>
      <w:numFmt w:val="decimal"/>
      <w:start w:val="3"/>
    </w:lvl>
  </w:abstractNum>
  <w:abstractNum w:abstractNumId="82">
    <w:nsid w:val="39EE015C"/>
    <w:multiLevelType w:val="hybridMultilevel"/>
    <w:lvl w:ilvl="0">
      <w:lvlJc w:val="left"/>
      <w:lvlText w:val="%1."/>
      <w:numFmt w:val="decimal"/>
      <w:start w:val="4"/>
    </w:lvl>
  </w:abstractNum>
  <w:abstractNum w:abstractNumId="83">
    <w:nsid w:val="57FC4FBB"/>
    <w:multiLevelType w:val="hybridMultilevel"/>
    <w:lvl w:ilvl="0">
      <w:lvlJc w:val="left"/>
      <w:lvlText w:val="%1."/>
      <w:numFmt w:val="decimal"/>
      <w:start w:val="5"/>
    </w:lvl>
  </w:abstractNum>
  <w:abstractNum w:abstractNumId="84">
    <w:nsid w:val="CC1016F"/>
    <w:multiLevelType w:val="hybridMultilevel"/>
    <w:lvl w:ilvl="0">
      <w:lvlJc w:val="left"/>
      <w:lvlText w:val="%1."/>
      <w:numFmt w:val="decimal"/>
      <w:start w:val="6"/>
    </w:lvl>
  </w:abstractNum>
  <w:abstractNum w:abstractNumId="85">
    <w:nsid w:val="43F18422"/>
    <w:multiLevelType w:val="hybridMultilevel"/>
    <w:lvl w:ilvl="0">
      <w:lvlJc w:val="left"/>
      <w:lvlText w:val="(%1)"/>
      <w:numFmt w:val="lowerRoman"/>
      <w:start w:val="3"/>
    </w:lvl>
    <w:lvl w:ilvl="1">
      <w:lvlJc w:val="left"/>
      <w:lvlText w:val="%2."/>
      <w:numFmt w:val="decimal"/>
      <w:start w:val="7"/>
    </w:lvl>
  </w:abstractNum>
  <w:abstractNum w:abstractNumId="86">
    <w:nsid w:val="60EF0119"/>
    <w:multiLevelType w:val="hybridMultilevel"/>
    <w:lvl w:ilvl="0">
      <w:lvlJc w:val="left"/>
      <w:lvlText w:val="%1."/>
      <w:numFmt w:val="decimal"/>
      <w:start w:val="8"/>
    </w:lvl>
  </w:abstractNum>
  <w:abstractNum w:abstractNumId="87">
    <w:nsid w:val="26F324BA"/>
    <w:multiLevelType w:val="hybridMultilevel"/>
    <w:lvl w:ilvl="0">
      <w:lvlJc w:val="left"/>
      <w:lvlText w:val="%1."/>
      <w:numFmt w:val="decimal"/>
      <w:start w:val="9"/>
    </w:lvl>
  </w:abstractNum>
  <w:abstractNum w:abstractNumId="88">
    <w:nsid w:val="7F01579B"/>
    <w:multiLevelType w:val="hybridMultilevel"/>
    <w:lvl w:ilvl="0">
      <w:lvlJc w:val="left"/>
      <w:lvlText w:val="%1."/>
      <w:numFmt w:val="decimal"/>
      <w:start w:val="10"/>
    </w:lvl>
  </w:abstractNum>
  <w:abstractNum w:abstractNumId="89">
    <w:nsid w:val="49DA307D"/>
    <w:multiLevelType w:val="hybridMultilevel"/>
    <w:lvl w:ilvl="0">
      <w:lvlJc w:val="left"/>
      <w:lvlText w:val="%1."/>
      <w:numFmt w:val="decimal"/>
      <w:start w:val="11"/>
    </w:lvl>
  </w:abstractNum>
  <w:abstractNum w:abstractNumId="90">
    <w:nsid w:val="7055A5F5"/>
    <w:multiLevelType w:val="hybridMultilevel"/>
    <w:lvl w:ilvl="0">
      <w:lvlJc w:val="left"/>
      <w:lvlText w:val="%1."/>
      <w:numFmt w:val="decimal"/>
      <w:start w:val="12"/>
    </w:lvl>
  </w:abstractNum>
  <w:abstractNum w:abstractNumId="91">
    <w:nsid w:val="5FB8370B"/>
    <w:multiLevelType w:val="hybridMultilevel"/>
    <w:lvl w:ilvl="0">
      <w:lvlJc w:val="left"/>
      <w:lvlText w:val="%1."/>
      <w:numFmt w:val="decimal"/>
      <w:start w:val="13"/>
    </w:lvl>
  </w:abstractNum>
  <w:abstractNum w:abstractNumId="92">
    <w:nsid w:val="50801EE1"/>
    <w:multiLevelType w:val="hybridMultilevel"/>
    <w:lvl w:ilvl="0">
      <w:lvlJc w:val="left"/>
      <w:lvlText w:val="%1."/>
      <w:numFmt w:val="decimal"/>
      <w:start w:val="14"/>
    </w:lvl>
  </w:abstractNum>
  <w:abstractNum w:abstractNumId="93">
    <w:nsid w:val="488AC1A"/>
    <w:multiLevelType w:val="hybridMultilevel"/>
    <w:lvl w:ilvl="0">
      <w:lvlJc w:val="left"/>
      <w:lvlText w:val="%1."/>
      <w:numFmt w:val="decimal"/>
      <w:start w:val="15"/>
    </w:lvl>
  </w:abstractNum>
  <w:abstractNum w:abstractNumId="94">
    <w:nsid w:val="5FB8011C"/>
    <w:multiLevelType w:val="hybridMultilevel"/>
    <w:lvl w:ilvl="0">
      <w:lvlJc w:val="left"/>
      <w:lvlText w:val="%1."/>
      <w:numFmt w:val="decimal"/>
      <w:start w:val="16"/>
    </w:lvl>
  </w:abstractNum>
  <w:abstractNum w:abstractNumId="95">
    <w:nsid w:val="6AA78F7F"/>
    <w:multiLevelType w:val="hybridMultilevel"/>
    <w:lvl w:ilvl="0">
      <w:lvlJc w:val="left"/>
      <w:lvlText w:val="%1."/>
      <w:numFmt w:val="decimal"/>
      <w:start w:val="17"/>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2019-12-10T05:36:05Z</dcterms:created>
  <dcterms:modified xsi:type="dcterms:W3CDTF">2019-12-10T05:36:05Z</dcterms:modified>
</cp:coreProperties>
</file>