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20,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94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2"/>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0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17780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3"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53"/>
        </w:trPr>
        <w:tc>
          <w:tcPr>
            <w:tcW w:w="4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6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926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22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December 20, 2023, Micron Technology, Inc. (the "Company", "we" or "our") announced the financial results for our first quarter of fiscal 2024 ended November 30, 2023. The full text of the Company's press release issued in connection with the announcement is attached as Exhibit 99.1 to this Current Report on Form 8-K.</w:t>
      </w:r>
    </w:p>
    <w:p>
      <w:pPr>
        <w:spacing w:after="0" w:line="2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Item 2.02 and Exhibit 99.1 of this Current Report on Form 8-K shall not be deemed "filed" for the purposes of Section 18 of the Securities Exchange Act of 1934, as amended (the "Exchange Act"), or otherwise subject to the liabilities of that section. The information in Item 2.02 and Exhibit 99.1 of this Current Report on Form 8-K shall not be incorporated by reference into any filing or other document pursuant to the Securities Act of 1933, as amended, or the Exchange Act, except as shall be expressly set forth by specific reference in such filing or document.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5"/>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78"/>
        </w:trPr>
        <w:tc>
          <w:tcPr>
            <w:tcW w:w="134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(d) Exhibits.</w:t>
            </w:r>
          </w:p>
        </w:tc>
      </w:tr>
      <w:tr>
        <w:trPr>
          <w:trHeight w:val="671"/>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340" w:type="dxa"/>
            <w:vAlign w:val="bottom"/>
            <w:tcBorders>
              <w:top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620" w:type="dxa"/>
            <w:vAlign w:val="bottom"/>
            <w:tcBorders>
              <w:top w:val="single" w:sz="8" w:color="auto"/>
              <w:bottom w:val="single" w:sz="8" w:color="BD03F7"/>
            </w:tcBorders>
          </w:tcPr>
          <w:p>
            <w:pPr>
              <w:spacing w:after="0" w:line="182" w:lineRule="exact"/>
              <w:rPr>
                <w:sz w:val="20"/>
                <w:szCs w:val="20"/>
                <w:color w:val="auto"/>
              </w:rPr>
            </w:pPr>
            <w:r>
              <w:rPr>
                <w:rFonts w:ascii="Arial" w:cs="Arial" w:eastAsia="Arial" w:hAnsi="Arial"/>
                <w:sz w:val="18"/>
                <w:szCs w:val="18"/>
                <w:color w:val="BD03F7"/>
                <w:w w:val="99"/>
              </w:rPr>
              <w:t>Press Release issued on December 20, 2023</w:t>
            </w:r>
          </w:p>
        </w:tc>
        <w:tc>
          <w:tcPr>
            <w:tcW w:w="59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54"/>
        </w:trPr>
        <w:tc>
          <w:tcPr>
            <w:tcW w:w="1340" w:type="dxa"/>
            <w:vAlign w:val="bottom"/>
          </w:tcPr>
          <w:p>
            <w:pPr>
              <w:jc w:val="right"/>
              <w:ind w:right="4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61"/>
        </w:trPr>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900" w:type="dxa"/>
            <w:vAlign w:val="bottom"/>
          </w:tcPr>
          <w:p>
            <w:pPr>
              <w:spacing w:after="0"/>
              <w:rPr>
                <w:sz w:val="21"/>
                <w:szCs w:val="21"/>
                <w:color w:val="auto"/>
              </w:rPr>
            </w:pPr>
          </w:p>
        </w:tc>
        <w:tc>
          <w:tcPr>
            <w:tcW w:w="7320" w:type="dxa"/>
            <w:vAlign w:val="bottom"/>
            <w:gridSpan w:val="2"/>
          </w:tcPr>
          <w:p>
            <w:pPr>
              <w:ind w:left="156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900" w:type="dxa"/>
            <w:vAlign w:val="bottom"/>
          </w:tcPr>
          <w:p>
            <w:pPr>
              <w:spacing w:after="0"/>
              <w:rPr>
                <w:sz w:val="20"/>
                <w:szCs w:val="20"/>
                <w:color w:val="auto"/>
              </w:rPr>
            </w:pPr>
            <w:r>
              <w:rPr>
                <w:rFonts w:ascii="Arial" w:cs="Arial" w:eastAsia="Arial" w:hAnsi="Arial"/>
                <w:sz w:val="18"/>
                <w:szCs w:val="18"/>
                <w:color w:val="auto"/>
              </w:rPr>
              <w:t>Date:   December 20, 2023</w:t>
            </w:r>
          </w:p>
        </w:tc>
        <w:tc>
          <w:tcPr>
            <w:tcW w:w="2460" w:type="dxa"/>
            <w:vAlign w:val="bottom"/>
          </w:tcPr>
          <w:p>
            <w:pPr>
              <w:ind w:left="15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Murphy</w:t>
            </w:r>
          </w:p>
        </w:tc>
      </w:tr>
      <w:tr>
        <w:trPr>
          <w:trHeight w:val="218"/>
        </w:trPr>
        <w:tc>
          <w:tcPr>
            <w:tcW w:w="3900" w:type="dxa"/>
            <w:vAlign w:val="bottom"/>
          </w:tcPr>
          <w:p>
            <w:pPr>
              <w:spacing w:after="0"/>
              <w:rPr>
                <w:sz w:val="18"/>
                <w:szCs w:val="18"/>
                <w:color w:val="auto"/>
              </w:rPr>
            </w:pPr>
          </w:p>
        </w:tc>
        <w:tc>
          <w:tcPr>
            <w:tcW w:w="2460" w:type="dxa"/>
            <w:vAlign w:val="bottom"/>
          </w:tcPr>
          <w:p>
            <w:pPr>
              <w:ind w:left="156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Mark Murphy</w:t>
            </w:r>
          </w:p>
        </w:tc>
      </w:tr>
      <w:tr>
        <w:trPr>
          <w:trHeight w:val="239"/>
        </w:trPr>
        <w:tc>
          <w:tcPr>
            <w:tcW w:w="3900" w:type="dxa"/>
            <w:vAlign w:val="bottom"/>
          </w:tcPr>
          <w:p>
            <w:pPr>
              <w:spacing w:after="0"/>
              <w:rPr>
                <w:sz w:val="20"/>
                <w:szCs w:val="20"/>
                <w:color w:val="auto"/>
              </w:rPr>
            </w:pPr>
          </w:p>
        </w:tc>
        <w:tc>
          <w:tcPr>
            <w:tcW w:w="2460" w:type="dxa"/>
            <w:vAlign w:val="bottom"/>
          </w:tcPr>
          <w:p>
            <w:pPr>
              <w:ind w:left="156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113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3" w:lineRule="exact"/>
        <w:rPr>
          <w:sz w:val="20"/>
          <w:szCs w:val="20"/>
          <w:color w:val="auto"/>
        </w:rPr>
      </w:pPr>
    </w:p>
    <w:tbl>
      <w:tblPr>
        <w:tblLayout w:type="fixed"/>
        <w:tblInd w:w="260" w:type="dxa"/>
        <w:tblCellMar>
          <w:top w:w="0" w:type="dxa"/>
          <w:left w:w="0" w:type="dxa"/>
          <w:bottom w:w="0" w:type="dxa"/>
          <w:right w:w="0" w:type="dxa"/>
        </w:tblCellMar>
      </w:tblPr>
      <w:tr>
        <w:trPr>
          <w:trHeight w:val="239"/>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3100" w:type="dxa"/>
            <w:vAlign w:val="bottom"/>
            <w:gridSpan w:val="2"/>
          </w:tcPr>
          <w:p>
            <w:pPr>
              <w:spacing w:after="0"/>
              <w:rPr>
                <w:sz w:val="20"/>
                <w:szCs w:val="20"/>
                <w:color w:val="auto"/>
              </w:rPr>
            </w:pPr>
            <w:r>
              <w:rPr>
                <w:rFonts w:ascii="Arial" w:cs="Arial" w:eastAsia="Arial" w:hAnsi="Arial"/>
                <w:sz w:val="18"/>
                <w:szCs w:val="18"/>
                <w:color w:val="auto"/>
              </w:rPr>
              <w:t>Satya Kumar</w:t>
            </w:r>
          </w:p>
        </w:tc>
        <w:tc>
          <w:tcPr>
            <w:tcW w:w="2000" w:type="dxa"/>
            <w:vAlign w:val="bottom"/>
            <w:gridSpan w:val="2"/>
          </w:tcPr>
          <w:p>
            <w:pPr>
              <w:spacing w:after="0"/>
              <w:rPr>
                <w:sz w:val="20"/>
                <w:szCs w:val="20"/>
                <w:color w:val="auto"/>
              </w:rPr>
            </w:pPr>
            <w:r>
              <w:rPr>
                <w:rFonts w:ascii="Arial" w:cs="Arial" w:eastAsia="Arial" w:hAnsi="Arial"/>
                <w:sz w:val="18"/>
                <w:szCs w:val="18"/>
                <w:color w:val="auto"/>
                <w:w w:val="98"/>
              </w:rPr>
              <w:t>Erica Rodriguez Pompen</w:t>
            </w:r>
          </w:p>
        </w:tc>
      </w:tr>
      <w:tr>
        <w:trPr>
          <w:trHeight w:val="229"/>
        </w:trPr>
        <w:tc>
          <w:tcPr>
            <w:tcW w:w="15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00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194"/>
        </w:trPr>
        <w:tc>
          <w:tcPr>
            <w:tcW w:w="1500" w:type="dxa"/>
            <w:vAlign w:val="bottom"/>
          </w:tcPr>
          <w:p>
            <w:pPr>
              <w:spacing w:after="0"/>
              <w:rPr>
                <w:sz w:val="16"/>
                <w:szCs w:val="16"/>
                <w:color w:val="auto"/>
              </w:rPr>
            </w:pPr>
          </w:p>
        </w:tc>
        <w:tc>
          <w:tcPr>
            <w:tcW w:w="3100" w:type="dxa"/>
            <w:vAlign w:val="bottom"/>
            <w:gridSpan w:val="2"/>
          </w:tcPr>
          <w:p>
            <w:pPr>
              <w:spacing w:after="0" w:line="195" w:lineRule="exact"/>
              <w:rPr>
                <w:sz w:val="20"/>
                <w:szCs w:val="20"/>
                <w:color w:val="auto"/>
              </w:rPr>
            </w:pPr>
            <w:r>
              <w:rPr>
                <w:rFonts w:ascii="Arial" w:cs="Arial" w:eastAsia="Arial" w:hAnsi="Arial"/>
                <w:sz w:val="18"/>
                <w:szCs w:val="18"/>
                <w:color w:val="BD03F7"/>
              </w:rPr>
              <w:t>satyakumar@micron.com</w:t>
            </w:r>
          </w:p>
        </w:tc>
        <w:tc>
          <w:tcPr>
            <w:tcW w:w="2000" w:type="dxa"/>
            <w:vAlign w:val="bottom"/>
            <w:gridSpan w:val="2"/>
          </w:tcPr>
          <w:p>
            <w:pPr>
              <w:spacing w:after="0" w:line="195" w:lineRule="exact"/>
              <w:rPr>
                <w:sz w:val="20"/>
                <w:szCs w:val="20"/>
                <w:color w:val="auto"/>
              </w:rPr>
            </w:pPr>
            <w:r>
              <w:rPr>
                <w:rFonts w:ascii="Arial" w:cs="Arial" w:eastAsia="Arial" w:hAnsi="Arial"/>
                <w:sz w:val="18"/>
                <w:szCs w:val="18"/>
                <w:color w:val="BD03F7"/>
              </w:rPr>
              <w:t>epompen@micron.com</w:t>
            </w:r>
          </w:p>
        </w:tc>
      </w:tr>
      <w:tr>
        <w:trPr>
          <w:trHeight w:val="254"/>
        </w:trPr>
        <w:tc>
          <w:tcPr>
            <w:tcW w:w="1500" w:type="dxa"/>
            <w:vAlign w:val="bottom"/>
          </w:tcPr>
          <w:p>
            <w:pPr>
              <w:spacing w:after="0"/>
              <w:rPr>
                <w:sz w:val="22"/>
                <w:szCs w:val="22"/>
                <w:color w:val="auto"/>
              </w:rPr>
            </w:pPr>
          </w:p>
        </w:tc>
        <w:tc>
          <w:tcPr>
            <w:tcW w:w="2040" w:type="dxa"/>
            <w:vAlign w:val="bottom"/>
            <w:tcBorders>
              <w:top w:val="single" w:sz="8" w:color="BD03F7"/>
            </w:tcBorders>
          </w:tcPr>
          <w:p>
            <w:pPr>
              <w:spacing w:after="0"/>
              <w:rPr>
                <w:sz w:val="20"/>
                <w:szCs w:val="20"/>
                <w:color w:val="auto"/>
              </w:rPr>
            </w:pPr>
            <w:r>
              <w:rPr>
                <w:rFonts w:ascii="Arial" w:cs="Arial" w:eastAsia="Arial" w:hAnsi="Arial"/>
                <w:sz w:val="18"/>
                <w:szCs w:val="18"/>
                <w:color w:val="auto"/>
              </w:rPr>
              <w:t>(408) 450-6199</w:t>
            </w:r>
          </w:p>
        </w:tc>
        <w:tc>
          <w:tcPr>
            <w:tcW w:w="1060" w:type="dxa"/>
            <w:vAlign w:val="bottom"/>
          </w:tcPr>
          <w:p>
            <w:pPr>
              <w:spacing w:after="0"/>
              <w:rPr>
                <w:sz w:val="22"/>
                <w:szCs w:val="22"/>
                <w:color w:val="auto"/>
              </w:rPr>
            </w:pPr>
          </w:p>
        </w:tc>
        <w:tc>
          <w:tcPr>
            <w:tcW w:w="1860" w:type="dxa"/>
            <w:vAlign w:val="bottom"/>
            <w:tcBorders>
              <w:top w:val="single" w:sz="8" w:color="BD03F7"/>
            </w:tcBorders>
          </w:tcPr>
          <w:p>
            <w:pPr>
              <w:spacing w:after="0"/>
              <w:rPr>
                <w:sz w:val="20"/>
                <w:szCs w:val="20"/>
                <w:color w:val="auto"/>
              </w:rPr>
            </w:pPr>
            <w:r>
              <w:rPr>
                <w:rFonts w:ascii="Arial" w:cs="Arial" w:eastAsia="Arial" w:hAnsi="Arial"/>
                <w:sz w:val="18"/>
                <w:szCs w:val="18"/>
                <w:color w:val="auto"/>
              </w:rPr>
              <w:t>(408) 834-1873</w:t>
            </w:r>
          </w:p>
        </w:tc>
        <w:tc>
          <w:tcPr>
            <w:tcW w:w="1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QUARTER OF FISCAL 2024</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Industry-leading technology and products address the growing demand for AI solutions</w:t>
      </w:r>
    </w:p>
    <w:p>
      <w:pPr>
        <w:spacing w:after="0" w:line="25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December 20, 2023 – Micron Technology, Inc. (Nasdaq: MU) today announced results for its first quarter of fiscal 2024, which</w:t>
      </w:r>
      <w:r>
        <w:rPr>
          <w:rFonts w:ascii="Arial" w:cs="Arial" w:eastAsia="Arial" w:hAnsi="Arial"/>
          <w:sz w:val="18"/>
          <w:szCs w:val="18"/>
          <w:b w:val="1"/>
          <w:bCs w:val="1"/>
          <w:color w:val="auto"/>
        </w:rPr>
        <w:t xml:space="preserve"> </w:t>
      </w:r>
      <w:r>
        <w:rPr>
          <w:rFonts w:ascii="Arial" w:cs="Arial" w:eastAsia="Arial" w:hAnsi="Arial"/>
          <w:sz w:val="18"/>
          <w:szCs w:val="18"/>
          <w:color w:val="auto"/>
        </w:rPr>
        <w:t>ended November 30, 2023.</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Q1 2024 highlights</w:t>
      </w:r>
    </w:p>
    <w:p>
      <w:pPr>
        <w:spacing w:after="0" w:line="27"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$4.73 billion versus $4.01 billion for the prior quarter and $4.09 billion for the same period last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loss of $1.23 billion, or $1.12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loss of $1.05 billion, or $0.95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$1.40 billion versus $249 million for the prior quarter and $943 million for the same period last year</w:t>
      </w:r>
    </w:p>
    <w:p>
      <w:pPr>
        <w:spacing w:after="0" w:line="234"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“Micron’s strong execution and pricing drove better-than-anticipated first quarter financial results,” said Micron Technology President and CEO Sanjay Mehrotra. “We expect our business fundamentals to improve throughout 2024, with record industry TAM projected for calendar 2025. Our industry-leading High Bandwidth Memory for data center AI applications illustrates the strength of our technology and product roadmaps, and we are well positioned to capitalize on the immense opportunities artificial intelligence is fueling across end markets.”</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20" w:type="dxa"/>
            <w:vAlign w:val="bottom"/>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r>
      <w:tr>
        <w:trPr>
          <w:trHeight w:val="250"/>
        </w:trPr>
        <w:tc>
          <w:tcPr>
            <w:tcW w:w="402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FQ1-24</w:t>
            </w:r>
          </w:p>
        </w:tc>
        <w:tc>
          <w:tcPr>
            <w:tcW w:w="200" w:type="dxa"/>
            <w:vAlign w:val="bottom"/>
          </w:tcPr>
          <w:p>
            <w:pPr>
              <w:spacing w:after="0"/>
              <w:rPr>
                <w:sz w:val="21"/>
                <w:szCs w:val="21"/>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FQ4-23</w:t>
            </w:r>
          </w:p>
        </w:tc>
        <w:tc>
          <w:tcPr>
            <w:tcW w:w="200" w:type="dxa"/>
            <w:vAlign w:val="bottom"/>
          </w:tcPr>
          <w:p>
            <w:pPr>
              <w:spacing w:after="0"/>
              <w:rPr>
                <w:sz w:val="21"/>
                <w:szCs w:val="21"/>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FQ1-23</w:t>
            </w: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FQ1-24</w:t>
            </w: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FQ4-23</w:t>
            </w:r>
          </w:p>
        </w:tc>
        <w:tc>
          <w:tcPr>
            <w:tcW w:w="220" w:type="dxa"/>
            <w:vAlign w:val="bottom"/>
          </w:tcPr>
          <w:p>
            <w:pPr>
              <w:spacing w:after="0"/>
              <w:rPr>
                <w:sz w:val="21"/>
                <w:szCs w:val="21"/>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FQ1-23</w:t>
            </w:r>
          </w:p>
        </w:tc>
      </w:tr>
      <w:tr>
        <w:trPr>
          <w:trHeight w:val="34"/>
        </w:trPr>
        <w:tc>
          <w:tcPr>
            <w:tcW w:w="402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r>
      <w:tr>
        <w:trPr>
          <w:trHeight w:val="230"/>
        </w:trPr>
        <w:tc>
          <w:tcPr>
            <w:tcW w:w="402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1180" w:type="dxa"/>
            <w:vAlign w:val="bottom"/>
            <w:shd w:val="clear" w:color="auto" w:fill="DDDDDD"/>
          </w:tcPr>
          <w:p>
            <w:pPr>
              <w:jc w:val="right"/>
              <w:ind w:right="190"/>
              <w:spacing w:after="0"/>
              <w:rPr>
                <w:sz w:val="20"/>
                <w:szCs w:val="20"/>
                <w:color w:val="auto"/>
              </w:rPr>
            </w:pPr>
            <w:r>
              <w:rPr>
                <w:rFonts w:ascii="Arial" w:cs="Arial" w:eastAsia="Arial" w:hAnsi="Arial"/>
                <w:sz w:val="18"/>
                <w:szCs w:val="18"/>
                <w:color w:val="auto"/>
              </w:rPr>
              <w:t>$    4,726</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DDDDD"/>
          </w:tcPr>
          <w:p>
            <w:pPr>
              <w:jc w:val="right"/>
              <w:ind w:right="210"/>
              <w:spacing w:after="0"/>
              <w:rPr>
                <w:sz w:val="20"/>
                <w:szCs w:val="20"/>
                <w:color w:val="auto"/>
              </w:rPr>
            </w:pPr>
            <w:r>
              <w:rPr>
                <w:rFonts w:ascii="Arial" w:cs="Arial" w:eastAsia="Arial" w:hAnsi="Arial"/>
                <w:sz w:val="18"/>
                <w:szCs w:val="18"/>
                <w:color w:val="auto"/>
              </w:rPr>
              <w:t>4,010</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210"/>
              <w:spacing w:after="0"/>
              <w:rPr>
                <w:sz w:val="20"/>
                <w:szCs w:val="20"/>
                <w:color w:val="auto"/>
              </w:rPr>
            </w:pPr>
            <w:r>
              <w:rPr>
                <w:rFonts w:ascii="Arial" w:cs="Arial" w:eastAsia="Arial" w:hAnsi="Arial"/>
                <w:sz w:val="18"/>
                <w:szCs w:val="18"/>
                <w:color w:val="auto"/>
              </w:rPr>
              <w:t>4,085</w:t>
            </w:r>
          </w:p>
        </w:tc>
        <w:tc>
          <w:tcPr>
            <w:tcW w:w="100" w:type="dxa"/>
            <w:vAlign w:val="bottom"/>
            <w:shd w:val="clear" w:color="auto" w:fill="DDDDDD"/>
          </w:tcPr>
          <w:p>
            <w:pPr>
              <w:spacing w:after="0"/>
              <w:rPr>
                <w:sz w:val="19"/>
                <w:szCs w:val="19"/>
                <w:color w:val="auto"/>
              </w:rPr>
            </w:pPr>
          </w:p>
        </w:tc>
        <w:tc>
          <w:tcPr>
            <w:tcW w:w="1180" w:type="dxa"/>
            <w:vAlign w:val="bottom"/>
            <w:shd w:val="clear" w:color="auto" w:fill="DDDDDD"/>
          </w:tcPr>
          <w:p>
            <w:pPr>
              <w:jc w:val="right"/>
              <w:ind w:right="190"/>
              <w:spacing w:after="0"/>
              <w:rPr>
                <w:sz w:val="20"/>
                <w:szCs w:val="20"/>
                <w:color w:val="auto"/>
              </w:rPr>
            </w:pPr>
            <w:r>
              <w:rPr>
                <w:rFonts w:ascii="Arial" w:cs="Arial" w:eastAsia="Arial" w:hAnsi="Arial"/>
                <w:sz w:val="18"/>
                <w:szCs w:val="18"/>
                <w:color w:val="auto"/>
              </w:rPr>
              <w:t>$    4,726</w:t>
            </w:r>
          </w:p>
        </w:tc>
        <w:tc>
          <w:tcPr>
            <w:tcW w:w="1180" w:type="dxa"/>
            <w:vAlign w:val="bottom"/>
            <w:shd w:val="clear" w:color="auto" w:fill="DDDDDD"/>
          </w:tcPr>
          <w:p>
            <w:pPr>
              <w:jc w:val="right"/>
              <w:ind w:right="190"/>
              <w:spacing w:after="0"/>
              <w:rPr>
                <w:sz w:val="20"/>
                <w:szCs w:val="20"/>
                <w:color w:val="auto"/>
              </w:rPr>
            </w:pPr>
            <w:r>
              <w:rPr>
                <w:rFonts w:ascii="Arial" w:cs="Arial" w:eastAsia="Arial" w:hAnsi="Arial"/>
                <w:sz w:val="18"/>
                <w:szCs w:val="18"/>
                <w:color w:val="auto"/>
              </w:rPr>
              <w:t>$    4,010</w:t>
            </w:r>
          </w:p>
        </w:tc>
        <w:tc>
          <w:tcPr>
            <w:tcW w:w="2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DDDDDD"/>
          </w:tcPr>
          <w:p>
            <w:pPr>
              <w:jc w:val="right"/>
              <w:ind w:right="210"/>
              <w:spacing w:after="0"/>
              <w:rPr>
                <w:sz w:val="20"/>
                <w:szCs w:val="20"/>
                <w:color w:val="auto"/>
              </w:rPr>
            </w:pPr>
            <w:r>
              <w:rPr>
                <w:rFonts w:ascii="Arial" w:cs="Arial" w:eastAsia="Arial" w:hAnsi="Arial"/>
                <w:sz w:val="18"/>
                <w:szCs w:val="18"/>
                <w:color w:val="auto"/>
              </w:rPr>
              <w:t>4,085</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(435)</w:t>
            </w:r>
          </w:p>
        </w:tc>
        <w:tc>
          <w:tcPr>
            <w:tcW w:w="20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37</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(366)</w:t>
            </w:r>
          </w:p>
        </w:tc>
        <w:tc>
          <w:tcPr>
            <w:tcW w:w="22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934</w:t>
            </w:r>
          </w:p>
        </w:tc>
      </w:tr>
      <w:tr>
        <w:trPr>
          <w:trHeight w:val="230"/>
        </w:trPr>
        <w:tc>
          <w:tcPr>
            <w:tcW w:w="402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(0.7 %)</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(10.8 %)</w:t>
            </w: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21.9 %</w:t>
            </w:r>
          </w:p>
        </w:tc>
        <w:tc>
          <w:tcPr>
            <w:tcW w:w="10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0.8 %</w:t>
            </w: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(9.1 %)</w:t>
            </w:r>
          </w:p>
        </w:tc>
        <w:tc>
          <w:tcPr>
            <w:tcW w:w="22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22.9 %</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1,093</w:t>
            </w:r>
          </w:p>
        </w:tc>
        <w:tc>
          <w:tcPr>
            <w:tcW w:w="200" w:type="dxa"/>
            <w:vAlign w:val="bottom"/>
          </w:tcPr>
          <w:p>
            <w:pPr>
              <w:spacing w:after="0"/>
              <w:rPr>
                <w:sz w:val="19"/>
                <w:szCs w:val="19"/>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1,037</w:t>
            </w:r>
          </w:p>
        </w:tc>
        <w:tc>
          <w:tcPr>
            <w:tcW w:w="20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992</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842</w:t>
            </w:r>
          </w:p>
        </w:tc>
        <w:tc>
          <w:tcPr>
            <w:tcW w:w="22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999</w:t>
            </w:r>
          </w:p>
        </w:tc>
      </w:tr>
      <w:tr>
        <w:trPr>
          <w:trHeight w:val="230"/>
        </w:trPr>
        <w:tc>
          <w:tcPr>
            <w:tcW w:w="402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 (loss)</w:t>
            </w:r>
          </w:p>
        </w:tc>
        <w:tc>
          <w:tcPr>
            <w:tcW w:w="11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(1,128)</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(1,472)</w:t>
            </w: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DDDDDD"/>
          </w:tcPr>
          <w:p>
            <w:pPr>
              <w:spacing w:after="0"/>
              <w:rPr>
                <w:sz w:val="19"/>
                <w:szCs w:val="19"/>
                <w:color w:val="auto"/>
              </w:rPr>
            </w:pPr>
          </w:p>
        </w:tc>
        <w:tc>
          <w:tcPr>
            <w:tcW w:w="11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(955)</w:t>
            </w:r>
          </w:p>
        </w:tc>
        <w:tc>
          <w:tcPr>
            <w:tcW w:w="11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(1,208)</w:t>
            </w:r>
          </w:p>
        </w:tc>
        <w:tc>
          <w:tcPr>
            <w:tcW w:w="22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(65)</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(23.9 %)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(36.7 %)</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(5.1 %)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(20.2 %)</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(30.1 %)</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(1.6 %)</w:t>
            </w:r>
          </w:p>
        </w:tc>
      </w:tr>
      <w:tr>
        <w:trPr>
          <w:trHeight w:val="230"/>
        </w:trPr>
        <w:tc>
          <w:tcPr>
            <w:tcW w:w="402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 (loss)</w:t>
            </w:r>
          </w:p>
        </w:tc>
        <w:tc>
          <w:tcPr>
            <w:tcW w:w="11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(1,234)</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(1,430)</w:t>
            </w: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DDDDDD"/>
          </w:tcPr>
          <w:p>
            <w:pPr>
              <w:spacing w:after="0"/>
              <w:rPr>
                <w:sz w:val="19"/>
                <w:szCs w:val="19"/>
                <w:color w:val="auto"/>
              </w:rPr>
            </w:pPr>
          </w:p>
        </w:tc>
        <w:tc>
          <w:tcPr>
            <w:tcW w:w="11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(1,048)</w:t>
            </w:r>
          </w:p>
        </w:tc>
        <w:tc>
          <w:tcPr>
            <w:tcW w:w="11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(1,177)</w:t>
            </w:r>
          </w:p>
        </w:tc>
        <w:tc>
          <w:tcPr>
            <w:tcW w:w="22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(39)</w:t>
            </w:r>
          </w:p>
        </w:tc>
      </w:tr>
      <w:tr>
        <w:trPr>
          <w:trHeight w:val="239"/>
        </w:trPr>
        <w:tc>
          <w:tcPr>
            <w:tcW w:w="402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(0.95)</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(0.04)</w:t>
            </w:r>
          </w:p>
        </w:tc>
      </w:tr>
    </w:tbl>
    <w:p>
      <w:pPr>
        <w:spacing w:after="0" w:line="200" w:lineRule="exact"/>
        <w:rPr>
          <w:sz w:val="20"/>
          <w:szCs w:val="20"/>
          <w:color w:val="auto"/>
        </w:rPr>
      </w:pPr>
    </w:p>
    <w:p>
      <w:pPr>
        <w:spacing w:after="0" w:line="339"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Investments in capital expenditures, net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were $1.73 billion for the first quarter of 2024, which resulted in adjusted free cash flows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negative $ 333 million for the first quarter of 2024. Micron ended the quarter with cash, marketable investments, and restricted cash of $9.84 billion. On December 20, 2023, Micron’s Board of Directors declared a quarterly dividend of $0.115 per share, payable in cash on January 18, 2024, to shareholders of record as of the close of business on January 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7"/>
        </w:trPr>
        <w:tc>
          <w:tcPr>
            <w:tcW w:w="6520" w:type="dxa"/>
            <w:vAlign w:val="bottom"/>
          </w:tcPr>
          <w:p>
            <w:pPr>
              <w:spacing w:after="0"/>
              <w:rPr>
                <w:sz w:val="20"/>
                <w:szCs w:val="20"/>
                <w:color w:val="auto"/>
              </w:rPr>
            </w:pPr>
            <w:r>
              <w:rPr>
                <w:rFonts w:ascii="Arial" w:cs="Arial" w:eastAsia="Arial" w:hAnsi="Arial"/>
                <w:sz w:val="18"/>
                <w:szCs w:val="18"/>
                <w:b w:val="1"/>
                <w:bCs w:val="1"/>
                <w:color w:val="auto"/>
              </w:rPr>
              <w:t>Business Outlook</w:t>
            </w:r>
          </w:p>
        </w:tc>
        <w:tc>
          <w:tcPr>
            <w:tcW w:w="248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1"/>
        </w:trPr>
        <w:tc>
          <w:tcPr>
            <w:tcW w:w="6520" w:type="dxa"/>
            <w:vAlign w:val="bottom"/>
          </w:tcPr>
          <w:p>
            <w:pPr>
              <w:spacing w:after="0"/>
              <w:rPr>
                <w:sz w:val="20"/>
                <w:szCs w:val="20"/>
                <w:color w:val="auto"/>
              </w:rPr>
            </w:pPr>
            <w:r>
              <w:rPr>
                <w:rFonts w:ascii="Arial" w:cs="Arial" w:eastAsia="Arial" w:hAnsi="Arial"/>
                <w:sz w:val="18"/>
                <w:szCs w:val="18"/>
                <w:color w:val="auto"/>
              </w:rPr>
              <w:t>The following table presents Micron’s guidance for the second quarter of 2024:</w:t>
            </w:r>
          </w:p>
        </w:tc>
        <w:tc>
          <w:tcPr>
            <w:tcW w:w="24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52"/>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FQ2-24</w:t>
            </w:r>
          </w:p>
        </w:tc>
        <w:tc>
          <w:tcPr>
            <w:tcW w:w="2480" w:type="dxa"/>
            <w:vAlign w:val="bottom"/>
            <w:tcBorders>
              <w:bottom w:val="single" w:sz="8" w:color="auto"/>
            </w:tcBorders>
          </w:tcPr>
          <w:p>
            <w:pPr>
              <w:jc w:val="right"/>
              <w:spacing w:after="0" w:line="253" w:lineRule="exact"/>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240" w:type="dxa"/>
            <w:vAlign w:val="bottom"/>
            <w:tcBorders>
              <w:bottom w:val="single" w:sz="8" w:color="auto"/>
            </w:tcBorders>
          </w:tcPr>
          <w:p>
            <w:pPr>
              <w:jc w:val="right"/>
              <w:spacing w:after="0" w:line="253" w:lineRule="exact"/>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34"/>
        </w:trPr>
        <w:tc>
          <w:tcPr>
            <w:tcW w:w="65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30"/>
        </w:trPr>
        <w:tc>
          <w:tcPr>
            <w:tcW w:w="652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4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$5.30 billion ± $200 million</w:t>
            </w:r>
          </w:p>
        </w:tc>
        <w:tc>
          <w:tcPr>
            <w:tcW w:w="2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$5.30 billion ± $200 million</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480" w:type="dxa"/>
            <w:vAlign w:val="bottom"/>
          </w:tcPr>
          <w:p>
            <w:pPr>
              <w:jc w:val="right"/>
              <w:spacing w:after="0"/>
              <w:rPr>
                <w:sz w:val="20"/>
                <w:szCs w:val="20"/>
                <w:color w:val="auto"/>
              </w:rPr>
            </w:pPr>
            <w:r>
              <w:rPr>
                <w:rFonts w:ascii="Arial" w:cs="Arial" w:eastAsia="Arial" w:hAnsi="Arial"/>
                <w:sz w:val="18"/>
                <w:szCs w:val="18"/>
                <w:color w:val="auto"/>
              </w:rPr>
              <w:t>12.0% ± 1.5%</w:t>
            </w:r>
          </w:p>
        </w:tc>
        <w:tc>
          <w:tcPr>
            <w:tcW w:w="2240" w:type="dxa"/>
            <w:vAlign w:val="bottom"/>
          </w:tcPr>
          <w:p>
            <w:pPr>
              <w:jc w:val="right"/>
              <w:spacing w:after="0"/>
              <w:rPr>
                <w:sz w:val="20"/>
                <w:szCs w:val="20"/>
                <w:color w:val="auto"/>
              </w:rPr>
            </w:pPr>
            <w:r>
              <w:rPr>
                <w:rFonts w:ascii="Arial" w:cs="Arial" w:eastAsia="Arial" w:hAnsi="Arial"/>
                <w:sz w:val="18"/>
                <w:szCs w:val="18"/>
                <w:color w:val="auto"/>
              </w:rPr>
              <w:t>13.0% ± 1.5%</w:t>
            </w:r>
          </w:p>
        </w:tc>
      </w:tr>
      <w:tr>
        <w:trPr>
          <w:trHeight w:val="229"/>
        </w:trPr>
        <w:tc>
          <w:tcPr>
            <w:tcW w:w="652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expenses</w:t>
            </w:r>
          </w:p>
        </w:tc>
        <w:tc>
          <w:tcPr>
            <w:tcW w:w="24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$1.07 billion ± $15 million</w:t>
            </w:r>
          </w:p>
        </w:tc>
        <w:tc>
          <w:tcPr>
            <w:tcW w:w="2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$950 million ± $15 million</w:t>
            </w:r>
          </w:p>
        </w:tc>
      </w:tr>
      <w:tr>
        <w:trPr>
          <w:trHeight w:val="239"/>
        </w:trPr>
        <w:tc>
          <w:tcPr>
            <w:tcW w:w="652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2480" w:type="dxa"/>
            <w:vAlign w:val="bottom"/>
          </w:tcPr>
          <w:p>
            <w:pPr>
              <w:jc w:val="right"/>
              <w:spacing w:after="0"/>
              <w:rPr>
                <w:sz w:val="20"/>
                <w:szCs w:val="20"/>
                <w:color w:val="auto"/>
              </w:rPr>
            </w:pPr>
            <w:r>
              <w:rPr>
                <w:rFonts w:ascii="Arial" w:cs="Arial" w:eastAsia="Arial" w:hAnsi="Arial"/>
                <w:sz w:val="18"/>
                <w:szCs w:val="18"/>
                <w:color w:val="auto"/>
              </w:rPr>
              <w:t>($0.45) ± $0.07</w:t>
            </w:r>
          </w:p>
        </w:tc>
        <w:tc>
          <w:tcPr>
            <w:tcW w:w="2240" w:type="dxa"/>
            <w:vAlign w:val="bottom"/>
          </w:tcPr>
          <w:p>
            <w:pPr>
              <w:jc w:val="right"/>
              <w:spacing w:after="0"/>
              <w:rPr>
                <w:sz w:val="20"/>
                <w:szCs w:val="20"/>
                <w:color w:val="auto"/>
              </w:rPr>
            </w:pPr>
            <w:r>
              <w:rPr>
                <w:rFonts w:ascii="Arial" w:cs="Arial" w:eastAsia="Arial" w:hAnsi="Arial"/>
                <w:sz w:val="18"/>
                <w:szCs w:val="18"/>
                <w:color w:val="auto"/>
              </w:rPr>
              <w:t>($0.28) ± $0.07</w:t>
            </w:r>
          </w:p>
        </w:tc>
      </w:tr>
    </w:tbl>
    <w:p>
      <w:pPr>
        <w:spacing w:after="0" w:line="309"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 xml:space="preserve">Further information regarding Micron’s business outlook is included in the prepared remarks and slides, which have been posted at </w:t>
      </w:r>
      <w:r>
        <w:rPr>
          <w:rFonts w:ascii="Arial" w:cs="Arial" w:eastAsia="Arial" w:hAnsi="Arial"/>
          <w:sz w:val="18"/>
          <w:szCs w:val="18"/>
          <w:u w:val="single" w:color="auto"/>
          <w:color w:val="BD03F7"/>
        </w:rPr>
        <w:t>investors.micron.com</w:t>
      </w:r>
      <w:r>
        <w:rPr>
          <w:rFonts w:ascii="Arial" w:cs="Arial" w:eastAsia="Arial" w:hAnsi="Arial"/>
          <w:sz w:val="18"/>
          <w:szCs w:val="18"/>
          <w:color w:val="000000"/>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52"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 xml:space="preserve">Micron will host a conference call on Wednesday, December 20, 2023 at 2:30 p.m. Mountain Time to discuss its first quarter financial results and provide forward-looking guidance for its second quarter. A live webcast of the call will be available online at </w:t>
      </w:r>
      <w:r>
        <w:rPr>
          <w:rFonts w:ascii="Arial" w:cs="Arial" w:eastAsia="Arial" w:hAnsi="Arial"/>
          <w:sz w:val="17"/>
          <w:szCs w:val="17"/>
          <w:u w:val="single" w:color="auto"/>
          <w:color w:val="BD03F7"/>
        </w:rPr>
        <w:t>investors.micron.com</w:t>
      </w:r>
      <w:r>
        <w:rPr>
          <w:rFonts w:ascii="Arial" w:cs="Arial" w:eastAsia="Arial" w:hAnsi="Arial"/>
          <w:sz w:val="17"/>
          <w:szCs w:val="17"/>
          <w:color w:val="auto"/>
        </w:rPr>
        <w:t>. A webcast replay will be available for one year after the call. For Investor Relations and other company updates, follow us on X @MicronTech.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xml:space="preserve">.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 To learn more about Micron Technology, Inc. (Nasdaq: MU), visit </w:t>
      </w:r>
      <w:r>
        <w:rPr>
          <w:rFonts w:ascii="Arial" w:cs="Arial" w:eastAsia="Arial" w:hAnsi="Arial"/>
          <w:sz w:val="18"/>
          <w:szCs w:val="18"/>
          <w:u w:val="single" w:color="auto"/>
          <w:color w:val="BD03F7"/>
        </w:rPr>
        <w:t>micron.com</w:t>
      </w:r>
      <w:r>
        <w:rPr>
          <w:rFonts w:ascii="Arial" w:cs="Arial" w:eastAsia="Arial" w:hAnsi="Arial"/>
          <w:sz w:val="18"/>
          <w:szCs w:val="18"/>
          <w:color w:val="auto"/>
        </w:rPr>
        <w:t>.</w:t>
      </w:r>
    </w:p>
    <w:p>
      <w:pPr>
        <w:spacing w:after="0" w:line="211" w:lineRule="exact"/>
        <w:rPr>
          <w:sz w:val="20"/>
          <w:szCs w:val="20"/>
          <w:color w:val="auto"/>
        </w:rPr>
      </w:pPr>
    </w:p>
    <w:p>
      <w:pPr>
        <w:ind w:right="520" w:firstLine="8"/>
        <w:spacing w:after="0" w:line="285" w:lineRule="auto"/>
        <w:tabs>
          <w:tab w:leader="none" w:pos="18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2023 Micron Technology, Inc. All rights reserved. Micron, the Micron logo, and all other Micron trademarks are the property of Micron Technology, Inc. All other trademarks are the property of their respective owners.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This press release contains forward-looking statements regarding our industry, our strategic position, technology trends and developments, our addressable market, and our financial and operating results, including our guidance for the second quarter of 2024. These forward-looking statements are subject to a number of risks and uncertainties that could cause actual results to differ materially. Please refer to the documents we file with the Securities and Exchange Commission, including our most recent Form 10-K and our upcoming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8"/>
          <w:szCs w:val="18"/>
          <w:u w:val="single" w:color="auto"/>
          <w:color w:val="BD03F7"/>
        </w:rPr>
        <w:t>investors.micron.com/risk-factor</w:t>
      </w:r>
      <w:r>
        <w:rPr>
          <w:rFonts w:ascii="Arial" w:cs="Arial" w:eastAsia="Arial" w:hAnsi="Arial"/>
          <w:sz w:val="18"/>
          <w:szCs w:val="18"/>
          <w:color w:val="auto"/>
        </w:rPr>
        <w:t>. Although we believe that the expectations reflected in the forward-looking statements are reasonable, we cannot guarantee future results, levels of activity, performance, or achievements. We are under no duty to update any of the forward-looking statements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hanging="312"/>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jc w:val="both"/>
        <w:ind w:left="340" w:right="220" w:hanging="332"/>
        <w:spacing w:after="0" w:line="230" w:lineRule="auto"/>
        <w:tabs>
          <w:tab w:leader="none" w:pos="33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and business outlook. Further information regarding Micron’s use of non-GAAP measures and reconciliations between GAAP and non-GAAP measures are included within this press release.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0" w:right="339" w:bottom="1440" w:gutter="0" w:footer="0" w:header="0"/>
        </w:sectPr>
      </w:pPr>
    </w:p>
    <w:bookmarkStart w:id="5" w:name="page6"/>
    <w:bookmarkEnd w:id="5"/>
    <w:p>
      <w:pPr>
        <w:jc w:val="center"/>
        <w:ind w:right="10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1st Qtr.</w:t>
            </w:r>
          </w:p>
        </w:tc>
        <w:tc>
          <w:tcPr>
            <w:tcW w:w="160" w:type="dxa"/>
            <w:vAlign w:val="bottom"/>
          </w:tcPr>
          <w:p>
            <w:pPr>
              <w:spacing w:after="0"/>
              <w:rPr>
                <w:sz w:val="19"/>
                <w:szCs w:val="19"/>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4th Qtr.</w:t>
            </w:r>
          </w:p>
        </w:tc>
        <w:tc>
          <w:tcPr>
            <w:tcW w:w="120" w:type="dxa"/>
            <w:vAlign w:val="bottom"/>
          </w:tcPr>
          <w:p>
            <w:pPr>
              <w:spacing w:after="0"/>
              <w:rPr>
                <w:sz w:val="19"/>
                <w:szCs w:val="19"/>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1st Qtr.</w:t>
            </w:r>
          </w:p>
        </w:tc>
      </w:tr>
      <w:tr>
        <w:trPr>
          <w:trHeight w:val="181"/>
        </w:trPr>
        <w:tc>
          <w:tcPr>
            <w:tcW w:w="7040" w:type="dxa"/>
            <w:vAlign w:val="bottom"/>
          </w:tcPr>
          <w:p>
            <w:pPr>
              <w:spacing w:after="0"/>
              <w:rPr>
                <w:sz w:val="15"/>
                <w:szCs w:val="15"/>
                <w:color w:val="auto"/>
              </w:rPr>
            </w:pPr>
          </w:p>
        </w:tc>
        <w:tc>
          <w:tcPr>
            <w:tcW w:w="134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November 30,</w:t>
            </w:r>
          </w:p>
        </w:tc>
        <w:tc>
          <w:tcPr>
            <w:tcW w:w="160" w:type="dxa"/>
            <w:vAlign w:val="bottom"/>
          </w:tcPr>
          <w:p>
            <w:pPr>
              <w:spacing w:after="0"/>
              <w:rPr>
                <w:sz w:val="15"/>
                <w:szCs w:val="15"/>
                <w:color w:val="auto"/>
              </w:rPr>
            </w:pPr>
          </w:p>
        </w:tc>
        <w:tc>
          <w:tcPr>
            <w:tcW w:w="118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99"/>
              </w:rPr>
              <w:t>August 31,</w:t>
            </w:r>
          </w:p>
        </w:tc>
        <w:tc>
          <w:tcPr>
            <w:tcW w:w="120" w:type="dxa"/>
            <w:vAlign w:val="bottom"/>
          </w:tcPr>
          <w:p>
            <w:pPr>
              <w:spacing w:after="0"/>
              <w:rPr>
                <w:sz w:val="15"/>
                <w:szCs w:val="15"/>
                <w:color w:val="auto"/>
              </w:rPr>
            </w:pPr>
          </w:p>
        </w:tc>
        <w:tc>
          <w:tcPr>
            <w:tcW w:w="122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rPr>
              <w:t>December 1,</w:t>
            </w:r>
          </w:p>
        </w:tc>
      </w:tr>
      <w:tr>
        <w:trPr>
          <w:trHeight w:val="243"/>
        </w:trPr>
        <w:tc>
          <w:tcPr>
            <w:tcW w:w="7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2023</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2023</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2022</w:t>
            </w:r>
          </w:p>
        </w:tc>
      </w:tr>
      <w:tr>
        <w:trPr>
          <w:trHeight w:val="34"/>
        </w:trPr>
        <w:tc>
          <w:tcPr>
            <w:tcW w:w="7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7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4,726</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4,010</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4,085</w:t>
            </w:r>
          </w:p>
        </w:tc>
      </w:tr>
      <w:tr>
        <w:trPr>
          <w:trHeight w:val="230"/>
        </w:trPr>
        <w:tc>
          <w:tcPr>
            <w:tcW w:w="70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w:t>
            </w:r>
          </w:p>
        </w:tc>
      </w:tr>
      <w:tr>
        <w:trPr>
          <w:trHeight w:val="223"/>
        </w:trPr>
        <w:tc>
          <w:tcPr>
            <w:tcW w:w="70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893</w:t>
            </w:r>
          </w:p>
        </w:tc>
      </w:tr>
      <w:tr>
        <w:trPr>
          <w:trHeight w:val="257"/>
        </w:trPr>
        <w:tc>
          <w:tcPr>
            <w:tcW w:w="7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7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845</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849</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29"/>
        </w:trPr>
        <w:tc>
          <w:tcPr>
            <w:tcW w:w="7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70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70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(1,128)</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(1,472)</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(209)</w:t>
            </w:r>
          </w:p>
        </w:tc>
      </w:tr>
      <w:tr>
        <w:trPr>
          <w:trHeight w:val="257"/>
        </w:trPr>
        <w:tc>
          <w:tcPr>
            <w:tcW w:w="7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7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7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(1,155)</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56"/>
        </w:trPr>
        <w:tc>
          <w:tcPr>
            <w:tcW w:w="704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7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704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0"/>
        </w:trPr>
        <w:tc>
          <w:tcPr>
            <w:tcW w:w="7040" w:type="dxa"/>
            <w:vAlign w:val="bottom"/>
            <w:tcBorders>
              <w:bottom w:val="single" w:sz="8" w:color="D1D2D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704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0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(0.18)</w:t>
            </w:r>
          </w:p>
        </w:tc>
      </w:tr>
      <w:tr>
        <w:trPr>
          <w:trHeight w:val="230"/>
        </w:trPr>
        <w:tc>
          <w:tcPr>
            <w:tcW w:w="70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56"/>
        </w:trPr>
        <w:tc>
          <w:tcPr>
            <w:tcW w:w="704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0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1,100</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1,090</w:t>
            </w:r>
          </w:p>
        </w:tc>
      </w:tr>
      <w:tr>
        <w:trPr>
          <w:trHeight w:val="239"/>
        </w:trPr>
        <w:tc>
          <w:tcPr>
            <w:tcW w:w="70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1,100</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420" w:top="890" w:right="339" w:bottom="1440" w:gutter="0" w:footer="0" w:header="0"/>
        </w:sectPr>
      </w:pPr>
    </w:p>
    <w:bookmarkStart w:id="6" w:name="page7"/>
    <w:bookmarkEnd w:id="6"/>
    <w:p>
      <w:pPr>
        <w:jc w:val="center"/>
        <w:ind w:right="22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30,</w:t>
            </w:r>
          </w:p>
        </w:tc>
        <w:tc>
          <w:tcPr>
            <w:tcW w:w="180" w:type="dxa"/>
            <w:vAlign w:val="bottom"/>
          </w:tcPr>
          <w:p>
            <w:pPr>
              <w:spacing w:after="0"/>
              <w:rPr>
                <w:sz w:val="17"/>
                <w:szCs w:val="17"/>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43"/>
        </w:trPr>
        <w:tc>
          <w:tcPr>
            <w:tcW w:w="814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8,577</w:t>
            </w:r>
          </w:p>
        </w:tc>
        <w:tc>
          <w:tcPr>
            <w:tcW w:w="0" w:type="dxa"/>
            <w:vAlign w:val="bottom"/>
          </w:tcPr>
          <w:p>
            <w:pPr>
              <w:spacing w:after="0"/>
              <w:rPr>
                <w:sz w:val="1"/>
                <w:szCs w:val="1"/>
                <w:color w:val="auto"/>
              </w:rPr>
            </w:pPr>
          </w:p>
        </w:tc>
      </w:tr>
      <w:tr>
        <w:trPr>
          <w:trHeight w:val="230"/>
        </w:trPr>
        <w:tc>
          <w:tcPr>
            <w:tcW w:w="81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973</w:t>
            </w: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2,943</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29"/>
        </w:trPr>
        <w:tc>
          <w:tcPr>
            <w:tcW w:w="81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8,276</w:t>
            </w: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3"/>
        </w:trPr>
        <w:tc>
          <w:tcPr>
            <w:tcW w:w="81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21,058</w:t>
            </w: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21,244</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720</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29"/>
        </w:trPr>
        <w:tc>
          <w:tcPr>
            <w:tcW w:w="81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37,677</w:t>
            </w: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37,928</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648</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81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Intangible assets</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416</w:t>
            </w: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781</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30"/>
        </w:trPr>
        <w:tc>
          <w:tcPr>
            <w:tcW w:w="814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D1D2D4"/>
            </w:tcBorders>
            <w:shd w:val="clear" w:color="auto" w:fill="D1D2D4"/>
          </w:tcPr>
          <w:p>
            <w:pPr>
              <w:ind w:left="46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63,776</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64,254</w:t>
            </w:r>
          </w:p>
        </w:tc>
        <w:tc>
          <w:tcPr>
            <w:tcW w:w="0" w:type="dxa"/>
            <w:vAlign w:val="bottom"/>
          </w:tcPr>
          <w:p>
            <w:pPr>
              <w:spacing w:after="0"/>
              <w:rPr>
                <w:sz w:val="1"/>
                <w:szCs w:val="1"/>
                <w:color w:val="auto"/>
              </w:rPr>
            </w:pPr>
          </w:p>
        </w:tc>
      </w:tr>
      <w:tr>
        <w:trPr>
          <w:trHeight w:val="20"/>
        </w:trPr>
        <w:tc>
          <w:tcPr>
            <w:tcW w:w="8140" w:type="dxa"/>
            <w:vAlign w:val="bottom"/>
            <w:tcBorders>
              <w:top w:val="single" w:sz="8" w:color="D1D2D4"/>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3,946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30"/>
        </w:trPr>
        <w:tc>
          <w:tcPr>
            <w:tcW w:w="81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908</w:t>
            </w: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3"/>
        </w:trPr>
        <w:tc>
          <w:tcPr>
            <w:tcW w:w="81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5,962</w:t>
            </w: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4,765</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12,597</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13,052</w:t>
            </w:r>
          </w:p>
        </w:tc>
        <w:tc>
          <w:tcPr>
            <w:tcW w:w="0" w:type="dxa"/>
            <w:vAlign w:val="bottom"/>
          </w:tcPr>
          <w:p>
            <w:pPr>
              <w:spacing w:after="0"/>
              <w:rPr>
                <w:sz w:val="1"/>
                <w:szCs w:val="1"/>
                <w:color w:val="auto"/>
              </w:rPr>
            </w:pPr>
          </w:p>
        </w:tc>
      </w:tr>
      <w:tr>
        <w:trPr>
          <w:trHeight w:val="230"/>
        </w:trPr>
        <w:tc>
          <w:tcPr>
            <w:tcW w:w="81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601</w:t>
            </w: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9"/>
        </w:trPr>
        <w:tc>
          <w:tcPr>
            <w:tcW w:w="81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1,026</w:t>
            </w:r>
          </w:p>
        </w:tc>
        <w:tc>
          <w:tcPr>
            <w:tcW w:w="18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D1D2D4"/>
            </w:tcBorders>
          </w:tcPr>
          <w:p>
            <w:pPr>
              <w:ind w:left="46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20,891</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20,134</w:t>
            </w:r>
          </w:p>
        </w:tc>
        <w:tc>
          <w:tcPr>
            <w:tcW w:w="0" w:type="dxa"/>
            <w:vAlign w:val="bottom"/>
          </w:tcPr>
          <w:p>
            <w:pPr>
              <w:spacing w:after="0"/>
              <w:rPr>
                <w:sz w:val="1"/>
                <w:szCs w:val="1"/>
                <w:color w:val="auto"/>
              </w:rPr>
            </w:pPr>
          </w:p>
        </w:tc>
      </w:tr>
      <w:tr>
        <w:trPr>
          <w:trHeight w:val="196"/>
        </w:trPr>
        <w:tc>
          <w:tcPr>
            <w:tcW w:w="8140" w:type="dxa"/>
            <w:vAlign w:val="bottom"/>
            <w:shd w:val="clear" w:color="auto" w:fill="D1D2D4"/>
          </w:tcPr>
          <w:p>
            <w:pPr>
              <w:spacing w:after="0"/>
              <w:rPr>
                <w:sz w:val="17"/>
                <w:szCs w:val="17"/>
                <w:color w:val="auto"/>
              </w:rPr>
            </w:pPr>
          </w:p>
        </w:tc>
        <w:tc>
          <w:tcPr>
            <w:tcW w:w="300" w:type="dxa"/>
            <w:vAlign w:val="bottom"/>
            <w:shd w:val="clear" w:color="auto" w:fill="D1D2D4"/>
          </w:tcPr>
          <w:p>
            <w:pPr>
              <w:spacing w:after="0"/>
              <w:rPr>
                <w:sz w:val="17"/>
                <w:szCs w:val="17"/>
                <w:color w:val="auto"/>
              </w:rPr>
            </w:pPr>
          </w:p>
        </w:tc>
        <w:tc>
          <w:tcPr>
            <w:tcW w:w="102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118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D1D2D4"/>
          </w:tcPr>
          <w:p>
            <w:pPr>
              <w:spacing w:after="0"/>
              <w:rPr>
                <w:sz w:val="18"/>
                <w:szCs w:val="18"/>
                <w:color w:val="auto"/>
              </w:rPr>
            </w:pPr>
          </w:p>
        </w:tc>
        <w:tc>
          <w:tcPr>
            <w:tcW w:w="300" w:type="dxa"/>
            <w:vAlign w:val="bottom"/>
            <w:shd w:val="clear" w:color="auto" w:fill="D1D2D4"/>
          </w:tcPr>
          <w:p>
            <w:pPr>
              <w:spacing w:after="0"/>
              <w:rPr>
                <w:sz w:val="18"/>
                <w:szCs w:val="18"/>
                <w:color w:val="auto"/>
              </w:rPr>
            </w:pPr>
          </w:p>
        </w:tc>
        <w:tc>
          <w:tcPr>
            <w:tcW w:w="102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Common stock</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8140" w:type="dxa"/>
            <w:vAlign w:val="bottom"/>
          </w:tcPr>
          <w:p>
            <w:pPr>
              <w:ind w:left="100"/>
              <w:spacing w:after="0"/>
              <w:rPr>
                <w:sz w:val="20"/>
                <w:szCs w:val="20"/>
                <w:color w:val="auto"/>
              </w:rPr>
            </w:pPr>
            <w:r>
              <w:rPr>
                <w:rFonts w:ascii="Arial" w:cs="Arial" w:eastAsia="Arial" w:hAnsi="Arial"/>
                <w:sz w:val="18"/>
                <w:szCs w:val="18"/>
                <w:color w:val="auto"/>
              </w:rPr>
              <w:t>Additional capital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11,217</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11,036</w:t>
            </w:r>
          </w:p>
        </w:tc>
        <w:tc>
          <w:tcPr>
            <w:tcW w:w="0" w:type="dxa"/>
            <w:vAlign w:val="bottom"/>
          </w:tcPr>
          <w:p>
            <w:pPr>
              <w:spacing w:after="0"/>
              <w:rPr>
                <w:sz w:val="1"/>
                <w:szCs w:val="1"/>
                <w:color w:val="auto"/>
              </w:rPr>
            </w:pPr>
          </w:p>
        </w:tc>
      </w:tr>
      <w:tr>
        <w:trPr>
          <w:trHeight w:val="230"/>
        </w:trPr>
        <w:tc>
          <w:tcPr>
            <w:tcW w:w="81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39,356</w:t>
            </w: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40,824</w:t>
            </w:r>
          </w:p>
        </w:tc>
        <w:tc>
          <w:tcPr>
            <w:tcW w:w="0" w:type="dxa"/>
            <w:vAlign w:val="bottom"/>
          </w:tcPr>
          <w:p>
            <w:pPr>
              <w:spacing w:after="0"/>
              <w:rPr>
                <w:sz w:val="1"/>
                <w:szCs w:val="1"/>
                <w:color w:val="auto"/>
              </w:rPr>
            </w:pPr>
          </w:p>
        </w:tc>
      </w:tr>
      <w:tr>
        <w:trPr>
          <w:trHeight w:val="230"/>
        </w:trPr>
        <w:tc>
          <w:tcPr>
            <w:tcW w:w="8140" w:type="dxa"/>
            <w:vAlign w:val="bottom"/>
          </w:tcPr>
          <w:p>
            <w:pPr>
              <w:ind w:left="100"/>
              <w:spacing w:after="0"/>
              <w:rPr>
                <w:sz w:val="20"/>
                <w:szCs w:val="20"/>
                <w:color w:val="auto"/>
              </w:rPr>
            </w:pPr>
            <w:r>
              <w:rPr>
                <w:rFonts w:ascii="Arial" w:cs="Arial" w:eastAsia="Arial" w:hAnsi="Arial"/>
                <w:sz w:val="18"/>
                <w:szCs w:val="18"/>
                <w:color w:val="auto"/>
              </w:rPr>
              <w:t>Treasury stock</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(7,552)</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(7,552)</w:t>
            </w:r>
          </w:p>
        </w:tc>
        <w:tc>
          <w:tcPr>
            <w:tcW w:w="0" w:type="dxa"/>
            <w:vAlign w:val="bottom"/>
          </w:tcPr>
          <w:p>
            <w:pPr>
              <w:spacing w:after="0"/>
              <w:rPr>
                <w:sz w:val="1"/>
                <w:szCs w:val="1"/>
                <w:color w:val="auto"/>
              </w:rPr>
            </w:pPr>
          </w:p>
        </w:tc>
      </w:tr>
      <w:tr>
        <w:trPr>
          <w:trHeight w:val="230"/>
        </w:trPr>
        <w:tc>
          <w:tcPr>
            <w:tcW w:w="81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D1D2D4"/>
            </w:tcBorders>
          </w:tcPr>
          <w:p>
            <w:pPr>
              <w:ind w:left="46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42,885</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44,120</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D1D2D4"/>
            </w:tcBorders>
            <w:shd w:val="clear" w:color="auto" w:fill="D1D2D4"/>
          </w:tcPr>
          <w:p>
            <w:pPr>
              <w:ind w:left="46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63,776</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64,254</w:t>
            </w:r>
          </w:p>
        </w:tc>
        <w:tc>
          <w:tcPr>
            <w:tcW w:w="0" w:type="dxa"/>
            <w:vAlign w:val="bottom"/>
          </w:tcPr>
          <w:p>
            <w:pPr>
              <w:spacing w:after="0"/>
              <w:rPr>
                <w:sz w:val="1"/>
                <w:szCs w:val="1"/>
                <w:color w:val="auto"/>
              </w:rPr>
            </w:pPr>
          </w:p>
        </w:tc>
      </w:tr>
      <w:tr>
        <w:trPr>
          <w:trHeight w:val="20"/>
        </w:trPr>
        <w:tc>
          <w:tcPr>
            <w:tcW w:w="8140" w:type="dxa"/>
            <w:vAlign w:val="bottom"/>
            <w:tcBorders>
              <w:top w:val="single" w:sz="8" w:color="D1D2D4"/>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540" w:top="89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30,</w:t>
            </w:r>
          </w:p>
        </w:tc>
        <w:tc>
          <w:tcPr>
            <w:tcW w:w="14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1,</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(1,234)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1,915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836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Receivables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30"/>
        </w:trPr>
        <w:tc>
          <w:tcPr>
            <w:tcW w:w="83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29"/>
        </w:trPr>
        <w:tc>
          <w:tcPr>
            <w:tcW w:w="8360" w:type="dxa"/>
            <w:vAlign w:val="bottom"/>
          </w:tcPr>
          <w:p>
            <w:pPr>
              <w:ind w:left="48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32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(1,796)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maturities and sales of available-for-sale securities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government incentives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32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of dividends to shareholders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issuance of debt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(352)</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8,656</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8,339</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8,146</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9,642</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5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In 2023, we recorded charges of $1.83 billion to cost of goods sold to write down the carrying value of work in process and finished goods inventories to their estimated net realizable value (“NRV”). The impact of inventory NRV write-downs for each period reflects (1) inventory write-downs in that period, offset by (2) lower costs in that period on the sale of inventory written down in prior periods. The impacts of inventory NRV write-downs are summarized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1st Qtr.</w:t>
            </w:r>
          </w:p>
        </w:tc>
        <w:tc>
          <w:tcPr>
            <w:tcW w:w="200" w:type="dxa"/>
            <w:vAlign w:val="bottom"/>
          </w:tcPr>
          <w:p>
            <w:pPr>
              <w:spacing w:after="0"/>
              <w:rPr>
                <w:sz w:val="19"/>
                <w:szCs w:val="19"/>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4th Qtr.</w:t>
            </w:r>
          </w:p>
        </w:tc>
        <w:tc>
          <w:tcPr>
            <w:tcW w:w="140" w:type="dxa"/>
            <w:vAlign w:val="bottom"/>
          </w:tcPr>
          <w:p>
            <w:pPr>
              <w:spacing w:after="0"/>
              <w:rPr>
                <w:sz w:val="19"/>
                <w:szCs w:val="19"/>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1st Qtr.</w:t>
            </w:r>
          </w:p>
        </w:tc>
      </w:tr>
      <w:tr>
        <w:trPr>
          <w:trHeight w:val="181"/>
        </w:trPr>
        <w:tc>
          <w:tcPr>
            <w:tcW w:w="7240" w:type="dxa"/>
            <w:vAlign w:val="bottom"/>
          </w:tcPr>
          <w:p>
            <w:pPr>
              <w:spacing w:after="0"/>
              <w:rPr>
                <w:sz w:val="15"/>
                <w:szCs w:val="15"/>
                <w:color w:val="auto"/>
              </w:rPr>
            </w:pPr>
          </w:p>
        </w:tc>
        <w:tc>
          <w:tcPr>
            <w:tcW w:w="1300" w:type="dxa"/>
            <w:vAlign w:val="bottom"/>
            <w:gridSpan w:val="2"/>
          </w:tcPr>
          <w:p>
            <w:pPr>
              <w:jc w:val="right"/>
              <w:spacing w:after="0" w:line="181" w:lineRule="exact"/>
              <w:rPr>
                <w:sz w:val="20"/>
                <w:szCs w:val="20"/>
                <w:color w:val="auto"/>
              </w:rPr>
            </w:pPr>
            <w:r>
              <w:rPr>
                <w:rFonts w:ascii="Arial" w:cs="Arial" w:eastAsia="Arial" w:hAnsi="Arial"/>
                <w:sz w:val="18"/>
                <w:szCs w:val="18"/>
                <w:b w:val="1"/>
                <w:bCs w:val="1"/>
                <w:color w:val="auto"/>
              </w:rPr>
              <w:t>November 30,</w:t>
            </w:r>
          </w:p>
        </w:tc>
        <w:tc>
          <w:tcPr>
            <w:tcW w:w="200" w:type="dxa"/>
            <w:vAlign w:val="bottom"/>
          </w:tcPr>
          <w:p>
            <w:pPr>
              <w:spacing w:after="0"/>
              <w:rPr>
                <w:sz w:val="15"/>
                <w:szCs w:val="15"/>
                <w:color w:val="auto"/>
              </w:rPr>
            </w:pPr>
          </w:p>
        </w:tc>
        <w:tc>
          <w:tcPr>
            <w:tcW w:w="114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9"/>
              </w:rPr>
              <w:t>August 31,</w:t>
            </w:r>
          </w:p>
        </w:tc>
        <w:tc>
          <w:tcPr>
            <w:tcW w:w="140" w:type="dxa"/>
            <w:vAlign w:val="bottom"/>
          </w:tcPr>
          <w:p>
            <w:pPr>
              <w:spacing w:after="0"/>
              <w:rPr>
                <w:sz w:val="15"/>
                <w:szCs w:val="15"/>
                <w:color w:val="auto"/>
              </w:rPr>
            </w:pPr>
          </w:p>
        </w:tc>
        <w:tc>
          <w:tcPr>
            <w:tcW w:w="122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98"/>
              </w:rPr>
              <w:t>December 1,</w:t>
            </w:r>
          </w:p>
        </w:tc>
      </w:tr>
      <w:tr>
        <w:trPr>
          <w:trHeight w:val="243"/>
        </w:trPr>
        <w:tc>
          <w:tcPr>
            <w:tcW w:w="7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2023</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2022</w:t>
            </w:r>
          </w:p>
        </w:tc>
      </w:tr>
      <w:tr>
        <w:trPr>
          <w:trHeight w:val="34"/>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7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to write down inventory to NRV</w:t>
            </w:r>
          </w:p>
        </w:tc>
        <w:tc>
          <w:tcPr>
            <w:tcW w:w="2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 $</w:t>
            </w:r>
          </w:p>
        </w:tc>
        <w:tc>
          <w:tcPr>
            <w:tcW w:w="12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 $</w:t>
            </w:r>
          </w:p>
        </w:tc>
        <w:tc>
          <w:tcPr>
            <w:tcW w:w="12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Lower costs from sale of inventory written down in prior periods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r>
      <w:tr>
        <w:trPr>
          <w:trHeight w:val="248"/>
        </w:trPr>
        <w:tc>
          <w:tcPr>
            <w:tcW w:w="724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605</w:t>
            </w: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563</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DBDBDB"/>
          </w:tcPr>
          <w:p>
            <w:pPr>
              <w:ind w:left="960"/>
              <w:spacing w:after="0"/>
              <w:rPr>
                <w:sz w:val="20"/>
                <w:szCs w:val="20"/>
                <w:color w:val="auto"/>
              </w:rPr>
            </w:pPr>
            <w:r>
              <w:rPr>
                <w:rFonts w:ascii="Arial" w:cs="Arial" w:eastAsia="Arial" w:hAnsi="Arial"/>
                <w:sz w:val="18"/>
                <w:szCs w:val="18"/>
                <w:color w:val="auto"/>
              </w:rPr>
              <w:t>—</w:t>
            </w:r>
          </w:p>
        </w:tc>
      </w:tr>
      <w:tr>
        <w:trPr>
          <w:trHeight w:val="20"/>
        </w:trPr>
        <w:tc>
          <w:tcPr>
            <w:tcW w:w="724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0" w:right="339" w:bottom="1440" w:gutter="0" w:footer="0" w:header="0"/>
        </w:sectPr>
      </w:pPr>
    </w:p>
    <w:bookmarkStart w:id="9" w:name="page10"/>
    <w:bookmarkEnd w:id="9"/>
    <w:p>
      <w:pPr>
        <w:ind w:left="406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(In millions, except per 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1st Qtr.</w:t>
            </w:r>
          </w:p>
        </w:tc>
        <w:tc>
          <w:tcPr>
            <w:tcW w:w="16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4th Qtr.</w:t>
            </w:r>
          </w:p>
        </w:tc>
        <w:tc>
          <w:tcPr>
            <w:tcW w:w="120" w:type="dxa"/>
            <w:vAlign w:val="bottom"/>
          </w:tcPr>
          <w:p>
            <w:pPr>
              <w:spacing w:after="0"/>
              <w:rPr>
                <w:sz w:val="19"/>
                <w:szCs w:val="19"/>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1st Qtr.</w:t>
            </w:r>
          </w:p>
        </w:tc>
      </w:tr>
      <w:tr>
        <w:trPr>
          <w:trHeight w:val="181"/>
        </w:trPr>
        <w:tc>
          <w:tcPr>
            <w:tcW w:w="6700" w:type="dxa"/>
            <w:vAlign w:val="bottom"/>
          </w:tcPr>
          <w:p>
            <w:pPr>
              <w:spacing w:after="0"/>
              <w:rPr>
                <w:sz w:val="15"/>
                <w:szCs w:val="15"/>
                <w:color w:val="auto"/>
              </w:rPr>
            </w:pPr>
          </w:p>
        </w:tc>
        <w:tc>
          <w:tcPr>
            <w:tcW w:w="130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November 30,</w:t>
            </w:r>
          </w:p>
        </w:tc>
        <w:tc>
          <w:tcPr>
            <w:tcW w:w="160" w:type="dxa"/>
            <w:vAlign w:val="bottom"/>
          </w:tcPr>
          <w:p>
            <w:pPr>
              <w:spacing w:after="0"/>
              <w:rPr>
                <w:sz w:val="15"/>
                <w:szCs w:val="15"/>
                <w:color w:val="auto"/>
              </w:rPr>
            </w:pPr>
          </w:p>
        </w:tc>
        <w:tc>
          <w:tcPr>
            <w:tcW w:w="114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9"/>
              </w:rPr>
              <w:t>August 31,</w:t>
            </w:r>
          </w:p>
        </w:tc>
        <w:tc>
          <w:tcPr>
            <w:tcW w:w="120" w:type="dxa"/>
            <w:vAlign w:val="bottom"/>
          </w:tcPr>
          <w:p>
            <w:pPr>
              <w:spacing w:after="0"/>
              <w:rPr>
                <w:sz w:val="15"/>
                <w:szCs w:val="15"/>
                <w:color w:val="auto"/>
              </w:rPr>
            </w:pPr>
          </w:p>
        </w:tc>
        <w:tc>
          <w:tcPr>
            <w:tcW w:w="120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rPr>
              <w:t>December 1,</w:t>
            </w:r>
          </w:p>
        </w:tc>
      </w:tr>
      <w:tr>
        <w:trPr>
          <w:trHeight w:val="243"/>
        </w:trPr>
        <w:tc>
          <w:tcPr>
            <w:tcW w:w="6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2023</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2023</w:t>
            </w: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2022</w:t>
            </w:r>
          </w:p>
        </w:tc>
      </w:tr>
      <w:tr>
        <w:trPr>
          <w:trHeight w:val="34"/>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700" w:type="dxa"/>
            <w:vAlign w:val="bottom"/>
            <w:shd w:val="clear" w:color="auto" w:fill="D1D2D4"/>
          </w:tcPr>
          <w:p>
            <w:pPr>
              <w:spacing w:after="0"/>
              <w:rPr>
                <w:sz w:val="20"/>
                <w:szCs w:val="20"/>
                <w:color w:val="auto"/>
              </w:rPr>
            </w:pPr>
            <w:r>
              <w:rPr>
                <w:rFonts w:ascii="Arial" w:cs="Arial" w:eastAsia="Arial" w:hAnsi="Arial"/>
                <w:sz w:val="18"/>
                <w:szCs w:val="18"/>
                <w:b w:val="1"/>
                <w:bCs w:val="1"/>
                <w:color w:val="auto"/>
              </w:rPr>
              <w:t>GAAP gross margin</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893</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6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700" w:type="dxa"/>
            <w:vAlign w:val="bottom"/>
          </w:tcPr>
          <w:p>
            <w:pPr>
              <w:spacing w:after="0"/>
              <w:rPr>
                <w:sz w:val="20"/>
                <w:szCs w:val="20"/>
                <w:color w:val="auto"/>
              </w:rPr>
            </w:pPr>
            <w:r>
              <w:rPr>
                <w:rFonts w:ascii="Arial" w:cs="Arial" w:eastAsia="Arial" w:hAnsi="Arial"/>
                <w:sz w:val="18"/>
                <w:szCs w:val="18"/>
                <w:b w:val="1"/>
                <w:bCs w:val="1"/>
                <w:color w:val="auto"/>
              </w:rPr>
              <w:t>Non-GAAP gross margin</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r>
      <w:tr>
        <w:trPr>
          <w:trHeight w:val="20"/>
        </w:trPr>
        <w:tc>
          <w:tcPr>
            <w:tcW w:w="670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67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r>
      <w:tr>
        <w:trPr>
          <w:trHeight w:val="229"/>
        </w:trPr>
        <w:tc>
          <w:tcPr>
            <w:tcW w:w="6700" w:type="dxa"/>
            <w:vAlign w:val="bottom"/>
          </w:tcPr>
          <w:p>
            <w:pPr>
              <w:spacing w:after="0"/>
              <w:rPr>
                <w:sz w:val="20"/>
                <w:szCs w:val="20"/>
                <w:color w:val="auto"/>
              </w:rPr>
            </w:pPr>
            <w:r>
              <w:rPr>
                <w:rFonts w:ascii="Arial" w:cs="Arial" w:eastAsia="Arial" w:hAnsi="Arial"/>
                <w:sz w:val="18"/>
                <w:szCs w:val="18"/>
                <w:b w:val="1"/>
                <w:bCs w:val="1"/>
                <w:color w:val="auto"/>
              </w:rPr>
              <w:t>GAAP operating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1,102</w:t>
            </w:r>
          </w:p>
        </w:tc>
      </w:tr>
      <w:tr>
        <w:trPr>
          <w:trHeight w:val="229"/>
        </w:trPr>
        <w:tc>
          <w:tcPr>
            <w:tcW w:w="6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Goodwill impairment</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operating expenses</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992</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999</w:t>
            </w:r>
          </w:p>
        </w:tc>
      </w:tr>
      <w:tr>
        <w:trPr>
          <w:trHeight w:val="20"/>
        </w:trPr>
        <w:tc>
          <w:tcPr>
            <w:tcW w:w="67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6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6700" w:type="dxa"/>
            <w:vAlign w:val="bottom"/>
            <w:shd w:val="clear" w:color="auto" w:fill="D1D2D4"/>
          </w:tcPr>
          <w:p>
            <w:pPr>
              <w:spacing w:after="0"/>
              <w:rPr>
                <w:sz w:val="20"/>
                <w:szCs w:val="20"/>
                <w:color w:val="auto"/>
              </w:rPr>
            </w:pPr>
            <w:r>
              <w:rPr>
                <w:rFonts w:ascii="Arial" w:cs="Arial" w:eastAsia="Arial" w:hAnsi="Arial"/>
                <w:sz w:val="18"/>
                <w:szCs w:val="18"/>
                <w:b w:val="1"/>
                <w:bCs w:val="1"/>
                <w:color w:val="auto"/>
              </w:rPr>
              <w:t>GAAP operating income (loss)</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(1,128)</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(1,472)</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(209)</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6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 and asset impairments</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700" w:type="dxa"/>
            <w:vAlign w:val="bottom"/>
          </w:tcPr>
          <w:p>
            <w:pPr>
              <w:spacing w:after="0"/>
              <w:rPr>
                <w:sz w:val="20"/>
                <w:szCs w:val="20"/>
                <w:color w:val="auto"/>
              </w:rPr>
            </w:pPr>
            <w:r>
              <w:rPr>
                <w:rFonts w:ascii="Arial" w:cs="Arial" w:eastAsia="Arial" w:hAnsi="Arial"/>
                <w:sz w:val="18"/>
                <w:szCs w:val="18"/>
                <w:b w:val="1"/>
                <w:bCs w:val="1"/>
                <w:color w:val="auto"/>
              </w:rPr>
              <w:t>Non-GAAP operating income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670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67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b w:val="1"/>
                <w:bCs w:val="1"/>
                <w:color w:val="auto"/>
              </w:rPr>
              <w:t>GAAP 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(1,430)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29"/>
        </w:trPr>
        <w:tc>
          <w:tcPr>
            <w:tcW w:w="6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Goodwill impairment</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Estimated tax effects of above and other tax adjustments</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700" w:type="dxa"/>
            <w:vAlign w:val="bottom"/>
          </w:tcPr>
          <w:p>
            <w:pPr>
              <w:spacing w:after="0"/>
              <w:rPr>
                <w:sz w:val="20"/>
                <w:szCs w:val="20"/>
                <w:color w:val="auto"/>
              </w:rPr>
            </w:pPr>
            <w:r>
              <w:rPr>
                <w:rFonts w:ascii="Arial" w:cs="Arial" w:eastAsia="Arial" w:hAnsi="Arial"/>
                <w:sz w:val="18"/>
                <w:szCs w:val="18"/>
                <w:b w:val="1"/>
                <w:bCs w:val="1"/>
                <w:color w:val="auto"/>
              </w:rPr>
              <w:t>Non-GAAP net income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670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67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b w:val="1"/>
                <w:bCs w:val="1"/>
                <w:color w:val="auto"/>
              </w:rPr>
              <w:t>GAAP diluted earnings (loss)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29"/>
        </w:trPr>
        <w:tc>
          <w:tcPr>
            <w:tcW w:w="6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Effects of the above adjustments</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0.14</w:t>
            </w:r>
          </w:p>
        </w:tc>
      </w:tr>
      <w:tr>
        <w:trPr>
          <w:trHeight w:val="223"/>
        </w:trPr>
        <w:tc>
          <w:tcPr>
            <w:tcW w:w="6700" w:type="dxa"/>
            <w:vAlign w:val="bottom"/>
          </w:tcPr>
          <w:p>
            <w:pPr>
              <w:spacing w:after="0"/>
              <w:rPr>
                <w:sz w:val="20"/>
                <w:szCs w:val="20"/>
                <w:color w:val="auto"/>
              </w:rPr>
            </w:pPr>
            <w:r>
              <w:rPr>
                <w:rFonts w:ascii="Arial" w:cs="Arial" w:eastAsia="Arial" w:hAnsi="Arial"/>
                <w:sz w:val="18"/>
                <w:szCs w:val="18"/>
                <w:b w:val="1"/>
                <w:bCs w:val="1"/>
                <w:color w:val="auto"/>
              </w:rPr>
              <w:t>Non-GAAP diluted earnings (loss) per share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r>
      <w:tr>
        <w:trPr>
          <w:trHeight w:val="20"/>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640" w:top="890" w:right="339" w:bottom="1440" w:gutter="0" w:footer="0" w:header="0"/>
        </w:sectPr>
      </w:pPr>
    </w:p>
    <w:bookmarkStart w:id="10" w:name="page11"/>
    <w:bookmarkEnd w:id="10"/>
    <w:tbl>
      <w:tblPr>
        <w:tblLayout w:type="fixed"/>
        <w:tblInd w:w="100" w:type="dxa"/>
        <w:tblCellMar>
          <w:top w:w="0" w:type="dxa"/>
          <w:left w:w="0" w:type="dxa"/>
          <w:bottom w:w="0" w:type="dxa"/>
          <w:right w:w="0" w:type="dxa"/>
        </w:tblCellMar>
      </w:tblPr>
      <w:tr>
        <w:trPr>
          <w:trHeight w:val="247"/>
        </w:trPr>
        <w:tc>
          <w:tcPr>
            <w:tcW w:w="8600" w:type="dxa"/>
            <w:vAlign w:val="bottom"/>
            <w:gridSpan w:val="4"/>
          </w:tcPr>
          <w:p>
            <w:pPr>
              <w:ind w:left="2800"/>
              <w:spacing w:after="0"/>
              <w:rPr>
                <w:sz w:val="20"/>
                <w:szCs w:val="20"/>
                <w:color w:val="auto"/>
              </w:rPr>
            </w:pPr>
            <w:r>
              <w:rPr>
                <w:rFonts w:ascii="Arial" w:cs="Arial" w:eastAsia="Arial" w:hAnsi="Arial"/>
                <w:sz w:val="18"/>
                <w:szCs w:val="18"/>
                <w:b w:val="1"/>
                <w:bCs w:val="1"/>
                <w:color w:val="auto"/>
                <w:w w:val="99"/>
              </w:rPr>
              <w:t>RECONCILIATION OF GAAP TO NON-GAAP MEASURES, Continued</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482"/>
        </w:trPr>
        <w:tc>
          <w:tcPr>
            <w:tcW w:w="7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1st Qtr.</w:t>
            </w:r>
          </w:p>
        </w:tc>
        <w:tc>
          <w:tcPr>
            <w:tcW w:w="18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4th Qtr.</w:t>
            </w:r>
          </w:p>
        </w:tc>
        <w:tc>
          <w:tcPr>
            <w:tcW w:w="120" w:type="dxa"/>
            <w:vAlign w:val="bottom"/>
          </w:tcPr>
          <w:p>
            <w:pPr>
              <w:spacing w:after="0"/>
              <w:rPr>
                <w:sz w:val="24"/>
                <w:szCs w:val="24"/>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1st Qtr.</w:t>
            </w:r>
          </w:p>
        </w:tc>
      </w:tr>
      <w:tr>
        <w:trPr>
          <w:trHeight w:val="181"/>
        </w:trPr>
        <w:tc>
          <w:tcPr>
            <w:tcW w:w="7120" w:type="dxa"/>
            <w:vAlign w:val="bottom"/>
          </w:tcPr>
          <w:p>
            <w:pPr>
              <w:spacing w:after="0"/>
              <w:rPr>
                <w:sz w:val="15"/>
                <w:szCs w:val="15"/>
                <w:color w:val="auto"/>
              </w:rPr>
            </w:pPr>
          </w:p>
        </w:tc>
        <w:tc>
          <w:tcPr>
            <w:tcW w:w="130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November 30,</w:t>
            </w:r>
          </w:p>
        </w:tc>
        <w:tc>
          <w:tcPr>
            <w:tcW w:w="180" w:type="dxa"/>
            <w:vAlign w:val="bottom"/>
          </w:tcPr>
          <w:p>
            <w:pPr>
              <w:spacing w:after="0"/>
              <w:rPr>
                <w:sz w:val="15"/>
                <w:szCs w:val="15"/>
                <w:color w:val="auto"/>
              </w:rPr>
            </w:pPr>
          </w:p>
        </w:tc>
        <w:tc>
          <w:tcPr>
            <w:tcW w:w="114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99"/>
              </w:rPr>
              <w:t>August 31,</w:t>
            </w:r>
          </w:p>
        </w:tc>
        <w:tc>
          <w:tcPr>
            <w:tcW w:w="120" w:type="dxa"/>
            <w:vAlign w:val="bottom"/>
          </w:tcPr>
          <w:p>
            <w:pPr>
              <w:spacing w:after="0"/>
              <w:rPr>
                <w:sz w:val="15"/>
                <w:szCs w:val="15"/>
                <w:color w:val="auto"/>
              </w:rPr>
            </w:pPr>
          </w:p>
        </w:tc>
        <w:tc>
          <w:tcPr>
            <w:tcW w:w="118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98"/>
              </w:rPr>
              <w:t>December 1,</w:t>
            </w:r>
          </w:p>
        </w:tc>
      </w:tr>
      <w:tr>
        <w:trPr>
          <w:trHeight w:val="243"/>
        </w:trPr>
        <w:tc>
          <w:tcPr>
            <w:tcW w:w="7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2023</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2023</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2022</w:t>
            </w:r>
          </w:p>
        </w:tc>
      </w:tr>
      <w:tr>
        <w:trPr>
          <w:trHeight w:val="34"/>
        </w:trPr>
        <w:tc>
          <w:tcPr>
            <w:tcW w:w="7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71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1,401</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943</w:t>
            </w:r>
          </w:p>
        </w:tc>
      </w:tr>
      <w:tr>
        <w:trPr>
          <w:trHeight w:val="256"/>
        </w:trPr>
        <w:tc>
          <w:tcPr>
            <w:tcW w:w="7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7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(1,796)</w:t>
            </w:r>
          </w:p>
        </w:tc>
        <w:tc>
          <w:tcPr>
            <w:tcW w:w="18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(1,461)</w:t>
            </w: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(2,449)</w:t>
            </w: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7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sales of property, plant, and equipment</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71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Proceeds from government incentives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1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Investments in capital expenditures, net</w:t>
            </w:r>
          </w:p>
        </w:tc>
        <w:tc>
          <w:tcPr>
            <w:tcW w:w="22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(1,734)</w:t>
            </w:r>
          </w:p>
        </w:tc>
        <w:tc>
          <w:tcPr>
            <w:tcW w:w="18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(2,471)</w:t>
            </w:r>
          </w:p>
        </w:tc>
      </w:tr>
      <w:tr>
        <w:trPr>
          <w:trHeight w:val="223"/>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w:t>
            </w:r>
          </w:p>
        </w:tc>
      </w:tr>
      <w:tr>
        <w:trPr>
          <w:trHeight w:val="21"/>
        </w:trPr>
        <w:tc>
          <w:tcPr>
            <w:tcW w:w="7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(loss), net income (loss), diluted earnings (loss) per share, and adjusted free cash flow.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amounts presented in accordance with U.S. GAAP and therefore may not be comparable to amounts reported by other companies. Our management excludes the following items in analyzing our operating results and understanding trends in our earnings:</w:t>
      </w:r>
    </w:p>
    <w:p>
      <w:pPr>
        <w:spacing w:after="0" w:line="20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settlements;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impairment; and</w:t>
      </w:r>
    </w:p>
    <w:p>
      <w:pPr>
        <w:spacing w:after="0" w:line="9" w:lineRule="exact"/>
        <w:rPr>
          <w:rFonts w:ascii="Arial" w:cs="Arial" w:eastAsia="Arial" w:hAnsi="Arial"/>
          <w:sz w:val="18"/>
          <w:szCs w:val="18"/>
          <w:color w:val="auto"/>
        </w:rPr>
      </w:pPr>
    </w:p>
    <w:p>
      <w:pPr>
        <w:ind w:left="660" w:right="50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assessments of tax exposures, certain tax matters related to prior fiscal periods, and significant changes in tax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9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235"/>
        </w:trPr>
        <w:tc>
          <w:tcPr>
            <w:tcW w:w="4040" w:type="dxa"/>
            <w:vAlign w:val="bottom"/>
          </w:tcPr>
          <w:p>
            <w:pPr>
              <w:spacing w:after="0"/>
              <w:rPr>
                <w:sz w:val="20"/>
                <w:szCs w:val="20"/>
                <w:color w:val="auto"/>
              </w:rPr>
            </w:pPr>
            <w:r>
              <w:rPr>
                <w:rFonts w:ascii="Arial" w:cs="Arial" w:eastAsia="Arial" w:hAnsi="Arial"/>
                <w:sz w:val="18"/>
                <w:szCs w:val="18"/>
                <w:b w:val="1"/>
                <w:bCs w:val="1"/>
                <w:color w:val="auto"/>
              </w:rPr>
              <w:t>FQ2-24</w:t>
            </w:r>
          </w:p>
        </w:tc>
        <w:tc>
          <w:tcPr>
            <w:tcW w:w="2360" w:type="dxa"/>
            <w:vAlign w:val="bottom"/>
            <w:gridSpan w:val="2"/>
          </w:tcPr>
          <w:p>
            <w:pPr>
              <w:ind w:left="500"/>
              <w:spacing w:after="0"/>
              <w:rPr>
                <w:sz w:val="20"/>
                <w:szCs w:val="20"/>
                <w:color w:val="auto"/>
              </w:rPr>
            </w:pPr>
            <w:r>
              <w:rPr>
                <w:rFonts w:ascii="Arial" w:cs="Arial" w:eastAsia="Arial" w:hAnsi="Arial"/>
                <w:sz w:val="18"/>
                <w:szCs w:val="18"/>
                <w:b w:val="1"/>
                <w:bCs w:val="1"/>
                <w:color w:val="auto"/>
              </w:rPr>
              <w:t>GAAP Outlook</w:t>
            </w: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Adjustments</w:t>
            </w:r>
          </w:p>
        </w:tc>
        <w:tc>
          <w:tcPr>
            <w:tcW w:w="2240" w:type="dxa"/>
            <w:vAlign w:val="bottom"/>
          </w:tcPr>
          <w:p>
            <w:pPr>
              <w:jc w:val="right"/>
              <w:ind w:right="210"/>
              <w:spacing w:after="0"/>
              <w:rPr>
                <w:sz w:val="20"/>
                <w:szCs w:val="20"/>
                <w:color w:val="auto"/>
              </w:rPr>
            </w:pPr>
            <w:r>
              <w:rPr>
                <w:rFonts w:ascii="Arial" w:cs="Arial" w:eastAsia="Arial" w:hAnsi="Arial"/>
                <w:sz w:val="18"/>
                <w:szCs w:val="18"/>
                <w:b w:val="1"/>
                <w:bCs w:val="1"/>
                <w:color w:val="auto"/>
              </w:rPr>
              <w:t>Non-GAAP Outlook</w:t>
            </w:r>
          </w:p>
        </w:tc>
      </w:tr>
      <w:tr>
        <w:trPr>
          <w:trHeight w:val="34"/>
        </w:trPr>
        <w:tc>
          <w:tcPr>
            <w:tcW w:w="4040" w:type="dxa"/>
            <w:vAlign w:val="bottom"/>
            <w:tcBorders>
              <w:top w:val="single" w:sz="8" w:color="auto"/>
            </w:tcBorders>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r>
      <w:tr>
        <w:trPr>
          <w:trHeight w:val="229"/>
        </w:trPr>
        <w:tc>
          <w:tcPr>
            <w:tcW w:w="4040" w:type="dxa"/>
            <w:vAlign w:val="bottom"/>
            <w:shd w:val="clear" w:color="auto" w:fill="D1D2D4"/>
          </w:tcPr>
          <w:p>
            <w:pPr>
              <w:spacing w:after="0"/>
              <w:rPr>
                <w:sz w:val="20"/>
                <w:szCs w:val="20"/>
                <w:color w:val="auto"/>
              </w:rPr>
            </w:pPr>
            <w:r>
              <w:rPr>
                <w:rFonts w:ascii="Arial" w:cs="Arial" w:eastAsia="Arial" w:hAnsi="Arial"/>
                <w:sz w:val="18"/>
                <w:szCs w:val="18"/>
                <w:color w:val="auto"/>
              </w:rPr>
              <w:t>Revenue</w:t>
            </w:r>
          </w:p>
        </w:tc>
        <w:tc>
          <w:tcPr>
            <w:tcW w:w="2360" w:type="dxa"/>
            <w:vAlign w:val="bottom"/>
            <w:gridSpan w:val="2"/>
            <w:shd w:val="clear" w:color="auto" w:fill="CBCBCB"/>
          </w:tcPr>
          <w:p>
            <w:pPr>
              <w:jc w:val="right"/>
              <w:ind w:right="140"/>
              <w:spacing w:after="0"/>
              <w:rPr>
                <w:sz w:val="20"/>
                <w:szCs w:val="20"/>
                <w:color w:val="auto"/>
              </w:rPr>
            </w:pPr>
            <w:r>
              <w:rPr>
                <w:rFonts w:ascii="Arial" w:cs="Arial" w:eastAsia="Arial" w:hAnsi="Arial"/>
                <w:sz w:val="18"/>
                <w:szCs w:val="18"/>
                <w:color w:val="auto"/>
              </w:rPr>
              <w:t>$5.30 billion ± $200 million</w:t>
            </w:r>
          </w:p>
        </w:tc>
        <w:tc>
          <w:tcPr>
            <w:tcW w:w="2380" w:type="dxa"/>
            <w:vAlign w:val="bottom"/>
            <w:gridSpan w:val="2"/>
            <w:shd w:val="clear" w:color="auto" w:fill="CBCBCB"/>
          </w:tcPr>
          <w:p>
            <w:pPr>
              <w:jc w:val="center"/>
              <w:ind w:right="16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$5.30 billion ± $200 million</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Gross margin</w:t>
            </w:r>
          </w:p>
        </w:tc>
        <w:tc>
          <w:tcPr>
            <w:tcW w:w="2240" w:type="dxa"/>
            <w:vAlign w:val="bottom"/>
          </w:tcPr>
          <w:p>
            <w:pPr>
              <w:jc w:val="right"/>
              <w:spacing w:after="0"/>
              <w:rPr>
                <w:sz w:val="20"/>
                <w:szCs w:val="20"/>
                <w:color w:val="auto"/>
              </w:rPr>
            </w:pPr>
            <w:r>
              <w:rPr>
                <w:rFonts w:ascii="Arial" w:cs="Arial" w:eastAsia="Arial" w:hAnsi="Arial"/>
                <w:sz w:val="18"/>
                <w:szCs w:val="18"/>
                <w:color w:val="auto"/>
              </w:rPr>
              <w:t>12.0% ± 1.5%</w:t>
            </w:r>
          </w:p>
        </w:tc>
        <w:tc>
          <w:tcPr>
            <w:tcW w:w="120" w:type="dxa"/>
            <w:vAlign w:val="bottom"/>
          </w:tcPr>
          <w:p>
            <w:pPr>
              <w:spacing w:after="0"/>
              <w:rPr>
                <w:sz w:val="19"/>
                <w:szCs w:val="19"/>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1.0% A</w:t>
            </w:r>
          </w:p>
        </w:tc>
        <w:tc>
          <w:tcPr>
            <w:tcW w:w="2240" w:type="dxa"/>
            <w:vAlign w:val="bottom"/>
          </w:tcPr>
          <w:p>
            <w:pPr>
              <w:jc w:val="right"/>
              <w:spacing w:after="0"/>
              <w:rPr>
                <w:sz w:val="20"/>
                <w:szCs w:val="20"/>
                <w:color w:val="auto"/>
              </w:rPr>
            </w:pPr>
            <w:r>
              <w:rPr>
                <w:rFonts w:ascii="Arial" w:cs="Arial" w:eastAsia="Arial" w:hAnsi="Arial"/>
                <w:sz w:val="18"/>
                <w:szCs w:val="18"/>
                <w:color w:val="auto"/>
              </w:rPr>
              <w:t>13.0% ± 1.5%</w:t>
            </w:r>
          </w:p>
        </w:tc>
      </w:tr>
      <w:tr>
        <w:trPr>
          <w:trHeight w:val="230"/>
        </w:trPr>
        <w:tc>
          <w:tcPr>
            <w:tcW w:w="4040" w:type="dxa"/>
            <w:vAlign w:val="bottom"/>
            <w:shd w:val="clear" w:color="auto" w:fill="D1D2D4"/>
          </w:tcPr>
          <w:p>
            <w:pPr>
              <w:spacing w:after="0"/>
              <w:rPr>
                <w:sz w:val="20"/>
                <w:szCs w:val="20"/>
                <w:color w:val="auto"/>
              </w:rPr>
            </w:pPr>
            <w:r>
              <w:rPr>
                <w:rFonts w:ascii="Arial" w:cs="Arial" w:eastAsia="Arial" w:hAnsi="Arial"/>
                <w:sz w:val="18"/>
                <w:szCs w:val="18"/>
                <w:color w:val="auto"/>
              </w:rPr>
              <w:t>Operating expenses</w:t>
            </w:r>
          </w:p>
        </w:tc>
        <w:tc>
          <w:tcPr>
            <w:tcW w:w="2360" w:type="dxa"/>
            <w:vAlign w:val="bottom"/>
            <w:gridSpan w:val="2"/>
            <w:shd w:val="clear" w:color="auto" w:fill="CBCBCB"/>
          </w:tcPr>
          <w:p>
            <w:pPr>
              <w:jc w:val="right"/>
              <w:ind w:right="140"/>
              <w:spacing w:after="0"/>
              <w:rPr>
                <w:sz w:val="20"/>
                <w:szCs w:val="20"/>
                <w:color w:val="auto"/>
              </w:rPr>
            </w:pPr>
            <w:r>
              <w:rPr>
                <w:rFonts w:ascii="Arial" w:cs="Arial" w:eastAsia="Arial" w:hAnsi="Arial"/>
                <w:sz w:val="18"/>
                <w:szCs w:val="18"/>
                <w:color w:val="auto"/>
              </w:rPr>
              <w:t>$1.07 billion ± $15 million</w:t>
            </w:r>
          </w:p>
        </w:tc>
        <w:tc>
          <w:tcPr>
            <w:tcW w:w="2380" w:type="dxa"/>
            <w:vAlign w:val="bottom"/>
            <w:gridSpan w:val="2"/>
            <w:shd w:val="clear" w:color="auto" w:fill="CBCBCB"/>
          </w:tcPr>
          <w:p>
            <w:pPr>
              <w:ind w:left="300"/>
              <w:spacing w:after="0"/>
              <w:rPr>
                <w:sz w:val="20"/>
                <w:szCs w:val="20"/>
                <w:color w:val="auto"/>
              </w:rPr>
            </w:pPr>
            <w:r>
              <w:rPr>
                <w:rFonts w:ascii="Arial" w:cs="Arial" w:eastAsia="Arial" w:hAnsi="Arial"/>
                <w:sz w:val="18"/>
                <w:szCs w:val="18"/>
                <w:color w:val="auto"/>
              </w:rPr>
              <w:t>$122 million B</w:t>
            </w:r>
          </w:p>
        </w:tc>
        <w:tc>
          <w:tcPr>
            <w:tcW w:w="22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$950 million ± $15 million</w:t>
            </w:r>
          </w:p>
        </w:tc>
      </w:tr>
      <w:tr>
        <w:trPr>
          <w:trHeight w:val="311"/>
        </w:trPr>
        <w:tc>
          <w:tcPr>
            <w:tcW w:w="4040" w:type="dxa"/>
            <w:vAlign w:val="bottom"/>
          </w:tcPr>
          <w:p>
            <w:pPr>
              <w:spacing w:after="0"/>
              <w:rPr>
                <w:sz w:val="20"/>
                <w:szCs w:val="20"/>
                <w:color w:val="auto"/>
              </w:rPr>
            </w:pPr>
            <w:r>
              <w:rPr>
                <w:rFonts w:ascii="Arial" w:cs="Arial" w:eastAsia="Arial" w:hAnsi="Arial"/>
                <w:sz w:val="18"/>
                <w:szCs w:val="18"/>
                <w:color w:val="auto"/>
              </w:rPr>
              <w:t>Diluted earnings (loss) per share</w:t>
            </w:r>
            <w:r>
              <w:rPr>
                <w:rFonts w:ascii="Arial" w:cs="Arial" w:eastAsia="Arial" w:hAnsi="Arial"/>
                <w:sz w:val="23"/>
                <w:szCs w:val="23"/>
                <w:color w:val="auto"/>
                <w:vertAlign w:val="superscript"/>
              </w:rPr>
              <w:t>(1)</w:t>
            </w:r>
          </w:p>
        </w:tc>
        <w:tc>
          <w:tcPr>
            <w:tcW w:w="2240" w:type="dxa"/>
            <w:vAlign w:val="bottom"/>
          </w:tcPr>
          <w:p>
            <w:pPr>
              <w:jc w:val="right"/>
              <w:spacing w:after="0"/>
              <w:rPr>
                <w:sz w:val="20"/>
                <w:szCs w:val="20"/>
                <w:color w:val="auto"/>
              </w:rPr>
            </w:pPr>
            <w:r>
              <w:rPr>
                <w:rFonts w:ascii="Arial" w:cs="Arial" w:eastAsia="Arial" w:hAnsi="Arial"/>
                <w:sz w:val="18"/>
                <w:szCs w:val="18"/>
                <w:color w:val="auto"/>
              </w:rPr>
              <w:t>($0.45) ± $0.07</w:t>
            </w:r>
          </w:p>
        </w:tc>
        <w:tc>
          <w:tcPr>
            <w:tcW w:w="120" w:type="dxa"/>
            <w:vAlign w:val="bottom"/>
          </w:tcPr>
          <w:p>
            <w:pPr>
              <w:spacing w:after="0"/>
              <w:rPr>
                <w:sz w:val="24"/>
                <w:szCs w:val="24"/>
                <w:color w:val="auto"/>
              </w:rPr>
            </w:pPr>
          </w:p>
        </w:tc>
        <w:tc>
          <w:tcPr>
            <w:tcW w:w="2380" w:type="dxa"/>
            <w:vAlign w:val="bottom"/>
            <w:gridSpan w:val="2"/>
          </w:tcPr>
          <w:p>
            <w:pPr>
              <w:ind w:left="820"/>
              <w:spacing w:after="0"/>
              <w:rPr>
                <w:sz w:val="20"/>
                <w:szCs w:val="20"/>
                <w:color w:val="auto"/>
              </w:rPr>
            </w:pPr>
            <w:r>
              <w:rPr>
                <w:rFonts w:ascii="Arial" w:cs="Arial" w:eastAsia="Arial" w:hAnsi="Arial"/>
                <w:sz w:val="18"/>
                <w:szCs w:val="18"/>
                <w:color w:val="auto"/>
              </w:rPr>
              <w:t>$0.17 A, B, C</w:t>
            </w:r>
          </w:p>
        </w:tc>
        <w:tc>
          <w:tcPr>
            <w:tcW w:w="2240" w:type="dxa"/>
            <w:vAlign w:val="bottom"/>
          </w:tcPr>
          <w:p>
            <w:pPr>
              <w:jc w:val="right"/>
              <w:spacing w:after="0"/>
              <w:rPr>
                <w:sz w:val="20"/>
                <w:szCs w:val="20"/>
                <w:color w:val="auto"/>
              </w:rPr>
            </w:pPr>
            <w:r>
              <w:rPr>
                <w:rFonts w:ascii="Arial" w:cs="Arial" w:eastAsia="Arial" w:hAnsi="Arial"/>
                <w:sz w:val="18"/>
                <w:szCs w:val="18"/>
                <w:color w:val="auto"/>
              </w:rPr>
              <w:t>($0.28) ± $0.07</w:t>
            </w:r>
          </w:p>
        </w:tc>
      </w:tr>
    </w:tbl>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Adjustments</w:t>
      </w:r>
    </w:p>
    <w:p>
      <w:pPr>
        <w:ind w:left="120"/>
        <w:spacing w:after="0"/>
        <w:rPr>
          <w:sz w:val="20"/>
          <w:szCs w:val="20"/>
          <w:color w:val="auto"/>
        </w:rPr>
      </w:pPr>
      <w:r>
        <w:rPr>
          <w:rFonts w:ascii="Arial" w:cs="Arial" w:eastAsia="Arial" w:hAnsi="Arial"/>
          <w:sz w:val="18"/>
          <w:szCs w:val="18"/>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70034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57"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8780" w:type="dxa"/>
            <w:vAlign w:val="bottom"/>
            <w:shd w:val="clear" w:color="auto" w:fill="D1D2D4"/>
          </w:tcPr>
          <w:p>
            <w:pPr>
              <w:spacing w:after="0"/>
              <w:rPr>
                <w:sz w:val="20"/>
                <w:szCs w:val="20"/>
                <w:color w:val="auto"/>
              </w:rPr>
            </w:pPr>
            <w:r>
              <w:rPr>
                <w:rFonts w:ascii="Arial" w:cs="Arial" w:eastAsia="Arial" w:hAnsi="Arial"/>
                <w:sz w:val="18"/>
                <w:szCs w:val="18"/>
                <w:color w:val="auto"/>
              </w:rPr>
              <w:t>A  Stock-based compensation – cost of goods sold</w:t>
            </w:r>
          </w:p>
        </w:tc>
        <w:tc>
          <w:tcPr>
            <w:tcW w:w="980" w:type="dxa"/>
            <w:vAlign w:val="bottom"/>
            <w:shd w:val="clear" w:color="auto" w:fill="D1D2D4"/>
          </w:tcPr>
          <w:p>
            <w:pPr>
              <w:jc w:val="right"/>
              <w:ind w:right="7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A  Other – cost of goods sold</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780" w:type="dxa"/>
            <w:vAlign w:val="bottom"/>
            <w:shd w:val="clear" w:color="auto" w:fill="D1D2D4"/>
          </w:tcPr>
          <w:p>
            <w:pPr>
              <w:spacing w:after="0"/>
              <w:rPr>
                <w:sz w:val="20"/>
                <w:szCs w:val="20"/>
                <w:color w:val="auto"/>
              </w:rPr>
            </w:pPr>
            <w:r>
              <w:rPr>
                <w:rFonts w:ascii="Arial" w:cs="Arial" w:eastAsia="Arial" w:hAnsi="Arial"/>
                <w:sz w:val="18"/>
                <w:szCs w:val="18"/>
                <w:color w:val="auto"/>
              </w:rPr>
              <w:t>B  Stock-based compensation – research and development</w:t>
            </w:r>
          </w:p>
        </w:tc>
        <w:tc>
          <w:tcPr>
            <w:tcW w:w="9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8780" w:type="dxa"/>
            <w:vAlign w:val="bottom"/>
          </w:tcPr>
          <w:p>
            <w:pPr>
              <w:spacing w:after="0"/>
              <w:rPr>
                <w:sz w:val="20"/>
                <w:szCs w:val="20"/>
                <w:color w:val="auto"/>
              </w:rPr>
            </w:pPr>
            <w:r>
              <w:rPr>
                <w:rFonts w:ascii="Arial" w:cs="Arial" w:eastAsia="Arial" w:hAnsi="Arial"/>
                <w:sz w:val="18"/>
                <w:szCs w:val="18"/>
                <w:color w:val="auto"/>
              </w:rPr>
              <w:t>B  Stock-based compensation – sales, general, and administrative</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780" w:type="dxa"/>
            <w:vAlign w:val="bottom"/>
            <w:shd w:val="clear" w:color="auto" w:fill="D1D2D4"/>
          </w:tcPr>
          <w:p>
            <w:pPr>
              <w:spacing w:after="0"/>
              <w:rPr>
                <w:sz w:val="20"/>
                <w:szCs w:val="20"/>
                <w:color w:val="auto"/>
              </w:rPr>
            </w:pPr>
            <w:r>
              <w:rPr>
                <w:rFonts w:ascii="Arial" w:cs="Arial" w:eastAsia="Arial" w:hAnsi="Arial"/>
                <w:sz w:val="18"/>
                <w:szCs w:val="18"/>
                <w:color w:val="auto"/>
              </w:rPr>
              <w:t>C  Tax effects of the above items and other tax adjustments</w:t>
            </w:r>
          </w:p>
        </w:tc>
        <w:tc>
          <w:tcPr>
            <w:tcW w:w="9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878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1"/>
        </w:trPr>
        <w:tc>
          <w:tcPr>
            <w:tcW w:w="8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GAAP and non-GAAP earnings (loss) per share based on approximately 1.10 billion diluted shares.</w:t>
      </w:r>
    </w:p>
    <w:p>
      <w:pPr>
        <w:spacing w:after="0" w:line="22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additional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2023-12-20T15:11:08Z</dcterms:created>
  <dcterms:modified xsi:type="dcterms:W3CDTF">2023-12-20T15:11:08Z</dcterms:modified>
</cp:coreProperties>
</file>