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FORM 10-K</w:t>
      </w:r>
    </w:p>
    <w:p>
      <w:pPr>
        <w:spacing w:after="0" w:line="44"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(Mark One)</w:t>
      </w:r>
    </w:p>
    <w:p>
      <w:pPr>
        <w:spacing w:after="0" w:line="7" w:lineRule="exact"/>
        <w:rPr>
          <w:sz w:val="24"/>
          <w:szCs w:val="24"/>
          <w:color w:val="auto"/>
        </w:rPr>
      </w:pPr>
    </w:p>
    <w:p>
      <w:pPr>
        <w:ind w:left="4140" w:right="1280" w:hanging="3283"/>
        <w:spacing w:after="0" w:line="526" w:lineRule="auto"/>
        <w:tabs>
          <w:tab w:leader="none" w:pos="1788"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REPORT PURSUANT TO SECTION 13 OR 15(d) OF THE SECURITIES EXCHANGE ACT OF 1934 For the fiscal year ended </w:t>
      </w:r>
      <w:r>
        <w:rPr>
          <w:rFonts w:ascii="Arial" w:cs="Arial" w:eastAsia="Arial" w:hAnsi="Arial"/>
          <w:sz w:val="18"/>
          <w:szCs w:val="18"/>
          <w:b w:val="1"/>
          <w:bCs w:val="1"/>
          <w:color w:val="auto"/>
        </w:rPr>
        <w:t>August 30, 2007</w:t>
      </w:r>
    </w:p>
    <w:p>
      <w:pPr>
        <w:ind w:left="55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OR</w:t>
      </w:r>
    </w:p>
    <w:p>
      <w:pPr>
        <w:spacing w:after="0" w:line="240" w:lineRule="exact"/>
        <w:rPr>
          <w:sz w:val="24"/>
          <w:szCs w:val="24"/>
          <w:color w:val="auto"/>
        </w:rPr>
      </w:pPr>
    </w:p>
    <w:p>
      <w:pPr>
        <w:ind w:left="1780" w:hanging="936"/>
        <w:spacing w:after="0"/>
        <w:tabs>
          <w:tab w:leader="none" w:pos="17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80" w:right="239" w:bottom="516" w:gutter="0" w:footer="0" w:header="0"/>
        </w:sectPr>
      </w:pPr>
    </w:p>
    <w:p>
      <w:pPr>
        <w:spacing w:after="0" w:line="252" w:lineRule="exact"/>
        <w:rPr>
          <w:sz w:val="24"/>
          <w:szCs w:val="24"/>
          <w:color w:val="auto"/>
        </w:rPr>
      </w:pPr>
    </w:p>
    <w:p>
      <w:pPr>
        <w:ind w:left="3180"/>
        <w:spacing w:after="0"/>
        <w:tabs>
          <w:tab w:leader="none" w:pos="81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20"/>
          </w:cols>
          <w:pgMar w:left="240" w:top="280" w:right="239" w:bottom="516" w:gutter="0" w:footer="0" w:header="0"/>
          <w:type w:val="continuous"/>
        </w:sect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8"/>
          <w:szCs w:val="18"/>
          <w:b w:val="1"/>
          <w:bCs w:val="1"/>
          <w:color w:val="auto"/>
        </w:rPr>
        <w:t>1-10658</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Micron Technology,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280" w:right="239" w:bottom="516" w:gutter="0" w:footer="0" w:header="0"/>
          <w:type w:val="continuous"/>
        </w:sectPr>
      </w:pPr>
    </w:p>
    <w:p>
      <w:pPr>
        <w:spacing w:after="0" w:line="245"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Delaware</w:t>
      </w:r>
    </w:p>
    <w:p>
      <w:pPr>
        <w:spacing w:after="0" w:line="25"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(State or other jurisdiction of</w:t>
      </w:r>
    </w:p>
    <w:p>
      <w:pPr>
        <w:spacing w:after="0" w:line="21" w:lineRule="exact"/>
        <w:rPr>
          <w:sz w:val="24"/>
          <w:szCs w:val="24"/>
          <w:color w:val="auto"/>
        </w:rPr>
      </w:pPr>
    </w:p>
    <w:p>
      <w:pPr>
        <w:ind w:left="190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75-1618004</w:t>
      </w:r>
    </w:p>
    <w:p>
      <w:pPr>
        <w:spacing w:after="0" w:line="25" w:lineRule="exact"/>
        <w:rPr>
          <w:sz w:val="24"/>
          <w:szCs w:val="24"/>
          <w:color w:val="auto"/>
        </w:rPr>
      </w:pPr>
    </w:p>
    <w:p>
      <w:pPr>
        <w:jc w:val="center"/>
        <w:ind w:right="2160"/>
        <w:spacing w:after="0"/>
        <w:rPr>
          <w:sz w:val="20"/>
          <w:szCs w:val="20"/>
          <w:color w:val="auto"/>
        </w:rPr>
      </w:pPr>
      <w:r>
        <w:rPr>
          <w:rFonts w:ascii="Arial" w:cs="Arial" w:eastAsia="Arial" w:hAnsi="Arial"/>
          <w:sz w:val="17"/>
          <w:szCs w:val="17"/>
          <w:color w:val="auto"/>
        </w:rPr>
        <w:t>(IRS Employer</w:t>
      </w:r>
    </w:p>
    <w:p>
      <w:pPr>
        <w:spacing w:after="0" w:line="10"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280" w:space="720"/>
            <w:col w:w="3420"/>
          </w:cols>
          <w:pgMar w:left="240" w:top="280" w:right="239" w:bottom="516" w:gutter="0" w:footer="0" w:header="0"/>
          <w:type w:val="continuous"/>
        </w:sectPr>
      </w:pPr>
    </w:p>
    <w:p>
      <w:pPr>
        <w:spacing w:after="0" w:line="11" w:lineRule="exact"/>
        <w:rPr>
          <w:sz w:val="24"/>
          <w:szCs w:val="24"/>
          <w:color w:val="auto"/>
        </w:rPr>
      </w:pPr>
    </w:p>
    <w:p>
      <w:pPr>
        <w:jc w:val="center"/>
        <w:ind w:right="1660"/>
        <w:spacing w:after="0"/>
        <w:rPr>
          <w:sz w:val="20"/>
          <w:szCs w:val="20"/>
          <w:color w:val="auto"/>
        </w:rPr>
      </w:pPr>
      <w:r>
        <w:rPr>
          <w:rFonts w:ascii="Arial" w:cs="Arial" w:eastAsia="Arial" w:hAnsi="Arial"/>
          <w:sz w:val="16"/>
          <w:szCs w:val="16"/>
          <w:b w:val="1"/>
          <w:bCs w:val="1"/>
          <w:color w:val="auto"/>
        </w:rPr>
        <w:t>8000 S. Federal Way, Boise, Idaho</w:t>
      </w:r>
    </w:p>
    <w:p>
      <w:pPr>
        <w:spacing w:after="0" w:line="36" w:lineRule="exact"/>
        <w:rPr>
          <w:sz w:val="24"/>
          <w:szCs w:val="24"/>
          <w:color w:val="auto"/>
        </w:rPr>
      </w:pPr>
    </w:p>
    <w:p>
      <w:pPr>
        <w:jc w:val="center"/>
        <w:ind w:right="16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83716-9632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280" w:right="239" w:bottom="516" w:gutter="0" w:footer="0" w:header="0"/>
          <w:type w:val="continuous"/>
        </w:sectPr>
      </w:pPr>
    </w:p>
    <w:p>
      <w:pPr>
        <w:spacing w:after="0" w:line="15" w:lineRule="exact"/>
        <w:rPr>
          <w:sz w:val="24"/>
          <w:szCs w:val="24"/>
          <w:color w:val="auto"/>
        </w:rPr>
      </w:pPr>
    </w:p>
    <w:p>
      <w:pPr>
        <w:ind w:left="1160"/>
        <w:spacing w:after="0"/>
        <w:rPr>
          <w:sz w:val="20"/>
          <w:szCs w:val="20"/>
          <w:color w:val="auto"/>
        </w:rPr>
      </w:pPr>
      <w:r>
        <w:rPr>
          <w:rFonts w:ascii="Arial" w:cs="Arial" w:eastAsia="Arial" w:hAnsi="Arial"/>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 368-4000</w:t>
      </w:r>
    </w:p>
    <w:p>
      <w:pPr>
        <w:spacing w:after="0" w:line="203" w:lineRule="exact"/>
        <w:rPr>
          <w:sz w:val="24"/>
          <w:szCs w:val="24"/>
          <w:color w:val="auto"/>
        </w:rPr>
      </w:pPr>
    </w:p>
    <w:p>
      <w:pPr>
        <w:sectPr>
          <w:pgSz w:w="11900" w:h="16838" w:orient="portrait"/>
          <w:cols w:equalWidth="0" w:num="2">
            <w:col w:w="7380" w:space="720"/>
            <w:col w:w="3320"/>
          </w:cols>
          <w:pgMar w:left="240" w:top="280" w:right="239" w:bottom="516" w:gutter="0" w:footer="0" w:header="0"/>
          <w:type w:val="continuous"/>
        </w:sectPr>
      </w:pP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420"/>
          </w:cols>
          <w:pgMar w:left="240" w:top="280" w:right="239" w:bottom="516" w:gutter="0" w:footer="0" w:header="0"/>
          <w:type w:val="continuous"/>
        </w:sectPr>
      </w:pPr>
    </w:p>
    <w:p>
      <w:pPr>
        <w:spacing w:after="0" w:line="238"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Title of each class</w:t>
      </w:r>
    </w:p>
    <w:p>
      <w:pPr>
        <w:spacing w:after="0" w:line="21"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Common Stock, par value $.10 per share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280"/>
        <w:spacing w:after="0"/>
        <w:rPr>
          <w:sz w:val="20"/>
          <w:szCs w:val="20"/>
          <w:color w:val="auto"/>
        </w:rPr>
      </w:pPr>
      <w:r>
        <w:rPr>
          <w:rFonts w:ascii="Arial" w:cs="Arial" w:eastAsia="Arial" w:hAnsi="Arial"/>
          <w:sz w:val="15"/>
          <w:szCs w:val="15"/>
          <w:color w:val="auto"/>
        </w:rPr>
        <w:t>Name of each exchange on which registered</w:t>
      </w:r>
    </w:p>
    <w:p>
      <w:pPr>
        <w:spacing w:after="0" w:line="44" w:lineRule="exact"/>
        <w:rPr>
          <w:sz w:val="24"/>
          <w:szCs w:val="24"/>
          <w:color w:val="auto"/>
        </w:rPr>
      </w:pPr>
    </w:p>
    <w:p>
      <w:pPr>
        <w:jc w:val="center"/>
        <w:ind w:right="1280"/>
        <w:spacing w:after="0"/>
        <w:rPr>
          <w:sz w:val="20"/>
          <w:szCs w:val="20"/>
          <w:color w:val="auto"/>
        </w:rPr>
      </w:pPr>
      <w:r>
        <w:rPr>
          <w:rFonts w:ascii="Arial" w:cs="Arial" w:eastAsia="Arial" w:hAnsi="Arial"/>
          <w:sz w:val="17"/>
          <w:szCs w:val="17"/>
          <w:b w:val="1"/>
          <w:bCs w:val="1"/>
          <w:color w:val="auto"/>
        </w:rPr>
        <w:t>New York Stock Exchange</w:t>
      </w:r>
    </w:p>
    <w:p>
      <w:pPr>
        <w:spacing w:after="0" w:line="200" w:lineRule="exact"/>
        <w:rPr>
          <w:sz w:val="24"/>
          <w:szCs w:val="24"/>
          <w:color w:val="auto"/>
        </w:rPr>
      </w:pPr>
    </w:p>
    <w:p>
      <w:pPr>
        <w:sectPr>
          <w:pgSz w:w="11900" w:h="16838" w:orient="portrait"/>
          <w:cols w:equalWidth="0" w:num="2">
            <w:col w:w="6400" w:space="720"/>
            <w:col w:w="4300"/>
          </w:cols>
          <w:pgMar w:left="240" w:top="280" w:right="239" w:bottom="516" w:gutter="0" w:footer="0" w:header="0"/>
          <w:type w:val="continuous"/>
        </w:sectPr>
      </w:pPr>
    </w:p>
    <w:p>
      <w:pPr>
        <w:spacing w:after="0" w:line="29" w:lineRule="exact"/>
        <w:rPr>
          <w:sz w:val="24"/>
          <w:szCs w:val="24"/>
          <w:color w:val="auto"/>
        </w:rPr>
      </w:pPr>
    </w:p>
    <w:p>
      <w:pPr>
        <w:ind w:left="3740"/>
        <w:spacing w:after="0"/>
        <w:rPr>
          <w:sz w:val="20"/>
          <w:szCs w:val="20"/>
          <w:color w:val="auto"/>
        </w:rPr>
      </w:pPr>
      <w:r>
        <w:rPr>
          <w:rFonts w:ascii="Arial" w:cs="Arial" w:eastAsia="Arial" w:hAnsi="Arial"/>
          <w:sz w:val="15"/>
          <w:szCs w:val="15"/>
          <w:color w:val="auto"/>
        </w:rPr>
        <w:t>Securities registered pursuant to Section 12(g) of the Act:</w:t>
      </w:r>
    </w:p>
    <w:p>
      <w:pPr>
        <w:spacing w:after="0" w:line="44" w:lineRule="exact"/>
        <w:rPr>
          <w:sz w:val="24"/>
          <w:szCs w:val="24"/>
          <w:color w:val="auto"/>
        </w:rPr>
      </w:pPr>
    </w:p>
    <w:p>
      <w:pPr>
        <w:ind w:left="5520"/>
        <w:spacing w:after="0"/>
        <w:rPr>
          <w:sz w:val="20"/>
          <w:szCs w:val="20"/>
          <w:color w:val="auto"/>
        </w:rPr>
      </w:pPr>
      <w:r>
        <w:rPr>
          <w:rFonts w:ascii="Arial" w:cs="Arial" w:eastAsia="Arial" w:hAnsi="Arial"/>
          <w:sz w:val="17"/>
          <w:szCs w:val="17"/>
          <w:b w:val="1"/>
          <w:bCs w:val="1"/>
          <w:color w:val="auto"/>
        </w:rPr>
        <w:t>None</w:t>
      </w:r>
    </w:p>
    <w:p>
      <w:pPr>
        <w:spacing w:after="0" w:line="10" w:lineRule="exact"/>
        <w:rPr>
          <w:sz w:val="24"/>
          <w:szCs w:val="24"/>
          <w:color w:val="auto"/>
        </w:rPr>
      </w:pPr>
    </w:p>
    <w:p>
      <w:pPr>
        <w:ind w:left="5200"/>
        <w:spacing w:after="0"/>
        <w:rPr>
          <w:sz w:val="20"/>
          <w:szCs w:val="20"/>
          <w:color w:val="auto"/>
        </w:rPr>
      </w:pPr>
      <w:r>
        <w:rPr>
          <w:rFonts w:ascii="Arial" w:cs="Arial" w:eastAsia="Arial" w:hAnsi="Arial"/>
          <w:sz w:val="17"/>
          <w:szCs w:val="17"/>
          <w:color w:val="auto"/>
        </w:rPr>
        <w:t>(Title of Class)</w:t>
      </w:r>
    </w:p>
    <w:p>
      <w:pPr>
        <w:sectPr>
          <w:pgSz w:w="11900" w:h="16838" w:orient="portrait"/>
          <w:cols w:equalWidth="0" w:num="1">
            <w:col w:w="11420"/>
          </w:cols>
          <w:pgMar w:left="240" w:top="280" w:right="239" w:bottom="516" w:gutter="0" w:footer="0" w:header="0"/>
          <w:type w:val="continuous"/>
        </w:sectPr>
      </w:pP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highlight w:val="black"/>
        </w:rPr>
        <w:t>☐</w:t>
      </w:r>
    </w:p>
    <w:p>
      <w:pPr>
        <w:spacing w:after="0" w:line="209" w:lineRule="exact"/>
        <w:rPr>
          <w:sz w:val="24"/>
          <w:szCs w:val="24"/>
          <w:color w:val="auto"/>
        </w:rPr>
      </w:pPr>
    </w:p>
    <w:p>
      <w:pPr>
        <w:sectPr>
          <w:pgSz w:w="11900" w:h="16838" w:orient="portrait"/>
          <w:cols w:equalWidth="0" w:num="3">
            <w:col w:w="8360" w:space="80"/>
            <w:col w:w="80" w:space="140"/>
            <w:col w:w="2760"/>
          </w:cols>
          <w:pgMar w:left="240" w:top="280" w:right="239" w:bottom="516" w:gutter="0" w:footer="0" w:header="0"/>
          <w:type w:val="continuous"/>
        </w:sectPr>
      </w:pP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highlight w:val="black"/>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x</w:t>
      </w:r>
    </w:p>
    <w:p>
      <w:pPr>
        <w:spacing w:after="0" w:line="200" w:lineRule="exact"/>
        <w:rPr>
          <w:sz w:val="24"/>
          <w:szCs w:val="24"/>
          <w:color w:val="auto"/>
        </w:rPr>
      </w:pPr>
    </w:p>
    <w:p>
      <w:pPr>
        <w:sectPr>
          <w:pgSz w:w="11900" w:h="16838" w:orient="portrait"/>
          <w:cols w:equalWidth="0" w:num="3">
            <w:col w:w="8140" w:space="140"/>
            <w:col w:w="200" w:space="80"/>
            <w:col w:w="2860"/>
          </w:cols>
          <w:pgMar w:left="240" w:top="280" w:right="239" w:bottom="516" w:gutter="0" w:footer="0" w:header="0"/>
          <w:type w:val="continuous"/>
        </w:sectPr>
      </w:pPr>
    </w:p>
    <w:p>
      <w:pPr>
        <w:spacing w:after="0" w:line="44" w:lineRule="exact"/>
        <w:rPr>
          <w:sz w:val="24"/>
          <w:szCs w:val="24"/>
          <w:color w:val="auto"/>
        </w:rPr>
      </w:pPr>
    </w:p>
    <w:p>
      <w:pPr>
        <w:ind w:right="180"/>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b w:val="1"/>
          <w:bCs w:val="1"/>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201" w:lineRule="exact"/>
        <w:rPr>
          <w:sz w:val="24"/>
          <w:szCs w:val="24"/>
          <w:color w:val="auto"/>
        </w:rPr>
      </w:pPr>
    </w:p>
    <w:p>
      <w:pPr>
        <w:ind w:right="280"/>
        <w:spacing w:after="0" w:line="264" w:lineRule="auto"/>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7"/>
          <w:szCs w:val="17"/>
          <w:b w:val="1"/>
          <w:bCs w:val="1"/>
          <w:color w:val="auto"/>
        </w:rPr>
        <w:t>x</w:t>
      </w:r>
    </w:p>
    <w:p>
      <w:pPr>
        <w:spacing w:after="0" w:line="201" w:lineRule="exact"/>
        <w:rPr>
          <w:sz w:val="24"/>
          <w:szCs w:val="24"/>
          <w:color w:val="auto"/>
        </w:rPr>
      </w:pPr>
    </w:p>
    <w:p>
      <w:pPr>
        <w:ind w:right="180"/>
        <w:spacing w:after="0" w:line="277"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80" w:right="239" w:bottom="516" w:gutter="0" w:footer="0" w:header="0"/>
          <w:type w:val="continuous"/>
        </w:sectPr>
      </w:pPr>
    </w:p>
    <w:p>
      <w:pPr>
        <w:spacing w:after="0" w:line="186"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 xml:space="preserve">Large Accelerated Filer </w:t>
      </w:r>
      <w:r>
        <w:rPr>
          <w:rFonts w:ascii="Arial" w:cs="Arial" w:eastAsia="Arial" w:hAnsi="Arial"/>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1500"/>
        <w:spacing w:after="0"/>
        <w:rPr>
          <w:sz w:val="20"/>
          <w:szCs w:val="20"/>
          <w:color w:val="auto"/>
        </w:rPr>
      </w:pPr>
      <w:r>
        <w:rPr>
          <w:rFonts w:ascii="Arial" w:cs="Arial" w:eastAsia="Arial" w:hAnsi="Arial"/>
          <w:sz w:val="15"/>
          <w:szCs w:val="15"/>
          <w:color w:val="auto"/>
        </w:rPr>
        <w:t xml:space="preserve">Accelerated Filer </w:t>
      </w:r>
      <w:r>
        <w:rPr>
          <w:rFonts w:ascii="Arial" w:cs="Arial" w:eastAsia="Arial" w:hAnsi="Arial"/>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Non-Accelerated Filer </w:t>
      </w:r>
      <w:r>
        <w:rPr>
          <w:rFonts w:ascii="Arial" w:cs="Arial" w:eastAsia="Arial" w:hAnsi="Arial"/>
          <w:sz w:val="15"/>
          <w:szCs w:val="15"/>
          <w:b w:val="1"/>
          <w:bCs w:val="1"/>
          <w:color w:val="auto"/>
        </w:rPr>
        <w:t>o</w:t>
      </w:r>
    </w:p>
    <w:p>
      <w:pPr>
        <w:spacing w:after="0" w:line="200" w:lineRule="exact"/>
        <w:rPr>
          <w:sz w:val="24"/>
          <w:szCs w:val="24"/>
          <w:color w:val="auto"/>
        </w:rPr>
      </w:pPr>
    </w:p>
    <w:p>
      <w:pPr>
        <w:sectPr>
          <w:pgSz w:w="11900" w:h="16838" w:orient="portrait"/>
          <w:cols w:equalWidth="0" w:num="3">
            <w:col w:w="4620" w:space="720"/>
            <w:col w:w="2800" w:space="720"/>
            <w:col w:w="2560"/>
          </w:cols>
          <w:pgMar w:left="240" w:top="280" w:right="239" w:bottom="516" w:gutter="0" w:footer="0" w:header="0"/>
          <w:type w:val="continuous"/>
        </w:sectPr>
      </w:pP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x</w:t>
      </w:r>
    </w:p>
    <w:p>
      <w:pPr>
        <w:spacing w:after="0" w:line="215" w:lineRule="exact"/>
        <w:rPr>
          <w:sz w:val="24"/>
          <w:szCs w:val="24"/>
          <w:color w:val="auto"/>
        </w:rPr>
      </w:pPr>
    </w:p>
    <w:p>
      <w:pPr>
        <w:sectPr>
          <w:pgSz w:w="11900" w:h="16838" w:orient="portrait"/>
          <w:cols w:equalWidth="0" w:num="4">
            <w:col w:w="8100" w:space="80"/>
            <w:col w:w="160" w:space="120"/>
            <w:col w:w="200" w:space="100"/>
            <w:col w:w="2660"/>
          </w:cols>
          <w:pgMar w:left="240" w:top="280" w:right="239" w:bottom="516" w:gutter="0" w:footer="0" w:header="0"/>
          <w:type w:val="continuous"/>
        </w:sectPr>
      </w:pPr>
    </w:p>
    <w:p>
      <w:pPr>
        <w:spacing w:after="0" w:line="63" w:lineRule="exact"/>
        <w:rPr>
          <w:sz w:val="24"/>
          <w:szCs w:val="24"/>
          <w:color w:val="auto"/>
        </w:rPr>
      </w:pPr>
    </w:p>
    <w:p>
      <w:pPr>
        <w:jc w:val="both"/>
        <w:spacing w:after="0" w:line="260" w:lineRule="auto"/>
        <w:rPr>
          <w:sz w:val="20"/>
          <w:szCs w:val="20"/>
          <w:color w:val="auto"/>
        </w:rPr>
      </w:pPr>
      <w:r>
        <w:rPr>
          <w:rFonts w:ascii="Arial" w:cs="Arial" w:eastAsia="Arial" w:hAnsi="Arial"/>
          <w:sz w:val="17"/>
          <w:szCs w:val="17"/>
          <w:color w:val="auto"/>
        </w:rPr>
        <w:t>The aggregate market value of the voting stock held by non-affiliates of the registrant, based upon the closing price of such stock on March 1, 2007, as reported by the New York Stock Exchange, was approximately $6.0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outstanding shares of the registrant’s common stock as of October 19, 2007, was 760,412,921.</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4" w:lineRule="exact"/>
        <w:rPr>
          <w:sz w:val="24"/>
          <w:szCs w:val="24"/>
          <w:color w:val="auto"/>
        </w:rPr>
      </w:pPr>
    </w:p>
    <w:p>
      <w:pPr>
        <w:ind w:right="180"/>
        <w:spacing w:after="0" w:line="277" w:lineRule="auto"/>
        <w:rPr>
          <w:sz w:val="20"/>
          <w:szCs w:val="20"/>
          <w:color w:val="auto"/>
        </w:rPr>
      </w:pPr>
      <w:r>
        <w:rPr>
          <w:rFonts w:ascii="Arial" w:cs="Arial" w:eastAsia="Arial" w:hAnsi="Arial"/>
          <w:sz w:val="17"/>
          <w:szCs w:val="17"/>
          <w:color w:val="auto"/>
        </w:rPr>
        <w:t>Portions of the Proxy Statement for registrant’s 2007 Annual Meeting of Shareholders to be held on December 4, 2007,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5805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215900</wp:posOffset>
            </wp:positionV>
            <wp:extent cx="725805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280" w:right="239" w:bottom="51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44"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in production output for NAND Flash memory products; in “Products” regarding new product offerings in 2008 and continued growth in the NAND Flash and CMOS image sensor markets; and in “Manufacturing” regarding the transition to smaller line-width process technologies, the conversion of wafer fabrication at the TECH joint venture to 300mm, overall increases in 300mm wafer fabrication in 2008, and the ramp of IM Flash’s Singapore wafer fabrication facility in 2009. The Company’s actual results could differ materially from the Company’s historical results and those discussed in the forward-looking statements. Factors that could cause actual results to differ materially include, but are not limited to, those identified in “Item 1A. Risk Factors.” All period references are to the Company’s fiscal periods unless otherwise indicated.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Information</w:t>
      </w:r>
    </w:p>
    <w:p>
      <w:pPr>
        <w:spacing w:after="0" w:line="23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Micron Technology, Inc., and its subsidiaries (hereinafter referred to collectively as the “Company”),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 Company’s website as soon as reasonably practicable after they are electronically filed with or furnished to the Securities and Exchange Commission (the “SEC”). Materials filed by the Company with the SEC are also available at the SEC’s Public Reference Room at 100 F Street, NE, Washington, D.C. 20549. Information on the operation of the Public Reference Room is available by calling 1-800-SEC-0330. Also available on the Company’s website are its: Corporate Governance Guidelines, Governance Committee Charter, Compensation Committee Charter, Audit Committee Charter and Code of Business Conduct and Ethics. Any amendments or waivers of the Company’s Code of Business Conduct and Ethics will also be posted on the Company’s website at www.micron.com within four business days of the amendment or waiver. Copies of these documents are available to shareholders upon request. Information contained or referenced on the Company’s website is not incorporated by reference and does not form a part of this Annual Report on Form 10-K. In January 2007, the Company’s Chief Executive Officer certified to the New York Stock Exchange that he was not aware of any violation by the Company of the NYSE’s Corporate Governance Listing Standards.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9"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The Company is a global manufacturer and marketer of semiconductor devices, principally DRAM and NAND Flash memory and CMOS image sensors. The Company’s products are offered in a wide variety of package and configuration options, architectures and performance characteristics tailored to meet application and customer needs. Individual devices take advantage of the Company’s advanced semiconductor processing technology and manufacturing expertise. The Company aims to continually introduce new generations of products that offer lower costs per unit and improved performance characteristics. The Company operates in two segments, Memory and Imaging. (See “Item 8. Financial Statements and Supplementary Data – Notes to Consolidated Financial Statements – Segment Information.”)</w:t>
      </w:r>
    </w:p>
    <w:p>
      <w:pPr>
        <w:spacing w:after="0" w:line="178" w:lineRule="exact"/>
        <w:rPr>
          <w:sz w:val="20"/>
          <w:szCs w:val="20"/>
          <w:color w:val="auto"/>
        </w:rPr>
      </w:pPr>
    </w:p>
    <w:p>
      <w:pPr>
        <w:ind w:right="620"/>
        <w:spacing w:after="0" w:line="315" w:lineRule="auto"/>
        <w:rPr>
          <w:sz w:val="20"/>
          <w:szCs w:val="20"/>
          <w:color w:val="auto"/>
        </w:rPr>
      </w:pPr>
      <w:r>
        <w:rPr>
          <w:rFonts w:ascii="Arial" w:cs="Arial" w:eastAsia="Arial" w:hAnsi="Arial"/>
          <w:sz w:val="15"/>
          <w:szCs w:val="15"/>
          <w:b w:val="1"/>
          <w:bCs w:val="1"/>
          <w:i w:val="1"/>
          <w:iCs w:val="1"/>
          <w:color w:val="auto"/>
        </w:rPr>
        <w:t>Memory</w:t>
      </w:r>
      <w:r>
        <w:rPr>
          <w:rFonts w:ascii="Arial" w:cs="Arial" w:eastAsia="Arial" w:hAnsi="Arial"/>
          <w:sz w:val="15"/>
          <w:szCs w:val="15"/>
          <w:color w:val="auto"/>
        </w:rPr>
        <w:t>: The Memory segment’s primary products are DRAM and NAND Flash, which are key components used in a broad array of electronic applications,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personal computers, workstations, network servers, mobile phones, Flash memory cards, USB storage devices, MP3/4 players and other consumer electronics products. The Company sells primarily to original equipment manufacturers, distributors and retailers located around the world.</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recent years, the Company has taken several steps towards establishing a significant presence in the NAND Flash market. The Company has partnered with Intel Corporation (“Intel”) to form two NAND Flash manufacturing joint ventures (collectively “IM Flash”) that are consolidated subsidiaries of the Company. In 2007, IM Flash ramped production at two 300mm wafer fabrication facilities which greatly increased the Company’s output of NAND Flash. The Company expects its NAND Flash output will continue to increase significantly in 2008 at these facilities. IM Flash began construction of a third 300mm wafer fabrication facility in 2007, which is expected to ramp production in late 2009. In June 2006, the Company acquired Lexar Media, Inc. (“Lexar”), a designer, developer, manufacturer and marketer of NAND Flash memory products, which broadened the Company’s NAND Flash product offering, enhanced the Company’s retail presence and strengthened its intellectual property portfolio.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 w:name="page3"/>
    <w:bookmarkEnd w:id="2"/>
    <w:p>
      <w:pPr>
        <w:ind w:right="140"/>
        <w:spacing w:after="0" w:line="281" w:lineRule="auto"/>
        <w:rPr>
          <w:sz w:val="20"/>
          <w:szCs w:val="20"/>
          <w:color w:val="auto"/>
        </w:rPr>
      </w:pPr>
      <w:r>
        <w:rPr>
          <w:rFonts w:ascii="Arial" w:cs="Arial" w:eastAsia="Arial" w:hAnsi="Arial"/>
          <w:sz w:val="16"/>
          <w:szCs w:val="16"/>
          <w:b w:val="1"/>
          <w:bCs w:val="1"/>
          <w:i w:val="1"/>
          <w:iCs w:val="1"/>
          <w:color w:val="auto"/>
        </w:rPr>
        <w:t xml:space="preserve">Imaging: </w:t>
      </w:r>
      <w:r>
        <w:rPr>
          <w:rFonts w:ascii="Arial" w:cs="Arial" w:eastAsia="Arial" w:hAnsi="Arial"/>
          <w:sz w:val="16"/>
          <w:szCs w:val="16"/>
          <w:color w:val="auto"/>
        </w:rPr>
        <w:t>The Imaging segment’s primary products are CMOS image sensors, which are key components used in a broad array of electronic applications,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mobile phones, digital still cameras, webcams and other consumer, security and automotive applications. The Company’s primary customers are camera module integrators located around the world. The Company is exploring business model alternatives for its Imaging business including partnering arrangements. Under any of the alternatives being considered, the Company expects that it will continue to manufacture CMOS image sensors.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Products</w:t>
      </w:r>
    </w:p>
    <w:p>
      <w:pPr>
        <w:spacing w:after="0" w:line="239"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The Company’s Memory segment has two primary product types: DRAM and NAND Flash. Sales of Memory products were 88%, 86% and 94%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total net sales in 2007, 2006 and 2005, respectively.</w:t>
      </w:r>
    </w:p>
    <w:p>
      <w:pPr>
        <w:spacing w:after="0" w:line="186"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u w:val="single" w:color="auto"/>
          <w:color w:val="auto"/>
        </w:rPr>
        <w:t>Dynamic Random Access Memory (“DRAM”)</w:t>
      </w:r>
      <w:r>
        <w:rPr>
          <w:rFonts w:ascii="Arial" w:cs="Arial" w:eastAsia="Arial" w:hAnsi="Arial"/>
          <w:sz w:val="17"/>
          <w:szCs w:val="17"/>
          <w:b w:val="1"/>
          <w:bCs w:val="1"/>
          <w:color w:val="auto"/>
        </w:rPr>
        <w:t xml:space="preserve">: </w:t>
      </w:r>
      <w:r>
        <w:rPr>
          <w:rFonts w:ascii="Arial" w:cs="Arial" w:eastAsia="Arial" w:hAnsi="Arial"/>
          <w:sz w:val="17"/>
          <w:szCs w:val="17"/>
          <w:color w:val="auto"/>
        </w:rPr>
        <w:t>DRAM products are high-density, low-cost-per-bit, random access memory devices that provide high-speed data</w:t>
      </w:r>
      <w:r>
        <w:rPr>
          <w:rFonts w:ascii="Arial" w:cs="Arial" w:eastAsia="Arial" w:hAnsi="Arial"/>
          <w:sz w:val="17"/>
          <w:szCs w:val="17"/>
          <w:b w:val="1"/>
          <w:bCs w:val="1"/>
          <w:color w:val="auto"/>
        </w:rPr>
        <w:t xml:space="preserve"> </w:t>
      </w:r>
      <w:r>
        <w:rPr>
          <w:rFonts w:ascii="Arial" w:cs="Arial" w:eastAsia="Arial" w:hAnsi="Arial"/>
          <w:sz w:val="17"/>
          <w:szCs w:val="17"/>
          <w:color w:val="auto"/>
        </w:rPr>
        <w:t>storage and retrieval. DRAM products were 65%, 76% and 87% of the Company’s total net sales in 2007, 2006 and 2005, respectively. The Company offers DRAM products with a variety of performance, pricing and other characteristics.</w:t>
      </w:r>
    </w:p>
    <w:p>
      <w:pPr>
        <w:spacing w:after="0" w:line="194" w:lineRule="exact"/>
        <w:rPr>
          <w:sz w:val="20"/>
          <w:szCs w:val="20"/>
          <w:color w:val="auto"/>
        </w:rPr>
      </w:pPr>
    </w:p>
    <w:p>
      <w:pPr>
        <w:ind w:left="620" w:right="120"/>
        <w:spacing w:after="0" w:line="307" w:lineRule="auto"/>
        <w:rPr>
          <w:sz w:val="20"/>
          <w:szCs w:val="20"/>
          <w:color w:val="auto"/>
        </w:rPr>
      </w:pPr>
      <w:r>
        <w:rPr>
          <w:rFonts w:ascii="Arial" w:cs="Arial" w:eastAsia="Arial" w:hAnsi="Arial"/>
          <w:sz w:val="15"/>
          <w:szCs w:val="15"/>
          <w:b w:val="1"/>
          <w:bCs w:val="1"/>
          <w:color w:val="auto"/>
        </w:rPr>
        <w:t xml:space="preserve">DDR and DDR2: </w:t>
      </w:r>
      <w:r>
        <w:rPr>
          <w:rFonts w:ascii="Arial" w:cs="Arial" w:eastAsia="Arial" w:hAnsi="Arial"/>
          <w:sz w:val="15"/>
          <w:szCs w:val="15"/>
          <w:color w:val="auto"/>
        </w:rPr>
        <w:t>DDR and DDR2 are standardized, high-density, high-volume, DRAM products that are sold primarily for use as main system memory in</w:t>
      </w:r>
      <w:r>
        <w:rPr>
          <w:rFonts w:ascii="Arial" w:cs="Arial" w:eastAsia="Arial" w:hAnsi="Arial"/>
          <w:sz w:val="15"/>
          <w:szCs w:val="15"/>
          <w:b w:val="1"/>
          <w:bCs w:val="1"/>
          <w:color w:val="auto"/>
        </w:rPr>
        <w:t xml:space="preserve"> </w:t>
      </w:r>
      <w:r>
        <w:rPr>
          <w:rFonts w:ascii="Arial" w:cs="Arial" w:eastAsia="Arial" w:hAnsi="Arial"/>
          <w:sz w:val="15"/>
          <w:szCs w:val="15"/>
          <w:color w:val="auto"/>
        </w:rPr>
        <w:t>computers and servers. DDR and DDR2 products offer high speed and high bandwidth at a relatively low cost compared to other DRAM products. DDR and DDR2 products were the highest volume parts in the DRAM market in 2007. DDR products were 15%, 26% and 44% of the Company’s total net sales in 2007, 2006 and 2005, respectively. DDR2 products were 32%, 25% and 14% of the Company’s total net sales in 2007, 2006 and 2005, respectively.</w:t>
      </w:r>
    </w:p>
    <w:p>
      <w:pPr>
        <w:spacing w:after="0" w:line="173" w:lineRule="exact"/>
        <w:rPr>
          <w:sz w:val="20"/>
          <w:szCs w:val="20"/>
          <w:color w:val="auto"/>
        </w:rPr>
      </w:pPr>
    </w:p>
    <w:p>
      <w:pPr>
        <w:ind w:left="620" w:right="140"/>
        <w:spacing w:after="0" w:line="258" w:lineRule="auto"/>
        <w:rPr>
          <w:sz w:val="20"/>
          <w:szCs w:val="20"/>
          <w:color w:val="auto"/>
        </w:rPr>
      </w:pPr>
      <w:r>
        <w:rPr>
          <w:rFonts w:ascii="Arial" w:cs="Arial" w:eastAsia="Arial" w:hAnsi="Arial"/>
          <w:sz w:val="17"/>
          <w:szCs w:val="17"/>
          <w:color w:val="auto"/>
        </w:rPr>
        <w:t>In response to changes in the DRAM market, the Company has broadened its DDR and DDR2 product offerings in recent years. The Company offers DDR products in 128 megabit (“Mb”), 256 Mb, 512 Mb and 1 gigabit (“Gb”) densities. The Company offers DDR2 products in 256 Mb, 512 Mb, 1 Gb and 2 Gb densities. The Company expects that these densities will be necessary to meet future customer demands for a broad array of products. The Company also offers its DDR and DDR2 products in multiple configurations, speeds and package types. The Company has begun sampling next-generation DDR3 products.</w:t>
      </w:r>
    </w:p>
    <w:p>
      <w:pPr>
        <w:spacing w:after="0" w:line="202" w:lineRule="exact"/>
        <w:rPr>
          <w:sz w:val="20"/>
          <w:szCs w:val="20"/>
          <w:color w:val="auto"/>
        </w:rPr>
      </w:pPr>
    </w:p>
    <w:p>
      <w:pPr>
        <w:ind w:left="620"/>
        <w:spacing w:after="0" w:line="259" w:lineRule="auto"/>
        <w:rPr>
          <w:sz w:val="20"/>
          <w:szCs w:val="20"/>
          <w:color w:val="auto"/>
        </w:rPr>
      </w:pPr>
      <w:r>
        <w:rPr>
          <w:rFonts w:ascii="Arial" w:cs="Arial" w:eastAsia="Arial" w:hAnsi="Arial"/>
          <w:sz w:val="17"/>
          <w:szCs w:val="17"/>
          <w:b w:val="1"/>
          <w:bCs w:val="1"/>
          <w:color w:val="auto"/>
        </w:rPr>
        <w:t xml:space="preserve">Synchronous DRAM (“SDRAM”): </w:t>
      </w:r>
      <w:r>
        <w:rPr>
          <w:rFonts w:ascii="Arial" w:cs="Arial" w:eastAsia="Arial" w:hAnsi="Arial"/>
          <w:sz w:val="17"/>
          <w:szCs w:val="17"/>
          <w:color w:val="auto"/>
        </w:rPr>
        <w:t>In 2007, 2006 and 2005, SDRAM was primarily used in networking devices, servers, consumer electronics,</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equipment and computer peripherals as well as memory upgrades to legacy computers. Sales of SDRAM products were 11%, 16% and 20% of the Company’s total net sales in 2007, 2006 and 2005, respectively. SDRAM sales have declined as personal computer manufacturers have transitioned to DDR and DDR2 products. The decline has been partially offset by increased usage of SDRAM products in other applications. The Company offers 64 Mb, 128 Mb, 256 Mb and 512 Mb SDRAM products.</w:t>
      </w:r>
    </w:p>
    <w:p>
      <w:pPr>
        <w:spacing w:after="0" w:line="202" w:lineRule="exact"/>
        <w:rPr>
          <w:sz w:val="20"/>
          <w:szCs w:val="20"/>
          <w:color w:val="auto"/>
        </w:rPr>
      </w:pPr>
    </w:p>
    <w:p>
      <w:pPr>
        <w:ind w:left="620" w:right="40"/>
        <w:spacing w:after="0" w:line="255" w:lineRule="auto"/>
        <w:rPr>
          <w:sz w:val="20"/>
          <w:szCs w:val="20"/>
          <w:color w:val="auto"/>
        </w:rPr>
      </w:pPr>
      <w:r>
        <w:rPr>
          <w:rFonts w:ascii="Arial" w:cs="Arial" w:eastAsia="Arial" w:hAnsi="Arial"/>
          <w:sz w:val="17"/>
          <w:szCs w:val="17"/>
          <w:b w:val="1"/>
          <w:bCs w:val="1"/>
          <w:color w:val="auto"/>
        </w:rPr>
        <w:t xml:space="preserve">Other Specialty Memory Products: </w:t>
      </w:r>
      <w:r>
        <w:rPr>
          <w:rFonts w:ascii="Arial" w:cs="Arial" w:eastAsia="Arial" w:hAnsi="Arial"/>
          <w:sz w:val="17"/>
          <w:szCs w:val="17"/>
          <w:color w:val="auto"/>
        </w:rPr>
        <w:t>The Company also offers other specialty memory products including Mobile DRAM, Pseudo-static RAM (“PSRAM”)</w:t>
      </w:r>
      <w:r>
        <w:rPr>
          <w:rFonts w:ascii="Arial" w:cs="Arial" w:eastAsia="Arial" w:hAnsi="Arial"/>
          <w:sz w:val="17"/>
          <w:szCs w:val="17"/>
          <w:b w:val="1"/>
          <w:bCs w:val="1"/>
          <w:color w:val="auto"/>
        </w:rPr>
        <w:t xml:space="preserve"> </w:t>
      </w:r>
      <w:r>
        <w:rPr>
          <w:rFonts w:ascii="Arial" w:cs="Arial" w:eastAsia="Arial" w:hAnsi="Arial"/>
          <w:sz w:val="17"/>
          <w:szCs w:val="17"/>
          <w:color w:val="auto"/>
        </w:rPr>
        <w:t>and Reduced Latency DRAM (“RLDRAM”). Mobile DRAM products are specialty DRAM memory devices designed for applications that demand minimal power consumption, such as personal digital assistants (PDAs), smart phones, GPS devices, digital still cameras and other handheld electronic devices. The Company sells SDRAM and DDR mobile memory products in 64 Mb, 128 Mb, 256 Mb, 512 Mb and 1Gb densities. The Company’s mobile DRAM products feature its proprietary Endur-IC™ technology, which the Company believes provides distinct advantages to its customers in terms of low power, high quality and high reliability. PSRAM products, marketed by the Company under the proprietary brand name CellularRAM™, are DRAM products with an SRAM-like interface. PSRAM combines the minimal power consumption of SRAM with a much lower cost-per-bit to provide an economical alternative to SRAM. PSRAM products are used primarily in cellular phone applications. RLDRAM products are low-latency DRAM memory devices with high clock rates targeted at network applications.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 w:name="page4"/>
    <w:bookmarkEnd w:id="3"/>
    <w:p>
      <w:pPr>
        <w:ind w:right="40"/>
        <w:spacing w:after="0" w:line="275" w:lineRule="auto"/>
        <w:rPr>
          <w:sz w:val="20"/>
          <w:szCs w:val="20"/>
          <w:color w:val="auto"/>
        </w:rPr>
      </w:pPr>
      <w:r>
        <w:rPr>
          <w:rFonts w:ascii="Arial" w:cs="Arial" w:eastAsia="Arial" w:hAnsi="Arial"/>
          <w:sz w:val="16"/>
          <w:szCs w:val="16"/>
          <w:b w:val="1"/>
          <w:bCs w:val="1"/>
          <w:u w:val="single" w:color="auto"/>
          <w:color w:val="auto"/>
        </w:rPr>
        <w:t>NAND Flash Memory (“NAND”)</w:t>
      </w:r>
      <w:r>
        <w:rPr>
          <w:rFonts w:ascii="Arial" w:cs="Arial" w:eastAsia="Arial" w:hAnsi="Arial"/>
          <w:sz w:val="16"/>
          <w:szCs w:val="16"/>
          <w:b w:val="1"/>
          <w:bCs w:val="1"/>
          <w:color w:val="auto"/>
        </w:rPr>
        <w:t xml:space="preserve">: </w:t>
      </w:r>
      <w:r>
        <w:rPr>
          <w:rFonts w:ascii="Arial" w:cs="Arial" w:eastAsia="Arial" w:hAnsi="Arial"/>
          <w:sz w:val="16"/>
          <w:szCs w:val="16"/>
          <w:color w:val="auto"/>
        </w:rPr>
        <w:t>NAND products are electrically re-writeable, non-volatile semiconductor memory devices that retain content when power is</w:t>
      </w:r>
      <w:r>
        <w:rPr>
          <w:rFonts w:ascii="Arial" w:cs="Arial" w:eastAsia="Arial" w:hAnsi="Arial"/>
          <w:sz w:val="16"/>
          <w:szCs w:val="16"/>
          <w:b w:val="1"/>
          <w:bCs w:val="1"/>
          <w:color w:val="auto"/>
        </w:rPr>
        <w:t xml:space="preserve"> </w:t>
      </w:r>
      <w:r>
        <w:rPr>
          <w:rFonts w:ascii="Arial" w:cs="Arial" w:eastAsia="Arial" w:hAnsi="Arial"/>
          <w:sz w:val="16"/>
          <w:szCs w:val="16"/>
          <w:color w:val="auto"/>
        </w:rPr>
        <w:t>turned off. NAND sales were 23% and 6% of the Company’s total net sales in 2007 and 2006, respectively. NAND is ideal for mass-storage devices due to its faster erase and write times, higher density, and lower cost per bit than NOR Flash, which is the primary competing Flash architecture. The market for NAND products has grown rapidly and the Company expects it to continue to grow due to demand for removable and embedded storage devices. Removable storage devices such as USB and Flash memory cards are used with applications such as personal computers, digital still cameras, MP3/4 players and mobile phones. Embedded NAND-based storage devices are utilized in MP3/4 players, mobile phones, computers and other personal and consumer applications. The Company also expects new product lines such as solid-state disk to experience significant demand growth in future periods.</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NAND and DRAM share common manufacturing processes, enabling the Company to leverage its product and process technologies and manufacturing infrastructure. The Company’s NAND designs feature a small cell structure that allows for higher densities for demanding applications. The Company offers Single-Level Cell (“SLC”) products and Multi-Level Cell (“MLC”) NAND products, which have double the bit density of SLC products. In 2007, the Company offered SLC NAND products in 1 Gb, 2 Gb, and 4 Gb densities. In 2007, the Company offered 8 Gb MLC NAND products and began sampling 16 Gb MLC NAND products. The Company expects to introduce 32 Gb MLC NAND products in 2008.</w:t>
      </w: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As a result of its acquisition of Lexar in the fourth quarter of 2006, the Company began selling high-performance digital media products and other flash-based storage products through retail and original equipment manufacturing (OEM) channels. The Company’s digital media products include a variety of Flash memory cards with a range of speeds, capacities and value-added features. The Company’s digital media products also include its JumpDrive™ products, which are high-speed, portable USB flash drives for consumer applications that serve a variety of uses, including floppy disk replacement and digital media accessories such as card readers and image rescue software.</w:t>
      </w:r>
    </w:p>
    <w:p>
      <w:pPr>
        <w:spacing w:after="0" w:line="20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Company offers Flash memory cards in all major media formats currently used by digital cameras and other electronic host devices, including: CompactFlash, Memory Stick, Secure Digital Card and the xD Picture Card. Many of CompactFlash, Memory Stick and Memory Stick PRO products sold by the Company incorporate its patented controller technology. Other products, including Secure Digital Card Flash memory cards and some JumpDrive products, incorporate third party controllers. The Company also resells Flash memory products that are purchased from suppliers. The Company offers Flash memory cards in a variety of speeds and capacities. The Company sells products under its Lexar™ brand and also manufactures products that are sold under other brand names. The Company has a multi-year agreement with Eastman Kodak to sell digital media products under the Kodak brand name.</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5"/>
          <w:szCs w:val="15"/>
          <w:b w:val="1"/>
          <w:bCs w:val="1"/>
          <w:i w:val="1"/>
          <w:iCs w:val="1"/>
          <w:color w:val="auto"/>
        </w:rPr>
        <w:t xml:space="preserve">Imaging: </w:t>
      </w:r>
      <w:r>
        <w:rPr>
          <w:rFonts w:ascii="Arial" w:cs="Arial" w:eastAsia="Arial" w:hAnsi="Arial"/>
          <w:sz w:val="15"/>
          <w:szCs w:val="15"/>
          <w:color w:val="auto"/>
        </w:rPr>
        <w:t>Complementary Metal-Oxide Semiconductor (“CMOS”) image sensors are the primary product of the Company’s Imaging segment. CMOS image sensors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semiconductor devices that capture and process images into pictures or video for a variety of consumer and industrial applications. The Company’s CMOS image sensors are used in products such as cellular phone cameras, digital still cameras, pill cameras for medical use, and in automotive and other emerging applications. The Company offers image sensors in a range of pixel resolutions from its VGA (video graphics array) products to its higher resolution 8-megapixel products. The Company manufactures a number of CMOS image sensors featuring a leading-edge pixel size of 1.75 square microns that enable a smaller form factor product. Image sensors are sold either as individual components or combined with integrated circuitry to create complete camera system-on-a-chip (“SOC”) solutions.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Company’s CMOS image sensors incorporating its DigitalClarity™ technology offered many advantages over other CMOS image sensors and charge-coupled device (“CCD”) sensors, which enabled the Company to maintain its leadership position. The Company’s DigitalClarity™ technology features “active pixels” enabling better sensor performance that produces higher-quality images at faster frame rates. The Company’s low-leakage DRAM processes are particularly well-suited for the manufacture of CMOS image sensors. The Company’s CMOS image sensors consume substantially less power than CCD devices, providing an advantage in battery-dependent portable device applications where most image sensors are used. By combining all camera functions on a single chip, from the capture of photons to the output of digital bits, CMOS image sensors reduce the part-count of a digital camera system, which in turn increases reliability, eases miniaturization, and enables on-chip programming of frame size, windowing, exposure and other camera parameters. The Company’s CMOS image sensors are also capable of producing high-quality images in low-light conditions. In 2007, the Company’s CMOS image sensors’ active-pixel design architecture enabled the Company to achieve CMOS imager performance that was comparable to high-end CCD sensors.</w:t>
      </w:r>
    </w:p>
    <w:p>
      <w:pPr>
        <w:spacing w:after="0" w:line="200"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Sales of Imaging products were 12%, 14% and 6% of the Company’s total net sales in 2007, 2006 and 2005, respectively. The overall market for image sensors is expected to increase over the next several years due to the growth forecasted for applications such as phone cameras and digital still cameras and CMOS image sensors are expected to capture an increasing percentage of the overall image sensor market.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Manufacturing</w:t>
      </w:r>
    </w:p>
    <w:p>
      <w:pPr>
        <w:spacing w:after="0" w:line="239"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The Company’s manufacturing facilities are located in the United States, China, Italy, Japan, Puerto Rico and Singapore. The Company’s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Company’s process for manufacturing semiconductor products is complex, involving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production processes, reducing die sizes and transitioning to higher density products. In 2007, the Company manufactured most of its DRAM products using its 95 nanometer (“nm”) and 78nm line-width process technology. The Company expects to continue to transfer more of its DRAM production to 78nm and 68nm line-width process technology in 2008. In 2007, the Company manufactured most of its NAND Flash memory products using its 72nm line-width process technology and began transferring its NAND production to 50nm line-width process technology. The Company expects that in 2008 most of its NAND Flash memory products will be manufactured using its 50nm line-width process technology.</w:t>
      </w:r>
    </w:p>
    <w:p>
      <w:pPr>
        <w:spacing w:after="0" w:line="197"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defects can lead to wafers being scrapped and individual circuits being nonfunctional. Success of the Company’s manufacturing operations depends largely on minimizing defects to maximize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1" w:lineRule="exact"/>
        <w:rPr>
          <w:sz w:val="20"/>
          <w:szCs w:val="20"/>
          <w:color w:val="auto"/>
        </w:rPr>
      </w:pPr>
    </w:p>
    <w:p>
      <w:pPr>
        <w:jc w:val="both"/>
        <w:ind w:right="240"/>
        <w:spacing w:after="0" w:line="278" w:lineRule="auto"/>
        <w:rPr>
          <w:sz w:val="20"/>
          <w:szCs w:val="20"/>
          <w:color w:val="auto"/>
        </w:rPr>
      </w:pPr>
      <w:r>
        <w:rPr>
          <w:rFonts w:ascii="Arial" w:cs="Arial" w:eastAsia="Arial" w:hAnsi="Arial"/>
          <w:sz w:val="16"/>
          <w:szCs w:val="16"/>
          <w:color w:val="auto"/>
        </w:rPr>
        <w:t>After fabrication, silicon wafers are separated into individual die. The Company sells semiconductor products in both packaged and unpackaged (i.e. “bare die”) forms. For packaged products, functional die are sorted, connected to external leads and encapsulated in plastic packages. The Company assembles products in a variety of packages, including TSOP (thin small outline package), TQFP (thin quad flat package) and FBGA (fine pitch ball grid array). Bare die products address customer requirements for smaller form factors and higher memory densities and provide superior flexibility. Bare die products are used in packaging technologies such as systems-in-a-package (SIPs) and multi-chip packages (MCPs), which reduce the board area required.</w:t>
      </w:r>
    </w:p>
    <w:p>
      <w:pPr>
        <w:spacing w:after="0" w:line="1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pacing w:after="0" w:line="18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Company assembles a significant portion of its memory products into memory modules. Memory modules consist of an array of memory components attached to printed circuit boards (“PCBs”) that insert directly into computer systems or other electronic devices. The Company’s Lexar subsidiary contracts with an independent foundry and assembly and testing organizations to manufacture flash media products such as memory cards and USB devices.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The Company is exploring alternatives to reduce its assembly, test and module assembly costs including relocation of current operations to lower cost locations and outsourcing. These alternatives could affect the Company’s manufacturing processes in future periods.</w:t>
      </w:r>
    </w:p>
    <w:p>
      <w:pPr>
        <w:spacing w:after="0" w:line="190" w:lineRule="exact"/>
        <w:rPr>
          <w:sz w:val="20"/>
          <w:szCs w:val="20"/>
          <w:color w:val="auto"/>
        </w:rPr>
      </w:pPr>
    </w:p>
    <w:p>
      <w:pPr>
        <w:ind w:right="480"/>
        <w:spacing w:after="0" w:line="264" w:lineRule="auto"/>
        <w:rPr>
          <w:sz w:val="20"/>
          <w:szCs w:val="20"/>
          <w:color w:val="auto"/>
        </w:rPr>
      </w:pPr>
      <w:r>
        <w:rPr>
          <w:rFonts w:ascii="Arial" w:cs="Arial" w:eastAsia="Arial" w:hAnsi="Arial"/>
          <w:sz w:val="17"/>
          <w:szCs w:val="17"/>
          <w:color w:val="auto"/>
        </w:rPr>
        <w:t>In 2007, the Company significantly increased its 300mm wafer production as IM Flash ramped production at two 300mm wafer fabrication facilities and the Company’s TECH joint venture began to convert its DRAM production to 300mm wafers. The Company expects that its 300mm wafer production in 2008 will continue to increase significantly at these facilities.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 w:name="page6"/>
    <w:bookmarkEnd w:id="5"/>
    <w:p>
      <w:pPr>
        <w:ind w:right="80"/>
        <w:spacing w:after="0" w:line="281" w:lineRule="auto"/>
        <w:rPr>
          <w:sz w:val="20"/>
          <w:szCs w:val="20"/>
          <w:color w:val="auto"/>
        </w:rPr>
      </w:pPr>
      <w:r>
        <w:rPr>
          <w:rFonts w:ascii="Arial" w:cs="Arial" w:eastAsia="Arial" w:hAnsi="Arial"/>
          <w:sz w:val="16"/>
          <w:szCs w:val="16"/>
          <w:color w:val="auto"/>
        </w:rPr>
        <w:t>In recent years the Company has produced an increasingly broad portfolio of products, which enhances the Company’s ability to allocate resources to its most profitable products but increases the complexity of the manufacturing process. Although new product lines such as NAND Flash, CMOS image sensors and specialty memory can be manufactured using processes that are very similar to the processes for the Company’s predominant DRAM products, frequent conversions to new products and the allocation of manufacturing capacity to more complex, smaller-volume parts can affect the Company’s cost efficiency.</w:t>
      </w:r>
    </w:p>
    <w:p>
      <w:pPr>
        <w:spacing w:after="0" w:line="190"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 xml:space="preserve">NAND Flash Joint Ventures with Intel Corporation (“IM Flash”): </w:t>
      </w:r>
      <w:r>
        <w:rPr>
          <w:rFonts w:ascii="Arial" w:cs="Arial" w:eastAsia="Arial" w:hAnsi="Arial"/>
          <w:sz w:val="17"/>
          <w:szCs w:val="17"/>
          <w:color w:val="auto"/>
        </w:rPr>
        <w:t>The Company has formed two joint ventures with Intel to manufacture NAND Flash memory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for the exclusive benefit of the partners: IM Flash Technologies, LLC and IM Flash Singapore LLP (collectively, “IM Flash”). IM Flash manufactures NAND Flash memory products pursuant to NAND Flash designs developed by the Company and Intel and licensed to the Company. The parties share the output of IM Flash generally in proportion to their investment in IM Flash. The Company owned a 51% interest in IM Flash at August 30, 2007. IM Flash’s financial results are included in the consolidated financial statements of the Company. In 2007, IM Flash began construction of a new 300mm wafer fabrication facility in Singapore, which is expected to ramp in late 2009. (See “Item 8. Financial Statements and Supplementary Data – Notes to Consolidated Financial Statements – Joint Ventures – NAND Flash Joint Ventures with Intel.”)</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b w:val="1"/>
          <w:bCs w:val="1"/>
          <w:i w:val="1"/>
          <w:iCs w:val="1"/>
          <w:color w:val="auto"/>
        </w:rPr>
        <w:t xml:space="preserve">TECH Semiconductor Singapore Pte. Ltd. (“TECH”): </w:t>
      </w:r>
      <w:r>
        <w:rPr>
          <w:rFonts w:ascii="Arial" w:cs="Arial" w:eastAsia="Arial" w:hAnsi="Arial"/>
          <w:sz w:val="15"/>
          <w:szCs w:val="15"/>
          <w:color w:val="auto"/>
        </w:rPr>
        <w:t>TECH is a memory manufacturing joint venture in Singapore among Micron Technology, Inc., Canon Inc.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Hewlett-Packard Company. The Company owned an approximate 73% interest in TECH at August 30, 2007. TECH’s semiconductor manufacturing facilities use the Company’s product and process technology. Subject to specific terms and conditions, the Company has agreed to purchase all of the products manufactured by TECH. TECH supplied approximately 15% of the total megabits of memory produced by the Company in 2007 (reflecting approximately 40% of total DRAM megabits). In 2007, TECH began converting its manufacturing production from 200mm to 300mm wafers. The conversion is expected to be completed in</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2008. TECH’s financial results were included in the consolidated financial statements of the Company beginning in the third quarter of 2006. (See “Item 8. Financial Statements and Supplementary Data – Notes to Consolidated Financial Statements – Joint Ventures – TECH Semiconductor Singapore Pte. Ltd.”)</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MP Mask Technology Center, LLC (“MP Mask”): </w:t>
      </w:r>
      <w:r>
        <w:rPr>
          <w:rFonts w:ascii="Arial" w:cs="Arial" w:eastAsia="Arial" w:hAnsi="Arial"/>
          <w:sz w:val="17"/>
          <w:szCs w:val="17"/>
          <w:color w:val="auto"/>
        </w:rPr>
        <w:t>The Company produces photomasks for leading-edge and advanced next generation semiconductors through 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Mask, a joint venture with Photronics, Inc. (“Photronics”). The Company and Photronics have 50.01% and 49.99% interest, respectively, in MP Mask. The Company and Photronics also have supply arrangements wherein the Company purchases a substantial majority of the reticles produced by MP Mask. The financial results of MP Mask are included in the consolidated financial results of 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Availability of Raw Materials</w:t>
      </w:r>
    </w:p>
    <w:p>
      <w:pPr>
        <w:spacing w:after="0" w:line="239"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The Company’s production processes require raw materials that meet exacting standards, including several that are customized for, or unique to, the Company.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molding compound 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Marketing and Customers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products are sold into computing, consumer, networking, telecommunications, and imaging markets. Approximately 50% of the Company’s net sales for 2007 were to the computing market, including desktop PCs, servers, notebooks and workstations. Sales to Hewlett-Packard Company were 10% of the Company’s net sales in 2007.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6" w:name="page7"/>
    <w:bookmarkEnd w:id="6"/>
    <w:p>
      <w:pPr>
        <w:ind w:right="140"/>
        <w:spacing w:after="0" w:line="295" w:lineRule="auto"/>
        <w:rPr>
          <w:sz w:val="20"/>
          <w:szCs w:val="20"/>
          <w:color w:val="auto"/>
        </w:rPr>
      </w:pPr>
      <w:r>
        <w:rPr>
          <w:rFonts w:ascii="Arial" w:cs="Arial" w:eastAsia="Arial" w:hAnsi="Arial"/>
          <w:sz w:val="15"/>
          <w:szCs w:val="15"/>
          <w:color w:val="auto"/>
        </w:rPr>
        <w:t>The Company’s products are offered under the Micron, Lexar, SpecTek and Crucial brand names, and private labels. The Company markets its semiconductor products primarily through its own direct sales force and maintains sales offices in its primary markets around the world. The Company maintains inventory at locations in close proximity to certain key customers to facilitate rapid delivery of product shipments. The Company’s Lexar subsidiary sells NAND Flash memory products through retail and OEM channels and its Crucial Technology division sells memory products through a web-based customer direct sales channel. The Company’s products are also offered through independent sales representatives and distributors.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offers products designed to meet the diverse needs of computing, server, automotive, networking, security, commercial/industrial, consumer electronics, medical and mobile applications. Many of the Company’s customers require a thorough review or qualification of semiconductor products, which may take several months. As the Company further diversifies its product lines and reduces the die sizes of existing products, more products become subject to qualification which may delay volume introduction of specific devices by 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Backlog</w:t>
      </w:r>
    </w:p>
    <w:p>
      <w:pPr>
        <w:spacing w:after="0" w:line="239"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Because of volatile industry conditions customers are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Product Warranty</w:t>
      </w:r>
    </w:p>
    <w:p>
      <w:pPr>
        <w:spacing w:after="0" w:line="23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more extensive liability than that provided under the Company’s general terms and conditions.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239"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The Company faces intense competition in the semiconductor memory markets from a number of companies, including Elpida Memory, Inc.; Hynix Semiconductor Inc.; Qimonda AG ADS; Samsung Electronics Co., Ltd; SanDisk Corporation; Toshiba Corporation and emerging companies in Taiwan and China.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 minimize mask levels in their product designs. These factors have significantly increased worldwide supply and put downward pressure on prices.</w:t>
      </w:r>
    </w:p>
    <w:p>
      <w:pPr>
        <w:spacing w:after="0" w:line="178"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The Company faces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may have greater presence in key markets, better access to certain customer bases, greater name recognition and more established strategic and financial relationships than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Research and Development</w:t>
      </w:r>
    </w:p>
    <w:p>
      <w:pPr>
        <w:spacing w:after="0" w:line="23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and imaging solutions. The Company has several product design centers around the world, the largest located at its corporate headquarters in Boise, Idaho. In addition, the Company develops leading edge photolithography mask technology at its MP Mask joint venture facility in Boise.</w:t>
      </w:r>
    </w:p>
    <w:p>
      <w:pPr>
        <w:spacing w:after="0" w:line="20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The Company and Intel share R&amp;D process and design costs for NAND Flash equally. Product development costs are recorded as R&amp;D expense.</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Company’s process technology R&amp;D efforts are focused primarily on development of successively smaller line-width process technologies which are designed to facilitate the Company’s transition to next 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MLC technology), CMOS image sensors and specialty memory products. The Company’s R&amp;D expenses were $805 million, $656 million and $604 million in 2007, 2006 and 2005, respectively.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Geographic Information</w:t>
      </w:r>
    </w:p>
    <w:p>
      <w:pPr>
        <w:spacing w:after="0" w:line="23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Sales to customers outside the United States totaled $4.0 billion for 2007 and included $1.1 billion in sales to China, $666 million in sales to Europe, $477 million in sales to Japan and $1.5 billion in sales to the rest of the Asia Pacific region, excluding China and Japan. International sales totaled $3.6 billion for 2006 and $3.2 billion for 2005. As of August 30, 2007, the Company had net property, plant and equipment of $6.5 billion in the United States, $1.2 billion in Singapore, $268 million in Italy, $226 million in Japan and $28 million in other countries. (See “Item 8. Financial Statements and Supplementary Data – Notes to Consolidated Financial Statements – Geographic Information” and “Item 1A. Risk Factors.”)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Patents and Licenses</w:t>
      </w:r>
    </w:p>
    <w:p>
      <w:pPr>
        <w:spacing w:after="0" w:line="239" w:lineRule="exact"/>
        <w:rPr>
          <w:sz w:val="20"/>
          <w:szCs w:val="20"/>
          <w:color w:val="auto"/>
        </w:rPr>
      </w:pPr>
    </w:p>
    <w:p>
      <w:pPr>
        <w:jc w:val="both"/>
        <w:ind w:right="180"/>
        <w:spacing w:after="0" w:line="264" w:lineRule="auto"/>
        <w:rPr>
          <w:sz w:val="20"/>
          <w:szCs w:val="20"/>
          <w:color w:val="auto"/>
        </w:rPr>
      </w:pPr>
      <w:r>
        <w:rPr>
          <w:rFonts w:ascii="Arial" w:cs="Arial" w:eastAsia="Arial" w:hAnsi="Arial"/>
          <w:sz w:val="17"/>
          <w:szCs w:val="17"/>
          <w:color w:val="auto"/>
        </w:rPr>
        <w:t>In recent years, the Company has been recognized as a leader in volume and quality of patents issued. As of August 30, 2007, the Company owned approximately 16,400 U.S. patents and 2,000 foreign patents. In addition, the Company has numerous U.S. and foreign patent applications pending. The Company’s patents have terms expiring through 2026.</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201"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In recent years, the Company has recovered some of its investment in technology through sales of intellectual property rights to joint venture partners and other third parties. The Company is pursing further opportunities to recover its investment in intellectual property through partnering arrangements.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349" w:right="29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Employees</w:t>
      </w:r>
    </w:p>
    <w:p>
      <w:pPr>
        <w:spacing w:after="0" w:line="23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of August 30, 2007, the Company had approximately 23,500 employees, including approximately 13,700 in the United States, 5,700 in Singapore, 2,000 in Italy, 1,500 in Japan and 300 in the United Kingdom. The Company’s employees include 2,500 employees in its TECH joint venture that are located in Singapore and 1,400 employees in its IM Flash joint ventures that are primarily located in the United States. Approximately 400 of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Compliance</w:t>
      </w:r>
    </w:p>
    <w:p>
      <w:pPr>
        <w:spacing w:after="0" w:line="239"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Government regulations impose various environmental controls on raw materials and discharges, emissions and solid wastes from the Company’s manufacturing processes. In 2007, the Company’s wafer wholly-owned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regulations, changes in the regulations could necessitate additional capital expenditures, modification of operations or other compliance actions.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Executive Officers of the Registrant</w:t>
      </w:r>
    </w:p>
    <w:p>
      <w:pPr>
        <w:spacing w:after="0" w:line="239"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201"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As of August 30, 2007, the following executive officers and directors of the Company were subject to the reporting requirements of Section 16(a) of the Securities Exchange Act of 1934, as amended.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520" w:type="dxa"/>
            <w:vAlign w:val="bottom"/>
            <w:tcBorders>
              <w:bottom w:val="single" w:sz="8" w:color="auto"/>
            </w:tcBorders>
          </w:tcPr>
          <w:p>
            <w:pPr>
              <w:jc w:val="center"/>
              <w:ind w:left="835"/>
              <w:spacing w:after="0"/>
              <w:rPr>
                <w:sz w:val="20"/>
                <w:szCs w:val="20"/>
                <w:color w:val="auto"/>
              </w:rPr>
            </w:pPr>
            <w:r>
              <w:rPr>
                <w:rFonts w:ascii="Arial" w:cs="Arial" w:eastAsia="Arial" w:hAnsi="Arial"/>
                <w:sz w:val="17"/>
                <w:szCs w:val="17"/>
                <w:b w:val="1"/>
                <w:bCs w:val="1"/>
                <w:color w:val="auto"/>
                <w:w w:val="87"/>
              </w:rPr>
              <w:t>Age</w:t>
            </w:r>
          </w:p>
        </w:tc>
        <w:tc>
          <w:tcPr>
            <w:tcW w:w="72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Position</w:t>
            </w:r>
          </w:p>
        </w:tc>
        <w:tc>
          <w:tcPr>
            <w:tcW w:w="120" w:type="dxa"/>
            <w:vAlign w:val="bottom"/>
          </w:tcPr>
          <w:p>
            <w:pPr>
              <w:spacing w:after="0"/>
              <w:rPr>
                <w:sz w:val="19"/>
                <w:szCs w:val="19"/>
                <w:color w:val="auto"/>
              </w:rPr>
            </w:pP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Mark W. Adams</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43</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Digital Media Products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Steven R. Appleton</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47</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Chairman and Chief Executive Officer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Kipp A. Bedard</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48</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Investor Relations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D. Mark Durcan</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46</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President and Chief Operating Officer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Robert J. Gove</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54</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Imaging Group</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Jay L. Hawkins</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47</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Vice President of Operations</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Roderic W. Lewis</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52</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Legal Affairs, General Counsel and Corporate Secretary</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Patrick T. Otte</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45</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Vice President of Human Resources</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Michael W. Sadler</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50</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Worldwide Sales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Brian J. Shields</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46</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Vice President of Worldwide Wafer Fabrication</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Brian M. Shirley</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38</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Memory</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Wilbur G. Stover, Jr</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54</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Vice President of Finance and Chief Financial Officer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Teruaki Aoki</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66</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James W. Bagley</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68</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Mercedes Johnson</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53</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Lawrence N. Mondry</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47</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Robert E. Switz</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61</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Director</w:t>
            </w:r>
          </w:p>
        </w:tc>
      </w:tr>
    </w:tbl>
    <w:p>
      <w:pPr>
        <w:spacing w:after="0" w:line="21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i w:val="1"/>
          <w:iCs w:val="1"/>
          <w:color w:val="auto"/>
        </w:rPr>
        <w:t xml:space="preserve">Mark W. Adams </w:t>
      </w:r>
      <w:r>
        <w:rPr>
          <w:rFonts w:ascii="Arial" w:cs="Arial" w:eastAsia="Arial" w:hAnsi="Arial"/>
          <w:sz w:val="17"/>
          <w:szCs w:val="17"/>
          <w:color w:val="auto"/>
        </w:rPr>
        <w:t>joined the Company in June 2006. From January 2006 until he joined the Company, Mr. Adams was the Chief Operating Officer of Lexar Media,</w:t>
      </w:r>
      <w:r>
        <w:rPr>
          <w:rFonts w:ascii="Arial" w:cs="Arial" w:eastAsia="Arial" w:hAnsi="Arial"/>
          <w:sz w:val="17"/>
          <w:szCs w:val="17"/>
          <w:i w:val="1"/>
          <w:iCs w:val="1"/>
          <w:color w:val="auto"/>
        </w:rPr>
        <w:t xml:space="preserve"> </w:t>
      </w:r>
      <w:r>
        <w:rPr>
          <w:rFonts w:ascii="Arial" w:cs="Arial" w:eastAsia="Arial" w:hAnsi="Arial"/>
          <w:sz w:val="17"/>
          <w:szCs w:val="17"/>
          <w:color w:val="auto"/>
        </w:rPr>
        <w:t>Inc. Mr. Adams served as the Vice President of Sales and Marketing for Creative Labs, Inc. from December 2002 to January 2006. From March 2000 to September 2002, Mr. Adams was the Chief Executive Officer of Coresma, Inc. Mr. Adams holds a BA in Economics from Boston College and an MBA from Harvard Business School.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9" w:name="page10"/>
    <w:bookmarkEnd w:id="9"/>
    <w:p>
      <w:pPr>
        <w:spacing w:after="0" w:line="278" w:lineRule="auto"/>
        <w:rPr>
          <w:sz w:val="20"/>
          <w:szCs w:val="20"/>
          <w:color w:val="auto"/>
        </w:rPr>
      </w:pPr>
      <w:r>
        <w:rPr>
          <w:rFonts w:ascii="Arial" w:cs="Arial" w:eastAsia="Arial" w:hAnsi="Arial"/>
          <w:sz w:val="16"/>
          <w:szCs w:val="16"/>
          <w:i w:val="1"/>
          <w:iCs w:val="1"/>
          <w:color w:val="auto"/>
        </w:rPr>
        <w:t xml:space="preserve">Steven R. Appleton </w:t>
      </w:r>
      <w:r>
        <w:rPr>
          <w:rFonts w:ascii="Arial" w:cs="Arial" w:eastAsia="Arial" w:hAnsi="Arial"/>
          <w:sz w:val="16"/>
          <w:szCs w:val="16"/>
          <w:color w:val="auto"/>
        </w:rPr>
        <w:t>joined the Company in February 1983. Mr. Appleton first became an officer of the Company in August 1989 and has served in various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with the Company since that time. From April 1991 until July 1992 and since May 1994, Mr. Appleton has served on the Company’s Board of Directors. From September 1994 to June 2007, Mr. Appleton served as the Chief Executive Officer, President and Chairman of the Board of Directors of the Company. In June 2007, Mr. Appleton relinquished his position as President of the Company but retained his other positions. Mr. Appleton is a member of the Board of Directors of National Semiconductor Corporation. Mr. Appleton holds a BA in Business Management from Boise State University.</w:t>
      </w:r>
    </w:p>
    <w:p>
      <w:pPr>
        <w:spacing w:after="0" w:line="191" w:lineRule="exact"/>
        <w:rPr>
          <w:sz w:val="20"/>
          <w:szCs w:val="20"/>
          <w:color w:val="auto"/>
        </w:rPr>
      </w:pPr>
    </w:p>
    <w:p>
      <w:pPr>
        <w:jc w:val="both"/>
        <w:ind w:right="360"/>
        <w:spacing w:after="0" w:line="264" w:lineRule="auto"/>
        <w:rPr>
          <w:sz w:val="20"/>
          <w:szCs w:val="20"/>
          <w:color w:val="auto"/>
        </w:rPr>
      </w:pPr>
      <w:r>
        <w:rPr>
          <w:rFonts w:ascii="Arial" w:cs="Arial" w:eastAsia="Arial" w:hAnsi="Arial"/>
          <w:sz w:val="17"/>
          <w:szCs w:val="17"/>
          <w:i w:val="1"/>
          <w:iCs w:val="1"/>
          <w:color w:val="auto"/>
        </w:rPr>
        <w:t xml:space="preserve">Kipp A. Bedard </w:t>
      </w:r>
      <w:r>
        <w:rPr>
          <w:rFonts w:ascii="Arial" w:cs="Arial" w:eastAsia="Arial" w:hAnsi="Arial"/>
          <w:sz w:val="17"/>
          <w:szCs w:val="17"/>
          <w:color w:val="auto"/>
        </w:rPr>
        <w:t>joined the Company in November 1983 and has served in various capacities with the Company and its subsidiaries. Mr. Bedard first became an</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in April 1990 and has served in various officer positions since that time. Since January 1994, Mr. Bedard has served as Vice President of Investor Relations for the Company. Mr. Bedard holds a BBA in Accounting from Boise State University.</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 xml:space="preserve">D. Mark Durcan </w:t>
      </w:r>
      <w:r>
        <w:rPr>
          <w:rFonts w:ascii="Arial" w:cs="Arial" w:eastAsia="Arial" w:hAnsi="Arial"/>
          <w:sz w:val="17"/>
          <w:szCs w:val="17"/>
          <w:color w:val="auto"/>
        </w:rPr>
        <w:t>joined the Company in June 1984 and has served in various technical positions with the Company and its subsidiaries since that time. Mr. Durcan</w:t>
      </w:r>
      <w:r>
        <w:rPr>
          <w:rFonts w:ascii="Arial" w:cs="Arial" w:eastAsia="Arial" w:hAnsi="Arial"/>
          <w:sz w:val="17"/>
          <w:szCs w:val="17"/>
          <w:i w:val="1"/>
          <w:iCs w:val="1"/>
          <w:color w:val="auto"/>
        </w:rPr>
        <w:t xml:space="preserve"> </w:t>
      </w:r>
      <w:r>
        <w:rPr>
          <w:rFonts w:ascii="Arial" w:cs="Arial" w:eastAsia="Arial" w:hAnsi="Arial"/>
          <w:sz w:val="17"/>
          <w:szCs w:val="17"/>
          <w:color w:val="auto"/>
        </w:rPr>
        <w:t>was appointed Chief Operating Officer in February 2006 and President in June 2007. Mr. Durcan has been an officer of the Company since 1996. Mr. Durcan holds a BS and MChE in Chemical Engineering from Rice University.</w:t>
      </w:r>
    </w:p>
    <w:p>
      <w:pPr>
        <w:spacing w:after="0" w:line="20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i w:val="1"/>
          <w:iCs w:val="1"/>
          <w:color w:val="auto"/>
        </w:rPr>
        <w:t xml:space="preserve">Robert J. Gove </w:t>
      </w:r>
      <w:r>
        <w:rPr>
          <w:rFonts w:ascii="Arial" w:cs="Arial" w:eastAsia="Arial" w:hAnsi="Arial"/>
          <w:sz w:val="17"/>
          <w:szCs w:val="17"/>
          <w:color w:val="auto"/>
        </w:rPr>
        <w:t>joined the Company in March 1999 as Senior Director of Engineering and has served in various positions with the Company. In March 2002, he was</w:t>
      </w:r>
      <w:r>
        <w:rPr>
          <w:rFonts w:ascii="Arial" w:cs="Arial" w:eastAsia="Arial" w:hAnsi="Arial"/>
          <w:sz w:val="17"/>
          <w:szCs w:val="17"/>
          <w:i w:val="1"/>
          <w:iCs w:val="1"/>
          <w:color w:val="auto"/>
        </w:rPr>
        <w:t xml:space="preserve"> </w:t>
      </w:r>
      <w:r>
        <w:rPr>
          <w:rFonts w:ascii="Arial" w:cs="Arial" w:eastAsia="Arial" w:hAnsi="Arial"/>
          <w:sz w:val="17"/>
          <w:szCs w:val="17"/>
          <w:color w:val="auto"/>
        </w:rPr>
        <w:t>appointed Vice President of Imaging. Prior to joining the Company, Dr. Gove served as Vice President, Engineering, of Equator Technologies, Inc. Dr. Gove holds a BS in Electrical Engineering from the University of Washington and an MS in Electrical Engineering and Ph.D. in Electrical Engineering from Southern Methodist University.</w:t>
      </w:r>
    </w:p>
    <w:p>
      <w:pPr>
        <w:spacing w:after="0" w:line="204" w:lineRule="exact"/>
        <w:rPr>
          <w:sz w:val="20"/>
          <w:szCs w:val="20"/>
          <w:color w:val="auto"/>
        </w:rPr>
      </w:pPr>
    </w:p>
    <w:p>
      <w:pPr>
        <w:jc w:val="both"/>
        <w:ind w:right="120"/>
        <w:spacing w:after="0" w:line="264" w:lineRule="auto"/>
        <w:rPr>
          <w:sz w:val="20"/>
          <w:szCs w:val="20"/>
          <w:color w:val="auto"/>
        </w:rPr>
      </w:pPr>
      <w:r>
        <w:rPr>
          <w:rFonts w:ascii="Arial" w:cs="Arial" w:eastAsia="Arial" w:hAnsi="Arial"/>
          <w:sz w:val="17"/>
          <w:szCs w:val="17"/>
          <w:i w:val="1"/>
          <w:iCs w:val="1"/>
          <w:color w:val="auto"/>
        </w:rPr>
        <w:t xml:space="preserve">Jay L. Hawkins </w:t>
      </w:r>
      <w:r>
        <w:rPr>
          <w:rFonts w:ascii="Arial" w:cs="Arial" w:eastAsia="Arial" w:hAnsi="Arial"/>
          <w:sz w:val="17"/>
          <w:szCs w:val="17"/>
          <w:color w:val="auto"/>
        </w:rPr>
        <w:t>joined the Company in March 1984 and has served in various manufacturing positions for the Company and its subsidiaries. Mr. Hawkins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Manufacturing Administration from February 1996 through June 1997, at which time he became Vice President of Operations. Mr. Hawkins holds a BBA in Marketing from Boise State University.</w:t>
      </w:r>
    </w:p>
    <w:p>
      <w:pPr>
        <w:spacing w:after="0" w:line="20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i w:val="1"/>
          <w:iCs w:val="1"/>
          <w:color w:val="auto"/>
        </w:rPr>
        <w:t xml:space="preserve">Roderic W. Lewis </w:t>
      </w:r>
      <w:r>
        <w:rPr>
          <w:rFonts w:ascii="Arial" w:cs="Arial" w:eastAsia="Arial" w:hAnsi="Arial"/>
          <w:sz w:val="17"/>
          <w:szCs w:val="17"/>
          <w:color w:val="auto"/>
        </w:rPr>
        <w:t>joined the Company in August 1991 and has served in various capacities with the Company and its subsidiaries. Mr. Lewis has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Legal Affairs, General Counsel and Corporate Secretary since July 1996. Mr. Lewis holds a BA in Economics and Asian Studies from Brigham Young University and a JD from Columbia University School of Law.</w:t>
      </w:r>
    </w:p>
    <w:p>
      <w:pPr>
        <w:spacing w:after="0" w:line="201"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i w:val="1"/>
          <w:iCs w:val="1"/>
          <w:color w:val="auto"/>
        </w:rPr>
        <w:t xml:space="preserve">Patrick T. Otte </w:t>
      </w:r>
      <w:r>
        <w:rPr>
          <w:rFonts w:ascii="Arial" w:cs="Arial" w:eastAsia="Arial" w:hAnsi="Arial"/>
          <w:sz w:val="17"/>
          <w:szCs w:val="17"/>
          <w:color w:val="auto"/>
        </w:rPr>
        <w:t>has served as the Company's Vice President of Human Resources since March 2007. Mr. Otte joined Micron in 1987 and has served in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of increasing responsibility, including Production Manager in several of Micron’s fabrication facilities, Operations Manager for Micron Technology Italia S.r.l. and, Site Director for the Company's facility in Manassas, Virginia. Mr. Otte holds a Bachelor of Science degree from St. Paul Bible College in Minneapolis, Minnesota.</w:t>
      </w:r>
    </w:p>
    <w:p>
      <w:pPr>
        <w:spacing w:after="0" w:line="204"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i w:val="1"/>
          <w:iCs w:val="1"/>
          <w:color w:val="auto"/>
        </w:rPr>
        <w:t xml:space="preserve">Michael W. Sadler </w:t>
      </w:r>
      <w:r>
        <w:rPr>
          <w:rFonts w:ascii="Arial" w:cs="Arial" w:eastAsia="Arial" w:hAnsi="Arial"/>
          <w:sz w:val="17"/>
          <w:szCs w:val="17"/>
          <w:color w:val="auto"/>
        </w:rPr>
        <w:t>joined the Company in September 1992 as a Regional Sales Manager and has held various sales and marketing positions since that time. Mr.</w:t>
      </w:r>
      <w:r>
        <w:rPr>
          <w:rFonts w:ascii="Arial" w:cs="Arial" w:eastAsia="Arial" w:hAnsi="Arial"/>
          <w:sz w:val="17"/>
          <w:szCs w:val="17"/>
          <w:i w:val="1"/>
          <w:iCs w:val="1"/>
          <w:color w:val="auto"/>
        </w:rPr>
        <w:t xml:space="preserve"> </w:t>
      </w:r>
      <w:r>
        <w:rPr>
          <w:rFonts w:ascii="Arial" w:cs="Arial" w:eastAsia="Arial" w:hAnsi="Arial"/>
          <w:sz w:val="17"/>
          <w:szCs w:val="17"/>
          <w:color w:val="auto"/>
        </w:rPr>
        <w:t>Sadler became an officer of the Company in July 1997 and has served as Vice President of Worldwide Sales since November 2001. Mr. Sadler holds a BS in Information Systems and an MBA from the University of Santa Clara.</w:t>
      </w: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i w:val="1"/>
          <w:iCs w:val="1"/>
          <w:color w:val="auto"/>
        </w:rPr>
        <w:t xml:space="preserve">Brian J. Shields </w:t>
      </w:r>
      <w:r>
        <w:rPr>
          <w:rFonts w:ascii="Arial" w:cs="Arial" w:eastAsia="Arial" w:hAnsi="Arial"/>
          <w:sz w:val="17"/>
          <w:szCs w:val="17"/>
          <w:color w:val="auto"/>
        </w:rPr>
        <w:t>joined the Company in November 1986 and has served in various operational positions with the Company. Mr. Shields first became an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March 2003.</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i w:val="1"/>
          <w:iCs w:val="1"/>
          <w:color w:val="auto"/>
        </w:rPr>
        <w:t xml:space="preserve">Brian M. Shirley </w:t>
      </w:r>
      <w:r>
        <w:rPr>
          <w:rFonts w:ascii="Arial" w:cs="Arial" w:eastAsia="Arial" w:hAnsi="Arial"/>
          <w:sz w:val="17"/>
          <w:szCs w:val="17"/>
          <w:color w:val="auto"/>
        </w:rPr>
        <w:t>joined the Company in August 1992 and has served in various technical positions with the Company. Mr. Shirley became an officer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2006. Mr. Shirley holds a BS in Electrical Engineering from Stanford University.</w:t>
      </w:r>
    </w:p>
    <w:p>
      <w:pPr>
        <w:spacing w:after="0" w:line="19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color w:val="auto"/>
        </w:rPr>
        <w:t xml:space="preserve">Wilbur G. Stover, Jr. </w:t>
      </w:r>
      <w:r>
        <w:rPr>
          <w:rFonts w:ascii="Arial" w:cs="Arial" w:eastAsia="Arial" w:hAnsi="Arial"/>
          <w:sz w:val="16"/>
          <w:szCs w:val="16"/>
          <w:color w:val="auto"/>
        </w:rPr>
        <w:t>joined the Company in June 1989 and has served in various financial positions with the Company and its subsidiaries. Since September 1994,</w:t>
      </w:r>
      <w:r>
        <w:rPr>
          <w:rFonts w:ascii="Arial" w:cs="Arial" w:eastAsia="Arial" w:hAnsi="Arial"/>
          <w:sz w:val="16"/>
          <w:szCs w:val="16"/>
          <w:i w:val="1"/>
          <w:iCs w:val="1"/>
          <w:color w:val="auto"/>
        </w:rPr>
        <w:t xml:space="preserve"> </w:t>
      </w:r>
      <w:r>
        <w:rPr>
          <w:rFonts w:ascii="Arial" w:cs="Arial" w:eastAsia="Arial" w:hAnsi="Arial"/>
          <w:sz w:val="16"/>
          <w:szCs w:val="16"/>
          <w:color w:val="auto"/>
        </w:rPr>
        <w:t>Mr. Stover has served as the Company’s Vice President of Finance and Chief Financial Officer. Mr. Stover holds a BA in Business Administration from Washington State University. In July 2007, Mr. Stover informed the Company that he will retire after the completion of the Company’s fiscal 2007.</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358" w:right="279" w:bottom="1440" w:gutter="0" w:footer="0" w:header="0"/>
        </w:sectPr>
      </w:pPr>
    </w:p>
    <w:bookmarkStart w:id="10" w:name="page11"/>
    <w:bookmarkEnd w:id="10"/>
    <w:p>
      <w:pPr>
        <w:spacing w:after="0" w:line="258" w:lineRule="auto"/>
        <w:rPr>
          <w:sz w:val="20"/>
          <w:szCs w:val="20"/>
          <w:color w:val="auto"/>
        </w:rPr>
      </w:pPr>
      <w:r>
        <w:rPr>
          <w:rFonts w:ascii="Arial" w:cs="Arial" w:eastAsia="Arial" w:hAnsi="Arial"/>
          <w:sz w:val="17"/>
          <w:szCs w:val="17"/>
          <w:i w:val="1"/>
          <w:iCs w:val="1"/>
          <w:color w:val="auto"/>
        </w:rPr>
        <w:t xml:space="preserve">Teruaki Aoki </w:t>
      </w:r>
      <w:r>
        <w:rPr>
          <w:rFonts w:ascii="Arial" w:cs="Arial" w:eastAsia="Arial" w:hAnsi="Arial"/>
          <w:sz w:val="17"/>
          <w:szCs w:val="17"/>
          <w:color w:val="auto"/>
        </w:rPr>
        <w:t>is Executive Managing Director of Sony Foundation for Education. Dr. Aoki has been associated with Sony since 1970 and has held various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w:t>
      </w:r>
    </w:p>
    <w:p>
      <w:pPr>
        <w:spacing w:after="0" w:line="20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i w:val="1"/>
          <w:iCs w:val="1"/>
          <w:color w:val="auto"/>
        </w:rPr>
        <w:t xml:space="preserve">James W. Bagley </w:t>
      </w:r>
      <w:r>
        <w:rPr>
          <w:rFonts w:ascii="Arial" w:cs="Arial" w:eastAsia="Arial" w:hAnsi="Arial"/>
          <w:sz w:val="17"/>
          <w:szCs w:val="17"/>
          <w:color w:val="auto"/>
        </w:rPr>
        <w:t>served as the Chairman and Chief Executive Officer of Lam Research Corporation (“Lam”), a supplier of semiconductor manufacturing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August 1997 through June 2005. In June 2005 Mr. Bagley became the Executive Chairman of Lam. Mr. Bagley is a member of the Board of Directors of Teradyne, Inc. He has served on the Company’s Board of Directors since June 1997. Mr. Bagley holds a MS and BS in Electrical Engineering from Mississippi State University.</w:t>
      </w:r>
    </w:p>
    <w:p>
      <w:pPr>
        <w:spacing w:after="0" w:line="204"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has served as the Senior Vice President and Chief Financial Officer of Avago Technologies Limited, a semiconductor company, since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 Ms. Johnson is the Chairman of the Board’s Audit Committee.</w:t>
      </w:r>
    </w:p>
    <w:p>
      <w:pPr>
        <w:spacing w:after="0" w:line="191" w:lineRule="exact"/>
        <w:rPr>
          <w:sz w:val="20"/>
          <w:szCs w:val="20"/>
          <w:color w:val="auto"/>
        </w:rPr>
      </w:pPr>
    </w:p>
    <w:p>
      <w:pPr>
        <w:jc w:val="both"/>
        <w:ind w:right="20"/>
        <w:spacing w:after="0" w:line="315" w:lineRule="auto"/>
        <w:rPr>
          <w:sz w:val="20"/>
          <w:szCs w:val="20"/>
          <w:color w:val="auto"/>
        </w:rPr>
      </w:pPr>
      <w:r>
        <w:rPr>
          <w:rFonts w:ascii="Arial" w:cs="Arial" w:eastAsia="Arial" w:hAnsi="Arial"/>
          <w:sz w:val="15"/>
          <w:szCs w:val="15"/>
          <w:i w:val="1"/>
          <w:iCs w:val="1"/>
          <w:color w:val="auto"/>
        </w:rPr>
        <w:t xml:space="preserve">Lawrence N. Mondry </w:t>
      </w:r>
      <w:r>
        <w:rPr>
          <w:rFonts w:ascii="Arial" w:cs="Arial" w:eastAsia="Arial" w:hAnsi="Arial"/>
          <w:sz w:val="15"/>
          <w:szCs w:val="15"/>
          <w:color w:val="auto"/>
        </w:rPr>
        <w:t>currently serves as the Chief Executive Officer and President of CSK Auto Corporation (“CSK”), a specialty retailer of automotive aftermarket</w:t>
      </w:r>
      <w:r>
        <w:rPr>
          <w:rFonts w:ascii="Arial" w:cs="Arial" w:eastAsia="Arial" w:hAnsi="Arial"/>
          <w:sz w:val="15"/>
          <w:szCs w:val="15"/>
          <w:i w:val="1"/>
          <w:iCs w:val="1"/>
          <w:color w:val="auto"/>
        </w:rPr>
        <w:t xml:space="preserve"> </w:t>
      </w:r>
      <w:r>
        <w:rPr>
          <w:rFonts w:ascii="Arial" w:cs="Arial" w:eastAsia="Arial" w:hAnsi="Arial"/>
          <w:sz w:val="15"/>
          <w:szCs w:val="15"/>
          <w:color w:val="auto"/>
        </w:rPr>
        <w:t>parts. Prior to his appointment at CSK, Mr. Mondry served as the Chief Executive Officer of CompUSA Inc. from November 2003 to May 2006. Mr. Mondry joined CompUSA in 1990. Mr. Mondry currently serves on the Board of Directors of CSK. Mr. Mondry is the Chairman of the Board’s Compensation Committee.</w:t>
      </w:r>
    </w:p>
    <w:p>
      <w:pPr>
        <w:spacing w:after="0" w:line="167"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is currently President and CEO of ADC Telecommunications, Inc., a supplier of network infrastructure products and services. Mr. Switz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Mr. Switz is the Chairman of the Board’s Governance Committee.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There is no family relationship between any director or executive officer of the Company.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358" w:right="27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44"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In addition to the factors discussed elsewhere in this Form 10-K, the following are important factors which could cause actual results or events to differ materially from those contained in any forward-looking statements made by or on behalf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experienced dramatic declines in average selling prices for our semiconductor memory products which have adversely affected our business.</w:t>
      </w:r>
    </w:p>
    <w:p>
      <w:pPr>
        <w:spacing w:after="0" w:line="267"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In 2007, average selling prices for DRAM products and NAND Flash products decreased 23% and 56%, respectively, as compared to 2006. In recent years, we have also experienced annual decreases in per megabit average selling prices for our memory products including: 34% in 2006, 24% in 2005, 17% in 2003, 53% in 2002 and 60% in 2001. At times, average selling prices for our memory products have been below our costs. If average selling prices for our memory products decrease faster than we can decrease per megabit costs, as they recently have, our business, results of operations or financial condition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semiconductor memory industry is highly competitive.</w:t>
      </w:r>
    </w:p>
    <w:p>
      <w:pPr>
        <w:spacing w:after="0" w:line="24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90"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reduce our per megabit manufacturing costs at the same rate as we have in the past.</w:t>
      </w:r>
    </w:p>
    <w:p>
      <w:pPr>
        <w:spacing w:after="0" w:line="24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gross margins are dependent upon continuing decreases in per unit manufacturing costs achieved through improvements in our manufacturing processes, including reducing the die size of our existing products. In future periods, we may be unable to reduce our per unit manufacturing costs at sufficient levels to increase gross margins due to strategic product diversification decisions affecting product mix, the increasing complexity of manufacturing processes, changes in process technologies or products which inherently may require relatively larger die sizes. Per unit manufacturing costs may also be affected by the relatively smaller production quantities and shorter product lifecycles of Imaging and certain specialty memory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Depressed pricing for semiconductor memory products may lead to future losses and inventory write-downs.</w:t>
      </w:r>
    </w:p>
    <w:p>
      <w:pPr>
        <w:spacing w:after="0" w:line="24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recorded an inventory write-down of $20 million in the fourth quarter of 2007 as a result of the significant decreases in average selling prices for our semiconductor memory products. If average selling prices are below our costs in future periods, we expect to incur losses on product sales and our business, results of operations or financial condition could be materially adversely affected.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 Future charges for inventory write-downs could be significantly larger than the $20 million recorded in 2007.</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Our plans to significantly increase our NAND Flash memory production and sales have numerous risks.</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plan to significantly increase our NAND Flash production and sales in future periods. As part of this plan, we have formed several manufacturing joint ventures with Intel and made substantial investments in capital expenditures for equipment, new facilities and research and development. Our plans also require significant investments in capital expenditures and research and development. We currently expect our capital spending for 2008 to approximate $2.5 billion, with a majority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party to a contract with Apple Inc. to provide NAND Flash products for an extended period of time at contractually determined prices. We currently have a relatively small share of the world-wide market for NAND Flash.</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NAND Flash strategy involves numerous risks, and may include the following:</w:t>
      </w:r>
    </w:p>
    <w:p>
      <w:pPr>
        <w:spacing w:after="0" w:line="240" w:lineRule="exact"/>
        <w:rPr>
          <w:sz w:val="20"/>
          <w:szCs w:val="20"/>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increasing our exposure to changes in average selling prices for NAND Flash;</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difficulties in establishing new production operations at multiple locations;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increasing capital expenditures to increase production capacity and modify existing processes to produce NAND Flash;</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raising funds or increasing debt to finance future investments;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diverting management’s attention from DRAM and CMOS image sensor operations;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managing larger operations and facilities and employees in separate geographic areas; and</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hiring and retaining key employees.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Our NAND Flash strategy may not be successful and could materially adversely affect our business, results of operations or financial condition.</w:t>
      </w:r>
    </w:p>
    <w:p>
      <w:pPr>
        <w:spacing w:after="0" w:line="236" w:lineRule="exact"/>
        <w:rPr>
          <w:sz w:val="20"/>
          <w:szCs w:val="20"/>
          <w:color w:val="auto"/>
        </w:rPr>
      </w:pPr>
    </w:p>
    <w:p>
      <w:pPr>
        <w:ind w:right="520"/>
        <w:spacing w:after="0" w:line="282" w:lineRule="auto"/>
        <w:rPr>
          <w:sz w:val="20"/>
          <w:szCs w:val="20"/>
          <w:color w:val="auto"/>
        </w:rPr>
      </w:pPr>
      <w:r>
        <w:rPr>
          <w:rFonts w:ascii="Arial" w:cs="Arial" w:eastAsia="Arial" w:hAnsi="Arial"/>
          <w:sz w:val="17"/>
          <w:szCs w:val="17"/>
          <w:b w:val="1"/>
          <w:bCs w:val="1"/>
          <w:color w:val="auto"/>
        </w:rPr>
        <w:t>The future success of our Imaging business will be dependent on continued market acceptance of our products and the development, introduction and marketing of new Imaging products.</w:t>
      </w:r>
    </w:p>
    <w:p>
      <w:pPr>
        <w:spacing w:after="0" w:line="18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91" w:lineRule="exact"/>
        <w:rPr>
          <w:sz w:val="20"/>
          <w:szCs w:val="20"/>
          <w:color w:val="auto"/>
        </w:rPr>
      </w:pPr>
    </w:p>
    <w:p>
      <w:pPr>
        <w:ind w:right="160"/>
        <w:spacing w:after="0" w:line="346" w:lineRule="auto"/>
        <w:rPr>
          <w:sz w:val="20"/>
          <w:szCs w:val="20"/>
          <w:color w:val="auto"/>
        </w:rPr>
      </w:pPr>
      <w:r>
        <w:rPr>
          <w:rFonts w:ascii="Arial" w:cs="Arial" w:eastAsia="Arial" w:hAnsi="Arial"/>
          <w:sz w:val="15"/>
          <w:szCs w:val="15"/>
          <w:color w:val="auto"/>
        </w:rPr>
        <w:t>Our Imaging net sales and gross margins decreased in 2007 and we faced increased competition. There can be no assurance that we will be able to grow or maintain our market share or gross margins for Imaging products in the future. The success of our Imaging business will depend on a number of factors, including:</w:t>
      </w:r>
    </w:p>
    <w:p>
      <w:pPr>
        <w:spacing w:after="0" w:line="144" w:lineRule="exact"/>
        <w:rPr>
          <w:sz w:val="20"/>
          <w:szCs w:val="20"/>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 of products that maintain a technological advantage over the products of our competitors;</w:t>
      </w:r>
    </w:p>
    <w:p>
      <w:pPr>
        <w:spacing w:after="0" w:line="240" w:lineRule="exact"/>
        <w:rPr>
          <w:rFonts w:ascii="Arial" w:cs="Arial" w:eastAsia="Arial" w:hAnsi="Arial"/>
          <w:sz w:val="17"/>
          <w:szCs w:val="17"/>
          <w:color w:val="auto"/>
        </w:rPr>
      </w:pPr>
    </w:p>
    <w:p>
      <w:pPr>
        <w:ind w:left="920" w:hanging="122"/>
        <w:spacing w:after="0" w:line="277"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accurate prediction of market requirements and evolving standards, including pixel resolution, output interface standards, power requirements, optical lens size, input standards and other requirements;</w:t>
      </w:r>
    </w:p>
    <w:p>
      <w:pPr>
        <w:spacing w:after="0" w:line="189" w:lineRule="exact"/>
        <w:rPr>
          <w:rFonts w:ascii="Arial" w:cs="Arial" w:eastAsia="Arial" w:hAnsi="Arial"/>
          <w:sz w:val="17"/>
          <w:szCs w:val="17"/>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timely completion and introduction of new Imaging products that satisfy customer requirements;</w:t>
      </w:r>
    </w:p>
    <w:p>
      <w:pPr>
        <w:spacing w:after="0" w:line="240" w:lineRule="exact"/>
        <w:rPr>
          <w:rFonts w:ascii="Arial" w:cs="Arial" w:eastAsia="Arial" w:hAnsi="Arial"/>
          <w:sz w:val="17"/>
          <w:szCs w:val="17"/>
          <w:color w:val="auto"/>
        </w:rPr>
      </w:pPr>
    </w:p>
    <w:p>
      <w:pPr>
        <w:ind w:left="920" w:hanging="122"/>
        <w:spacing w:after="0" w:line="277"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3" w:name="page14"/>
    <w:bookmarkEnd w:id="13"/>
    <w:p>
      <w:pPr>
        <w:ind w:left="800"/>
        <w:spacing w:after="0"/>
        <w:rPr>
          <w:sz w:val="20"/>
          <w:szCs w:val="20"/>
          <w:color w:val="auto"/>
        </w:rPr>
      </w:pPr>
      <w:r>
        <w:rPr>
          <w:rFonts w:ascii="Arial" w:cs="Arial" w:eastAsia="Arial" w:hAnsi="Arial"/>
          <w:sz w:val="17"/>
          <w:szCs w:val="17"/>
          <w:color w:val="auto"/>
        </w:rPr>
        <w:t>· efficient, cost-effective manufacturing as we transition to new products and higher volumes.</w:t>
      </w:r>
    </w:p>
    <w:p>
      <w:pPr>
        <w:spacing w:after="0" w:line="24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Company is exploring business model alternatives for its Imaging business including partnering arrangements. To the extent we form a partnering arrangement; the resulting business model may not be successful and the Imaging operations revenues and margins could be adversely affected. We may incur significant costs to convert Imaging operations to a new business structure and operations could be disrupted. If our efforts to restructure the Imaging business are unsuccessful, our business, results of operations or financial condition could be materially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generate sufficient cash flows to fund our operations and make adequate capital investments.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operations depend primarily on the volume of semiconductor memory and CMOS image sensors sold, average selling prices and per unit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manufacturing costs. To develop new product and process technologies, support future growth, achieve operating efficiencies and maintain product quality, we must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make significant capital investments in manufacturing technology, facilities and capital equipment, research and development, and product and process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technology. We expect capital spending for 2008 to approximate $2.5 billion. Cash and investments of IM Flash and TECH are generally not available to finance our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other operations. In addition to cash provided by operations, we have from time to time utilized external sources of financing. Access to capital markets has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historically been very important to us. Depending on market conditions, we may issue registered or unregistered securities to raise capital to fund a portion of our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operations. There can be no assurance that we will be able to generate sufficient cash flows to fund our operations, make adequate capital investments or access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capital markets on acceptable terms, and an inability to do so could have a material adverse effect on our business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expect to make future acquisitions and alliances, which involve numerous risks.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40" w:lineRule="exact"/>
        <w:rPr>
          <w:sz w:val="20"/>
          <w:szCs w:val="20"/>
          <w:color w:val="auto"/>
        </w:rPr>
      </w:pPr>
    </w:p>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and products of acquired or newly formed entities,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increasing capital expenditures to upgrade and maintain facilities,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increasing debt to finance any acquisition or formation of a new business,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diverting management’s attention from normal daily operations,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managing larger or more complex operations and facilities and employees in separate geographic areas, and</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hiring and retaining key employees.</w:t>
      </w:r>
    </w:p>
    <w:p>
      <w:pPr>
        <w:spacing w:after="0" w:line="240"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realize the expected benefits of new initiatives to reduce costs and increase revenue across our operations.</w:t>
      </w:r>
    </w:p>
    <w:p>
      <w:pPr>
        <w:spacing w:after="0" w:line="24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are pursuing a number of initiatives to reduce costs and increase revenue across our operations. These initiatives include workforce reductions in certain areas as we realign our business. Additional initiatives include establishing certain operations closer in location to our global customers, evaluating functions more efficiently performed through partnerships or other outside relationships and reducing our overhead costs to meet or exceed industry benchmarks. We are also exploring opportunities to leverage our technology and diversified product portfolio to increase revenue and shareholder value. In the fourth quarter of 2007, we incurred a restructure charge of $19 million consisting primarily of employee severance and related costs resulting from a reduction in our workforce. We anticipate that we will incur some level of restructure charges through the end of 2008 as we continue to implement these initiatives. We may not realize the expected benefits of these new initiatives. As a result of these initiatives, we expect to incur restructuring or other infrequent charges and we may experience disruptions in our operations, loss of key personnel and difficulties in delivering products timely.</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358" w:right="2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Our net operating loss and tax credit carryforwards may be limited.</w:t>
      </w:r>
    </w:p>
    <w:p>
      <w:pPr>
        <w:spacing w:after="0" w:line="24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estimate that, based on our assets and liabilities denominated in currencies other than U.S. dollar as of August 30, 2007, a 1% change in the exchange rate versus the U.S. dollar would result in foreign currency gains or losses of approximately U.S. $3 million for the Singapore dollar, U.S. $2 million for the euro and U.S. $1 million for the yen. In the event that the U.S. dollar weakens significantly compared to the Singapore dollar, euro or yen, our results of operations or financial condition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product development may be unsuccessful.</w:t>
      </w:r>
    </w:p>
    <w:p>
      <w:pPr>
        <w:spacing w:after="0" w:line="24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93"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On January 13, 2006, Rambus filed a lawsuit against us in the U.S. District Court for the Northern District of California alleging infringement of eighteen Rambus patents. We are also engaged in litigation with Mosaid Technologies, Inc. ("Mosaid"). On July 24, 2006, we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5" w:name="page16"/>
    <w:bookmarkEnd w:id="15"/>
    <w:p>
      <w:pPr>
        <w:spacing w:after="0" w:line="258" w:lineRule="auto"/>
        <w:rPr>
          <w:sz w:val="20"/>
          <w:szCs w:val="20"/>
          <w:color w:val="auto"/>
        </w:rPr>
      </w:pPr>
      <w:r>
        <w:rPr>
          <w:rFonts w:ascii="Arial" w:cs="Arial" w:eastAsia="Arial" w:hAnsi="Arial"/>
          <w:sz w:val="17"/>
          <w:szCs w:val="17"/>
          <w:color w:val="auto"/>
        </w:rPr>
        <w:t>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 patents. On August 31, 2006, Mosaid filed an amended complaint adding two additional Mosaid patents. On October 23, 2006, the California Court dismissed our declaratory judgment suit based on lack of jurisdiction. We have appealed that decision to the U.S. Court of Appeals for the Federal Circuit.</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Among other things, the above lawsuits pertain to certain of our SDRAM, DDR SDRAM, DDR2 SDRAM, RLDRAM, and image sensor products, which account for a significant portion of our net sales.</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201"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Allegations of anticompetitive conduct.</w:t>
      </w:r>
    </w:p>
    <w:p>
      <w:pPr>
        <w:spacing w:after="0" w:line="244"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April 1999 through at least June 2002.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June 1, 2007, the Court granted in part and denied in part our motion to dismiss the consolidated complaint. Plaintiffs subsequently have filed an amended complaint.</w:t>
      </w:r>
    </w:p>
    <w:p>
      <w:pPr>
        <w:spacing w:after="0" w:line="205" w:lineRule="exact"/>
        <w:rPr>
          <w:sz w:val="20"/>
          <w:szCs w:val="20"/>
          <w:color w:val="auto"/>
        </w:rPr>
      </w:pPr>
    </w:p>
    <w:p>
      <w:pPr>
        <w:jc w:val="both"/>
        <w:ind w:right="460"/>
        <w:spacing w:after="0" w:line="264" w:lineRule="auto"/>
        <w:rPr>
          <w:sz w:val="20"/>
          <w:szCs w:val="20"/>
          <w:color w:val="auto"/>
        </w:rPr>
      </w:pPr>
      <w:r>
        <w:rPr>
          <w:rFonts w:ascii="Arial" w:cs="Arial" w:eastAsia="Arial" w:hAnsi="Arial"/>
          <w:sz w:val="17"/>
          <w:szCs w:val="17"/>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6"/>
          <w:szCs w:val="16"/>
          <w:color w:val="auto"/>
        </w:rPr>
        <w:t>In addition, various states, through their Attorneys General, have filed suit against us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Three states, Ohio, New Hampshire, and Texas, subsequently have withdrawn from the complaint.</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damages, injunctive relief, and other remedies.</w:t>
      </w:r>
    </w:p>
    <w:p>
      <w:pPr>
        <w:spacing w:after="0" w:line="204"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07"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We have not received a subpoena and believe that we are not a target of the investigation.</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206"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04"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Allegations of violations of securities laws.</w:t>
      </w:r>
    </w:p>
    <w:p>
      <w:pPr>
        <w:spacing w:after="0" w:line="24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97"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 On May 29, 2007, the Court granted our motion to dismiss the complaint but provided plaintiffs leave to file an amended complaint. On September 6, 2007, plaintiffs filed an amended complaint.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our motions to dismiss the amended complaint but allowed plaintiffs leave to file a further amended complaint. On July 16, 2007, plaintiffs filed an amended complaint.</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86"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b w:val="1"/>
          <w:bCs w:val="1"/>
          <w:color w:val="auto"/>
        </w:rPr>
        <w:t>We face risks associated with our international sales and operations that could materially adversely affect our business, results of operations or financial condition.</w:t>
      </w:r>
    </w:p>
    <w:p>
      <w:pPr>
        <w:spacing w:after="0" w:line="18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Sales to customers outside the United States approximated 70% of our consolidated net sales for 2007. In addition, we have manufacturing operations in China, Italy, Japan, Puerto Rico and Singapore. Our international sales and operations are subject to a variety of risks, including:</w:t>
      </w:r>
    </w:p>
    <w:p>
      <w:pPr>
        <w:spacing w:after="0" w:line="190" w:lineRule="exact"/>
        <w:rPr>
          <w:sz w:val="20"/>
          <w:szCs w:val="20"/>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currency exchange rate fluctuations,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export and import duties, changes to import and export regulations, and restrictions on the transfer of funds,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problems with the transportation or delivery of our products,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issues arising from cultural or language differences and labor unrest,</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longer payment cycles and greater difficulty in collecting accounts receivable, and</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compliance with trade and other laws in a variety of jurisdictions.</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These factors may materially adversely affect our business, results of operations or financial condition.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in our supply of raw materials could materially adversely affect our business, results of operations or financial condition.</w:t>
      </w:r>
    </w:p>
    <w:p>
      <w:pPr>
        <w:spacing w:after="0" w:line="244" w:lineRule="exact"/>
        <w:rPr>
          <w:sz w:val="20"/>
          <w:szCs w:val="20"/>
          <w:color w:val="auto"/>
        </w:rPr>
      </w:pPr>
    </w:p>
    <w:p>
      <w:pPr>
        <w:jc w:val="both"/>
        <w:ind w:right="320"/>
        <w:spacing w:after="0" w:line="264" w:lineRule="auto"/>
        <w:rPr>
          <w:sz w:val="20"/>
          <w:szCs w:val="20"/>
          <w:color w:val="auto"/>
        </w:rPr>
      </w:pPr>
      <w:r>
        <w:rPr>
          <w:rFonts w:ascii="Arial" w:cs="Arial" w:eastAsia="Arial" w:hAnsi="Arial"/>
          <w:sz w:val="17"/>
          <w:szCs w:val="17"/>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20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in our supply of raw materials could materially adversely affect our business, results of operations or financial condition.</w:t>
      </w:r>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04" w:lineRule="exact"/>
        <w:rPr>
          <w:sz w:val="20"/>
          <w:szCs w:val="20"/>
          <w:color w:val="auto"/>
        </w:rPr>
      </w:pPr>
    </w:p>
    <w:p>
      <w:pPr>
        <w:ind w:left="920" w:hanging="122"/>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51" w:lineRule="exact"/>
        <w:rPr>
          <w:rFonts w:ascii="Arial" w:cs="Arial" w:eastAsia="Arial" w:hAnsi="Arial"/>
          <w:sz w:val="16"/>
          <w:szCs w:val="16"/>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encounter adverse publicity, which could cause a decrease in sales of our products.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and political conditions may harm our business.</w:t>
      </w:r>
    </w:p>
    <w:p>
      <w:pPr>
        <w:spacing w:after="0" w:line="24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358" w:right="29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corporate headquarters are located in Boise, Idaho. The following is a summary of the Company’s principal facilities: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Location</w:t>
            </w:r>
          </w:p>
        </w:tc>
        <w:tc>
          <w:tcPr>
            <w:tcW w:w="886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Principal Operations</w:t>
            </w:r>
          </w:p>
        </w:tc>
      </w:tr>
      <w:tr>
        <w:trPr>
          <w:trHeight w:val="205"/>
        </w:trPr>
        <w:tc>
          <w:tcPr>
            <w:tcW w:w="2560" w:type="dxa"/>
            <w:vAlign w:val="bottom"/>
          </w:tcPr>
          <w:p>
            <w:pPr>
              <w:spacing w:after="0"/>
              <w:rPr>
                <w:sz w:val="17"/>
                <w:szCs w:val="17"/>
                <w:color w:val="auto"/>
              </w:rPr>
            </w:pPr>
          </w:p>
        </w:tc>
        <w:tc>
          <w:tcPr>
            <w:tcW w:w="8860" w:type="dxa"/>
            <w:vAlign w:val="bottom"/>
          </w:tcPr>
          <w:p>
            <w:pPr>
              <w:spacing w:after="0"/>
              <w:rPr>
                <w:sz w:val="17"/>
                <w:szCs w:val="17"/>
                <w:color w:val="auto"/>
              </w:rPr>
            </w:pP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Boise, Idaho</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Wafer fabrication, test and assembly, research and development</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Lehi, Utah</w:t>
            </w:r>
          </w:p>
        </w:tc>
        <w:tc>
          <w:tcPr>
            <w:tcW w:w="8860" w:type="dxa"/>
            <w:vAlign w:val="bottom"/>
          </w:tcPr>
          <w:p>
            <w:pPr>
              <w:ind w:left="960"/>
              <w:spacing w:after="0"/>
              <w:rPr>
                <w:sz w:val="20"/>
                <w:szCs w:val="20"/>
                <w:color w:val="auto"/>
              </w:rPr>
            </w:pPr>
            <w:r>
              <w:rPr>
                <w:rFonts w:ascii="Arial" w:cs="Arial" w:eastAsia="Arial" w:hAnsi="Arial"/>
                <w:sz w:val="17"/>
                <w:szCs w:val="17"/>
                <w:color w:val="auto"/>
              </w:rPr>
              <w:t>Wafer fabrication</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Manassas, Virginia</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Wafer fabrication, research and development</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Singapore</w:t>
            </w:r>
          </w:p>
        </w:tc>
        <w:tc>
          <w:tcPr>
            <w:tcW w:w="8860" w:type="dxa"/>
            <w:vAlign w:val="bottom"/>
          </w:tcPr>
          <w:p>
            <w:pPr>
              <w:ind w:left="960"/>
              <w:spacing w:after="0"/>
              <w:rPr>
                <w:sz w:val="20"/>
                <w:szCs w:val="20"/>
                <w:color w:val="auto"/>
              </w:rPr>
            </w:pPr>
            <w:r>
              <w:rPr>
                <w:rFonts w:ascii="Arial" w:cs="Arial" w:eastAsia="Arial" w:hAnsi="Arial"/>
                <w:sz w:val="17"/>
                <w:szCs w:val="17"/>
                <w:color w:val="auto"/>
              </w:rPr>
              <w:t>Wafer fabrication facility and a test, assembly and module assembly facility</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Nishiwaki City, Japan</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Wafer fabrication</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Avezzano, Italy</w:t>
            </w:r>
          </w:p>
        </w:tc>
        <w:tc>
          <w:tcPr>
            <w:tcW w:w="8860" w:type="dxa"/>
            <w:vAlign w:val="bottom"/>
          </w:tcPr>
          <w:p>
            <w:pPr>
              <w:ind w:left="960"/>
              <w:spacing w:after="0"/>
              <w:rPr>
                <w:sz w:val="20"/>
                <w:szCs w:val="20"/>
                <w:color w:val="auto"/>
              </w:rPr>
            </w:pPr>
            <w:r>
              <w:rPr>
                <w:rFonts w:ascii="Arial" w:cs="Arial" w:eastAsia="Arial" w:hAnsi="Arial"/>
                <w:sz w:val="17"/>
                <w:szCs w:val="17"/>
                <w:color w:val="auto"/>
              </w:rPr>
              <w:t>Wafer fabrication</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Nampa, Idaho</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Test</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Aguadilla, Puerto Rico</w:t>
            </w:r>
          </w:p>
        </w:tc>
        <w:tc>
          <w:tcPr>
            <w:tcW w:w="8860" w:type="dxa"/>
            <w:vAlign w:val="bottom"/>
          </w:tcPr>
          <w:p>
            <w:pPr>
              <w:ind w:left="960"/>
              <w:spacing w:after="0"/>
              <w:rPr>
                <w:sz w:val="20"/>
                <w:szCs w:val="20"/>
                <w:color w:val="auto"/>
              </w:rPr>
            </w:pPr>
            <w:r>
              <w:rPr>
                <w:rFonts w:ascii="Arial" w:cs="Arial" w:eastAsia="Arial" w:hAnsi="Arial"/>
                <w:sz w:val="17"/>
                <w:szCs w:val="17"/>
                <w:color w:val="auto"/>
              </w:rPr>
              <w:t>Module assembly, test</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Xi’an, China</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Test</w:t>
            </w:r>
          </w:p>
        </w:tc>
      </w:tr>
    </w:tbl>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The Company also owns and leases a number of other facilities in locations throughout the world that are used for design, research and development, and sales and marketing activities.</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Company’s facility in Lehi is owned and operated by its IM Flash joint venture with Intel (See “Item 8. Financial Statements and Supplementary Data – Notes to Consolidated Financial Statements – Joint Ventures – IM NAND Flash Joint Ventures with Intel.”) The Company’s wafer fabrication facility in Singapore is owned by its TECH joint venture (See “Item 8. Financial Statements and Supplementary Data – Notes to Consolidated Financial Statements – Joint Ventures – TECH Semiconductor Singapore Pte. Ltd.”)</w:t>
      </w:r>
    </w:p>
    <w:p>
      <w:pPr>
        <w:spacing w:after="0" w:line="204"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Company believes that its existing facilities are suitable and adequate for its present purposes and that the productive capacity in such facilities is substantially being utilized or the Company has plans to utilize it. The Company does not identify or allocate assets by operating segment. For additional information on net property, plant and equipment by country, (See “Item 8. Financial Statements and Supplementary Data – Notes to Consolidated Financial Statements – Geographic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4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 On January 13, 2006, Rambus filed a lawsuit against the Company in the U.S. District Court for the Northern District of California alleging infringement of eighteen Rambus patents.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0" w:name="page21"/>
    <w:bookmarkEnd w:id="20"/>
    <w:p>
      <w:pPr>
        <w:ind w:right="120"/>
        <w:spacing w:after="0" w:line="300" w:lineRule="auto"/>
        <w:rPr>
          <w:sz w:val="20"/>
          <w:szCs w:val="20"/>
          <w:color w:val="auto"/>
        </w:rPr>
      </w:pPr>
      <w:r>
        <w:rPr>
          <w:rFonts w:ascii="Arial" w:cs="Arial" w:eastAsia="Arial" w:hAnsi="Arial"/>
          <w:sz w:val="15"/>
          <w:szCs w:val="15"/>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 The Company has appealed that decision to the U.S. Court of Appeals for the Federal Circuit.</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Among other things, the above lawsuits pertain to certain of the Company’s SDRAM, DDR SDRAM, DDR2 SDRAM, RLDRAM, and image sensor products, which account for a significant portion of the Company’s net sales.</w:t>
      </w:r>
    </w:p>
    <w:p>
      <w:pPr>
        <w:spacing w:after="0" w:line="190"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June 1, 2007, the Court granted in part and denied in part the Company’s motion to dismiss the consolidated complaint. Plaintiffs subsequently have filed an amended complaint.</w:t>
      </w:r>
    </w:p>
    <w:p>
      <w:pPr>
        <w:spacing w:after="0" w:line="205" w:lineRule="exact"/>
        <w:rPr>
          <w:sz w:val="20"/>
          <w:szCs w:val="20"/>
          <w:color w:val="auto"/>
        </w:rPr>
      </w:pPr>
    </w:p>
    <w:p>
      <w:pPr>
        <w:jc w:val="both"/>
        <w:ind w:right="440"/>
        <w:spacing w:after="0" w:line="264" w:lineRule="auto"/>
        <w:rPr>
          <w:sz w:val="20"/>
          <w:szCs w:val="20"/>
          <w:color w:val="auto"/>
        </w:rPr>
      </w:pPr>
      <w:r>
        <w:rPr>
          <w:rFonts w:ascii="Arial" w:cs="Arial" w:eastAsia="Arial" w:hAnsi="Arial"/>
          <w:sz w:val="17"/>
          <w:szCs w:val="17"/>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addition, various states, through their Attorneys General, have filed suit against the Company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Three states, Ohio, New Hampshire, and Texas, subsequently have withdrawn from the complaint.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21" w:name="page22"/>
    <w:bookmarkEnd w:id="21"/>
    <w:p>
      <w:pPr>
        <w:ind w:right="60"/>
        <w:spacing w:after="0" w:line="260" w:lineRule="auto"/>
        <w:rPr>
          <w:sz w:val="20"/>
          <w:szCs w:val="20"/>
          <w:color w:val="auto"/>
        </w:rPr>
      </w:pPr>
      <w:r>
        <w:rPr>
          <w:rFonts w:ascii="Arial" w:cs="Arial" w:eastAsia="Arial" w:hAnsi="Arial"/>
          <w:sz w:val="17"/>
          <w:szCs w:val="17"/>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204"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 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07"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is not a target of the investigation.</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206"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9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22" w:name="page23"/>
    <w:bookmarkEnd w:id="22"/>
    <w:p>
      <w:pPr>
        <w:spacing w:after="0" w:line="273"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 On May 29, 2007, the Court granted the Company's motion to dismiss the complaint but provided plaintiffs leave to file an amended complaint. On June 29, 2007, plaintiffs filed an amended complaint.</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The Company is unable to predict the outcome of these suits. A court determination against the Company could result in significant liability and could have a material adverse effect on the Company’s business, results of operations or financial condition. (See “Acquisitions – Item 8. Financial Statements and Supplementary Data – Notes to Consolidated Financial Statements – Lexar Media, Inc.”)</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“Item 1A.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Submission of Matters to a Vote of Security Holders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matters submitted to a vote of security holders during the fourth quarter of 2007.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PART II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for Common Stock</w:t>
      </w:r>
    </w:p>
    <w:p>
      <w:pPr>
        <w:spacing w:after="0" w:line="240"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The Company’s common stock is listed on the New York Stock Exchange and is traded under the symbol “MU.” The following table represents the high and low closing sales prices for the Company’s common stock for each quarter of 2007 and 2006, as reported by Bloomberg L.P.</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High</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Low</w:t>
            </w:r>
          </w:p>
        </w:tc>
      </w:tr>
      <w:tr>
        <w:trPr>
          <w:trHeight w:val="205"/>
        </w:trPr>
        <w:tc>
          <w:tcPr>
            <w:tcW w:w="48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2007:</w:t>
            </w:r>
          </w:p>
        </w:tc>
        <w:tc>
          <w:tcPr>
            <w:tcW w:w="4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4th quarter</w:t>
            </w:r>
          </w:p>
        </w:tc>
        <w:tc>
          <w:tcPr>
            <w:tcW w:w="4780" w:type="dxa"/>
            <w:vAlign w:val="bottom"/>
            <w:gridSpan w:val="2"/>
          </w:tcPr>
          <w:p>
            <w:pPr>
              <w:jc w:val="right"/>
              <w:ind w:right="595"/>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13.98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10.60</w:t>
            </w: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3rd quarter</w:t>
            </w:r>
          </w:p>
        </w:tc>
        <w:tc>
          <w:tcPr>
            <w:tcW w:w="4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12.36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10.95</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2nd quarter</w:t>
            </w:r>
          </w:p>
        </w:tc>
        <w:tc>
          <w:tcPr>
            <w:tcW w:w="4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14.93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11.86</w:t>
            </w: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1st quarter</w:t>
            </w:r>
          </w:p>
        </w:tc>
        <w:tc>
          <w:tcPr>
            <w:tcW w:w="4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18.57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13.57</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2006:</w:t>
            </w:r>
          </w:p>
        </w:tc>
        <w:tc>
          <w:tcPr>
            <w:tcW w:w="4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4th quarter</w:t>
            </w:r>
          </w:p>
        </w:tc>
        <w:tc>
          <w:tcPr>
            <w:tcW w:w="478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17.52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14.15</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3rd quarter</w:t>
            </w:r>
          </w:p>
        </w:tc>
        <w:tc>
          <w:tcPr>
            <w:tcW w:w="4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17.40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14.43</w:t>
            </w: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2nd quarter</w:t>
            </w:r>
          </w:p>
        </w:tc>
        <w:tc>
          <w:tcPr>
            <w:tcW w:w="4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16.99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13.13</w:t>
            </w:r>
          </w:p>
        </w:tc>
      </w:tr>
      <w:tr>
        <w:trPr>
          <w:trHeight w:val="216"/>
        </w:trPr>
        <w:tc>
          <w:tcPr>
            <w:tcW w:w="4800" w:type="dxa"/>
            <w:vAlign w:val="bottom"/>
          </w:tcPr>
          <w:p>
            <w:pPr>
              <w:spacing w:after="0"/>
              <w:rPr>
                <w:sz w:val="20"/>
                <w:szCs w:val="20"/>
                <w:color w:val="auto"/>
              </w:rPr>
            </w:pPr>
            <w:r>
              <w:rPr>
                <w:rFonts w:ascii="Arial" w:cs="Arial" w:eastAsia="Arial" w:hAnsi="Arial"/>
                <w:sz w:val="17"/>
                <w:szCs w:val="17"/>
                <w:color w:val="auto"/>
              </w:rPr>
              <w:t>1st quarter</w:t>
            </w:r>
          </w:p>
        </w:tc>
        <w:tc>
          <w:tcPr>
            <w:tcW w:w="4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14.67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11.67</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Record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As of October 19, 2007, there were 3,378 shareholders of record of the Company’s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declared or paid cash dividends since 1996 and does not intend to pay cash dividends on its common stock for the foreseeable future.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 Plan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to the information set forth in Item 12 of this Annual Report on Form 10-K.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24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During the fourth quarter of 2007, the Company acquired, as payment of withholding taxes in connection with the vesting of restricted stock awards, an aggregate of 44,797 shares of its common stock as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0"/>
              </w:rPr>
              <w:t>(a) Total</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4"/>
              </w:rPr>
              <w:t>(d) Maximum number (or</w:t>
            </w:r>
          </w:p>
        </w:tc>
      </w:tr>
      <w:tr>
        <w:trPr>
          <w:trHeight w:val="205"/>
        </w:trPr>
        <w:tc>
          <w:tcPr>
            <w:tcW w:w="3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34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Arial" w:cs="Arial" w:eastAsia="Arial" w:hAnsi="Arial"/>
                <w:sz w:val="17"/>
                <w:szCs w:val="17"/>
                <w:b w:val="1"/>
                <w:bCs w:val="1"/>
                <w:color w:val="auto"/>
                <w:w w:val="89"/>
              </w:rPr>
              <w:t>(b) Average</w:t>
            </w: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w w:val="90"/>
              </w:rPr>
              <w:t>(c) Total number of shares (or units)</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0"/>
              </w:rPr>
              <w:t>approximate dollar value) of shares</w:t>
            </w:r>
          </w:p>
        </w:tc>
      </w:tr>
      <w:tr>
        <w:trPr>
          <w:trHeight w:val="205"/>
        </w:trPr>
        <w:tc>
          <w:tcPr>
            <w:tcW w:w="3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7"/>
              </w:rPr>
              <w:t>shares</w:t>
            </w:r>
          </w:p>
        </w:tc>
        <w:tc>
          <w:tcPr>
            <w:tcW w:w="1460" w:type="dxa"/>
            <w:vAlign w:val="bottom"/>
            <w:gridSpan w:val="2"/>
          </w:tcPr>
          <w:p>
            <w:pPr>
              <w:jc w:val="center"/>
              <w:ind w:left="75"/>
              <w:spacing w:after="0"/>
              <w:rPr>
                <w:sz w:val="20"/>
                <w:szCs w:val="20"/>
                <w:color w:val="auto"/>
              </w:rPr>
            </w:pPr>
            <w:r>
              <w:rPr>
                <w:rFonts w:ascii="Arial" w:cs="Arial" w:eastAsia="Arial" w:hAnsi="Arial"/>
                <w:sz w:val="17"/>
                <w:szCs w:val="17"/>
                <w:b w:val="1"/>
                <w:bCs w:val="1"/>
                <w:color w:val="auto"/>
                <w:w w:val="91"/>
              </w:rPr>
              <w:t>price paid per</w:t>
            </w: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w w:val="90"/>
              </w:rPr>
              <w:t>purchased as part of publicly</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0"/>
              </w:rPr>
              <w:t>(or units) that may yet be purchased</w:t>
            </w:r>
          </w:p>
        </w:tc>
      </w:tr>
      <w:tr>
        <w:trPr>
          <w:trHeight w:val="227"/>
        </w:trPr>
        <w:tc>
          <w:tcPr>
            <w:tcW w:w="3320" w:type="dxa"/>
            <w:vAlign w:val="bottom"/>
            <w:tcBorders>
              <w:bottom w:val="single" w:sz="8" w:color="auto"/>
            </w:tcBorders>
          </w:tcPr>
          <w:p>
            <w:pPr>
              <w:ind w:left="1360"/>
              <w:spacing w:after="0"/>
              <w:rPr>
                <w:sz w:val="20"/>
                <w:szCs w:val="20"/>
                <w:color w:val="auto"/>
              </w:rPr>
            </w:pPr>
            <w:r>
              <w:rPr>
                <w:rFonts w:ascii="Arial" w:cs="Arial" w:eastAsia="Arial" w:hAnsi="Arial"/>
                <w:sz w:val="17"/>
                <w:szCs w:val="17"/>
                <w:b w:val="1"/>
                <w:bCs w:val="1"/>
                <w:color w:val="auto"/>
              </w:rPr>
              <w:t>Period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purchased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8"/>
              </w:rPr>
              <w:t>share</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announced plans or programs</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under the plans or programs</w:t>
            </w:r>
          </w:p>
        </w:tc>
      </w:tr>
      <w:tr>
        <w:trPr>
          <w:trHeight w:val="205"/>
        </w:trPr>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June 1 – July 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27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2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July 6 – August 2</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760" w:type="dxa"/>
            <w:vAlign w:val="bottom"/>
          </w:tcPr>
          <w:p>
            <w:pPr>
              <w:jc w:val="center"/>
              <w:spacing w:after="0"/>
              <w:rPr>
                <w:sz w:val="20"/>
                <w:szCs w:val="20"/>
                <w:color w:val="auto"/>
              </w:rPr>
            </w:pPr>
            <w:r>
              <w:rPr>
                <w:rFonts w:ascii="Arial" w:cs="Arial" w:eastAsia="Arial" w:hAnsi="Arial"/>
                <w:sz w:val="17"/>
                <w:szCs w:val="17"/>
                <w:color w:val="auto"/>
              </w:rPr>
              <w:t>N/A</w:t>
            </w:r>
          </w:p>
        </w:tc>
        <w:tc>
          <w:tcPr>
            <w:tcW w:w="2720" w:type="dxa"/>
            <w:vAlign w:val="bottom"/>
          </w:tcPr>
          <w:p>
            <w:pPr>
              <w:jc w:val="center"/>
              <w:spacing w:after="0"/>
              <w:rPr>
                <w:sz w:val="20"/>
                <w:szCs w:val="20"/>
                <w:color w:val="auto"/>
              </w:rPr>
            </w:pPr>
            <w:r>
              <w:rPr>
                <w:rFonts w:ascii="Arial" w:cs="Arial" w:eastAsia="Arial" w:hAnsi="Arial"/>
                <w:sz w:val="17"/>
                <w:szCs w:val="17"/>
                <w:color w:val="auto"/>
                <w:w w:val="98"/>
              </w:rPr>
              <w:t>N/A</w:t>
            </w:r>
          </w:p>
        </w:tc>
      </w:tr>
      <w:tr>
        <w:trPr>
          <w:trHeight w:val="211"/>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August 3 – August 30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39,435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11.31</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N/A</w:t>
            </w:r>
          </w:p>
        </w:tc>
      </w:tr>
      <w:tr>
        <w:trPr>
          <w:trHeight w:val="205"/>
        </w:trPr>
        <w:tc>
          <w:tcPr>
            <w:tcW w:w="3320" w:type="dxa"/>
            <w:vAlign w:val="bottom"/>
          </w:tcPr>
          <w:p>
            <w:pPr>
              <w:spacing w:after="0" w:line="185" w:lineRule="exact"/>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44,797</w:t>
            </w:r>
          </w:p>
        </w:tc>
        <w:tc>
          <w:tcPr>
            <w:tcW w:w="34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5" w:lineRule="exact"/>
              <w:rPr>
                <w:sz w:val="20"/>
                <w:szCs w:val="20"/>
                <w:color w:val="auto"/>
              </w:rPr>
            </w:pPr>
            <w:r>
              <w:rPr>
                <w:rFonts w:ascii="Arial" w:cs="Arial" w:eastAsia="Arial" w:hAnsi="Arial"/>
                <w:sz w:val="17"/>
                <w:szCs w:val="17"/>
                <w:color w:val="auto"/>
              </w:rPr>
              <w:t>11.45</w:t>
            </w:r>
          </w:p>
        </w:tc>
        <w:tc>
          <w:tcPr>
            <w:tcW w:w="27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The Company acquired 44,797 shares of its common stock in the fourth quarter of 2007, retired 9,357 in the fourth quarter of 2007 and retired the remaining 35,440 shares in the first quarter of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Performance Graph</w:t>
      </w:r>
    </w:p>
    <w:p>
      <w:pPr>
        <w:spacing w:after="0" w:line="240" w:lineRule="exact"/>
        <w:rPr>
          <w:sz w:val="20"/>
          <w:szCs w:val="20"/>
          <w:color w:val="auto"/>
        </w:rPr>
      </w:pPr>
    </w:p>
    <w:p>
      <w:pPr>
        <w:ind w:right="700"/>
        <w:spacing w:after="0" w:line="277" w:lineRule="auto"/>
        <w:rPr>
          <w:sz w:val="20"/>
          <w:szCs w:val="20"/>
          <w:color w:val="auto"/>
        </w:rPr>
      </w:pPr>
      <w:r>
        <w:rPr>
          <w:rFonts w:ascii="Arial" w:cs="Arial" w:eastAsia="Arial" w:hAnsi="Arial"/>
          <w:sz w:val="17"/>
          <w:szCs w:val="17"/>
          <w:color w:val="auto"/>
        </w:rPr>
        <w:t>The following graph illustrates a five-year comparison of cumulative total returns for the Company’s Common Stock, the S&amp;P 500 Composite Index and the Philadelphia Semiconductor Index (SOX) from August 31, 2002, through August 31, 2007.</w:t>
      </w:r>
    </w:p>
    <w:p>
      <w:pPr>
        <w:spacing w:after="0" w:line="190"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313295" cy="2157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3295" cy="2157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on a 52/53 week fiscal year which ends on the Thursday closest to August 31. Accordingly, the last day of the Company’s fiscal year</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varies. For consistent presentation and comparison to the industry indices shown herein, the Company has calculated its stock performance graph assuming an August 31 year-end. The performance graph assumes $100 invested on August 31, 2002,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7"/>
                <w:szCs w:val="17"/>
                <w:b w:val="1"/>
                <w:bCs w:val="1"/>
                <w:i w:val="1"/>
                <w:iCs w:val="1"/>
                <w:color w:val="auto"/>
              </w:rPr>
              <w:t>Performance Graph Data</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3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2002</w:t>
            </w: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2003</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2004</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2005</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2006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r>
      <w:tr>
        <w:trPr>
          <w:trHeight w:val="205"/>
        </w:trPr>
        <w:tc>
          <w:tcPr>
            <w:tcW w:w="3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Micron Technology, Inc.</w:t>
            </w:r>
          </w:p>
        </w:tc>
        <w:tc>
          <w:tcPr>
            <w:tcW w:w="1040" w:type="dxa"/>
            <w:vAlign w:val="bottom"/>
            <w:shd w:val="clear" w:color="auto" w:fill="CCEEFF"/>
          </w:tcPr>
          <w:p>
            <w:pPr>
              <w:jc w:val="right"/>
              <w:ind w:right="65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83</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67</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69</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7"/>
                <w:szCs w:val="17"/>
                <w:color w:val="auto"/>
              </w:rPr>
            </w:pPr>
          </w:p>
        </w:tc>
      </w:tr>
      <w:tr>
        <w:trPr>
          <w:trHeight w:val="205"/>
        </w:trPr>
        <w:tc>
          <w:tcPr>
            <w:tcW w:w="3100" w:type="dxa"/>
            <w:vAlign w:val="bottom"/>
          </w:tcPr>
          <w:p>
            <w:pPr>
              <w:spacing w:after="0"/>
              <w:rPr>
                <w:sz w:val="20"/>
                <w:szCs w:val="20"/>
                <w:color w:val="auto"/>
              </w:rPr>
            </w:pPr>
            <w:r>
              <w:rPr>
                <w:rFonts w:ascii="Arial" w:cs="Arial" w:eastAsia="Arial" w:hAnsi="Arial"/>
                <w:sz w:val="17"/>
                <w:szCs w:val="17"/>
                <w:color w:val="auto"/>
              </w:rPr>
              <w:t>S&amp;P 500 Composite Index</w:t>
            </w:r>
          </w:p>
        </w:tc>
        <w:tc>
          <w:tcPr>
            <w:tcW w:w="1040" w:type="dxa"/>
            <w:vAlign w:val="bottom"/>
          </w:tcPr>
          <w:p>
            <w:pPr>
              <w:spacing w:after="0"/>
              <w:rPr>
                <w:sz w:val="17"/>
                <w:szCs w:val="17"/>
                <w:color w:val="auto"/>
              </w:rPr>
            </w:pPr>
          </w:p>
        </w:tc>
        <w:tc>
          <w:tcPr>
            <w:tcW w:w="460" w:type="dxa"/>
            <w:vAlign w:val="bottom"/>
          </w:tcPr>
          <w:p>
            <w:pPr>
              <w:jc w:val="right"/>
              <w:ind w:right="35"/>
              <w:spacing w:after="0"/>
              <w:rPr>
                <w:sz w:val="20"/>
                <w:szCs w:val="20"/>
                <w:color w:val="auto"/>
              </w:rPr>
            </w:pPr>
            <w:r>
              <w:rPr>
                <w:rFonts w:ascii="Arial" w:cs="Arial" w:eastAsia="Arial" w:hAnsi="Arial"/>
                <w:sz w:val="17"/>
                <w:szCs w:val="17"/>
                <w:color w:val="auto"/>
              </w:rPr>
              <w:t>100</w:t>
            </w:r>
          </w:p>
        </w:tc>
        <w:tc>
          <w:tcPr>
            <w:tcW w:w="36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112</w:t>
            </w:r>
          </w:p>
        </w:tc>
        <w:tc>
          <w:tcPr>
            <w:tcW w:w="36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125</w:t>
            </w:r>
          </w:p>
        </w:tc>
        <w:tc>
          <w:tcPr>
            <w:tcW w:w="3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141</w:t>
            </w:r>
          </w:p>
        </w:tc>
        <w:tc>
          <w:tcPr>
            <w:tcW w:w="36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153</w:t>
            </w:r>
          </w:p>
        </w:tc>
        <w:tc>
          <w:tcPr>
            <w:tcW w:w="3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176</w:t>
            </w:r>
          </w:p>
        </w:tc>
      </w:tr>
      <w:tr>
        <w:trPr>
          <w:trHeight w:val="205"/>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w w:val="99"/>
              </w:rPr>
              <w:t>Philadelphia Semiconductor Index (SOX)</w:t>
            </w: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130</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152</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151</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w:t>
            </w:r>
          </w:p>
        </w:tc>
      </w:tr>
      <w:tr>
        <w:trPr>
          <w:trHeight w:val="665"/>
        </w:trPr>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24</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3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43"/>
        </w:trPr>
        <w:tc>
          <w:tcPr>
            <w:tcW w:w="3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2007</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2006</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2003</w:t>
            </w:r>
          </w:p>
        </w:tc>
        <w:tc>
          <w:tcPr>
            <w:tcW w:w="12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20" w:type="dxa"/>
            <w:vAlign w:val="bottom"/>
            <w:gridSpan w:val="5"/>
          </w:tcPr>
          <w:p>
            <w:pPr>
              <w:jc w:val="right"/>
              <w:ind w:right="675"/>
              <w:spacing w:after="0"/>
              <w:rPr>
                <w:sz w:val="20"/>
                <w:szCs w:val="20"/>
                <w:color w:val="auto"/>
              </w:rPr>
            </w:pPr>
            <w:r>
              <w:rPr>
                <w:rFonts w:ascii="Arial" w:cs="Arial" w:eastAsia="Arial" w:hAnsi="Arial"/>
                <w:sz w:val="17"/>
                <w:szCs w:val="17"/>
                <w:color w:val="auto"/>
              </w:rPr>
              <w:t>(in millions except per share amounts)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3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5,688</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5,272</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4,880</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4,404</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3,091</w:t>
            </w:r>
          </w:p>
        </w:tc>
        <w:tc>
          <w:tcPr>
            <w:tcW w:w="120" w:type="dxa"/>
            <w:vAlign w:val="bottom"/>
            <w:shd w:val="clear" w:color="auto" w:fill="CCEEFF"/>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Gross margin</w:t>
            </w:r>
          </w:p>
        </w:tc>
        <w:tc>
          <w:tcPr>
            <w:tcW w:w="14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1,078</w:t>
            </w:r>
          </w:p>
        </w:tc>
        <w:tc>
          <w:tcPr>
            <w:tcW w:w="34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1,200</w:t>
            </w:r>
          </w:p>
        </w:tc>
        <w:tc>
          <w:tcPr>
            <w:tcW w:w="36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1,146</w:t>
            </w:r>
          </w:p>
        </w:tc>
        <w:tc>
          <w:tcPr>
            <w:tcW w:w="34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1,314</w:t>
            </w:r>
          </w:p>
        </w:tc>
        <w:tc>
          <w:tcPr>
            <w:tcW w:w="3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(280)</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350</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217</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250</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(1,186)</w:t>
            </w: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Net income (loss)</w:t>
            </w:r>
          </w:p>
        </w:tc>
        <w:tc>
          <w:tcPr>
            <w:tcW w:w="142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(320)</w:t>
            </w:r>
          </w:p>
        </w:tc>
        <w:tc>
          <w:tcPr>
            <w:tcW w:w="34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408</w:t>
            </w:r>
          </w:p>
        </w:tc>
        <w:tc>
          <w:tcPr>
            <w:tcW w:w="36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34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157</w:t>
            </w:r>
          </w:p>
        </w:tc>
        <w:tc>
          <w:tcPr>
            <w:tcW w:w="3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(1,273)</w:t>
            </w: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(loss) per share</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(0.42)</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0.57</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0.29</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0.24</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(2.11)</w:t>
            </w:r>
          </w:p>
        </w:tc>
      </w:tr>
      <w:tr>
        <w:trPr>
          <w:trHeight w:val="205"/>
        </w:trPr>
        <w:tc>
          <w:tcPr>
            <w:tcW w:w="3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Cash and short-term investments</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2,616</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3,079</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1,290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1,231</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922</w:t>
            </w: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Total current assets</w:t>
            </w:r>
          </w:p>
        </w:tc>
        <w:tc>
          <w:tcPr>
            <w:tcW w:w="14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5,234</w:t>
            </w:r>
          </w:p>
        </w:tc>
        <w:tc>
          <w:tcPr>
            <w:tcW w:w="34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5,101</w:t>
            </w:r>
          </w:p>
        </w:tc>
        <w:tc>
          <w:tcPr>
            <w:tcW w:w="36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2,926</w:t>
            </w:r>
          </w:p>
        </w:tc>
        <w:tc>
          <w:tcPr>
            <w:tcW w:w="34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2,639</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2,037</w:t>
            </w:r>
          </w:p>
        </w:tc>
        <w:tc>
          <w:tcPr>
            <w:tcW w:w="120" w:type="dxa"/>
            <w:vAlign w:val="bottom"/>
          </w:tcPr>
          <w:p>
            <w:pPr>
              <w:spacing w:after="0"/>
              <w:rPr>
                <w:sz w:val="17"/>
                <w:szCs w:val="17"/>
                <w:color w:val="auto"/>
              </w:rPr>
            </w:pP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8,279</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5,888</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4,684</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4,713</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4,510</w:t>
            </w:r>
          </w:p>
        </w:tc>
        <w:tc>
          <w:tcPr>
            <w:tcW w:w="120" w:type="dxa"/>
            <w:vAlign w:val="bottom"/>
            <w:shd w:val="clear" w:color="auto" w:fill="CCEEFF"/>
          </w:tcPr>
          <w:p>
            <w:pPr>
              <w:spacing w:after="0"/>
              <w:rPr>
                <w:sz w:val="17"/>
                <w:szCs w:val="17"/>
                <w:color w:val="auto"/>
              </w:rPr>
            </w:pP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Total assets</w:t>
            </w:r>
          </w:p>
        </w:tc>
        <w:tc>
          <w:tcPr>
            <w:tcW w:w="14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14,818</w:t>
            </w:r>
          </w:p>
        </w:tc>
        <w:tc>
          <w:tcPr>
            <w:tcW w:w="34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12,221</w:t>
            </w:r>
          </w:p>
        </w:tc>
        <w:tc>
          <w:tcPr>
            <w:tcW w:w="36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8,006</w:t>
            </w:r>
          </w:p>
        </w:tc>
        <w:tc>
          <w:tcPr>
            <w:tcW w:w="34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7,760</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7,158</w:t>
            </w:r>
          </w:p>
        </w:tc>
        <w:tc>
          <w:tcPr>
            <w:tcW w:w="120" w:type="dxa"/>
            <w:vAlign w:val="bottom"/>
          </w:tcPr>
          <w:p>
            <w:pPr>
              <w:spacing w:after="0"/>
              <w:rPr>
                <w:sz w:val="17"/>
                <w:szCs w:val="17"/>
                <w:color w:val="auto"/>
              </w:rPr>
            </w:pP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2,026</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1,661</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979</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972</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993</w:t>
            </w:r>
          </w:p>
        </w:tc>
      </w:tr>
      <w:tr>
        <w:trPr>
          <w:trHeight w:val="205"/>
        </w:trPr>
        <w:tc>
          <w:tcPr>
            <w:tcW w:w="3520" w:type="dxa"/>
            <w:vAlign w:val="bottom"/>
          </w:tcPr>
          <w:p>
            <w:pPr>
              <w:spacing w:after="0"/>
              <w:rPr>
                <w:sz w:val="20"/>
                <w:szCs w:val="20"/>
                <w:color w:val="auto"/>
              </w:rPr>
            </w:pPr>
            <w:r>
              <w:rPr>
                <w:rFonts w:ascii="Arial" w:cs="Arial" w:eastAsia="Arial" w:hAnsi="Arial"/>
                <w:sz w:val="17"/>
                <w:szCs w:val="17"/>
                <w:color w:val="auto"/>
              </w:rPr>
              <w:t>Long-term debt</w:t>
            </w:r>
          </w:p>
        </w:tc>
        <w:tc>
          <w:tcPr>
            <w:tcW w:w="1420" w:type="dxa"/>
            <w:vAlign w:val="bottom"/>
          </w:tcPr>
          <w:p>
            <w:pPr>
              <w:spacing w:after="0"/>
              <w:rPr>
                <w:sz w:val="17"/>
                <w:szCs w:val="17"/>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1,987</w:t>
            </w:r>
          </w:p>
        </w:tc>
        <w:tc>
          <w:tcPr>
            <w:tcW w:w="34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405</w:t>
            </w:r>
          </w:p>
        </w:tc>
        <w:tc>
          <w:tcPr>
            <w:tcW w:w="36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1,020</w:t>
            </w:r>
          </w:p>
        </w:tc>
        <w:tc>
          <w:tcPr>
            <w:tcW w:w="34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1,028</w:t>
            </w:r>
          </w:p>
        </w:tc>
        <w:tc>
          <w:tcPr>
            <w:tcW w:w="3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997</w:t>
            </w:r>
          </w:p>
        </w:tc>
      </w:tr>
      <w:tr>
        <w:trPr>
          <w:trHeight w:val="20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Redeemable common stock</w:t>
            </w: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7"/>
                <w:szCs w:val="17"/>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1420" w:type="dxa"/>
            <w:vAlign w:val="bottom"/>
          </w:tcPr>
          <w:p>
            <w:pPr>
              <w:spacing w:after="0"/>
              <w:rPr>
                <w:sz w:val="18"/>
                <w:szCs w:val="18"/>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7,752</w:t>
            </w:r>
          </w:p>
        </w:tc>
        <w:tc>
          <w:tcPr>
            <w:tcW w:w="34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8,114</w:t>
            </w:r>
          </w:p>
        </w:tc>
        <w:tc>
          <w:tcPr>
            <w:tcW w:w="3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5,847</w:t>
            </w:r>
          </w:p>
        </w:tc>
        <w:tc>
          <w:tcPr>
            <w:tcW w:w="34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5,615</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4,971</w:t>
            </w:r>
          </w:p>
        </w:tc>
        <w:tc>
          <w:tcPr>
            <w:tcW w:w="120" w:type="dxa"/>
            <w:vAlign w:val="bottom"/>
          </w:tcPr>
          <w:p>
            <w:pPr>
              <w:spacing w:after="0"/>
              <w:rPr>
                <w:sz w:val="18"/>
                <w:szCs w:val="18"/>
                <w:color w:val="auto"/>
              </w:rPr>
            </w:pPr>
          </w:p>
        </w:tc>
      </w:tr>
    </w:tbl>
    <w:p>
      <w:pPr>
        <w:spacing w:after="0" w:line="207"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In the third quarter of 2006, the Company entered into an agreement with the Singapore Economic Development Board (“EDB”), a partner in its TECH Semiconductor joint venture, and on March 30, 2007, the Company acquired all of the shares of TECH common stock held by EDB, which increased the Company’s ownership interest in TECH from 43% to 73%. (See “Item 8. Financial Statements and Supplementary Data – Notes to Consolidated Financial Statements – Joint Ventures – TECH Semiconductor Singapore Pte. Ltd.”)</w:t>
      </w:r>
    </w:p>
    <w:p>
      <w:pPr>
        <w:spacing w:after="0" w:line="204" w:lineRule="exact"/>
        <w:rPr>
          <w:sz w:val="20"/>
          <w:szCs w:val="20"/>
          <w:color w:val="auto"/>
        </w:rPr>
      </w:pPr>
    </w:p>
    <w:p>
      <w:pPr>
        <w:ind w:right="220"/>
        <w:spacing w:after="0" w:line="346" w:lineRule="auto"/>
        <w:rPr>
          <w:sz w:val="20"/>
          <w:szCs w:val="20"/>
          <w:color w:val="auto"/>
        </w:rPr>
      </w:pPr>
      <w:r>
        <w:rPr>
          <w:rFonts w:ascii="Arial" w:cs="Arial" w:eastAsia="Arial" w:hAnsi="Arial"/>
          <w:sz w:val="15"/>
          <w:szCs w:val="15"/>
          <w:color w:val="auto"/>
        </w:rPr>
        <w:t>In the fourth quarter of 2006, the Company acquired Lexar Media, Inc., a designer, developer, manufacturer and marketer of Flash memory products, in a stock-for-stock merger. (See “Item 8. Financial Statements and Supplementary Data – Notes to Consolidated Financial Statements – Acquisitions – Lexar Media, Inc.”)</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(See “Item 1A. Risk Factors” and “Item 8. Financial Statements and Supplementary Data –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production growth for NAND Flash memory products, contributions to IM Flash and anticipated restructure initiatives; in “Net Sales” regarding increases in NAND Flash memory production and revenue; in “Selling, General and Administrative” regarding SG&amp;A expenses for the first quarter of 2008; in “Research and Development” regarding R&amp;D expenses for the first quarter of 2008; in “Stock-Based Compensation” regarding increases in future stock-based compensation costs; in “Restructure” regarding future charges; in “Recently Issued Accounting Standards” regarding the adoption of new accounting standards; and in “Liquidity and Capital Resources” regarding capital spending in 2008; and future capital contributions to IM Flash. The Company’s actual results could differ materially from the Company’s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August 30, 2007. All period references are to the Company’s fiscal periods unless otherwise indicated. All tabular dollar amounts are in millions. All production data reflects production of the Company and its consolidated joint ventures.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9"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is focused on improving its competitiveness by increasing manufacturing scale, improving its cost competitiveness and expanding its product portfolio within the semiconductor memory market. The Company has increased its manufacturing scale in 2007 by ramping NAND Flash production at two 300mm wafer fabrication facilities and beginning the conversion of another facility to 300mm DRAM wafer fabrication. The Company continues to explore other options to increase its manufacturing scale. To reduce costs, the Company is implementing restructure initiatives aimed at reducing manufacturing and overhead costs through outsourcing, relocation of operations and workforce reductions. In recent years the Company has strategically entered into the NAND Flash memory and specialty DRAM markets and has experienced significant revenue growth from these products. The Company is able to leverage its existing product and process technology and semiconductor memory manufacturing expertise in these markets.</w:t>
      </w:r>
    </w:p>
    <w:p>
      <w:pPr>
        <w:spacing w:after="0" w:line="207" w:lineRule="exact"/>
        <w:rPr>
          <w:sz w:val="20"/>
          <w:szCs w:val="20"/>
          <w:color w:val="auto"/>
        </w:rPr>
      </w:pPr>
    </w:p>
    <w:p>
      <w:pPr>
        <w:ind w:right="380"/>
        <w:spacing w:after="0" w:line="309" w:lineRule="auto"/>
        <w:rPr>
          <w:sz w:val="20"/>
          <w:szCs w:val="20"/>
          <w:color w:val="auto"/>
        </w:rPr>
      </w:pPr>
      <w:r>
        <w:rPr>
          <w:rFonts w:ascii="Arial" w:cs="Arial" w:eastAsia="Arial" w:hAnsi="Arial"/>
          <w:sz w:val="16"/>
          <w:szCs w:val="16"/>
          <w:color w:val="auto"/>
        </w:rPr>
        <w:t>To improve its focus on the semiconductor memory market, the Company is exploring business model alternatives for its Imaging business including partnering arrangements. Under any of the alternatives being considered, the Company expects that it will continue to manufacture CMOS image sensors.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Company has partnered with Intel to form two NAND Flash manufacturing joint ventures: IM Flash Technologies, LLC and IM Flash Singapore LLP (collectively “IM Flash”). IM Flash operations include two 300mm wafer fabrication facilities that are expected to greatly increase the Company’s production of NAND Flash in 2008. IM Flash Singapore LLP began construction of a new 300mm wafer fabrication facility in Singapore in 2007. The Company expects to contribute approximately $1.7 billion in cash to IM Flash over the next three years, with similar contributions to be made by Intel. Completion of the facility in Singapore is subject to the mutual agreement of the joint venture partners. As of August 30, 2007, the Company owned 51% and Intel owned 49% of IM Flash. The parties share output of IM Flash generally in proportion to their ownership in IM Flash.</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20"/>
          </w:cols>
          <w:pgMar w:left="240" w:top="354" w:right="339" w:bottom="1440" w:gutter="0" w:footer="0" w:header="0"/>
        </w:sectPr>
      </w:pPr>
    </w:p>
    <w:bookmarkStart w:id="27" w:name="page28"/>
    <w:bookmarkEnd w:id="27"/>
    <w:p>
      <w:pPr>
        <w:ind w:right="160"/>
        <w:spacing w:after="0" w:line="278" w:lineRule="auto"/>
        <w:rPr>
          <w:sz w:val="20"/>
          <w:szCs w:val="20"/>
          <w:color w:val="auto"/>
        </w:rPr>
      </w:pPr>
      <w:r>
        <w:rPr>
          <w:rFonts w:ascii="Arial" w:cs="Arial" w:eastAsia="Arial" w:hAnsi="Arial"/>
          <w:sz w:val="16"/>
          <w:szCs w:val="16"/>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continues to introduce new generations of products that offer improved performance characteristics, such as higher data transfer rates, reduced package size, lower power consumption and increased memory density and megapixel count. The Company generally reduces the manufacturing cost of each generation of product through advancements in product and process technology such as its leading-edge line width process technology and innovative array architecture.</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order to maximize returns from investments in research and development (“R&amp;D”), the Company develops process technology that effectively reduces production costs and leverages the Company’s capital expenditures. To be successfully incorporated in customers’ end products, the Company must offer qualified semiconductor solutions at a time when customers are developing their design specifications for their end products. In addition, DRAM and NAND Flash products necessarily incorporate highly advanced design and process technologies. The Company must make significant investments in R&amp;D to expand its product offering and develop its leading-edge product and process technologies. To leverage its R&amp;D investments, the Company has formed strategic joint ventures under which the costs of developing NAND Flash memory product and process technologies are shared with its joint venture partner. In addition, from time to time, the Company has also sold and/or licensed technology to third parties. The Company is pursuing further opportunities to recover its investment in intellectual property through partnering and other arrangements.</w:t>
      </w:r>
    </w:p>
    <w:p>
      <w:pPr>
        <w:spacing w:after="0" w:line="21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b w:val="1"/>
          <w:bCs w:val="1"/>
          <w:i w:val="1"/>
          <w:iCs w:val="1"/>
          <w:color w:val="auto"/>
        </w:rPr>
        <w:t xml:space="preserve">Restructure: </w:t>
      </w:r>
      <w:r>
        <w:rPr>
          <w:rFonts w:ascii="Arial" w:cs="Arial" w:eastAsia="Arial" w:hAnsi="Arial"/>
          <w:sz w:val="16"/>
          <w:szCs w:val="16"/>
          <w:color w:val="auto"/>
        </w:rPr>
        <w:t>The Company is pursuing a number of initiatives to reduce costs and increase revenue across its operations. These initiatives include workforce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The Company is also exploring opportunities to leverage the Company’s technology and diversified product portfolio to increase revenue and shareholder value. It is anticipated that these initiatives will be implemented over several quarters.</w:t>
      </w:r>
    </w:p>
    <w:p>
      <w:pPr>
        <w:spacing w:after="0" w:line="19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 the fourth quarter of 2007, the Company incurred a restructure charge of $19 million in connection with the implementation of these cost reduction initiatives. The fourth quarter charge was comprised primarily of employee severance and related costs resulting from a reduction in the Company’s workforce. The Company anticipates that it will incur some level of restructure charges through the end of 2008 as it continues to implement these initiatives, but is currently unable to estimate the aggregate amount of such charges.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7"/>
                <w:szCs w:val="17"/>
                <w:b w:val="1"/>
                <w:bCs w:val="1"/>
                <w:color w:val="auto"/>
              </w:rPr>
              <w:t>2007</w:t>
            </w:r>
          </w:p>
        </w:tc>
        <w:tc>
          <w:tcPr>
            <w:tcW w:w="7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7"/>
                <w:szCs w:val="17"/>
                <w:b w:val="1"/>
                <w:bCs w:val="1"/>
                <w:color w:val="auto"/>
              </w:rPr>
              <w:t>2006</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7"/>
                <w:szCs w:val="17"/>
                <w:b w:val="1"/>
                <w:bCs w:val="1"/>
                <w:color w:val="auto"/>
              </w:rPr>
              <w:t>2005</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(in</w:t>
            </w: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w w:val="88"/>
              </w:rPr>
              <w:t>millions and as a percent of net sales)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4"/>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5"/>
        </w:trPr>
        <w:tc>
          <w:tcPr>
            <w:tcW w:w="2540" w:type="dxa"/>
            <w:vAlign w:val="bottom"/>
          </w:tcPr>
          <w:p>
            <w:pPr>
              <w:spacing w:after="0"/>
              <w:rPr>
                <w:sz w:val="20"/>
                <w:szCs w:val="20"/>
                <w:color w:val="auto"/>
              </w:rPr>
            </w:pPr>
            <w:r>
              <w:rPr>
                <w:rFonts w:ascii="Arial" w:cs="Arial" w:eastAsia="Arial" w:hAnsi="Arial"/>
                <w:sz w:val="17"/>
                <w:szCs w:val="17"/>
                <w:color w:val="auto"/>
              </w:rPr>
              <w:t>Memory</w:t>
            </w:r>
          </w:p>
        </w:tc>
        <w:tc>
          <w:tcPr>
            <w:tcW w:w="6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5,001</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88</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4,523</w:t>
            </w:r>
          </w:p>
        </w:tc>
        <w:tc>
          <w:tcPr>
            <w:tcW w:w="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7"/>
                <w:szCs w:val="17"/>
                <w:color w:val="auto"/>
              </w:rPr>
            </w:pPr>
          </w:p>
        </w:tc>
        <w:tc>
          <w:tcPr>
            <w:tcW w:w="260" w:type="dxa"/>
            <w:vAlign w:val="bottom"/>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4,577</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Imaging</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3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749</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303</w:t>
            </w:r>
          </w:p>
        </w:tc>
        <w:tc>
          <w:tcPr>
            <w:tcW w:w="5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6"/>
        </w:trPr>
        <w:tc>
          <w:tcPr>
            <w:tcW w:w="2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05"/>
        </w:trPr>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5,688</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5,272</w:t>
            </w:r>
          </w:p>
        </w:tc>
        <w:tc>
          <w:tcPr>
            <w:tcW w:w="5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4,880</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5"/>
        </w:trPr>
        <w:tc>
          <w:tcPr>
            <w:tcW w:w="2540" w:type="dxa"/>
            <w:vAlign w:val="bottom"/>
          </w:tcPr>
          <w:p>
            <w:pPr>
              <w:spacing w:after="0"/>
              <w:rPr>
                <w:sz w:val="20"/>
                <w:szCs w:val="20"/>
                <w:color w:val="auto"/>
              </w:rPr>
            </w:pPr>
            <w:r>
              <w:rPr>
                <w:rFonts w:ascii="Arial" w:cs="Arial" w:eastAsia="Arial" w:hAnsi="Arial"/>
                <w:sz w:val="17"/>
                <w:szCs w:val="17"/>
                <w:color w:val="auto"/>
              </w:rPr>
              <w:t>Gross margin</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5"/>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60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845</w:t>
            </w:r>
          </w:p>
        </w:tc>
        <w:tc>
          <w:tcPr>
            <w:tcW w:w="4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878</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1,020</w:t>
            </w:r>
          </w:p>
        </w:tc>
        <w:tc>
          <w:tcPr>
            <w:tcW w:w="5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540" w:type="dxa"/>
            <w:vAlign w:val="bottom"/>
          </w:tcPr>
          <w:p>
            <w:pPr>
              <w:spacing w:after="0"/>
              <w:rPr>
                <w:sz w:val="20"/>
                <w:szCs w:val="20"/>
                <w:color w:val="auto"/>
              </w:rPr>
            </w:pPr>
            <w:r>
              <w:rPr>
                <w:rFonts w:ascii="Arial" w:cs="Arial" w:eastAsia="Arial" w:hAnsi="Arial"/>
                <w:sz w:val="17"/>
                <w:szCs w:val="17"/>
                <w:color w:val="auto"/>
              </w:rPr>
              <w:t>Imaging</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233</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322</w:t>
            </w:r>
          </w:p>
        </w:tc>
        <w:tc>
          <w:tcPr>
            <w:tcW w:w="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7"/>
                <w:szCs w:val="17"/>
                <w:color w:val="auto"/>
              </w:rPr>
            </w:pPr>
          </w:p>
        </w:tc>
        <w:tc>
          <w:tcPr>
            <w:tcW w:w="260" w:type="dxa"/>
            <w:vAlign w:val="bottom"/>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126</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5"/>
        </w:trPr>
        <w:tc>
          <w:tcPr>
            <w:tcW w:w="2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3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w:t>
            </w:r>
          </w:p>
        </w:tc>
        <w:tc>
          <w:tcPr>
            <w:tcW w:w="5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1,146</w:t>
            </w:r>
          </w:p>
        </w:tc>
        <w:tc>
          <w:tcPr>
            <w:tcW w:w="5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25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05"/>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w w:val="96"/>
              </w:rPr>
              <w:t>Selling, general and administrative</w:t>
            </w:r>
          </w:p>
        </w:tc>
        <w:tc>
          <w:tcPr>
            <w:tcW w:w="60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610</w:t>
            </w:r>
          </w:p>
        </w:tc>
        <w:tc>
          <w:tcPr>
            <w:tcW w:w="4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460</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348</w:t>
            </w:r>
          </w:p>
        </w:tc>
        <w:tc>
          <w:tcPr>
            <w:tcW w:w="5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5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805</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656</w:t>
            </w:r>
          </w:p>
        </w:tc>
        <w:tc>
          <w:tcPr>
            <w:tcW w:w="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260" w:type="dxa"/>
            <w:vAlign w:val="bottom"/>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604</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Restructure</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4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(0 )%</w:t>
            </w:r>
          </w:p>
        </w:tc>
      </w:tr>
      <w:tr>
        <w:trPr>
          <w:trHeight w:val="193"/>
        </w:trPr>
        <w:tc>
          <w:tcPr>
            <w:tcW w:w="2540" w:type="dxa"/>
            <w:vAlign w:val="bottom"/>
          </w:tcPr>
          <w:p>
            <w:pPr>
              <w:spacing w:after="0" w:line="193" w:lineRule="exact"/>
              <w:rPr>
                <w:sz w:val="20"/>
                <w:szCs w:val="20"/>
                <w:color w:val="auto"/>
              </w:rPr>
            </w:pPr>
            <w:r>
              <w:rPr>
                <w:rFonts w:ascii="Arial" w:cs="Arial" w:eastAsia="Arial" w:hAnsi="Arial"/>
                <w:sz w:val="17"/>
                <w:szCs w:val="17"/>
                <w:color w:val="auto"/>
                <w:w w:val="95"/>
              </w:rPr>
              <w:t>Other operating (income) expense,</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7"/>
        </w:trPr>
        <w:tc>
          <w:tcPr>
            <w:tcW w:w="2540" w:type="dxa"/>
            <w:vAlign w:val="bottom"/>
          </w:tcPr>
          <w:p>
            <w:pPr>
              <w:ind w:left="160"/>
              <w:spacing w:after="0"/>
              <w:rPr>
                <w:sz w:val="20"/>
                <w:szCs w:val="20"/>
                <w:color w:val="auto"/>
              </w:rPr>
            </w:pPr>
            <w:r>
              <w:rPr>
                <w:rFonts w:ascii="Arial" w:cs="Arial" w:eastAsia="Arial" w:hAnsi="Arial"/>
                <w:sz w:val="17"/>
                <w:szCs w:val="17"/>
                <w:color w:val="auto"/>
              </w:rPr>
              <w:t>net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480" w:type="dxa"/>
            <w:vAlign w:val="bottom"/>
          </w:tcPr>
          <w:p>
            <w:pPr>
              <w:spacing w:after="0"/>
              <w:rPr>
                <w:sz w:val="18"/>
                <w:szCs w:val="18"/>
                <w:color w:val="auto"/>
              </w:rPr>
            </w:pPr>
          </w:p>
        </w:tc>
        <w:tc>
          <w:tcPr>
            <w:tcW w:w="1040" w:type="dxa"/>
            <w:vAlign w:val="bottom"/>
            <w:gridSpan w:val="2"/>
          </w:tcPr>
          <w:p>
            <w:pPr>
              <w:jc w:val="right"/>
              <w:ind w:right="15"/>
              <w:spacing w:after="0"/>
              <w:rPr>
                <w:sz w:val="20"/>
                <w:szCs w:val="20"/>
                <w:color w:val="auto"/>
              </w:rPr>
            </w:pPr>
            <w:r>
              <w:rPr>
                <w:rFonts w:ascii="Arial" w:cs="Arial" w:eastAsia="Arial" w:hAnsi="Arial"/>
                <w:sz w:val="17"/>
                <w:szCs w:val="17"/>
                <w:color w:val="auto"/>
              </w:rPr>
              <w:t>(1 )%</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(266)</w:t>
            </w:r>
          </w:p>
        </w:tc>
        <w:tc>
          <w:tcPr>
            <w:tcW w:w="500" w:type="dxa"/>
            <w:vAlign w:val="bottom"/>
          </w:tcPr>
          <w:p>
            <w:pPr>
              <w:spacing w:after="0"/>
              <w:rPr>
                <w:sz w:val="18"/>
                <w:szCs w:val="18"/>
                <w:color w:val="auto"/>
              </w:rPr>
            </w:pPr>
          </w:p>
        </w:tc>
        <w:tc>
          <w:tcPr>
            <w:tcW w:w="1040" w:type="dxa"/>
            <w:vAlign w:val="bottom"/>
            <w:gridSpan w:val="3"/>
          </w:tcPr>
          <w:p>
            <w:pPr>
              <w:jc w:val="right"/>
              <w:ind w:right="15"/>
              <w:spacing w:after="0"/>
              <w:rPr>
                <w:sz w:val="20"/>
                <w:szCs w:val="20"/>
                <w:color w:val="auto"/>
              </w:rPr>
            </w:pPr>
            <w:r>
              <w:rPr>
                <w:rFonts w:ascii="Arial" w:cs="Arial" w:eastAsia="Arial" w:hAnsi="Arial"/>
                <w:sz w:val="17"/>
                <w:szCs w:val="17"/>
                <w:color w:val="auto"/>
              </w:rPr>
              <w:t>(5 )%</w:t>
            </w:r>
          </w:p>
        </w:tc>
        <w:tc>
          <w:tcPr>
            <w:tcW w:w="4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(0 )%</w:t>
            </w:r>
          </w:p>
        </w:tc>
      </w:tr>
      <w:tr>
        <w:trPr>
          <w:trHeight w:val="206"/>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w:t>
            </w:r>
          </w:p>
        </w:tc>
        <w:tc>
          <w:tcPr>
            <w:tcW w:w="4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(6 )%</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408</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2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188</w:t>
            </w:r>
          </w:p>
        </w:tc>
        <w:tc>
          <w:tcPr>
            <w:tcW w:w="5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fiscal year is the 52 or 53-week period ending on the Thursday closest to August 31.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Net Sales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Total net sales for 2007 increased 8% as compared to 2006 primarily due to an 11% increase in Memory sales partially offset by an 8% decline in Imaging</w:t>
      </w:r>
    </w:p>
    <w:p>
      <w:pPr>
        <w:spacing w:after="0" w:line="3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sales. Memory sales for 2007 reflect a 204% increase in megabits sold partially offset by a 64% decline in per megabit average selling prices from 2006. Memory sales were 88% of total net sales in 2007 compared to 86% in 2006 and 94% in 2005. Imaging sales for 2007 decreased 8% from 2006 reflecting industry softness in mobile handset sales and pricing pressure. Total net sales for 2006 increased 8% as compared to 2005 primarily reflecting a 147% increase in Imaging sales as Memory sales declined 1%.</w:t>
      </w:r>
    </w:p>
    <w:p>
      <w:pPr>
        <w:spacing w:after="0" w:line="20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Memory sales for 2007 increased 11% from 2006 primarily due to a 287% increase in sales of NAND Flash products offset by an 11% decrease in sales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DRAM products.</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Sales of NAND Flash products for 2007 increased from 2006 primarily due to significant increases in megabits manufactured and the Company’s acquisition of Lexar Media, Inc. (which occurred in the fourth quarter of 2006), partially offset by a 56% decline in average selling prices per megabit. Megabit production of NAND Flash products increased over 800% for 2007 as compared to 2006, primarily due to the ramp of NAND Flash products at the Company’s 300mm fabrication facilities and transitions to higher density, advanced geometry devices. Sales of NAND Flash products represented 23% of the Company’s total net sales for 2007 as compared to 6% for 2006. The Company expects that sales of NAND Flash products will continue to increase in 2008 as it continues to ramp production capacity at its 300mm wafer fabrication facilities.</w:t>
      </w:r>
    </w:p>
    <w:p>
      <w:pPr>
        <w:spacing w:after="0" w:line="21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Sales of DRAM products for 2007 decreased from 2006 primarily due to a 23% decline in average selling prices (which includes the effects of a $50 million charge to revenue in the first quarter of 2007 as a result of a settlement agreement with a class of direct purchasers of certain DRAM products), which was partially mitigated by a 16% increase in megabits sold. Megabit production of DRAM products increased 23% for 2007, primarily due to transitions to higher density, advanced geometry devices. Sales of DDR and DDR2 DRAM products were 47% of the Company’s total net sales in 2007 as compared to 51% for 2006 and 59% for 2005.</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Memory sales for 2006 declined 1% from 2005 as a 287% increase in sales of NAND Flash products was offset by a 5% decrease in sales of DRAM products. Sales of NAND Flash products for 2006 increased from 2005 primarily due to a significant increase in megabits sold partially offset by an approximate 35% decline in average selling prices. Sales of NAND Flash products increased significantly for 2006 as compared to 2005, primarily due to significant increases in manufacturing resources allocated to their production. The decrease in sales of DRAM products in 2006 from 2005 was the result of a 22% decline in average selling prices mitigated by a 22% increase in megabits sold. Megabit production of DRAM products increased 14% for 2006 as compared to 2005, primarily due to production efficiencies including improvements in product and process technologies partially offset by a reduction in wafer starts.</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2007 decreased 8% from 2006 primarily due to declines in average selling prices as a result of industry softness in mobile handset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pricing pressure. Declines in average selling prices were partially mitigated by increased sales of higher resolution products. Imaging sales were 12% of the Company’s total net sales in 2007 as compared to 14% for 2006 and 6% for 2005. Imaging sales for 2006 increased by 147% from 2005 as unit sales tripled, partially offset by a 19% decrease in average selling price per unit. The decrease in average selling price per unit was due primarily to a significant increase of lower priced VGA products sold in 2006 as compared to 2005. The growth in Imaging unit sales for 2006 reflected strong demand for the Company’s products and increased production.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4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Company’s overall gross margin percentage for 2007 declined to 19% from 23% for 2006 due to a decrease in both the gross margin percentages for Memory and Imaging products. The Company’s overall gross margin percentage of 23% for 2006 was unchanged from 2005 as a decrease in the gross margin percentage for Memory in 2006 to 19% from 22% for 2005 was offset by a slight increase in the gross margin percentage for Imaging products and a shift in product mix to higher margin Imaging products.</w:t>
      </w:r>
    </w:p>
    <w:p>
      <w:pPr>
        <w:spacing w:after="0" w:line="204"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The Company’s gross margin percentage for Memory products of 17% for 2007 declined from 19% for 2006 primarily due to the shift in product mix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Flash products, which had a significantly lower gross margin than DRAM products in 2007. This decline in gross margin percentage was mitigated by improvements in the gross margin for 2007 on sales of both DRAM and NAND Flash products as compared to 2006.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29" w:name="page30"/>
    <w:bookmarkEnd w:id="29"/>
    <w:p>
      <w:pPr>
        <w:jc w:val="both"/>
        <w:ind w:right="240"/>
        <w:spacing w:after="0" w:line="264" w:lineRule="auto"/>
        <w:rPr>
          <w:sz w:val="20"/>
          <w:szCs w:val="20"/>
          <w:color w:val="auto"/>
        </w:rPr>
      </w:pPr>
      <w:r>
        <w:rPr>
          <w:rFonts w:ascii="Arial" w:cs="Arial" w:eastAsia="Arial" w:hAnsi="Arial"/>
          <w:sz w:val="17"/>
          <w:szCs w:val="17"/>
          <w:color w:val="auto"/>
        </w:rPr>
        <w:t>The gross margin for DRAM products for 2007 improved from 2006, primarily due to a 27% reduction in costs per megabit, partially offset by a decline in average selling prices of 23%. The Company achieved cost reductions for DRAM products through transitions to production of devices utilizing the Company’s advanced 78nm process technologies.</w:t>
      </w:r>
    </w:p>
    <w:p>
      <w:pPr>
        <w:spacing w:after="0" w:line="201" w:lineRule="exact"/>
        <w:rPr>
          <w:sz w:val="20"/>
          <w:szCs w:val="20"/>
          <w:color w:val="auto"/>
        </w:rPr>
      </w:pPr>
    </w:p>
    <w:p>
      <w:pPr>
        <w:jc w:val="both"/>
        <w:ind w:right="60"/>
        <w:spacing w:after="0" w:line="300" w:lineRule="auto"/>
        <w:rPr>
          <w:sz w:val="20"/>
          <w:szCs w:val="20"/>
          <w:color w:val="auto"/>
        </w:rPr>
      </w:pPr>
      <w:r>
        <w:rPr>
          <w:rFonts w:ascii="Arial" w:cs="Arial" w:eastAsia="Arial" w:hAnsi="Arial"/>
          <w:sz w:val="15"/>
          <w:szCs w:val="15"/>
          <w:color w:val="auto"/>
        </w:rPr>
        <w:t>The Company’s gross margin on NAND Flash products for 2007 improved slightly from 2006 primarily due to a 57% reduction in costs per megabit, partially offset by a 56% decline in average selling prices. Cost reductions in 2007 reflect lower manufacturing costs, lower costs of NAND Flash products purchased for sale under the Company’s Lexar brand and shifts in product mix. The Company achieved manufacturing cost reductions for NAND Flash products primarily through increased production of higher-density, advanced-geometry devices at the Company’s 300mm fabrication facilities. Sales of NAND Flash products include sales from IM Flash to Intel at long-term negotiated prices approximating cost. IM Flash sales to Intel were $255 million and $111 million in 2007 and 2006, respectively.</w:t>
      </w:r>
    </w:p>
    <w:p>
      <w:pPr>
        <w:spacing w:after="0" w:line="178"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The Company’s gross margin for memory in 2007 was adversely impacted by an inventory write-down of $20 million in the fourth quarter as a result of the significant decreases in average selling prices for our semiconductor memory products. The Company may record additional write-downs in future periods if estimated average selling prices of products held in finished goods and work in process inventories at a quarter end date are below the manufacturing cost of these products.</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The Company’s gross margin percentage for Memory products declined to 19% for 2006 from 22% for 2005 primarily due to declining margins for NAND Flash products as a result of the 33% decrease in the average selling price per megabit and costs associated with the ramp in production at two facilities. The gross margin percentage for DRAM products in 2006 was approximately the same as for 2005 as a 22% decrease in the average selling price per megabit was offset by cost reductions. The Company achieved cost reductions for DRAM products in 2006 through improved product yields and an increase in production utilizing the Company’s 110nm and 95nm process technologies. The cost per megabit for products manufactured on 300mm wafers decreased significantly in 2006 compared to 2005 as the Company continued to increase 300mm wafer production.</w:t>
      </w:r>
    </w:p>
    <w:p>
      <w:pPr>
        <w:spacing w:after="0" w:line="21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2007, the Company’s TECH Semiconductor Singapore Pte. Ltd. (“TECH”) joint venture supplied approximately 15% of the total megabits of memory produced by the Company (reflecting approximately 40% of total DRAM megabits). TECH primarily produced DDR and DDR2 products in 2007 and 2006. Since the beginning of the third quarter of 2006, TECH’s results have been included in the Company’s consolidated results. Through the second quarter of 2006, the Company’s results reflected memory products purchased from TECH at prices generally based on a discount from average selling prices realized by the Company for the preceding quarter. In the first six months of 2006, the Company realized higher gross margin percentages on sales of TECH products than on sales of similar products manufactured by the Company’s wholly-owned operations. Since TECH utilizes the Company’s product designs and process technology and has a similar manufacturing cost structure, the gross margin on sales of TECH products since the third quarter of 2006 approximated those on sales of similar products manufactured by the Company’s wholly-owned operations. In 2005, the Company’s gross margin percentages on sales of TECH products were approximately the same as on sales of similar products manufactured by the Company’s wholly-owned operations. (See “Item 8. Financial Statements and Supplementary Data – Notes to Consolidated Financial Statements – Joint Ventures – TECH Semiconductor Singapore Pte. Ltd.”)</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The Company’s gross margin for Imaging declined to 34% for 2007 from 43% for of 2006 primarily due to declines in average selling prices that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mitigated by cost reductions and shifts in product mix to higher resolution products. The Company’s gross margin percentage for Imaging products for 2006 increased to 43% from 42% for 2005, primarily due to reductions in costs partially offset by decreases in average selling prices.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24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Selling, general and administrative (“SG&amp;A”) expenses for 2007 increased 33% from 2006 primarily due to higher personnel costs and higher legal costs including a $31 million charge to SG&amp;A as a result of the settlement of certain antitrust class action (direct purchaser) lawsuits. Personnel costs in 2007 increased from 2006 primarily due to increased headcount resulting from the acquisition of Lexar in the fourth quarter of 2006, the formation of IM Flash in the second quarter of 2006 and subsequent ramp of its operations, and the consolidation of TECH in the third quarter of 2006. SG&amp;A expenses for 2006 increased 32% from 2005 primarily due to higher compensation costs and increased costs associated with outstanding legal matters. Payroll costs in 2006 increased from 2005 primarily due to increased headcount resulting in part from the acquisition of Lexar, the ramp of IM Flash and the consolidation of TECH. The Company expects SG&amp;A expenses to approximate $125 million to $135 million for the first quarter of 2008. Future SG&amp;A expense is expected to vary, potentially significantly, depending on the number of legal matters that are resolved relatively early in their life-cycle and the number of matters that progress to trial. The Company is involved in a number of significant cases which are scheduled for trial in 2008. Additionally, the timing and final resolution of legal matters may cause SG&amp;A expense to vary significantly. For the Company’s Memory segment, SG&amp;A expenses as a percentage of sales were 11% in 2007, 8% in 2006 and 7% in 2005. For the Imaging segment, SG&amp;A expenses as a percentage of sales were 11% in 2007, 12% in 2006 and 11% in 2005.</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4"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0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R&amp;D expenses for 2007 increased 23% from 2006 principally due to NAND pre-production wafer processing mitigated by reimbursements received from Intel under a NAND Flash R&amp;D cost-sharing arrangement. R&amp;D expenses were reduced by $240 million in 2007 and $86 million in 2006 for amounts reimbursable from Intel under the NAND Flash R&amp;D cost-sharing arrangement. R&amp;D expenses for 2006 increased 9% from 2005, principally due to increases in development wafers processed, higher compensation costs and increases in R&amp;D equipment depreciation partially mitigated by reimbursements under the NAND Flash R&amp;D cost sharing arrangement. The Company expects that its R&amp;D expenses, net of amounts reimbursable from Intel, will approximate $165 million to $175 million for the first quarter of 2008. For the Memory segment, R&amp;D expenses as a percentage of sales were 13% for 2007, 13% for 2006 and 12% for 2005. For the Imaging segment, R&amp;D expenses as a percentage of sales were 23% for 2007, 11% for 2006 and 23% for 2005.</w:t>
      </w:r>
    </w:p>
    <w:p>
      <w:pPr>
        <w:spacing w:after="0" w:line="19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multi-level cell technology), CMOS image sensors and specialty memory products.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Restructure</w:t>
      </w:r>
    </w:p>
    <w:p>
      <w:pPr>
        <w:spacing w:after="0" w:line="24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Company is pursuing a number of initiatives to reduce costs and increase revenue 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The Company is also exploring opportunities to leverage the Company’s technology and diversified product portfolio to increase revenue and shareholder value. It is anticipated that these initiatives will be implemented over several quarters.</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the fourth quarter of 2007, the Company incurred a restructure charge of $19 million in connection with the implementation of these cost reduction initiatives. The fourth quarter charge was comprised primarily of employee severance and related costs resulting from a reduction in the Company’s workforce. The Company anticipates that it will incur some level of restructure charges through the end of 2008 as it continues to implement these initiatives, but is currently unable to estimate the aggregate amount of such charges. As of August 30, 2007, $5 million of the restructure costs remained unpaid and were included in accounts payable and accrued expenses.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Other Operating (Income) Expense, Net</w:t>
      </w:r>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Other operating income for 2007 includes $43 million from gains on disposals of semiconductor equipment, a gain of $30 million from the sale of certain intellectual property rights and $7 million in grants received in connection with the Company’s operations in China. Other operating expense for 2007 includes losses of $14 million from changes in currency exchange rates. Other operating income for 2006 includes $230 million of net proceeds for the sale of the Company’s existing NAND Flash memory designs and certain related technology to Intel net of amounts paid by the Company for a perpetual, paid-up license to use and modify such designs. Other operating income for 2006 also includes $23 million in additional amounts expected to be reimbursed resulting from the extension of an economic development agreement, which allows the Company to recover amounts relating to certain investments in the IM Flash’s Utah facility. Other operating income for 2005 includes gains net of losses on disposals of semiconductor equipment of $13 million and $12 million in receipts from the U.S. Government in connection with anti-dumping tariffs.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Income taxes for 2007 and 2006 primarily reflect taxes on the Company’s non-U.S. operations and U.S. alternative minimum tax. The Company has a valuation allowance for its net deferred tax asset associated with its U.S. operations. The benefit in 2007 and provision in 2006 for taxes on U.S. operations was substantially offset by changes in the valuation allowance. As of August 30, 2007, the Company had aggregate U.S. tax net operating loss carryforwards of $2.2 billion and unused U.S. tax credit carryforwards of $202 million. The Company also had unused state tax net operating loss carryforwards of $1.5 billion and unused state tax credits of $169 million as of August 30, 2007. Substantially all of the net operating loss carryforwards expire in 2022 to 2027 and substantially all of the tax credit carryforwards expire in 2013 to 2027.</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 in Net (Income) Loss</w:t>
      </w:r>
    </w:p>
    <w:p>
      <w:pPr>
        <w:spacing w:after="0" w:line="24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Noncontrolling interests for 2007 and 2006 primarily reflects the share of income or losses of the Company’s TECH joint venture attributable to the noncontrolling interests in TECH. On March 30, 2007, the Company acquired all of the shares of TECH common stock held by the Singapore Economic Development Board, which had the effect of reducing the noncontrolling interests in TECH as of that date from 57% to 27%. (See “Item 8. Financial Statements and Supplementary Data – Notes to Consolidated Financial Statements – Joint Ventures – TECH Semiconductor Singapore Pte. Ltd.”)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Through 2005, the Company accounted for its stock plans using the intrinsic value method. Effective the beginning of 2006, the Company adopted Statement of Financial Accounting Standards (“SFAS”) No. 123(R), “Share-Based Payment,” which requires the Company to use a fair-value based method to account for stock-based compensation. Total compensation cost for the Company’s equity plans in 2007 and 2006 was $44 million and $26 million, respectively, of which $3 million and $1 million were capitalized and remained in inventory at the end of 2007 and 2006, respectively. As of August 30, 2007, there was $113 million of total unrecognized compensation cost related to equity plans, which is expected to be recognized through the fourth quarter of 2011. In 2005, the Company accelerated the vesting of substantially all of its unvested stock options then outstanding under the Company’s stock plans to reduce compensation costs recognized subsequent to the adoption in 2006 of SFAS No. 123(R), “Share-Based Payment.” Because the Company’s stock-based compensation costs were reduced by the effect of the acceleration of vesting in 2005, the Company expects that stock-based compensation costs will continue to grow in future periods.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9"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Company’s liquidity is highly dependent on average selling prices for its products and the timing of capital expenditures, both of which can vary significantly from period to period. As of August 30, 2007, the Company had cash and equivalents and short-term investments totaling $2.6 billion compared to $3.1 billion as of August 31, 2006. The balance as of August 30, 2007, included an aggregate of $610 million held at, and anticipated to be used in the near term by, IM Flash and TECH.</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The Company generated $937 million of cash from operating activities in 2007, which principally reflects the Company’s $320 million of net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loss adjusted by $1.7 billion for non-cash depreciation and amortization expense. Net cash provided by operating activities was net of the effects of an increase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$591 million in inventories primarily due to increases in production, growth in output that exceeded growth in demand for the Company’s Memory products and, with</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respect to Imaging, industry softness in the mobile handset market.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4" w:right="259" w:bottom="1440" w:gutter="0" w:footer="0" w:header="0"/>
        </w:sectPr>
      </w:pPr>
    </w:p>
    <w:bookmarkStart w:id="32" w:name="page33"/>
    <w:bookmarkEnd w:id="32"/>
    <w:p>
      <w:pPr>
        <w:spacing w:after="0" w:line="273"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by investing activities was $2.4 billion in 2007, which included cash expenditures for property, plant and equipment of $3.6 billion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partially offset by the net effect of purchases, sales and maturities of investment securities of $1.2 billion.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2008 capital spending to approximate $2.5 billion, primarily for expenditures on 300mm fabrication facilities. The Company expects that approximately $750 million of the capital expenditure requirement will come from joint venture partners through new investment and payment for product purchases. As of August 30, 2007, the Company had commitments of approximately $1.2 billion for the acquisition of property, plant and equipment, nearly all of which are expected to be paid within one year.</w:t>
      </w:r>
    </w:p>
    <w:p>
      <w:pPr>
        <w:spacing w:after="0" w:line="197" w:lineRule="exact"/>
        <w:rPr>
          <w:sz w:val="20"/>
          <w:szCs w:val="20"/>
          <w:color w:val="auto"/>
        </w:rPr>
      </w:pPr>
    </w:p>
    <w:p>
      <w:pPr>
        <w:ind w:right="240"/>
        <w:spacing w:after="0" w:line="346" w:lineRule="auto"/>
        <w:rPr>
          <w:sz w:val="20"/>
          <w:szCs w:val="20"/>
          <w:color w:val="auto"/>
        </w:rPr>
      </w:pPr>
      <w:r>
        <w:rPr>
          <w:rFonts w:ascii="Arial" w:cs="Arial" w:eastAsia="Arial" w:hAnsi="Arial"/>
          <w:sz w:val="15"/>
          <w:szCs w:val="15"/>
          <w:color w:val="auto"/>
        </w:rPr>
        <w:t>On December 11, 2006, the Company acquired the CMOS image sensor business of Avago Technologies Limited. The Company made payments of $55 million in 2007 in connection with this acquisition and is obligated to make additional contingent payments up to $15 million if certain milestones are met through 2008.</w:t>
      </w:r>
    </w:p>
    <w:p>
      <w:pPr>
        <w:spacing w:after="0" w:line="144"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On March 30, 2007, the Company acquired all of the shares of TECH common stock held by the Singapore Economic Development Board for approximately $290 million payable over nine months, increasing the Company’s ownership interest in TECH from 43% to 73%. As of August 30, 2007, $216 million of this amount remained in notes payable.</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was $2.2 billion in 2007. In May 2007, the Company issued $1.3 billion of 1.875% Convertible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Notes due June 1, 2014 (the “Senior Notes”). The issuance costs associated with the Senior Notes totaled $26 million. In connection with the offering of the Senior Notes, the Company also entered into capped call transactions (“Capped Calls”) with the intent to reduce the potential dilution upon conversion of the Senior Notes. Micron paid approximately $151 million from the net proceeds from the issuance and sale of the Senior Notes to purchase the Capped Calls. (See “Item 8. Financial Statements and Supplementary Data – Notes to Consolidated Financial Statements – Supplemental Balance Sheet Information – Debt” and “Supplemental Balance Sheet Information – Capped Call Transactions.”)</w:t>
      </w: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In 2007, the Company received $1.2 billion in capital contributions from joint venture partners and $454 million in proceeds from equipment financing arrangements, payable in periodic installments through July 2011. The Company made an aggregate of $680 million in scheduled debt payments and payments on equipment purchase contracts in 2007.</w:t>
      </w:r>
    </w:p>
    <w:p>
      <w:pPr>
        <w:spacing w:after="0" w:line="201"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Company’s TECH joint venture has a credit facility that enabled it to borrow up to $360 million as of August 30, 2007. The amount available under the credit facility decreased to $320 million as of September 27, 2007, and will decline by approximately $40 million every calendar quarter thereafter until the facility expires in September 2009. As of August 30, 2007, TECH had not borrowed any amounts against the credit facility.</w:t>
      </w:r>
    </w:p>
    <w:p>
      <w:pPr>
        <w:spacing w:after="0" w:line="201" w:lineRule="exact"/>
        <w:rPr>
          <w:sz w:val="20"/>
          <w:szCs w:val="20"/>
          <w:color w:val="auto"/>
        </w:rPr>
      </w:pPr>
    </w:p>
    <w:p>
      <w:pPr>
        <w:ind w:right="520"/>
        <w:spacing w:after="0" w:line="277" w:lineRule="auto"/>
        <w:rPr>
          <w:sz w:val="20"/>
          <w:szCs w:val="20"/>
          <w:color w:val="auto"/>
        </w:rPr>
      </w:pPr>
      <w:r>
        <w:rPr>
          <w:rFonts w:ascii="Arial" w:cs="Arial" w:eastAsia="Arial" w:hAnsi="Arial"/>
          <w:sz w:val="17"/>
          <w:szCs w:val="17"/>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As of August 30, 2007, IM Flash had $407 million of cash and marketable investment securities. IM Flash’s cash and marketable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are not anticipated to be made available to finance the Company’s other operations. Subject to certain conditions, the Company expects to make additional contributions to IM Flash of approximately $1.7 billion over the next three years, with similar contributions to be made by Intel. The Company anticipates additional investments as appropriate to support the growth of IM Flash’s operations.</w:t>
      </w:r>
    </w:p>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As of August 30, 2007, TECH had $203 million of cash and marketable investment securities. TECH’s cash and marketable investment securities are not anticipated to be made available to finance the Company’s other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(See “Item 8. Financial Statements and Supplementary Data – Notes to Consolidated Financial Statements – Joint Ventures.”)</w:t>
      </w:r>
    </w:p>
    <w:p>
      <w:pPr>
        <w:spacing w:after="0" w:line="240"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The following table summarizes the Company’s significant contractual obligations at August 30, 2007, and the effect such obligations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to have on the Company’s liquidity and cash flows in future periods.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3"/>
              </w:rPr>
              <w:t>Less than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More than</w:t>
            </w:r>
          </w:p>
        </w:tc>
      </w:tr>
      <w:tr>
        <w:trPr>
          <w:trHeight w:val="227"/>
        </w:trPr>
        <w:tc>
          <w:tcPr>
            <w:tcW w:w="4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1 year</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1-3 years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7"/>
                <w:szCs w:val="17"/>
                <w:b w:val="1"/>
                <w:bCs w:val="1"/>
                <w:color w:val="auto"/>
              </w:rPr>
              <w:t>3-5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5 years</w:t>
            </w:r>
          </w:p>
        </w:tc>
      </w:tr>
      <w:tr>
        <w:trPr>
          <w:trHeight w:val="216"/>
        </w:trPr>
        <w:tc>
          <w:tcPr>
            <w:tcW w:w="47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7"/>
              </w:rPr>
              <w:t>(in millions)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4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Notes payable (including interest)</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1,940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120" w:type="dxa"/>
            <w:vAlign w:val="bottom"/>
            <w:shd w:val="clear" w:color="auto" w:fill="CCEEFF"/>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Capital lease obligations</w:t>
            </w: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794</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7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Purchase obligations</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1,659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1,334</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7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421</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7"/>
                <w:szCs w:val="17"/>
                <w:color w:val="auto"/>
              </w:rPr>
            </w:pPr>
          </w:p>
        </w:tc>
      </w:tr>
      <w:tr>
        <w:trPr>
          <w:trHeight w:val="26"/>
        </w:trPr>
        <w:tc>
          <w:tcPr>
            <w:tcW w:w="47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Total</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4,931</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1,868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1,099</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365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1,599</w:t>
            </w:r>
          </w:p>
        </w:tc>
        <w:tc>
          <w:tcPr>
            <w:tcW w:w="12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obligations disclosed above do not include contractual obligations recorded on the Company’s balance sheet as current liabilities except for the current portion of long-term debt. The expected timing of payment amounts of the obligations discussed above is estimated based on current information. Timing and actual amounts paid may differ depending on the timing of receipt of goods or services, market prices or changes to agreed-upon amounts for some obligations.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Purchase obligations include all commitments to purchase goods or services of either a fixed or minimum quantity that meet any of the following criteria: (1) 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23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In May 2007, in connection with the offering of the Senior Notes, the Company paid approximately $151 million for the Capped Calls. The Capped Calls cover an aggregate of approximately 91.3 million shares of common stock. The Capped Calls are in three equal tranches with cap prices of $17.25, $20.13 and $23.00 per share, respectively, each with an initial strike price of approximately $14.23 per share, subject to certain adjustments. The Capped Calls expire on various dates between November 2011 and December 2012. (See “Item 8. Financial Statements and Supplementary Data – Notes to Consolidated Financial Statements – Supplemental Balance Sheet Information – Capped Call Transactions.”)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of August 30, 2007, the Company had stock warrants outstanding that may be considered off-balance sheet arrangements. In 2001, the Company received $480 million from the issuance of warrants to purchase 29.1 million shares of the Company’s common stock. The warrants entitle the holders to exercise their warrants and purchase shares of the Company’s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August 30, 2007, there had been no exercises of warrants and all warrants issued remained outstanding.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Accounting Standards</w:t>
      </w:r>
    </w:p>
    <w:p>
      <w:pPr>
        <w:spacing w:after="0" w:line="239"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In February 2007, the Financial Accounting Standards Board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will depend on the extent to which the Company elects to measure eligible items at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4" w:name="page35"/>
    <w:bookmarkEnd w:id="34"/>
    <w:p>
      <w:pPr>
        <w:ind w:right="40"/>
        <w:spacing w:after="0" w:line="275" w:lineRule="auto"/>
        <w:rPr>
          <w:sz w:val="20"/>
          <w:szCs w:val="20"/>
          <w:color w:val="auto"/>
        </w:rPr>
      </w:pPr>
      <w:r>
        <w:rPr>
          <w:rFonts w:ascii="Arial" w:cs="Arial" w:eastAsia="Arial" w:hAnsi="Arial"/>
          <w:sz w:val="16"/>
          <w:szCs w:val="16"/>
          <w:color w:val="auto"/>
        </w:rPr>
        <w:t>In September 2006, the SEC staff issued Staff Accounting Bulletin (“SAB”) No. 108, “Considering the Effects of Prior Year Misstatements when Quantifying Misstatements in Current Year Financial Statements.” In SAB No. 108, the SEC staff established an approach that requires quantification of financial statement misstatements based on the effects of the misstatements on each of a company’s financial statements and the related financial statement disclosures. SAB No. 108 permits companies to initially apply its provisions either by (i) restating prior financial statements or (ii) recording the cumulative effect as adjustments to the carrying values of assets and liabilities with an offsetting adjustment recorded to the opening balance of retained earnings. The Company adopted SAB No. 108 as of August 30, 2007. The adoption of SAB No. 108 did not impact the Company’s results of operations or financial condition.</w:t>
      </w:r>
    </w:p>
    <w:p>
      <w:pPr>
        <w:spacing w:after="0" w:line="19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Plans—an amendment of FASB Statements No. 87, 88, 106, and 132(R).” SFAS No. 158 requires an employer to recognize the overfunded or underfunded status of a defined benefit postretirement plan (other than a multiemployer plan) as an asset or liability in its statement of financial position and to recognize changes in that funded status in the year in which the changes occur through comprehensive income. SFAS No. 158 also requires an employer to measure the funded status of a plan as of the date of its year-end statement of financial position, with limited exceptions. The Company adopted SFAS No. 158 as of August 30, 2007. The adoption of SFAS No. 158 did not have a material impact the Company’s results of operations or financial condition.</w:t>
      </w:r>
    </w:p>
    <w:p>
      <w:pPr>
        <w:spacing w:after="0" w:line="19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FAS No. 157 effective at the beginning of 2009. The Company is evaluating the impact this statement will have on its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 June 2006, the FASB issued Interpretation Number 48 (“FIN 48”), “Accounting for Uncertainty in Income Taxes – an interpretation of FASB Statement No.</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109.” The interpretation contains a two step approach to recognizing and measuring uncertain tax positions accounted for in accordance with SFAS No. 109. The first step is to evaluate each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does not expect any material adjustments upon adoption.</w:t>
      </w:r>
    </w:p>
    <w:p>
      <w:pPr>
        <w:spacing w:after="0" w:line="21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August 30, 2007, the Company did not have any hybrid financial instruments subject to the fair value election under SFAS No. 155. The Company is required to adopt SFAS No. 155 effective at the beginning of 2008.</w:t>
      </w:r>
    </w:p>
    <w:p>
      <w:pPr>
        <w:spacing w:after="0" w:line="204" w:lineRule="exact"/>
        <w:rPr>
          <w:sz w:val="20"/>
          <w:szCs w:val="20"/>
          <w:color w:val="auto"/>
        </w:rPr>
      </w:pPr>
    </w:p>
    <w:p>
      <w:pPr>
        <w:jc w:val="both"/>
        <w:ind w:right="360"/>
        <w:spacing w:after="0" w:line="264" w:lineRule="auto"/>
        <w:rPr>
          <w:sz w:val="20"/>
          <w:szCs w:val="20"/>
          <w:color w:val="auto"/>
        </w:rPr>
      </w:pPr>
      <w:r>
        <w:rPr>
          <w:rFonts w:ascii="Arial" w:cs="Arial" w:eastAsia="Arial" w:hAnsi="Arial"/>
          <w:sz w:val="17"/>
          <w:szCs w:val="17"/>
          <w:color w:val="auto"/>
        </w:rPr>
        <w:t>In May 2005, the FASB issued SFAS No. 154, “Accounting Changes and Error Corrections.” SFAS No. 154 changes the requirements for the accounting for and reporting of a change in accounting principle. The Company adopted SFAS No. 154 at the beginning of 2007. The adoption of SFAS No. 154 did not impact the Company’s results of operations or financial condition.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Estimates</w:t>
      </w:r>
    </w:p>
    <w:p>
      <w:pPr>
        <w:spacing w:after="0" w:line="239"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5" w:name="page36"/>
    <w:bookmarkEnd w:id="35"/>
    <w:p>
      <w:pPr>
        <w:spacing w:after="0" w:line="300" w:lineRule="auto"/>
        <w:rPr>
          <w:sz w:val="20"/>
          <w:szCs w:val="20"/>
          <w:color w:val="auto"/>
        </w:rPr>
      </w:pPr>
      <w:r>
        <w:rPr>
          <w:rFonts w:ascii="Arial" w:cs="Arial" w:eastAsia="Arial" w:hAnsi="Arial"/>
          <w:sz w:val="15"/>
          <w:szCs w:val="15"/>
          <w:b w:val="1"/>
          <w:bCs w:val="1"/>
          <w:i w:val="1"/>
          <w:iCs w:val="1"/>
          <w:color w:val="auto"/>
        </w:rPr>
        <w:t xml:space="preserve">Acquisitions and consolidations: </w:t>
      </w:r>
      <w:r>
        <w:rPr>
          <w:rFonts w:ascii="Arial" w:cs="Arial" w:eastAsia="Arial" w:hAnsi="Arial"/>
          <w:sz w:val="15"/>
          <w:szCs w:val="15"/>
          <w:color w:val="auto"/>
        </w:rPr>
        <w:t>Determination and the allocation thereof of the purchase price of acquired operations significantly influences the period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costs are recognized. Accounting for acquisitions and consolidations requires the Company to estimate the fair value of the individual assets and liabilities acquired as well as various forms of consideration given. The Company typically obtains independent third party valuation studies to assist in determining fair values, including assistance in determining future cash flows, appropriate discount rates and comparable market values. The estimation of the fair values of consideration given and assets and liabilities acquired involves a number of judgments, assumptions and estimates that could materially affect the amount and timing of costs recognized.</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The Company is subject to the possibility of losses from various contingencies. Considerable judgment is necessary to estimate the probability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04"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b w:val="1"/>
          <w:bCs w:val="1"/>
          <w:i w:val="1"/>
          <w:iCs w:val="1"/>
          <w:color w:val="auto"/>
        </w:rPr>
        <w:t xml:space="preserve">Goodwill and intangible assets: </w:t>
      </w:r>
      <w:r>
        <w:rPr>
          <w:rFonts w:ascii="Arial" w:cs="Arial" w:eastAsia="Arial" w:hAnsi="Arial"/>
          <w:sz w:val="15"/>
          <w:szCs w:val="15"/>
          <w:color w:val="auto"/>
        </w:rPr>
        <w:t>The Company tests goodwill for impairment annually and whenever events or circumstances make it more likely than not that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impairment may have occurred, such as a significant adverse change in the business climate or a decision to sell or dispose of a reporting unit. Determining whether impairment has occurred requires valuation of the respective reporting unit. If the analysis indicates goodwill is impaired, measuring the impairment requires a fair value estimate of each identified tangible and intangible asset. 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8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is required to estimate its provision for income taxes and amounts ultimately payable or recoverable in numerous tax jurisdictions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 The Company is required to adopt FIN 48 effective at the beginning of 2008.</w:t>
      </w:r>
    </w:p>
    <w:p>
      <w:pPr>
        <w:spacing w:after="0" w:line="197"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fair value of the Company’s semiconductor memory inventory by approximately $85 million at August 30, 2007.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97" w:lineRule="exact"/>
        <w:rPr>
          <w:sz w:val="20"/>
          <w:szCs w:val="20"/>
          <w:color w:val="auto"/>
        </w:rPr>
      </w:pPr>
    </w:p>
    <w:p>
      <w:pPr>
        <w:ind w:right="540"/>
        <w:spacing w:after="0" w:line="288"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84"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 capitalized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36" w:name="page37"/>
    <w:bookmarkEnd w:id="36"/>
    <w:p>
      <w:pPr>
        <w:spacing w:after="0" w:line="264"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Determining when product development is complete requires judgment by the Company. The Company deems development of a product complete once the product has been thoroughly reviewed and tested for performance and reliability.</w:t>
      </w:r>
    </w:p>
    <w:p>
      <w:pPr>
        <w:spacing w:after="0" w:line="20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206"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August 30, 2007, $2,335 million of the Company’s $2,410 million in total debt was at fixed interest rates. As a result, the fair value of the debt fluctuates based on changes in market interest rates. The estimated fair market value of the Company’s debt was $2,411 million as of August 30, 2007. The Company estimates that as of August 30, 2007, a 1% change in market interest rates would change the fair value of the fixed-rate debt by approximately $100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44"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 Risk Factors.” Changes in foreign currency exchange rates could materially adversely affect the Company’s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functional currency for substantially all of the Company’s operations is the U.S. dollar. The Company held aggregate cash and other assets in foreign currencies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valued at U.S. $448 million as of August 30, 2007, and U.S. $425 million as of August 31, 2006 (including cash and equivalents denominated in yen valued at U.S.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$180 million as of August 30, 2007 and U.S. $222 million as of August 31, 2006; cash and equivalents denominated in Singapore dollars valued at U.S. $58 million as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of August 30, 2007 and U.S. $42 million as of August 31, 2006; and deferred income tax assets denominated in yen valued at U.S. $76 million as of August 30, 2007,</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and U.S. $64 million as of August 31, 2006). The Company also held aggregate foreign currency liabilities valued at U.S. $979 million as of August 30, 2007, and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U.S. $615 million as of August 31, 2006 (including debt denominated in Singapore dollars valued at U.S. $258 million as of August 30, 2007, and U.S. $38 million as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of August 31, 2006; debt denominated in yen valued at U.S. $165 million as of August 30, 2007, and U.S. $228 million as of August 31, 2006; accounts payable and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denominated in yen valued at U.S. $168 million as of August 30, 2007, and U.S. $124 million as of August 31, 2006; accounts payable and accrued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expenses denominated in euros valued at U.S. $137 million as of August 30, 2007, and U.S. $68 million as of August 31, 2006; and accounts payable and accrued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expenses denominated in Singapore dollars valued at U.S. $116 million as of August 30, 2007, and U.S. $48 million as of August 31, 2006). Foreign currency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receivables and payables as of August 30, 2007, were comprised primarily of yen, euros and Singapore dollars. The Company estimates that, based on its assets and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liabilities denominated in currencies other than U.S. dollar as of August 30, 2007, a 1% change in the exchange rate versus the U.S. dollar would result in foreign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currency gains or losses of approximately U.S. $3 million for the Singapore dollar, U.S. $2 million for the euro and U.S. $1 million for the yen.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5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06"/>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3"/>
        </w:trPr>
        <w:tc>
          <w:tcPr>
            <w:tcW w:w="105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2"/>
              </w:rPr>
              <w:t>Consolidated Financial Statements as of August 30, 2007, and August 31, 2006, and for the fiscal years ended August 30, 2007, August 31, 2006, and</w:t>
            </w:r>
          </w:p>
        </w:tc>
        <w:tc>
          <w:tcPr>
            <w:tcW w:w="900" w:type="dxa"/>
            <w:vAlign w:val="bottom"/>
            <w:shd w:val="clear" w:color="auto" w:fill="CCEEFF"/>
          </w:tcPr>
          <w:p>
            <w:pPr>
              <w:spacing w:after="0"/>
              <w:rPr>
                <w:sz w:val="16"/>
                <w:szCs w:val="16"/>
                <w:color w:val="auto"/>
              </w:rPr>
            </w:pPr>
          </w:p>
        </w:tc>
      </w:tr>
      <w:tr>
        <w:trPr>
          <w:trHeight w:val="218"/>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September 1, 2005:</w:t>
            </w:r>
          </w:p>
        </w:tc>
        <w:tc>
          <w:tcPr>
            <w:tcW w:w="900" w:type="dxa"/>
            <w:vAlign w:val="bottom"/>
            <w:shd w:val="clear" w:color="auto" w:fill="CCEEFF"/>
          </w:tcPr>
          <w:p>
            <w:pPr>
              <w:spacing w:after="0"/>
              <w:rPr>
                <w:sz w:val="18"/>
                <w:szCs w:val="18"/>
                <w:color w:val="auto"/>
              </w:rPr>
            </w:pP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Operations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39</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40</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Shareholders’ Equity</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41</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Cash Flows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42</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Notes to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43</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64</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Financial Statement Schedule:</w:t>
            </w: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Schedule II – Valuation and Qualifying Accounts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70</w:t>
            </w:r>
          </w:p>
        </w:tc>
      </w:tr>
      <w:tr>
        <w:trPr>
          <w:trHeight w:val="665"/>
        </w:trPr>
        <w:tc>
          <w:tcPr>
            <w:tcW w:w="10520" w:type="dxa"/>
            <w:vAlign w:val="bottom"/>
          </w:tcPr>
          <w:p>
            <w:pPr>
              <w:ind w:left="5620"/>
              <w:spacing w:after="0"/>
              <w:rPr>
                <w:sz w:val="20"/>
                <w:szCs w:val="20"/>
                <w:color w:val="auto"/>
              </w:rPr>
            </w:pPr>
            <w:r>
              <w:rPr>
                <w:rFonts w:ascii="Arial" w:cs="Arial" w:eastAsia="Arial" w:hAnsi="Arial"/>
                <w:sz w:val="17"/>
                <w:szCs w:val="17"/>
                <w:color w:val="auto"/>
              </w:rPr>
              <w:t>38</w:t>
            </w:r>
          </w:p>
        </w:tc>
        <w:tc>
          <w:tcPr>
            <w:tcW w:w="900" w:type="dxa"/>
            <w:vAlign w:val="bottom"/>
          </w:tcPr>
          <w:p>
            <w:pPr>
              <w:spacing w:after="0"/>
              <w:rPr>
                <w:sz w:val="24"/>
                <w:szCs w:val="24"/>
                <w:color w:val="auto"/>
              </w:rPr>
            </w:pPr>
          </w:p>
        </w:tc>
      </w:tr>
      <w:tr>
        <w:trPr>
          <w:trHeight w:val="113"/>
        </w:trPr>
        <w:tc>
          <w:tcPr>
            <w:tcW w:w="10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1"/>
              </w:rPr>
              <w:t>August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1"/>
              </w:rPr>
              <w:t>August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8"/>
              </w:rPr>
              <w:t>September 1,</w:t>
            </w:r>
          </w:p>
        </w:tc>
      </w:tr>
      <w:tr>
        <w:trPr>
          <w:trHeight w:val="227"/>
        </w:trPr>
        <w:tc>
          <w:tcPr>
            <w:tcW w:w="7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2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5,688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4,880</w:t>
            </w:r>
          </w:p>
        </w:tc>
        <w:tc>
          <w:tcPr>
            <w:tcW w:w="120" w:type="dxa"/>
            <w:vAlign w:val="bottom"/>
            <w:shd w:val="clear" w:color="auto" w:fill="CCEEFF"/>
          </w:tcPr>
          <w:p>
            <w:pPr>
              <w:spacing w:after="0"/>
              <w:rPr>
                <w:sz w:val="17"/>
                <w:szCs w:val="17"/>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Cost of goods sold</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3,734</w:t>
            </w:r>
          </w:p>
        </w:tc>
        <w:tc>
          <w:tcPr>
            <w:tcW w:w="120" w:type="dxa"/>
            <w:vAlign w:val="bottom"/>
          </w:tcPr>
          <w:p>
            <w:pPr>
              <w:spacing w:after="0"/>
              <w:rPr>
                <w:sz w:val="18"/>
                <w:szCs w:val="18"/>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604</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Restructure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 operating (income) expense, net</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r>
      <w:tr>
        <w:trPr>
          <w:trHeight w:val="26"/>
        </w:trPr>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w:t>
            </w: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 non-operating income (expense), net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r>
      <w:tr>
        <w:trPr>
          <w:trHeight w:val="26"/>
        </w:trPr>
        <w:tc>
          <w:tcPr>
            <w:tcW w:w="7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(loss) before taxes and noncontrolling interests in net income</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r>
      <w:tr>
        <w:trPr>
          <w:trHeight w:val="205"/>
        </w:trPr>
        <w:tc>
          <w:tcPr>
            <w:tcW w:w="7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 (provision)</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net income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r>
      <w:tr>
        <w:trPr>
          <w:trHeight w:val="26"/>
        </w:trPr>
        <w:tc>
          <w:tcPr>
            <w:tcW w:w="7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(320)</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408</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188</w:t>
            </w:r>
          </w:p>
        </w:tc>
      </w:tr>
      <w:tr>
        <w:trPr>
          <w:trHeight w:val="20"/>
        </w:trPr>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Earnings (loss) per share: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0.29</w:t>
            </w:r>
          </w:p>
        </w:tc>
      </w:tr>
      <w:tr>
        <w:trPr>
          <w:trHeight w:val="205"/>
        </w:trPr>
        <w:tc>
          <w:tcPr>
            <w:tcW w:w="7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Number of shares used in per share calculations: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647.7</w:t>
            </w:r>
          </w:p>
        </w:tc>
        <w:tc>
          <w:tcPr>
            <w:tcW w:w="12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702.0</w:t>
            </w: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20"/>
        </w:trPr>
        <w:tc>
          <w:tcPr>
            <w:tcW w:w="8820" w:type="dxa"/>
            <w:vAlign w:val="bottom"/>
          </w:tcPr>
          <w:p>
            <w:pPr>
              <w:jc w:val="center"/>
              <w:ind w:left="2535"/>
              <w:spacing w:after="0"/>
              <w:rPr>
                <w:sz w:val="20"/>
                <w:szCs w:val="20"/>
                <w:color w:val="auto"/>
              </w:rPr>
            </w:pPr>
            <w:r>
              <w:rPr>
                <w:rFonts w:ascii="Arial" w:cs="Arial" w:eastAsia="Arial" w:hAnsi="Arial"/>
                <w:sz w:val="17"/>
                <w:szCs w:val="17"/>
                <w:b w:val="1"/>
                <w:bCs w:val="1"/>
                <w:color w:val="auto"/>
              </w:rPr>
              <w:t>MICRON TECHNOLOGY, INC.</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8820" w:type="dxa"/>
            <w:vAlign w:val="bottom"/>
          </w:tcPr>
          <w:p>
            <w:pPr>
              <w:jc w:val="center"/>
              <w:ind w:left="2535"/>
              <w:spacing w:after="0"/>
              <w:rPr>
                <w:sz w:val="20"/>
                <w:szCs w:val="20"/>
                <w:color w:val="auto"/>
              </w:rPr>
            </w:pPr>
            <w:r>
              <w:rPr>
                <w:rFonts w:ascii="Arial" w:cs="Arial" w:eastAsia="Arial" w:hAnsi="Arial"/>
                <w:sz w:val="17"/>
                <w:szCs w:val="17"/>
                <w:b w:val="1"/>
                <w:bCs w:val="1"/>
                <w:color w:val="auto"/>
                <w:w w:val="99"/>
              </w:rPr>
              <w:t>CONSOLIDATED BALANCE SHEETS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820" w:type="dxa"/>
            <w:vAlign w:val="bottom"/>
          </w:tcPr>
          <w:p>
            <w:pPr>
              <w:jc w:val="center"/>
              <w:ind w:left="2535"/>
              <w:spacing w:after="0"/>
              <w:rPr>
                <w:sz w:val="20"/>
                <w:szCs w:val="20"/>
                <w:color w:val="auto"/>
              </w:rPr>
            </w:pPr>
            <w:r>
              <w:rPr>
                <w:rFonts w:ascii="Arial" w:cs="Arial" w:eastAsia="Arial" w:hAnsi="Arial"/>
                <w:sz w:val="17"/>
                <w:szCs w:val="17"/>
                <w:color w:val="auto"/>
                <w:w w:val="92"/>
              </w:rPr>
              <w:t>(in millions except par value amounts)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6"/>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4"/>
              </w:rPr>
              <w:t>August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31,</w:t>
            </w:r>
          </w:p>
        </w:tc>
      </w:tr>
      <w:tr>
        <w:trPr>
          <w:trHeight w:val="227"/>
        </w:trPr>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Cash and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2,192</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1,431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1,648</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Receivables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956</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963</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Prepaid expenses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7"/>
                <w:szCs w:val="17"/>
                <w:color w:val="auto"/>
              </w:rPr>
            </w:pPr>
          </w:p>
        </w:tc>
      </w:tr>
      <w:tr>
        <w:trPr>
          <w:trHeight w:val="21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5,101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388</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8,279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5,888</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502</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293</w:t>
            </w:r>
          </w:p>
        </w:tc>
      </w:tr>
      <w:tr>
        <w:trPr>
          <w:trHeight w:val="26"/>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14,818</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12,221</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1,319</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Deferred income</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Equipment purchase contracts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166</w:t>
            </w:r>
          </w:p>
        </w:tc>
      </w:tr>
      <w:tr>
        <w:trPr>
          <w:trHeight w:val="26"/>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1,661</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Long-term debt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405</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445</w:t>
            </w:r>
          </w:p>
        </w:tc>
      </w:tr>
      <w:tr>
        <w:trPr>
          <w:trHeight w:val="26"/>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2,539</w:t>
            </w:r>
          </w:p>
        </w:tc>
      </w:tr>
      <w:tr>
        <w:trPr>
          <w:trHeight w:val="205"/>
        </w:trPr>
        <w:tc>
          <w:tcPr>
            <w:tcW w:w="8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subsidiaries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1,568</w:t>
            </w:r>
          </w:p>
        </w:tc>
      </w:tr>
      <w:tr>
        <w:trPr>
          <w:trHeight w:val="205"/>
        </w:trPr>
        <w:tc>
          <w:tcPr>
            <w:tcW w:w="8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3"/>
        </w:trPr>
        <w:tc>
          <w:tcPr>
            <w:tcW w:w="8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5"/>
              </w:rPr>
              <w:t>Common stock, $0.10 par value, authorized 3 billion shares, issued and outstanding 757.9 million and 749.4 million shares,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respectively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Additional capital</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6,555</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1,486</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6"/>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8,114</w:t>
            </w:r>
          </w:p>
        </w:tc>
      </w:tr>
      <w:tr>
        <w:trPr>
          <w:trHeight w:val="26"/>
        </w:trPr>
        <w:tc>
          <w:tcPr>
            <w:tcW w:w="8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14,818</w:t>
            </w:r>
          </w:p>
        </w:tc>
        <w:tc>
          <w:tcPr>
            <w:tcW w:w="1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12,221</w:t>
            </w:r>
          </w:p>
        </w:tc>
      </w:tr>
      <w:tr>
        <w:trPr>
          <w:trHeight w:val="20"/>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7"/>
        </w:trPr>
        <w:tc>
          <w:tcPr>
            <w:tcW w:w="3320" w:type="dxa"/>
            <w:vAlign w:val="bottom"/>
          </w:tcPr>
          <w:p>
            <w:pPr>
              <w:spacing w:after="0"/>
              <w:rPr>
                <w:sz w:val="19"/>
                <w:szCs w:val="19"/>
                <w:color w:val="auto"/>
              </w:rPr>
            </w:pPr>
          </w:p>
        </w:tc>
        <w:tc>
          <w:tcPr>
            <w:tcW w:w="23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7"/>
                <w:szCs w:val="17"/>
                <w:b w:val="1"/>
                <w:bCs w:val="1"/>
                <w:color w:val="auto"/>
              </w:rPr>
              <w:t>Common Stock</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Total</w:t>
            </w:r>
          </w:p>
        </w:tc>
      </w:tr>
      <w:tr>
        <w:trPr>
          <w:trHeight w:val="189"/>
        </w:trPr>
        <w:tc>
          <w:tcPr>
            <w:tcW w:w="3320" w:type="dxa"/>
            <w:vAlign w:val="bottom"/>
          </w:tcPr>
          <w:p>
            <w:pPr>
              <w:spacing w:after="0"/>
              <w:rPr>
                <w:sz w:val="16"/>
                <w:szCs w:val="16"/>
                <w:color w:val="auto"/>
              </w:rPr>
            </w:pPr>
          </w:p>
        </w:tc>
        <w:tc>
          <w:tcPr>
            <w:tcW w:w="1320" w:type="dxa"/>
            <w:vAlign w:val="bottom"/>
            <w:gridSpan w:val="2"/>
          </w:tcPr>
          <w:p>
            <w:pPr>
              <w:jc w:val="right"/>
              <w:ind w:right="440"/>
              <w:spacing w:after="0" w:line="189" w:lineRule="exact"/>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20"/>
              <w:spacing w:after="0" w:line="189" w:lineRule="exact"/>
              <w:rPr>
                <w:sz w:val="20"/>
                <w:szCs w:val="20"/>
                <w:color w:val="auto"/>
              </w:rPr>
            </w:pPr>
            <w:r>
              <w:rPr>
                <w:rFonts w:ascii="Arial" w:cs="Arial" w:eastAsia="Arial" w:hAnsi="Arial"/>
                <w:sz w:val="17"/>
                <w:szCs w:val="17"/>
                <w:b w:val="1"/>
                <w:bCs w:val="1"/>
                <w:color w:val="auto"/>
                <w:w w:val="96"/>
              </w:rPr>
              <w:t>Additional</w:t>
            </w:r>
          </w:p>
        </w:tc>
        <w:tc>
          <w:tcPr>
            <w:tcW w:w="140" w:type="dxa"/>
            <w:vAlign w:val="bottom"/>
          </w:tcPr>
          <w:p>
            <w:pPr>
              <w:spacing w:after="0"/>
              <w:rPr>
                <w:sz w:val="16"/>
                <w:szCs w:val="16"/>
                <w:color w:val="auto"/>
              </w:rPr>
            </w:pPr>
          </w:p>
        </w:tc>
        <w:tc>
          <w:tcPr>
            <w:tcW w:w="1120" w:type="dxa"/>
            <w:vAlign w:val="bottom"/>
            <w:gridSpan w:val="2"/>
          </w:tcPr>
          <w:p>
            <w:pPr>
              <w:jc w:val="right"/>
              <w:ind w:right="380"/>
              <w:spacing w:after="0" w:line="189" w:lineRule="exact"/>
              <w:rPr>
                <w:sz w:val="20"/>
                <w:szCs w:val="20"/>
                <w:color w:val="auto"/>
              </w:rPr>
            </w:pPr>
            <w:r>
              <w:rPr>
                <w:rFonts w:ascii="Arial" w:cs="Arial" w:eastAsia="Arial" w:hAnsi="Arial"/>
                <w:sz w:val="17"/>
                <w:szCs w:val="17"/>
                <w:b w:val="1"/>
                <w:bCs w:val="1"/>
                <w:color w:val="auto"/>
              </w:rPr>
              <w:t>Retained</w:t>
            </w:r>
          </w:p>
        </w:tc>
        <w:tc>
          <w:tcPr>
            <w:tcW w:w="1360" w:type="dxa"/>
            <w:vAlign w:val="bottom"/>
            <w:gridSpan w:val="4"/>
          </w:tcPr>
          <w:p>
            <w:pPr>
              <w:ind w:left="100"/>
              <w:spacing w:after="0" w:line="189" w:lineRule="exact"/>
              <w:rPr>
                <w:sz w:val="20"/>
                <w:szCs w:val="20"/>
                <w:color w:val="auto"/>
              </w:rPr>
            </w:pPr>
            <w:r>
              <w:rPr>
                <w:rFonts w:ascii="Arial" w:cs="Arial" w:eastAsia="Arial" w:hAnsi="Arial"/>
                <w:sz w:val="17"/>
                <w:szCs w:val="17"/>
                <w:b w:val="1"/>
                <w:bCs w:val="1"/>
                <w:color w:val="auto"/>
                <w:w w:val="97"/>
              </w:rPr>
              <w:t>Comprehensive</w:t>
            </w:r>
          </w:p>
        </w:tc>
        <w:tc>
          <w:tcPr>
            <w:tcW w:w="80" w:type="dxa"/>
            <w:vAlign w:val="bottom"/>
          </w:tcPr>
          <w:p>
            <w:pPr>
              <w:spacing w:after="0"/>
              <w:rPr>
                <w:sz w:val="16"/>
                <w:szCs w:val="16"/>
                <w:color w:val="auto"/>
              </w:rPr>
            </w:pPr>
          </w:p>
        </w:tc>
        <w:tc>
          <w:tcPr>
            <w:tcW w:w="1260" w:type="dxa"/>
            <w:vAlign w:val="bottom"/>
            <w:gridSpan w:val="3"/>
          </w:tcPr>
          <w:p>
            <w:pPr>
              <w:jc w:val="center"/>
              <w:ind w:right="120"/>
              <w:spacing w:after="0" w:line="189" w:lineRule="exact"/>
              <w:rPr>
                <w:sz w:val="20"/>
                <w:szCs w:val="20"/>
                <w:color w:val="auto"/>
              </w:rPr>
            </w:pPr>
            <w:r>
              <w:rPr>
                <w:rFonts w:ascii="Arial" w:cs="Arial" w:eastAsia="Arial" w:hAnsi="Arial"/>
                <w:sz w:val="17"/>
                <w:szCs w:val="17"/>
                <w:b w:val="1"/>
                <w:bCs w:val="1"/>
                <w:color w:val="auto"/>
                <w:w w:val="89"/>
              </w:rPr>
              <w:t>Shareholders’</w:t>
            </w:r>
          </w:p>
        </w:tc>
      </w:tr>
      <w:tr>
        <w:trPr>
          <w:trHeight w:val="227"/>
        </w:trPr>
        <w:tc>
          <w:tcPr>
            <w:tcW w:w="332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of Shares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8"/>
              </w:rPr>
              <w:t>Earnings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Loss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Equity</w:t>
            </w:r>
          </w:p>
        </w:tc>
      </w:tr>
      <w:tr>
        <w:trPr>
          <w:trHeight w:val="205"/>
        </w:trPr>
        <w:tc>
          <w:tcPr>
            <w:tcW w:w="3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45"/>
        </w:trPr>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September 2, 2004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611.5</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5,615</w:t>
            </w:r>
          </w:p>
        </w:tc>
        <w:tc>
          <w:tcPr>
            <w:tcW w:w="120" w:type="dxa"/>
            <w:vAlign w:val="bottom"/>
            <w:shd w:val="clear" w:color="auto" w:fill="CCEEFF"/>
          </w:tcPr>
          <w:p>
            <w:pPr>
              <w:spacing w:after="0"/>
              <w:rPr>
                <w:sz w:val="21"/>
                <w:szCs w:val="21"/>
                <w:color w:val="auto"/>
              </w:rPr>
            </w:pPr>
          </w:p>
        </w:tc>
      </w:tr>
      <w:tr>
        <w:trPr>
          <w:trHeight w:val="196"/>
        </w:trPr>
        <w:tc>
          <w:tcPr>
            <w:tcW w:w="33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Stock issued under stock plans</w:t>
            </w:r>
          </w:p>
        </w:tc>
        <w:tc>
          <w:tcPr>
            <w:tcW w:w="1160" w:type="dxa"/>
            <w:vAlign w:val="bottom"/>
          </w:tcPr>
          <w:p>
            <w:pPr>
              <w:jc w:val="right"/>
              <w:spacing w:after="0"/>
              <w:rPr>
                <w:sz w:val="20"/>
                <w:szCs w:val="20"/>
                <w:color w:val="auto"/>
              </w:rPr>
            </w:pPr>
            <w:r>
              <w:rPr>
                <w:rFonts w:ascii="Arial" w:cs="Arial" w:eastAsia="Arial" w:hAnsi="Arial"/>
                <w:sz w:val="17"/>
                <w:szCs w:val="17"/>
                <w:color w:val="auto"/>
              </w:rPr>
              <w:t>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7"/>
                <w:szCs w:val="17"/>
                <w:color w:val="auto"/>
              </w:rPr>
            </w:pPr>
          </w:p>
        </w:tc>
      </w:tr>
      <w:tr>
        <w:trPr>
          <w:trHeight w:val="26"/>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45"/>
        </w:trPr>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September 1, 2005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616.2</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4,707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5,847</w:t>
            </w:r>
          </w:p>
        </w:tc>
        <w:tc>
          <w:tcPr>
            <w:tcW w:w="120" w:type="dxa"/>
            <w:vAlign w:val="bottom"/>
            <w:shd w:val="clear" w:color="auto" w:fill="CCEEFF"/>
          </w:tcPr>
          <w:p>
            <w:pPr>
              <w:spacing w:after="0"/>
              <w:rPr>
                <w:sz w:val="21"/>
                <w:szCs w:val="21"/>
                <w:color w:val="auto"/>
              </w:rPr>
            </w:pPr>
          </w:p>
        </w:tc>
      </w:tr>
      <w:tr>
        <w:trPr>
          <w:trHeight w:val="196"/>
        </w:trPr>
        <w:tc>
          <w:tcPr>
            <w:tcW w:w="33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Net income</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408</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3"/>
        </w:trPr>
        <w:tc>
          <w:tcPr>
            <w:tcW w:w="3320" w:type="dxa"/>
            <w:vAlign w:val="bottom"/>
          </w:tcPr>
          <w:p>
            <w:pPr>
              <w:spacing w:after="0" w:line="193" w:lineRule="exact"/>
              <w:rPr>
                <w:sz w:val="20"/>
                <w:szCs w:val="20"/>
                <w:color w:val="auto"/>
              </w:rPr>
            </w:pPr>
            <w:r>
              <w:rPr>
                <w:rFonts w:ascii="Arial" w:cs="Arial" w:eastAsia="Arial" w:hAnsi="Arial"/>
                <w:sz w:val="17"/>
                <w:szCs w:val="17"/>
                <w:color w:val="auto"/>
              </w:rPr>
              <w:t>Net change in unrealized gain (loss) on</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3320" w:type="dxa"/>
            <w:vAlign w:val="bottom"/>
          </w:tcPr>
          <w:p>
            <w:pPr>
              <w:ind w:left="460"/>
              <w:spacing w:after="0"/>
              <w:rPr>
                <w:sz w:val="20"/>
                <w:szCs w:val="20"/>
                <w:color w:val="auto"/>
              </w:rPr>
            </w:pPr>
            <w:r>
              <w:rPr>
                <w:rFonts w:ascii="Arial" w:cs="Arial" w:eastAsia="Arial" w:hAnsi="Arial"/>
                <w:sz w:val="17"/>
                <w:szCs w:val="17"/>
                <w:color w:val="auto"/>
              </w:rPr>
              <w:t>investments, net of tax</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211"/>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1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5"/>
        </w:trPr>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Stock issued under stock plans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114</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7"/>
                <w:szCs w:val="17"/>
                <w:color w:val="auto"/>
              </w:rPr>
            </w:pPr>
          </w:p>
        </w:tc>
      </w:tr>
      <w:tr>
        <w:trPr>
          <w:trHeight w:val="193"/>
        </w:trPr>
        <w:tc>
          <w:tcPr>
            <w:tcW w:w="33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Conversion of notes to stock, net of</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8"/>
        </w:trPr>
        <w:tc>
          <w:tcPr>
            <w:tcW w:w="3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unamortized issuance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623</w:t>
            </w:r>
          </w:p>
        </w:tc>
      </w:tr>
      <w:tr>
        <w:trPr>
          <w:trHeight w:val="193"/>
        </w:trPr>
        <w:tc>
          <w:tcPr>
            <w:tcW w:w="3320" w:type="dxa"/>
            <w:vAlign w:val="bottom"/>
          </w:tcPr>
          <w:p>
            <w:pPr>
              <w:spacing w:after="0" w:line="193" w:lineRule="exact"/>
              <w:rPr>
                <w:sz w:val="20"/>
                <w:szCs w:val="20"/>
                <w:color w:val="auto"/>
              </w:rPr>
            </w:pPr>
            <w:r>
              <w:rPr>
                <w:rFonts w:ascii="Arial" w:cs="Arial" w:eastAsia="Arial" w:hAnsi="Arial"/>
                <w:sz w:val="17"/>
                <w:szCs w:val="17"/>
                <w:color w:val="auto"/>
                <w:w w:val="97"/>
              </w:rPr>
              <w:t>Stock and stock options issued in connection</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7"/>
        </w:trPr>
        <w:tc>
          <w:tcPr>
            <w:tcW w:w="3320" w:type="dxa"/>
            <w:vAlign w:val="bottom"/>
          </w:tcPr>
          <w:p>
            <w:pPr>
              <w:ind w:left="160"/>
              <w:spacing w:after="0"/>
              <w:rPr>
                <w:sz w:val="20"/>
                <w:szCs w:val="20"/>
                <w:color w:val="auto"/>
              </w:rPr>
            </w:pPr>
            <w:r>
              <w:rPr>
                <w:rFonts w:ascii="Arial" w:cs="Arial" w:eastAsia="Arial" w:hAnsi="Arial"/>
                <w:sz w:val="17"/>
                <w:szCs w:val="17"/>
                <w:color w:val="auto"/>
              </w:rPr>
              <w:t>with the acquisition of Lexar</w:t>
            </w:r>
          </w:p>
        </w:tc>
        <w:tc>
          <w:tcPr>
            <w:tcW w:w="1160" w:type="dxa"/>
            <w:vAlign w:val="bottom"/>
          </w:tcPr>
          <w:p>
            <w:pPr>
              <w:jc w:val="right"/>
              <w:spacing w:after="0"/>
              <w:rPr>
                <w:sz w:val="20"/>
                <w:szCs w:val="20"/>
                <w:color w:val="auto"/>
              </w:rPr>
            </w:pPr>
            <w:r>
              <w:rPr>
                <w:rFonts w:ascii="Arial" w:cs="Arial" w:eastAsia="Arial" w:hAnsi="Arial"/>
                <w:sz w:val="17"/>
                <w:szCs w:val="17"/>
                <w:color w:val="auto"/>
              </w:rPr>
              <w:t>50.7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878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883</w:t>
            </w:r>
          </w:p>
        </w:tc>
      </w:tr>
      <w:tr>
        <w:trPr>
          <w:trHeight w:val="193"/>
        </w:trPr>
        <w:tc>
          <w:tcPr>
            <w:tcW w:w="3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Premium recognized on convertible debt</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8"/>
        </w:trPr>
        <w:tc>
          <w:tcPr>
            <w:tcW w:w="3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assumed in Lexar acquisition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Settlement of capped calls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171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171</w:t>
            </w:r>
          </w:p>
        </w:tc>
      </w:tr>
      <w:tr>
        <w:trPr>
          <w:trHeight w:val="193"/>
        </w:trPr>
        <w:tc>
          <w:tcPr>
            <w:tcW w:w="33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Stock issued in connection with Intel stock</w:t>
            </w: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7"/>
        </w:trPr>
        <w:tc>
          <w:tcPr>
            <w:tcW w:w="3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rights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6"/>
        </w:trPr>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b w:val="1"/>
                <w:bCs w:val="1"/>
                <w:color w:val="auto"/>
              </w:rPr>
              <w:t>Balance at August 31, 2006</w:t>
            </w:r>
          </w:p>
        </w:tc>
        <w:tc>
          <w:tcPr>
            <w:tcW w:w="1160" w:type="dxa"/>
            <w:vAlign w:val="bottom"/>
          </w:tcPr>
          <w:p>
            <w:pPr>
              <w:jc w:val="right"/>
              <w:spacing w:after="0"/>
              <w:rPr>
                <w:sz w:val="20"/>
                <w:szCs w:val="20"/>
                <w:color w:val="auto"/>
              </w:rPr>
            </w:pPr>
            <w:r>
              <w:rPr>
                <w:rFonts w:ascii="Arial" w:cs="Arial" w:eastAsia="Arial" w:hAnsi="Arial"/>
                <w:sz w:val="17"/>
                <w:szCs w:val="17"/>
                <w:color w:val="auto"/>
              </w:rPr>
              <w:t>749.4</w:t>
            </w:r>
          </w:p>
        </w:tc>
        <w:tc>
          <w:tcPr>
            <w:tcW w:w="160" w:type="dxa"/>
            <w:vAlign w:val="bottom"/>
          </w:tcPr>
          <w:p>
            <w:pPr>
              <w:spacing w:after="0"/>
              <w:rPr>
                <w:sz w:val="17"/>
                <w:szCs w:val="17"/>
                <w:color w:val="auto"/>
              </w:rPr>
            </w:pPr>
          </w:p>
        </w:tc>
        <w:tc>
          <w:tcPr>
            <w:tcW w:w="1000" w:type="dxa"/>
            <w:vAlign w:val="bottom"/>
            <w:gridSpan w:val="2"/>
          </w:tcPr>
          <w:p>
            <w:pPr>
              <w:jc w:val="right"/>
              <w:ind w:right="735"/>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75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6,555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1,486</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3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8,114</w:t>
            </w:r>
          </w:p>
        </w:tc>
      </w:tr>
      <w:tr>
        <w:trPr>
          <w:trHeight w:val="20"/>
        </w:trPr>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Net loss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(320)</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Stock issued under stock plans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73</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7"/>
                <w:szCs w:val="17"/>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w w:val="97"/>
              </w:rPr>
              <w:t>Repurchase and retirement of common stock</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r>
      <w:tr>
        <w:trPr>
          <w:trHeight w:val="193"/>
        </w:trPr>
        <w:tc>
          <w:tcPr>
            <w:tcW w:w="3320" w:type="dxa"/>
            <w:vAlign w:val="bottom"/>
          </w:tcPr>
          <w:p>
            <w:pPr>
              <w:spacing w:after="0" w:line="193" w:lineRule="exact"/>
              <w:rPr>
                <w:sz w:val="20"/>
                <w:szCs w:val="20"/>
                <w:color w:val="auto"/>
              </w:rPr>
            </w:pPr>
            <w:r>
              <w:rPr>
                <w:rFonts w:ascii="Arial" w:cs="Arial" w:eastAsia="Arial" w:hAnsi="Arial"/>
                <w:sz w:val="17"/>
                <w:szCs w:val="17"/>
                <w:color w:val="auto"/>
              </w:rPr>
              <w:t>Adjustment to initially apply SFAS No. 158,</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7"/>
        </w:trPr>
        <w:tc>
          <w:tcPr>
            <w:tcW w:w="3320" w:type="dxa"/>
            <w:vAlign w:val="bottom"/>
          </w:tcPr>
          <w:p>
            <w:pPr>
              <w:ind w:left="160"/>
              <w:spacing w:after="0"/>
              <w:rPr>
                <w:sz w:val="20"/>
                <w:szCs w:val="20"/>
                <w:color w:val="auto"/>
              </w:rPr>
            </w:pPr>
            <w:r>
              <w:rPr>
                <w:rFonts w:ascii="Arial" w:cs="Arial" w:eastAsia="Arial" w:hAnsi="Arial"/>
                <w:sz w:val="17"/>
                <w:szCs w:val="17"/>
                <w:color w:val="auto"/>
              </w:rPr>
              <w:t>net of tax benefit of $3</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Purchase of capped calls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(151)</w:t>
            </w:r>
          </w:p>
        </w:tc>
      </w:tr>
      <w:tr>
        <w:trPr>
          <w:trHeight w:val="26"/>
        </w:trPr>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b w:val="1"/>
                <w:bCs w:val="1"/>
                <w:color w:val="auto"/>
              </w:rPr>
              <w:t>Balance at August 30, 2007</w:t>
            </w:r>
          </w:p>
        </w:tc>
        <w:tc>
          <w:tcPr>
            <w:tcW w:w="1160" w:type="dxa"/>
            <w:vAlign w:val="bottom"/>
          </w:tcPr>
          <w:p>
            <w:pPr>
              <w:jc w:val="right"/>
              <w:spacing w:after="0"/>
              <w:rPr>
                <w:sz w:val="20"/>
                <w:szCs w:val="20"/>
                <w:color w:val="auto"/>
              </w:rPr>
            </w:pPr>
            <w:r>
              <w:rPr>
                <w:rFonts w:ascii="Arial" w:cs="Arial" w:eastAsia="Arial" w:hAnsi="Arial"/>
                <w:sz w:val="17"/>
                <w:szCs w:val="17"/>
                <w:color w:val="auto"/>
              </w:rPr>
              <w:t>757.9</w:t>
            </w:r>
          </w:p>
        </w:tc>
        <w:tc>
          <w:tcPr>
            <w:tcW w:w="160" w:type="dxa"/>
            <w:vAlign w:val="bottom"/>
          </w:tcPr>
          <w:p>
            <w:pPr>
              <w:spacing w:after="0"/>
              <w:rPr>
                <w:sz w:val="17"/>
                <w:szCs w:val="17"/>
                <w:color w:val="auto"/>
              </w:rPr>
            </w:pPr>
          </w:p>
        </w:tc>
        <w:tc>
          <w:tcPr>
            <w:tcW w:w="1000" w:type="dxa"/>
            <w:vAlign w:val="bottom"/>
            <w:gridSpan w:val="2"/>
          </w:tcPr>
          <w:p>
            <w:pPr>
              <w:jc w:val="right"/>
              <w:ind w:right="735"/>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6,519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1,164</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3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7,752</w:t>
            </w:r>
          </w:p>
        </w:tc>
        <w:tc>
          <w:tcPr>
            <w:tcW w:w="12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354"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1"/>
              </w:rPr>
              <w:t>August 30,</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August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8"/>
              </w:rPr>
              <w:t>September 1,</w:t>
            </w:r>
          </w:p>
        </w:tc>
      </w:tr>
      <w:tr>
        <w:trPr>
          <w:trHeight w:val="227"/>
        </w:trPr>
        <w:tc>
          <w:tcPr>
            <w:tcW w:w="7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2007</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408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1,718</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1,281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1,265</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Noncash restructure charges (benefits)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Provision to write-down inventories to estimated fair market values</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from write-down or disposition of equipment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Gain from sale of product and process technology</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Change in operating assets and liabilities: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receivables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Increase in inventories</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(591)</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(193)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accounts payable and accrued expenses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Increase (decrease) in customer prepayments</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1,237</w:t>
            </w:r>
          </w:p>
        </w:tc>
      </w:tr>
      <w:tr>
        <w:trPr>
          <w:trHeight w:val="205"/>
        </w:trPr>
        <w:tc>
          <w:tcPr>
            <w:tcW w:w="7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Expenditures for property, plant and equipment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(3,603)</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(1,365)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(1,065)</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Purchases of available-for-sale securities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(1,466)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(1,849)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Acquisition of noncontrolling interest in TECH</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maturities of available-for-sale securities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2,156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sales of available-for-sale securities</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540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property, plant and equipment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sale of product and process technology</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Consolidation of TECH</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acquired from acquisition of Lexar</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w:t>
            </w:r>
          </w:p>
        </w:tc>
      </w:tr>
      <w:tr>
        <w:trPr>
          <w:trHeight w:val="26"/>
        </w:trPr>
        <w:tc>
          <w:tcPr>
            <w:tcW w:w="7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(2,391)</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(1,756)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(1,084)</w:t>
            </w:r>
          </w:p>
        </w:tc>
      </w:tr>
      <w:tr>
        <w:trPr>
          <w:trHeight w:val="205"/>
        </w:trPr>
        <w:tc>
          <w:tcPr>
            <w:tcW w:w="74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debt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received from noncontrolling interests</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1,249</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equipment sale-leaseback transactions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issuance of common stock</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Payments on equipment purchase contracts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Repayments of debt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(193)</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(300)</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received (paid) for capped call transactions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6"/>
        </w:trPr>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for) 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(115)</w:t>
            </w:r>
          </w:p>
        </w:tc>
      </w:tr>
      <w:tr>
        <w:trPr>
          <w:trHeight w:val="205"/>
        </w:trPr>
        <w:tc>
          <w:tcPr>
            <w:tcW w:w="7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cash and equivalents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761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and equivalents at beginning of year</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486</w:t>
            </w:r>
          </w:p>
        </w:tc>
      </w:tr>
      <w:tr>
        <w:trPr>
          <w:trHeight w:val="26"/>
        </w:trPr>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 at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w:t>
            </w:r>
          </w:p>
        </w:tc>
      </w:tr>
      <w:tr>
        <w:trPr>
          <w:trHeight w:val="196"/>
        </w:trPr>
        <w:tc>
          <w:tcPr>
            <w:tcW w:w="7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taxes paid,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Interest paid, net of amounts capitalized</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Equipment acquisitions on contracts payable and capital leases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Stock and stock options issued in acquisition of Lexar</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Conversion of notes to stock, net of unamortized issuance cost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354"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 tabular amounts in millions except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Significant Accounting Policies</w:t>
      </w:r>
    </w:p>
    <w:p>
      <w:pPr>
        <w:spacing w:after="0" w:line="235"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 DRAM, NAND</w:t>
      </w:r>
      <w:r>
        <w:rPr>
          <w:rFonts w:ascii="Arial" w:cs="Arial" w:eastAsia="Arial" w:hAnsi="Arial"/>
          <w:sz w:val="16"/>
          <w:szCs w:val="16"/>
          <w:b w:val="1"/>
          <w:bCs w:val="1"/>
          <w:color w:val="auto"/>
        </w:rPr>
        <w:t xml:space="preserve"> </w:t>
      </w:r>
      <w:r>
        <w:rPr>
          <w:rFonts w:ascii="Arial" w:cs="Arial" w:eastAsia="Arial" w:hAnsi="Arial"/>
          <w:sz w:val="16"/>
          <w:szCs w:val="16"/>
          <w:color w:val="auto"/>
        </w:rPr>
        <w:t>Flash memory, CMOS image sensors and other semiconductor components. The Company’s reportable segments are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All significant intercompany transactions and balances have been eliminated.</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The Company’s fiscal year is the 52 or 53-week period ending on the Thursday closest to August 31. The Company’s fiscal 2007, 2006 and 2005 each contained 52 weeks. All period references are to the Company’s fiscal periods unless otherwise indicated.</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and related disclosures in conformity with accounting principles generally accepted in the United States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b w:val="1"/>
          <w:bCs w:val="1"/>
          <w:color w:val="auto"/>
        </w:rPr>
        <w:t xml:space="preserve">Certain concentrations: </w:t>
      </w:r>
      <w:r>
        <w:rPr>
          <w:rFonts w:ascii="Arial" w:cs="Arial" w:eastAsia="Arial" w:hAnsi="Arial"/>
          <w:sz w:val="17"/>
          <w:szCs w:val="17"/>
          <w:color w:val="auto"/>
        </w:rPr>
        <w:t>Approximately 50% of the Company’s net sales for 2007 were to the computing market, including desktop PCs, servers, notebooks and</w:t>
      </w:r>
      <w:r>
        <w:rPr>
          <w:rFonts w:ascii="Arial" w:cs="Arial" w:eastAsia="Arial" w:hAnsi="Arial"/>
          <w:sz w:val="17"/>
          <w:szCs w:val="17"/>
          <w:b w:val="1"/>
          <w:bCs w:val="1"/>
          <w:color w:val="auto"/>
        </w:rPr>
        <w:t xml:space="preserve"> </w:t>
      </w:r>
      <w:r>
        <w:rPr>
          <w:rFonts w:ascii="Arial" w:cs="Arial" w:eastAsia="Arial" w:hAnsi="Arial"/>
          <w:sz w:val="17"/>
          <w:szCs w:val="17"/>
          <w:color w:val="auto"/>
        </w:rPr>
        <w:t>workstations. Sales to Hewlett-Packard Company (“HP”) were 10% of the Company’s net sales in 2007 and were included in the Memory segment. Sales of DRAM, NAND Flash and CMOS image sensor products constituted 65%, 23% and 12%, respectively, of the Company’s net sales for 2007. Certain components used by the Company in manufacturing semiconductor products are available from a limited number of suppliers.</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investment securities and trade receivables. The Company invests through high-credit-quality financial institutions and, by policy, generally limits the concentration of credit exposure by restricting investments with any single obligor. A concentration of credit risk may exist with respect to trade receivables as a substantial portion of the Company’s customers are affiliated with the computing industry. The Company performs ongoing credit evaluations of customers worldwide and generally does not require collateral from its customers. Historically, the Company has not experienced significant losses on receivables.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The Company generally provides a limited warranty that its products are in compliance with Company specifications existing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upon the Company more extensive liability than that provided under the Company’s general terms and conditions. The Company’s warranty obligations are not material.</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recognizes product or license revenue when persuasive evidence of a sales arrangement exists, delivery has occurred, the price is</w:t>
      </w:r>
      <w:r>
        <w:rPr>
          <w:rFonts w:ascii="Arial" w:cs="Arial" w:eastAsia="Arial" w:hAnsi="Arial"/>
          <w:sz w:val="16"/>
          <w:szCs w:val="16"/>
          <w:b w:val="1"/>
          <w:bCs w:val="1"/>
          <w:color w:val="auto"/>
        </w:rPr>
        <w:t xml:space="preserve"> </w:t>
      </w:r>
      <w:r>
        <w:rPr>
          <w:rFonts w:ascii="Arial" w:cs="Arial" w:eastAsia="Arial" w:hAnsi="Arial"/>
          <w:sz w:val="16"/>
          <w:szCs w:val="16"/>
          <w:color w:val="auto"/>
        </w:rPr>
        <w:t>fixed or determinable and collectibility is reasonably assured. Because of frequent changes in market prices for the Company’s products, sales made under agreements allowing pricing protection or rights of return (other than for product warranty) are deferred until customers have sold the product.</w:t>
      </w:r>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Costs related to the conceptual formulation and design of products and processes are expensed as research and development as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 Product design and other research and development costs for NAND Flash are shared equally among the Company and Intel Corporation (“Intel”). These charges to Intel are reflected as a reduction of research and development expense. (See “Joint Ventures – NAND Flash Joint Ventures with Intel.”)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44" w:name="page45"/>
    <w:bookmarkEnd w:id="44"/>
    <w:p>
      <w:pPr>
        <w:ind w:right="100"/>
        <w:spacing w:after="0" w:line="26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Effective the beginning of 2006, the Company adopted Statement of Financial Accounting Standards (“SFAS”) No. 123(R), “Share-Based Payment,” and elected to adopt the modified prospective application method. Accordingly, stock-based compensation cost is measured at the grant date, based on the fair value of the award, and is recognized as expense over the requisite service period. For stock awards granted after the beginning of 2006, expenses are amortized under the straight-line attribution method. (See “Equity Plans.”)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Functional currency: </w:t>
      </w:r>
      <w:r>
        <w:rPr>
          <w:rFonts w:ascii="Arial" w:cs="Arial" w:eastAsia="Arial" w:hAnsi="Arial"/>
          <w:sz w:val="17"/>
          <w:szCs w:val="17"/>
          <w:color w:val="auto"/>
        </w:rPr>
        <w:t>The U.S. dollar is the Company’s functional currency for substantially all of its operations.</w:t>
      </w:r>
    </w:p>
    <w:p>
      <w:pPr>
        <w:spacing w:after="0" w:line="24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computed based on the weighted-average number of common shares and stock rights outstanding. Diluted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is computed based on the weighted-average number of common shares and stock rights outstanding plus the dilutive effects of stock options, warrants and convertible notes. Potential common shares that would increase earnings per share amounts or decrease loss per share amounts are antidilutive and are, therefore, excluded from diluted earnings per share calculations.</w:t>
      </w:r>
    </w:p>
    <w:p>
      <w:pPr>
        <w:spacing w:after="0" w:line="201"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b w:val="1"/>
          <w:bCs w:val="1"/>
          <w:color w:val="auto"/>
        </w:rPr>
        <w:t xml:space="preserve">Financial instruments: </w:t>
      </w:r>
      <w:r>
        <w:rPr>
          <w:rFonts w:ascii="Arial" w:cs="Arial" w:eastAsia="Arial" w:hAnsi="Arial"/>
          <w:sz w:val="15"/>
          <w:szCs w:val="15"/>
          <w:color w:val="auto"/>
        </w:rPr>
        <w:t>Cash equivalents include highly liquid short-term investments with original maturities to the Company of three months or less, readily</w:t>
      </w:r>
      <w:r>
        <w:rPr>
          <w:rFonts w:ascii="Arial" w:cs="Arial" w:eastAsia="Arial" w:hAnsi="Arial"/>
          <w:sz w:val="15"/>
          <w:szCs w:val="15"/>
          <w:b w:val="1"/>
          <w:bCs w:val="1"/>
          <w:color w:val="auto"/>
        </w:rPr>
        <w:t xml:space="preserve"> </w:t>
      </w:r>
      <w:r>
        <w:rPr>
          <w:rFonts w:ascii="Arial" w:cs="Arial" w:eastAsia="Arial" w:hAnsi="Arial"/>
          <w:sz w:val="15"/>
          <w:szCs w:val="15"/>
          <w:color w:val="auto"/>
        </w:rPr>
        <w:t>convertible to known 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 stated at market value. The carrying value of investment securities sold is determined using the specific identification method.</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Amounts reported as cash and equivalents, short-term investments, receivables, other assets, accounts payable and accrued expenses and equipment purchase contracts approximate their fair values. The estimated fair value of the Company’s debt was $2,411 million and $627 million as of August 30, 2007, and August 31, 2006, respectively. The estimated fair values presented herein were based on market interest rates and other market information available to management as of each balance sheet date presented. The use of different market assumptions and/or estimation methodologies could have a material effect on the estimated fair values. The estimated fair values do not take into consideration expenses that could be incurred in an actual settlement.</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costs. Determining fair market values of inventories involves numerous judgments, including projecting average selling prices and sales volumes for future periods and costs to complete products in work in process inventories. As a result of these analyses, when fair market values are below the Company’s costs, the Company records a charge to cost of goods sold in advance of when the inventory is actually sold. The Company’s inventories have been categorized as Memory products or Imaging products for purposes of determining average cost and fair market value. The major characteristics the Company considers in determining categories are product type and markets.</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 capitalized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assets are removed from product and process technology and accumulated amortization.</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stated at cost and depreciated using the straight-line method over estimated useful lives of 5 to 30</w:t>
      </w:r>
      <w:r>
        <w:rPr>
          <w:rFonts w:ascii="Arial" w:cs="Arial" w:eastAsia="Arial" w:hAnsi="Arial"/>
          <w:sz w:val="17"/>
          <w:szCs w:val="17"/>
          <w:b w:val="1"/>
          <w:bCs w:val="1"/>
          <w:color w:val="auto"/>
        </w:rPr>
        <w:t xml:space="preserve"> </w:t>
      </w:r>
      <w:r>
        <w:rPr>
          <w:rFonts w:ascii="Arial" w:cs="Arial" w:eastAsia="Arial" w:hAnsi="Arial"/>
          <w:sz w:val="17"/>
          <w:szCs w:val="17"/>
          <w:color w:val="auto"/>
        </w:rPr>
        <w:t>years for buildings, 2 to 20 years for equipment and 2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net gain or loss is included in the Company’s results of operations.</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$18 million, $10 million and $2 million in 2007, 2006 and 2005, respectively, in connection with various capital projects.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February 2007, the Financial Accounting Standards Board (“FASB”) issued SFAS No. 159, “The Fair Value Option for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will depend on the extent to which the Company elects to measure eligible items at fair value.</w:t>
      </w:r>
    </w:p>
    <w:p>
      <w:pPr>
        <w:spacing w:after="0" w:line="20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September 2006, the SEC staff issued Staff Accounting Bulletin (“SAB”) No. 108, “Considering the Effects of Prior Year Misstatements when Quantifying Misstatements in Current Year Financial Statements.” In SAB No. 108, the SEC staff established an approach that requires quantification of financial statement misstatements based on the effects of the misstatements on each of a company’s financial statements and the related financial statement disclosures. SAB No. 108 permits companies to initially apply its provisions either by (i) restating prior financial statements or (ii) recording the cumulative effect as adjustments to the carrying values of assets and liabilities with an offsetting adjustment recorded to the opening balance of retained earnings. The Company adopted SAB No. 108 as of August 30, 2007. The adoption of SAB No. 108 did not impact the Company’s results of operations or financial condition.</w:t>
      </w:r>
    </w:p>
    <w:p>
      <w:pPr>
        <w:spacing w:after="0" w:line="19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September 2006, the FASB issued SFAS No. 158, “Employers’ Accounting for Defined Benefit Pension and Other Postretirement Plans—an amendment of FASB Statements No. 87, 88, 106, and 132(R).” SFAS No. 158 requires an employer to recognize the overfunded or underfunded status of a defined benefit postretirement plan (other than a multiemployer plan) as an asset or liability in its statement of financial position and to recognize changes in that funded status in the year in which the changes occur through comprehensive income. SFAS No. 158 also requires an employer to measure the funded status of a plan as of the date of its year-end statement of financial position, with limited exceptions. The Company adopted SFAS No. 158 as of August 30, 2007. The adoption of SFAS No. 158 did not have a material impact the Company’s results of operations or financial condition.</w:t>
      </w:r>
    </w:p>
    <w:p>
      <w:pPr>
        <w:spacing w:after="0" w:line="19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FAS No. 157 effective at the beginning of 2009. The Company is evaluating the impact this statement will have on its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 June 2006, the FASB issued Interpretation Number 48 (“FIN 48”), “Accounting for Uncertainty in Income Taxes – an interpretation of FASB Statement No.</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109.” The interpretation contains a two step approach to recognizing and measuring uncertain tax positions accounted for in accordance with SFAS No. 109. The first step is to evaluate each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is required to adopt FIN 48 effective at the beginning of 2008. The Company does not expect any material adjustments upon adoption.</w:t>
      </w:r>
    </w:p>
    <w:p>
      <w:pPr>
        <w:spacing w:after="0" w:line="21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As of August 30, 2007, the Company did not have any hybrid financial instruments subject to the fair value election under SFAS No. 155. The Company is required to adopt SFAS No. 155 effective at the beginning of 2008.</w:t>
      </w:r>
    </w:p>
    <w:p>
      <w:pPr>
        <w:spacing w:after="0" w:line="204" w:lineRule="exact"/>
        <w:rPr>
          <w:sz w:val="20"/>
          <w:szCs w:val="20"/>
          <w:color w:val="auto"/>
        </w:rPr>
      </w:pPr>
    </w:p>
    <w:p>
      <w:pPr>
        <w:jc w:val="both"/>
        <w:ind w:right="360"/>
        <w:spacing w:after="0" w:line="264" w:lineRule="auto"/>
        <w:rPr>
          <w:sz w:val="20"/>
          <w:szCs w:val="20"/>
          <w:color w:val="auto"/>
        </w:rPr>
      </w:pPr>
      <w:r>
        <w:rPr>
          <w:rFonts w:ascii="Arial" w:cs="Arial" w:eastAsia="Arial" w:hAnsi="Arial"/>
          <w:sz w:val="17"/>
          <w:szCs w:val="17"/>
          <w:color w:val="auto"/>
        </w:rPr>
        <w:t>In May 2005, the FASB issued SFAS No. 154, “Accounting Changes and Error Corrections.” SFAS No. 154 changes the requirements for the accounting for and reporting of a change in accounting principle. The Company adopted SFAS No. 154 at the beginning of 2007. The adoption of SFAS No. 154 did not impact the Company’s results of operations or financial condition.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46" w:name="page47"/>
    <w:bookmarkEnd w:id="46"/>
    <w:p>
      <w:pPr>
        <w:spacing w:after="0"/>
        <w:rPr>
          <w:sz w:val="20"/>
          <w:szCs w:val="20"/>
          <w:color w:val="auto"/>
        </w:rPr>
      </w:pPr>
      <w:r>
        <w:rPr>
          <w:rFonts w:ascii="Arial" w:cs="Arial" w:eastAsia="Arial" w:hAnsi="Arial"/>
          <w:sz w:val="19"/>
          <w:szCs w:val="19"/>
          <w:b w:val="1"/>
          <w:bCs w:val="1"/>
          <w:color w:val="auto"/>
        </w:rPr>
        <w:t>Supplemental Balance Sheet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 Securities</w:t>
            </w:r>
          </w:p>
        </w:tc>
        <w:tc>
          <w:tcPr>
            <w:tcW w:w="3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r>
      <w:tr>
        <w:trPr>
          <w:trHeight w:val="205"/>
        </w:trPr>
        <w:tc>
          <w:tcPr>
            <w:tcW w:w="5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Commercial paper</w:t>
            </w:r>
          </w:p>
        </w:tc>
        <w:tc>
          <w:tcPr>
            <w:tcW w:w="3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687</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1,272</w:t>
            </w: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U.S. government and agencies</w:t>
            </w: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668</w:t>
            </w:r>
          </w:p>
        </w:tc>
      </w:t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Certificates of deposit</w:t>
            </w: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486</w:t>
            </w: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Corporate notes and bonds</w:t>
            </w: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w:t>
            </w:r>
          </w:p>
        </w:tc>
      </w:t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Repurchase agreements</w:t>
            </w: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r>
      <w:tr>
        <w:trPr>
          <w:trHeight w:val="26"/>
        </w:trPr>
        <w:tc>
          <w:tcPr>
            <w:tcW w:w="54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2,746</w:t>
            </w: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Less cash equivalents</w:t>
            </w:r>
          </w:p>
        </w:tc>
        <w:tc>
          <w:tcPr>
            <w:tcW w:w="3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(1,077)</w:t>
            </w:r>
          </w:p>
        </w:tc>
      </w:t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Less noncurrent investments</w:t>
            </w:r>
          </w:p>
        </w:tc>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26"/>
        </w:trPr>
        <w:tc>
          <w:tcPr>
            <w:tcW w:w="54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3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1,648</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Gross unrealized gains and losses as of the end of the periods shown above were de minimis, as were gross realized gains and losses in 2007, 2006 and 2005.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Receivables</w:t>
            </w:r>
          </w:p>
        </w:tc>
        <w:tc>
          <w:tcPr>
            <w:tcW w:w="3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r>
      <w:tr>
        <w:trPr>
          <w:trHeight w:val="205"/>
        </w:trPr>
        <w:tc>
          <w:tcPr>
            <w:tcW w:w="5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3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811</w:t>
            </w:r>
          </w:p>
        </w:tc>
      </w:tr>
      <w:tr>
        <w:trPr>
          <w:trHeight w:val="205"/>
        </w:trPr>
        <w:tc>
          <w:tcPr>
            <w:tcW w:w="5520" w:type="dxa"/>
            <w:vAlign w:val="bottom"/>
          </w:tcPr>
          <w:p>
            <w:pPr>
              <w:spacing w:after="0"/>
              <w:rPr>
                <w:sz w:val="20"/>
                <w:szCs w:val="20"/>
                <w:color w:val="auto"/>
              </w:rPr>
            </w:pPr>
            <w:r>
              <w:rPr>
                <w:rFonts w:ascii="Arial" w:cs="Arial" w:eastAsia="Arial" w:hAnsi="Arial"/>
                <w:sz w:val="17"/>
                <w:szCs w:val="17"/>
                <w:color w:val="auto"/>
              </w:rPr>
              <w:t>Taxes other than income</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w:t>
            </w:r>
          </w:p>
        </w:tc>
      </w:tr>
      <w:tr>
        <w:trPr>
          <w:trHeight w:val="205"/>
        </w:trPr>
        <w:tc>
          <w:tcPr>
            <w:tcW w:w="5520" w:type="dxa"/>
            <w:vAlign w:val="bottom"/>
          </w:tcPr>
          <w:p>
            <w:pPr>
              <w:spacing w:after="0"/>
              <w:rPr>
                <w:sz w:val="20"/>
                <w:szCs w:val="20"/>
                <w:color w:val="auto"/>
              </w:rPr>
            </w:pPr>
            <w:r>
              <w:rPr>
                <w:rFonts w:ascii="Arial" w:cs="Arial" w:eastAsia="Arial" w:hAnsi="Arial"/>
                <w:sz w:val="17"/>
                <w:szCs w:val="17"/>
                <w:color w:val="auto"/>
              </w:rPr>
              <w:t>Allowance for doubtful accounts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6"/>
        </w:trPr>
        <w:tc>
          <w:tcPr>
            <w:tcW w:w="55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5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956</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As of August 30, 2007, and August 31, 2006, other receivables included $108 million and $51 million, respectively, due from Intel primarily for amounts related to NAND Flash product design and process development activities. Other receivables as of August 30, 2007, and August 31, 2006, also included $83 million and $51 million, respectively, due from settlement of litigation. Other noncurrent assets as of August 30, 2007, and August 31, 2006, include receivables due from settlement of litigation of $110 million and $181 million, respectively.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Inventories</w:t>
            </w:r>
          </w:p>
        </w:tc>
        <w:tc>
          <w:tcPr>
            <w:tcW w:w="3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r>
      <w:tr>
        <w:trPr>
          <w:trHeight w:val="205"/>
        </w:trPr>
        <w:tc>
          <w:tcPr>
            <w:tcW w:w="53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w:t>
            </w:r>
          </w:p>
        </w:tc>
      </w:tr>
      <w:tr>
        <w:trPr>
          <w:trHeight w:val="205"/>
        </w:trPr>
        <w:tc>
          <w:tcPr>
            <w:tcW w:w="5360" w:type="dxa"/>
            <w:vAlign w:val="bottom"/>
          </w:tcPr>
          <w:p>
            <w:pPr>
              <w:spacing w:after="0"/>
              <w:rPr>
                <w:sz w:val="20"/>
                <w:szCs w:val="20"/>
                <w:color w:val="auto"/>
              </w:rPr>
            </w:pPr>
            <w:r>
              <w:rPr>
                <w:rFonts w:ascii="Arial" w:cs="Arial" w:eastAsia="Arial" w:hAnsi="Arial"/>
                <w:sz w:val="17"/>
                <w:szCs w:val="17"/>
                <w:color w:val="auto"/>
              </w:rPr>
              <w:t>Work in process</w:t>
            </w: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530</w:t>
            </w:r>
          </w:p>
        </w:tc>
      </w:tr>
      <w:tr>
        <w:trPr>
          <w:trHeight w:val="20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supplies</w:t>
            </w: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w:t>
            </w:r>
          </w:p>
        </w:tc>
      </w:tr>
      <w:tr>
        <w:trPr>
          <w:trHeight w:val="205"/>
        </w:trPr>
        <w:tc>
          <w:tcPr>
            <w:tcW w:w="5360" w:type="dxa"/>
            <w:vAlign w:val="bottom"/>
          </w:tcPr>
          <w:p>
            <w:pPr>
              <w:spacing w:after="0"/>
              <w:rPr>
                <w:sz w:val="20"/>
                <w:szCs w:val="20"/>
                <w:color w:val="auto"/>
              </w:rPr>
            </w:pPr>
            <w:r>
              <w:rPr>
                <w:rFonts w:ascii="Arial" w:cs="Arial" w:eastAsia="Arial" w:hAnsi="Arial"/>
                <w:sz w:val="17"/>
                <w:szCs w:val="17"/>
                <w:color w:val="auto"/>
              </w:rPr>
              <w:t>Allowance for obsolescence</w:t>
            </w: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6"/>
        </w:trPr>
        <w:tc>
          <w:tcPr>
            <w:tcW w:w="53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36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963</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Company’s results of operations for 2007 include a charge of $20 million to write down the carrying value of work in process and finished goods inventories of memory products to their estimated fair market values.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8820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2007</w:t>
            </w: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7"/>
                <w:szCs w:val="17"/>
                <w:b w:val="1"/>
                <w:bCs w:val="1"/>
                <w:color w:val="auto"/>
              </w:rPr>
              <w:t>2006</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9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Gross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line="189" w:lineRule="exact"/>
              <w:rPr>
                <w:sz w:val="20"/>
                <w:szCs w:val="20"/>
                <w:color w:val="auto"/>
              </w:rPr>
            </w:pPr>
            <w:r>
              <w:rPr>
                <w:rFonts w:ascii="Arial" w:cs="Arial" w:eastAsia="Arial" w:hAnsi="Arial"/>
                <w:sz w:val="17"/>
                <w:szCs w:val="17"/>
                <w:b w:val="1"/>
                <w:bCs w:val="1"/>
                <w:color w:val="auto"/>
                <w:w w:val="97"/>
              </w:rPr>
              <w:t>Accumulated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80"/>
              <w:spacing w:after="0" w:line="189" w:lineRule="exact"/>
              <w:rPr>
                <w:sz w:val="20"/>
                <w:szCs w:val="20"/>
                <w:color w:val="auto"/>
              </w:rPr>
            </w:pPr>
            <w:r>
              <w:rPr>
                <w:rFonts w:ascii="Arial" w:cs="Arial" w:eastAsia="Arial" w:hAnsi="Arial"/>
                <w:sz w:val="17"/>
                <w:szCs w:val="17"/>
                <w:b w:val="1"/>
                <w:bCs w:val="1"/>
                <w:color w:val="auto"/>
              </w:rPr>
              <w:t>Gross</w:t>
            </w:r>
          </w:p>
        </w:tc>
        <w:tc>
          <w:tcPr>
            <w:tcW w:w="100" w:type="dxa"/>
            <w:vAlign w:val="bottom"/>
          </w:tcPr>
          <w:p>
            <w:pPr>
              <w:spacing w:after="0"/>
              <w:rPr>
                <w:sz w:val="16"/>
                <w:szCs w:val="16"/>
                <w:color w:val="auto"/>
              </w:rPr>
            </w:pPr>
          </w:p>
        </w:tc>
        <w:tc>
          <w:tcPr>
            <w:tcW w:w="1120" w:type="dxa"/>
            <w:vAlign w:val="bottom"/>
            <w:gridSpan w:val="2"/>
          </w:tcPr>
          <w:p>
            <w:pPr>
              <w:ind w:left="80"/>
              <w:spacing w:after="0" w:line="189" w:lineRule="exact"/>
              <w:rPr>
                <w:sz w:val="20"/>
                <w:szCs w:val="20"/>
                <w:color w:val="auto"/>
              </w:rPr>
            </w:pPr>
            <w:r>
              <w:rPr>
                <w:rFonts w:ascii="Arial" w:cs="Arial" w:eastAsia="Arial" w:hAnsi="Arial"/>
                <w:sz w:val="17"/>
                <w:szCs w:val="17"/>
                <w:b w:val="1"/>
                <w:bCs w:val="1"/>
                <w:color w:val="auto"/>
                <w:w w:val="95"/>
              </w:rPr>
              <w:t>Accumulated</w:t>
            </w:r>
          </w:p>
        </w:tc>
        <w:tc>
          <w:tcPr>
            <w:tcW w:w="100" w:type="dxa"/>
            <w:vAlign w:val="bottom"/>
          </w:tcPr>
          <w:p>
            <w:pPr>
              <w:spacing w:after="0"/>
              <w:rPr>
                <w:sz w:val="16"/>
                <w:szCs w:val="16"/>
                <w:color w:val="auto"/>
              </w:rPr>
            </w:pPr>
          </w:p>
        </w:tc>
      </w:tr>
      <w:tr>
        <w:trPr>
          <w:trHeight w:val="227"/>
        </w:trPr>
        <w:tc>
          <w:tcPr>
            <w:tcW w:w="3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7"/>
                <w:szCs w:val="17"/>
                <w:b w:val="1"/>
                <w:bCs w:val="1"/>
                <w:color w:val="auto"/>
              </w:rPr>
              <w:t>Amortization</w:t>
            </w:r>
          </w:p>
        </w:tc>
        <w:tc>
          <w:tcPr>
            <w:tcW w:w="1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7"/>
                <w:szCs w:val="17"/>
                <w:b w:val="1"/>
                <w:bCs w:val="1"/>
                <w:color w:val="auto"/>
              </w:rPr>
              <w:t>Amortization</w:t>
            </w:r>
          </w:p>
        </w:tc>
      </w:tr>
      <w:tr>
        <w:trPr>
          <w:trHeight w:val="205"/>
        </w:trPr>
        <w:tc>
          <w:tcPr>
            <w:tcW w:w="3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900" w:type="dxa"/>
            <w:vAlign w:val="bottom"/>
          </w:tcPr>
          <w:p>
            <w:pPr>
              <w:spacing w:after="0"/>
              <w:rPr>
                <w:sz w:val="20"/>
                <w:szCs w:val="20"/>
                <w:color w:val="auto"/>
              </w:rPr>
            </w:pPr>
            <w:r>
              <w:rPr>
                <w:rFonts w:ascii="Arial" w:cs="Arial" w:eastAsia="Arial" w:hAnsi="Arial"/>
                <w:sz w:val="17"/>
                <w:szCs w:val="17"/>
                <w:color w:val="auto"/>
              </w:rPr>
              <w:t>Product and process technology</w:t>
            </w:r>
          </w:p>
        </w:tc>
        <w:tc>
          <w:tcPr>
            <w:tcW w:w="3060" w:type="dxa"/>
            <w:vAlign w:val="bottom"/>
            <w:gridSpan w:val="2"/>
          </w:tcPr>
          <w:p>
            <w:pPr>
              <w:jc w:val="right"/>
              <w:ind w:right="715"/>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544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(271)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460</w:t>
            </w:r>
          </w:p>
        </w:tc>
        <w:tc>
          <w:tcPr>
            <w:tcW w:w="540" w:type="dxa"/>
            <w:vAlign w:val="bottom"/>
            <w:gridSpan w:val="2"/>
          </w:tcPr>
          <w:p>
            <w:pPr>
              <w:jc w:val="right"/>
              <w:ind w:right="275"/>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(219)</w:t>
            </w:r>
          </w:p>
        </w:tc>
      </w:tr>
      <w:tr>
        <w:trPr>
          <w:trHeight w:val="205"/>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127</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3900" w:type="dxa"/>
            <w:vAlign w:val="bottom"/>
          </w:tcPr>
          <w:p>
            <w:pPr>
              <w:spacing w:after="0"/>
              <w:rPr>
                <w:sz w:val="20"/>
                <w:szCs w:val="20"/>
                <w:color w:val="auto"/>
              </w:rPr>
            </w:pPr>
            <w:r>
              <w:rPr>
                <w:rFonts w:ascii="Arial" w:cs="Arial" w:eastAsia="Arial" w:hAnsi="Arial"/>
                <w:sz w:val="17"/>
                <w:szCs w:val="17"/>
                <w:color w:val="auto"/>
              </w:rPr>
              <w:t>Other</w:t>
            </w:r>
          </w:p>
        </w:tc>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6"/>
        </w:trPr>
        <w:tc>
          <w:tcPr>
            <w:tcW w:w="3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9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700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614</w:t>
            </w:r>
          </w:p>
        </w:tc>
        <w:tc>
          <w:tcPr>
            <w:tcW w:w="540" w:type="dxa"/>
            <w:vAlign w:val="bottom"/>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(226)</w:t>
            </w:r>
          </w:p>
        </w:tc>
      </w:tr>
      <w:tr>
        <w:trPr>
          <w:trHeight w:val="657"/>
        </w:trPr>
        <w:tc>
          <w:tcPr>
            <w:tcW w:w="390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175"/>
              <w:spacing w:after="0"/>
              <w:rPr>
                <w:sz w:val="20"/>
                <w:szCs w:val="20"/>
                <w:color w:val="auto"/>
              </w:rPr>
            </w:pPr>
            <w:r>
              <w:rPr>
                <w:rFonts w:ascii="Arial" w:cs="Arial" w:eastAsia="Arial" w:hAnsi="Arial"/>
                <w:sz w:val="17"/>
                <w:szCs w:val="17"/>
                <w:color w:val="auto"/>
              </w:rPr>
              <w:t>46</w:t>
            </w: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39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47" w:name="page48"/>
    <w:bookmarkEnd w:id="47"/>
    <w:p>
      <w:pPr>
        <w:ind w:right="100"/>
        <w:spacing w:after="0" w:line="260" w:lineRule="auto"/>
        <w:rPr>
          <w:sz w:val="20"/>
          <w:szCs w:val="20"/>
          <w:color w:val="auto"/>
        </w:rPr>
      </w:pPr>
      <w:r>
        <w:rPr>
          <w:rFonts w:ascii="Arial" w:cs="Arial" w:eastAsia="Arial" w:hAnsi="Arial"/>
          <w:sz w:val="17"/>
          <w:szCs w:val="17"/>
          <w:color w:val="auto"/>
        </w:rPr>
        <w:t>During 2007, the Company capitalized $86 million for product and process technology with a weighted-average useful life of 9 years and $2 million of other intangible assets with a weighted-average useful life of 4 years. During 2006, the Company capitalized $76 million for product and process technology, $127 million for customer related intangible assets and $21 million for trademark and trade name intangible assets with weighted-average useful lives of 10 years, 8 years and 5 years, respectively. (See “Acquisitions.”)</w:t>
      </w:r>
    </w:p>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Amortization expense for intangible assets was $75 million, $52 million and $51 million in 2007, 2006 and 2005, respectively. Annual amortization expense for intangible assets held as of August 30, 2007, is estimated to be $78 million for 2008, $67 million for 2009, $57 million for 2010, $52 million for 2011 and $43 million for 2012.</w:t>
      </w:r>
    </w:p>
    <w:p>
      <w:pPr>
        <w:spacing w:after="0" w:line="20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of August 30, 2007, the Company had goodwill of $463 million for its Memory segment and $52 million for its Imaging segment. As of August 31, 2006, the Company had goodwill of $490 million for its Memory segment and $12 million for its Imaging segment. All changes in goodwill are due to acquisitions and changes in the preliminary purchase price allocation. (See “Acquisitions.”) The Company performs its annual test of impairment for goodwill in the fourth quarter of its fiscal year.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Property, Plant and Equipment</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tcPr>
          <w:p>
            <w:pPr>
              <w:spacing w:after="0"/>
              <w:rPr>
                <w:sz w:val="20"/>
                <w:szCs w:val="20"/>
                <w:color w:val="auto"/>
              </w:rPr>
            </w:pPr>
            <w:r>
              <w:rPr>
                <w:rFonts w:ascii="Arial" w:cs="Arial" w:eastAsia="Arial" w:hAnsi="Arial"/>
                <w:sz w:val="17"/>
                <w:szCs w:val="17"/>
                <w:color w:val="auto"/>
              </w:rPr>
              <w:t>Buildings (includes $131 and $59, respectively, for capital leases)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shd w:val="clear" w:color="auto" w:fill="CCEEFF"/>
          </w:tcPr>
          <w:p>
            <w:pPr>
              <w:spacing w:after="0"/>
              <w:rPr>
                <w:sz w:val="20"/>
                <w:szCs w:val="20"/>
                <w:color w:val="auto"/>
              </w:rPr>
            </w:pPr>
            <w:r>
              <w:rPr>
                <w:rFonts w:ascii="Arial" w:cs="Arial" w:eastAsia="Arial" w:hAnsi="Arial"/>
                <w:sz w:val="17"/>
                <w:szCs w:val="17"/>
                <w:color w:val="auto"/>
              </w:rPr>
              <w:t>Equipment (includes $744 and $409, respectively, for capital leases)</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12,379</w:t>
            </w: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Software</w:t>
            </w:r>
          </w:p>
        </w:tc>
        <w:tc>
          <w:tcPr>
            <w:tcW w:w="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16,598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 (includes $258 and $229, respectively, for capital leases)</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(8,319)</w:t>
            </w: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(7,245)</w:t>
            </w:r>
          </w:p>
        </w:tc>
        <w:tc>
          <w:tcPr>
            <w:tcW w:w="0" w:type="dxa"/>
            <w:vAlign w:val="bottom"/>
          </w:tcPr>
          <w:p>
            <w:pPr>
              <w:spacing w:after="0"/>
              <w:rPr>
                <w:sz w:val="1"/>
                <w:szCs w:val="1"/>
                <w:color w:val="auto"/>
              </w:rPr>
            </w:pPr>
          </w:p>
        </w:tc>
      </w:tr>
      <w:tr>
        <w:trPr>
          <w:trHeight w:val="26"/>
        </w:trPr>
        <w:tc>
          <w:tcPr>
            <w:tcW w:w="8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83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8,279</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7"/>
                <w:szCs w:val="17"/>
                <w:color w:val="auto"/>
                <w:w w:val="96"/>
              </w:rPr>
              <w:t>Depreciation expense was $1,664 million, $1,258 million and $1,211 million for 2007, 2006 and 2005, respectively.</w:t>
            </w: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Accounts Payable and Accrued Expenses</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05"/>
        </w:trPr>
        <w:tc>
          <w:tcPr>
            <w:tcW w:w="8360" w:type="dxa"/>
            <w:vAlign w:val="bottom"/>
          </w:tcPr>
          <w:p>
            <w:pPr>
              <w:spacing w:after="0"/>
              <w:rPr>
                <w:sz w:val="20"/>
                <w:szCs w:val="20"/>
                <w:color w:val="auto"/>
              </w:rPr>
            </w:pPr>
            <w:r>
              <w:rPr>
                <w:rFonts w:ascii="Arial" w:cs="Arial" w:eastAsia="Arial" w:hAnsi="Arial"/>
                <w:sz w:val="17"/>
                <w:szCs w:val="17"/>
                <w:color w:val="auto"/>
              </w:rPr>
              <w:t>Salaries, wages and benefits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247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5"/>
        </w:trPr>
        <w:tc>
          <w:tcPr>
            <w:tcW w:w="8360" w:type="dxa"/>
            <w:vAlign w:val="bottom"/>
            <w:shd w:val="clear" w:color="auto" w:fill="CCEEFF"/>
          </w:tcPr>
          <w:p>
            <w:pPr>
              <w:spacing w:after="0"/>
              <w:rPr>
                <w:sz w:val="20"/>
                <w:szCs w:val="20"/>
                <w:color w:val="auto"/>
              </w:rPr>
            </w:pPr>
            <w:r>
              <w:rPr>
                <w:rFonts w:ascii="Arial" w:cs="Arial" w:eastAsia="Arial" w:hAnsi="Arial"/>
                <w:sz w:val="17"/>
                <w:szCs w:val="17"/>
                <w:color w:val="auto"/>
              </w:rPr>
              <w:t>Customer advances</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w:t>
            </w: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5"/>
        </w:trPr>
        <w:tc>
          <w:tcPr>
            <w:tcW w:w="8360" w:type="dxa"/>
            <w:vAlign w:val="bottom"/>
          </w:tcPr>
          <w:p>
            <w:pPr>
              <w:spacing w:after="0"/>
              <w:rPr>
                <w:sz w:val="20"/>
                <w:szCs w:val="20"/>
                <w:color w:val="auto"/>
              </w:rPr>
            </w:pPr>
            <w:r>
              <w:rPr>
                <w:rFonts w:ascii="Arial" w:cs="Arial" w:eastAsia="Arial" w:hAnsi="Arial"/>
                <w:sz w:val="17"/>
                <w:szCs w:val="17"/>
                <w:color w:val="auto"/>
              </w:rPr>
              <w:t>Taxes other than income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tcPr>
          <w:p>
            <w:pPr>
              <w:spacing w:after="0"/>
              <w:rPr>
                <w:sz w:val="20"/>
                <w:szCs w:val="20"/>
                <w:color w:val="auto"/>
              </w:rPr>
            </w:pPr>
            <w:r>
              <w:rPr>
                <w:rFonts w:ascii="Arial" w:cs="Arial" w:eastAsia="Arial" w:hAnsi="Arial"/>
                <w:sz w:val="17"/>
                <w:szCs w:val="17"/>
                <w:color w:val="auto"/>
              </w:rPr>
              <w:t>Other</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6"/>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As of August 30, 2007, customer advances includes $83 million for the Company’s obligation to provide certain NAND Flash memory products to Apple Computer, Inc. (“Apple”) until December 31, 2010, pursuant to a prepaid NAND Flash supply agreement. As of August 30, 2007, an additional $167 million was included in other noncurrent liabilities pursuant to this supply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Debt</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20" w:type="dxa"/>
            <w:vAlign w:val="bottom"/>
          </w:tcPr>
          <w:p>
            <w:pPr>
              <w:spacing w:after="0"/>
              <w:rPr>
                <w:sz w:val="19"/>
                <w:szCs w:val="19"/>
                <w:color w:val="auto"/>
              </w:rPr>
            </w:pPr>
          </w:p>
        </w:tc>
      </w:tr>
      <w:tr>
        <w:trPr>
          <w:trHeight w:val="205"/>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rPr>
              <w:t>Convertible senior notes payable, interest rate of 1.875%, due June 2014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r>
      <w:tr>
        <w:trPr>
          <w:trHeight w:val="193"/>
        </w:trPr>
        <w:tc>
          <w:tcPr>
            <w:tcW w:w="8600" w:type="dxa"/>
            <w:vAlign w:val="bottom"/>
          </w:tcPr>
          <w:p>
            <w:pPr>
              <w:spacing w:after="0" w:line="193" w:lineRule="exact"/>
              <w:rPr>
                <w:sz w:val="20"/>
                <w:szCs w:val="20"/>
                <w:color w:val="auto"/>
              </w:rPr>
            </w:pPr>
            <w:r>
              <w:rPr>
                <w:rFonts w:ascii="Arial" w:cs="Arial" w:eastAsia="Arial" w:hAnsi="Arial"/>
                <w:sz w:val="17"/>
                <w:szCs w:val="17"/>
                <w:color w:val="auto"/>
                <w:w w:val="93"/>
              </w:rPr>
              <w:t>Capital lease obligations payable in monthly installments through August 2021, weighted-average imputed interest rates of</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7"/>
        </w:trPr>
        <w:tc>
          <w:tcPr>
            <w:tcW w:w="8600" w:type="dxa"/>
            <w:vAlign w:val="bottom"/>
          </w:tcPr>
          <w:p>
            <w:pPr>
              <w:ind w:left="320"/>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264</w:t>
            </w:r>
          </w:p>
        </w:tc>
      </w:tr>
      <w:tr>
        <w:trPr>
          <w:trHeight w:val="206"/>
        </w:trPr>
        <w:tc>
          <w:tcPr>
            <w:tcW w:w="8600" w:type="dxa"/>
            <w:vAlign w:val="bottom"/>
            <w:shd w:val="clear" w:color="auto" w:fill="CCEEFF"/>
          </w:tcPr>
          <w:p>
            <w:pPr>
              <w:spacing w:after="0"/>
              <w:rPr>
                <w:sz w:val="20"/>
                <w:szCs w:val="20"/>
                <w:color w:val="auto"/>
              </w:rPr>
            </w:pPr>
            <w:r>
              <w:rPr>
                <w:rFonts w:ascii="Arial" w:cs="Arial" w:eastAsia="Arial" w:hAnsi="Arial"/>
                <w:sz w:val="17"/>
                <w:szCs w:val="17"/>
                <w:color w:val="auto"/>
                <w:w w:val="95"/>
              </w:rPr>
              <w:t>Notes payable in periodic installments through July 2015, weighted average interest rate of 4.5% and 1.5%, respectively</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237</w:t>
            </w:r>
          </w:p>
        </w:tc>
      </w:tr>
      <w:tr>
        <w:trPr>
          <w:trHeight w:val="211"/>
        </w:trPr>
        <w:tc>
          <w:tcPr>
            <w:tcW w:w="8600" w:type="dxa"/>
            <w:vAlign w:val="bottom"/>
          </w:tcPr>
          <w:p>
            <w:pPr>
              <w:spacing w:after="0"/>
              <w:rPr>
                <w:sz w:val="20"/>
                <w:szCs w:val="20"/>
                <w:color w:val="auto"/>
              </w:rPr>
            </w:pPr>
            <w:r>
              <w:rPr>
                <w:rFonts w:ascii="Arial" w:cs="Arial" w:eastAsia="Arial" w:hAnsi="Arial"/>
                <w:sz w:val="17"/>
                <w:szCs w:val="17"/>
                <w:color w:val="auto"/>
              </w:rPr>
              <w:t>Convertible subordinated notes payable, interest rate of 5.6%, due April 2010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r>
      <w:tr>
        <w:trPr>
          <w:trHeight w:val="205"/>
        </w:trPr>
        <w:tc>
          <w:tcPr>
            <w:tcW w:w="86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2,410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571</w:t>
            </w:r>
          </w:p>
        </w:tc>
      </w:tr>
      <w:tr>
        <w:trPr>
          <w:trHeight w:val="205"/>
        </w:trPr>
        <w:tc>
          <w:tcPr>
            <w:tcW w:w="8600" w:type="dxa"/>
            <w:vAlign w:val="bottom"/>
          </w:tcPr>
          <w:p>
            <w:pPr>
              <w:spacing w:after="0"/>
              <w:rPr>
                <w:sz w:val="20"/>
                <w:szCs w:val="20"/>
                <w:color w:val="auto"/>
              </w:rPr>
            </w:pPr>
            <w:r>
              <w:rPr>
                <w:rFonts w:ascii="Arial" w:cs="Arial" w:eastAsia="Arial" w:hAnsi="Arial"/>
                <w:sz w:val="17"/>
                <w:szCs w:val="17"/>
                <w:color w:val="auto"/>
              </w:rPr>
              <w:t>Less current portion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(166)</w:t>
            </w:r>
          </w:p>
        </w:tc>
      </w:tr>
      <w:tr>
        <w:trPr>
          <w:trHeight w:val="26"/>
        </w:trPr>
        <w:tc>
          <w:tcPr>
            <w:tcW w:w="8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5"/>
        </w:trPr>
        <w:tc>
          <w:tcPr>
            <w:tcW w:w="86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405</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As of August 30, 2007, notes payable and capital lease obligations above included an aggregate of $258 million, denominated in Singapore dollars, at a weighted average interest rate of 6.6% and $165 million, denominated in Japanese yen, at a weighted-average interest rate of 1.5%.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8" w:name="page49"/>
    <w:bookmarkEnd w:id="48"/>
    <w:p>
      <w:pPr>
        <w:spacing w:after="0" w:line="269" w:lineRule="auto"/>
        <w:rPr>
          <w:sz w:val="20"/>
          <w:szCs w:val="20"/>
          <w:color w:val="auto"/>
        </w:rPr>
      </w:pPr>
      <w:r>
        <w:rPr>
          <w:rFonts w:ascii="Arial" w:cs="Arial" w:eastAsia="Arial" w:hAnsi="Arial"/>
          <w:sz w:val="16"/>
          <w:szCs w:val="16"/>
          <w:color w:val="auto"/>
        </w:rPr>
        <w:t>In May 2007, the Company issued $1.3 billion of 1.875% Convertible Senior Notes due June 1, 2014 (the “Senior Notes”). The issuance costs associated with the Senior Notes totaled $26 million and the net proceeds to the Company from the offering of the Senior Notes were $1,274 million. The initial conversion rate for the Senior Notes is 70.2679 shares of common stock per $1,000 principal amount of Senior Notes, equivalent to an initial conversion price of approximately $14.23 per share of common stock. Holders may convert the Senior Notes prior to the close of business on the business day immediately preceding the maturity date for the Senior Notes only under the following circumstances: (1) during any calendar quarter beginning after August 30, 2007, (and only during such calendar quarter) if the closing price of the Company's common stock for at least 20 trading days in the 30 consecutive trading days ending on the last trading day of the immediately preceding calendar quarter is more than 130% of the then applicable conversion price per share of the Senior Notes; (2) if the Senior Notes have been called for redemption; (3) if specified distributions to holders of the Company's common stock are made, or specified corporate events occur, as specified in the indenture for the Senior Notes; (4) during the five business days after any five consecutive trading day period in which the trading price per $1,000 principal amount of Senior Notes for each day of that period was less than 98% of the product of the closing price of the Company’s common stock and the then applicable conversion rate of the Senior Notes; or (5) at any time on or after March 1, 2014. Upon conversion, the Company will have the right to deliver, in lieu of shares of its common stock, cash or a combination of cash and shares of common stock. If a holder elects to convert its Senior Notes in connection with a make-whole change in control, as defined in the indenture, the Company will, in certain circumstances, pay a make-whole premium by increasing the conversion rate for the Senior Notes converted in connection with such make-whole change in control. On or after June 6, 2011, the Company may redeem for cash all or part of the Senior Notes if the last reported sale price of its common stock has been at least 130% of the conversion price then in effect for at least 20 trading days during any 30 consecutive trading day period ending within five trading days prior to the date on which the Company provides notice of redemption. The redemption price is 100% of the principal amount of the Senior Notes to be redeemed, plus accrued and unpaid interest. Upon a change in control or a termination of trading, as defined in the indenture, the holders may require the Company to repurchase for cash all or a portion of their Senior Notes at a repurchase price equal to 100% of the principal amount of the Senior Notes, plus accrued and unpaid interest, if any.</w:t>
      </w:r>
    </w:p>
    <w:p>
      <w:pPr>
        <w:spacing w:after="0" w:line="210"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In 2007, the Company received $454 million in proceeds from sale-leaseback transactions. In connection with these transactions, the Company recorded capital lease obligations aggregating $441 million with a weighted-average imputed interest rate of 6.7%, payable in periodic installments through July 2011.</w:t>
      </w:r>
    </w:p>
    <w:p>
      <w:pPr>
        <w:spacing w:after="0" w:line="16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As of August 30, 2007, notes payable included $216 million payable to the Singapore Economic Development Board (“EDB”) recorded in connection with the Company’s acquisition of EDB’s interest in the TECH Semiconductor Singapore Pte. Ltd. joint venture in the third quarter of 2007. These notes have a stated interest rate of 6.8%, are payable to EDB in three installments through December 2007 and are collateralized by the acquired shares in the TECH joint venture. (See “Joint Ventures – TECH Semiconductor Singapore Pte. Ltd.”)</w:t>
      </w:r>
    </w:p>
    <w:p>
      <w:pPr>
        <w:spacing w:after="0" w:line="204"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Company’s TECH subsidiary has a credit facility that, as of August 30, 2007, enables it to borrow up to $360 million at Singapore Interbank Offered Rate (“SIBOR”) plus 2.5% subject to customary covenants. The amount available under the credit facility decreased to $320 million as of September 27, 2007 and will decline by approximately $40 million every calendar quarter thereafter until the facility expires in September 2009. Amounts borrowed under the facility would be due in quarterly installments through September 2009. As of August 30, 2007, TECH had not borrowed any amounts against the credit facility.</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connection with the Company’s acquisition of Lexar in the fourth quarter of 2006, the Company assumed Lexar’s $70 million 5.625% convertible notes due April 1, 2010 (the “Lexar Notes”). The Lexar Notes are convertible into the Company’s common stock any time at the option of the holders of the Notes at a price equal to approximately $11.28 per share and are subject to customary covenants. The Lexar Notes are redeemable for cash at the Company’s option beginning on April 1, 2008, at a price equal to the principal amount plus accrued interest plus the net present value of the remaining scheduled interest payments through April 1, 2010. The Company may only redeem the Lexar Notes if its common stock has exceeded 175% of the conversion price for at least 20 trading days in the 30 consecutive trading days prior to delivery of a notice of redemption.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Certain notes payable are collateralized by property, plant and equipment with a carrying value of $72 million as of August 30, 2007.</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As of August 30, 2007, maturities of notes payable and future minimum lease payments under capital lease obligations were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Capital</w:t>
            </w:r>
          </w:p>
        </w:tc>
      </w:tr>
      <w:tr>
        <w:trPr>
          <w:trHeight w:val="205"/>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Notes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2"/>
              </w:rPr>
              <w:t>Lease</w:t>
            </w:r>
          </w:p>
        </w:tc>
      </w:tr>
      <w:tr>
        <w:trPr>
          <w:trHeight w:val="227"/>
        </w:trPr>
        <w:tc>
          <w:tcPr>
            <w:tcW w:w="8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Payable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Obligations</w:t>
            </w:r>
          </w:p>
        </w:tc>
      </w:tr>
      <w:tr>
        <w:trPr>
          <w:trHeight w:val="205"/>
        </w:trPr>
        <w:tc>
          <w:tcPr>
            <w:tcW w:w="8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172</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225</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2013 and thereafter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(128)</w:t>
            </w:r>
          </w:p>
        </w:tc>
      </w:tr>
      <w:tr>
        <w:trPr>
          <w:trHeight w:val="26"/>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1,744</w:t>
            </w:r>
          </w:p>
        </w:tc>
        <w:tc>
          <w:tcPr>
            <w:tcW w:w="12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666</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Commitments</w:t>
      </w:r>
    </w:p>
    <w:p>
      <w:pPr>
        <w:spacing w:after="0" w:line="239"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As of August 30, 2007, the Company had commitments of approximately $1.2 billion for the acquisition of property, plant and equipment. The Company has an agreement to construct a facility to produce photomasks and sell such facility to its MP Mask partner for a negotiated amount. The Company expects to complete the facility in November 2007 and does not expect to incur a material loss upon completion. The Company leases certain facilities and equipment under operating leases. Total rental expense was $62 million, $30 million and $23 million for 2007, 2006 and 2005, respectively. Minimum future rental commitments under operating leases aggregated $117 million as of August 30, 2007, and are payable as follows: $31 million in 2008; $16 million in 2009; $13 million in 2010; $12 million in 2011, $10 million in 2012 and $35 million in 2013 and thereafter.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Contingencies</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Mosaid Technologies, Inc. (“Mosaid”) in both the U.S. District Court for the Northern District of California and the U.S. District Court for the Eastern District of Texas. Among other things, the above lawsuits pertain to certain of the Company’s SDRAM, DDR SDRAM, DDR2 SDRAM, RLDRAM, and image sensor products, which account for a significant portion of net sales. In the first quarter of 2008, the Company entered into a settlement agreement with the Massachusetts Institute of Technology (“MIT”) that did not have a material impact on the Company’s results of operations or financial condition.</w:t>
      </w:r>
    </w:p>
    <w:p>
      <w:pPr>
        <w:spacing w:after="0" w:line="197"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0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50" w:name="page51"/>
    <w:bookmarkEnd w:id="50"/>
    <w:p>
      <w:pPr>
        <w:ind w:right="20"/>
        <w:spacing w:after="0" w:line="256" w:lineRule="auto"/>
        <w:rPr>
          <w:sz w:val="20"/>
          <w:szCs w:val="20"/>
          <w:color w:val="auto"/>
        </w:rPr>
      </w:pPr>
      <w:r>
        <w:rPr>
          <w:rFonts w:ascii="Arial" w:cs="Arial" w:eastAsia="Arial" w:hAnsi="Arial"/>
          <w:sz w:val="17"/>
          <w:szCs w:val="17"/>
          <w:color w:val="auto"/>
        </w:rPr>
        <w:t>Subsequent to the commencement of the DOJ DRAM investigation, at least sixty-eight purported class action lawsuits have been filed against the Company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treble damages sustained by purported class members, in addition to restitution, costs, and attorneys’ fees. On June 1, 2007, the Court granted in part and denied in part the Company’s motion to dismiss the consolidated complaint. Plaintiffs subsequently have filed an amended complaint.</w:t>
      </w:r>
    </w:p>
    <w:p>
      <w:pPr>
        <w:spacing w:after="0" w:line="21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addition, various states, through their Attorneys General, have filed suit against the Company and other DRAM manufacturers. On July 14, 2006, and on September 8, 2006 in an amended complaint, the following states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Three states, Ohio, New Hampshire, and Texas, subsequently have withdrawn from the complaint.</w:t>
      </w:r>
    </w:p>
    <w:p>
      <w:pPr>
        <w:spacing w:after="0" w:line="199"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Three purported class action lawsuits also have been filed in Canada, on behalf of direct and indirect purchasers, alleging violations of the Canadian Competition Act. The substantive allegations in these cases are similar to those asserted in the cases filed in the United States.</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On January 9, 2007, the Company entered into a settlement agreement with a class of direct purchasers (“Direct Purchaser Settlement”) that had alleged price-fixing in violation of federal and state antitrust laws, violations of state unfair competition law, and/or unjust enrichment relating to the sale and pricing of DRAM</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products. Under terms of the Direct Purchaser Settlement, the Company was dismissed with prejudice from the direct purchaser consolidated class-action suit. As a result of the Direct Purchaser Settlement, the Company recorded a $50 million charge to revenue (for the amount attributable to then-current customers) and a $31 million net charge to selling, general and administrative expenses for 2007.</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In February and March 2007, All American Semiconductor, Inc., Jaco Electronics, Inc., and the DRAM Claims Liquidation Trust each filed suit against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other DRAM suppliers in the U.S. District Court for the Northern District of California after opting-out of the direct purchaser class action suit that was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settled. The complaints allege, among other things, violations of federal and state antitrust and competition laws in the DRAM industry, and seek damages, injunctive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relief, and other remedies.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1"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Subsequent to the commencement of the DOJ SRAM investigation, at least eighty purported class action lawsuits have been filed against the Company and other SRAM suppliers in various federal courts on behalf of direct and indirect purchasers alleging price-fixing in violation of federal and state antitrust laws, violations of state unfair competition law, and/or unjust enrichment relating to the sale and pricing of SRAM products during the period from January 1998 through December 2005. The complaints seek treble monetary damages sustained by purported class members, in addition to restitution, costs, and attorneys’ fees.</w:t>
      </w:r>
    </w:p>
    <w:p>
      <w:pPr>
        <w:spacing w:after="0" w:line="174"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is not a target of the investigation.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1" w:name="page52"/>
    <w:bookmarkEnd w:id="51"/>
    <w:p>
      <w:pPr>
        <w:ind w:right="40"/>
        <w:spacing w:after="0" w:line="281" w:lineRule="auto"/>
        <w:rPr>
          <w:sz w:val="20"/>
          <w:szCs w:val="20"/>
          <w:color w:val="auto"/>
        </w:rPr>
      </w:pPr>
      <w:r>
        <w:rPr>
          <w:rFonts w:ascii="Arial" w:cs="Arial" w:eastAsia="Arial" w:hAnsi="Arial"/>
          <w:sz w:val="16"/>
          <w:szCs w:val="16"/>
          <w:color w:val="auto"/>
        </w:rPr>
        <w:t>At least thirty-four purported class action lawsuits were filed against the Company and other suppliers of Flash memory products in various federal and state courts on behalf of direct and indirect purchasers alleging price-fixing in violation of federal and state antitrust laws, violations of state unfair competition law, and/or unjust enrichment relating to the sale and pricing of Flash memory products during the period from January 1, 1999 through the date the various cases were filed. The complaints seek treble monetary damages sustained by purported class members, in addition to restitution, costs, and attorneys’ fees.</w:t>
      </w:r>
    </w:p>
    <w:p>
      <w:pPr>
        <w:spacing w:after="0" w:line="190"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 On May 29, 2007, the Court granted the Company's motion to dismiss the complaint but provided plaintiffs leave to file an amended complaint. On September 6, 2007, plaintiffs filed an amended complaint.</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The Company is unable to predict the outcome of these suits. A court determination against the Company could result in significant liability and could have a material adverse effect on the Company’s business, results of operations or financial condition. (See “Acquisitions – Lexar Media, Inc.”)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2" w:name="page53"/>
    <w:bookmarkEnd w:id="52"/>
    <w:p>
      <w:pPr>
        <w:ind w:right="80"/>
        <w:spacing w:after="0" w:line="264"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Capped Call Transactions</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connection with the offering of the Senior Notes in May 2007, the Company entered into three capped call transactions (the “Capped Calls”). The Capped Calls each have an initial strike price of approximately $14.23 per share, subject to certain adjustments, which matches the initial conversion price of the Senior Notes. The Capped Calls are in three equal tranches, have cap prices of $17.25, $20.13 and $23.00 per share, and cover, subject to anti-dilution adjustments similar to those contained in the Senior Notes, an approximate combined total of 91.3 million shares of common stock. The Capped Calls may reduce the potential dilution upon conversion of the Senior Notes. Settlement of the Capped Calls in cash on their respective expiration dates would result in the Company receiving an amount ranging from zero if the market price per share of the Company’s common stock is at or below $14.23 to a maximum of $538 million. The Company paid approximately $151 million to purchase the Capped Calls. The Capped Calls expire on various dates between November 2011 and December 2012. The Capped Calls are considered capital transactions and the related cost was recorded as a charge to additional capital.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Shareholders’ Equity</w:t>
      </w:r>
    </w:p>
    <w:p>
      <w:pPr>
        <w:spacing w:after="0" w:line="239" w:lineRule="exact"/>
        <w:rPr>
          <w:sz w:val="20"/>
          <w:szCs w:val="20"/>
          <w:color w:val="auto"/>
        </w:rPr>
      </w:pPr>
    </w:p>
    <w:p>
      <w:pPr>
        <w:ind w:right="460"/>
        <w:spacing w:after="0" w:line="309" w:lineRule="auto"/>
        <w:rPr>
          <w:sz w:val="20"/>
          <w:szCs w:val="20"/>
          <w:color w:val="auto"/>
        </w:rPr>
      </w:pPr>
      <w:r>
        <w:rPr>
          <w:rFonts w:ascii="Arial" w:cs="Arial" w:eastAsia="Arial" w:hAnsi="Arial"/>
          <w:sz w:val="16"/>
          <w:szCs w:val="16"/>
          <w:b w:val="1"/>
          <w:bCs w:val="1"/>
          <w:i w:val="1"/>
          <w:iCs w:val="1"/>
          <w:color w:val="auto"/>
        </w:rPr>
        <w:t xml:space="preserve">Stock Rights: </w:t>
      </w:r>
      <w:r>
        <w:rPr>
          <w:rFonts w:ascii="Arial" w:cs="Arial" w:eastAsia="Arial" w:hAnsi="Arial"/>
          <w:sz w:val="16"/>
          <w:szCs w:val="16"/>
          <w:color w:val="auto"/>
        </w:rPr>
        <w:t>As of August 30, 2007, Intel held stock rights exchangeable into approximately 16.9 million shares of the Company’s common stock. The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issuable pursuant to the stock rights are included in weighted-average common shares outstanding in the computations of earnings per share.</w:t>
      </w:r>
    </w:p>
    <w:p>
      <w:pPr>
        <w:spacing w:after="0" w:line="167"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b w:val="1"/>
          <w:bCs w:val="1"/>
          <w:i w:val="1"/>
          <w:iCs w:val="1"/>
          <w:color w:val="auto"/>
        </w:rPr>
        <w:t xml:space="preserve">Stock Warrants: </w:t>
      </w:r>
      <w:r>
        <w:rPr>
          <w:rFonts w:ascii="Arial" w:cs="Arial" w:eastAsia="Arial" w:hAnsi="Arial"/>
          <w:sz w:val="15"/>
          <w:szCs w:val="15"/>
          <w:color w:val="auto"/>
        </w:rPr>
        <w:t>In 2001, the Company received $480 million from the issuance of warrants to purchase 29.1 million shares of the Company’s common stock.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warrants entitle the holders to exercise their warrants and purchase shares of common stock for $56.00 per share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August 30, 2007, no warrants have been exercised.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Accumulated Other Comprehensive Loss: </w:t>
      </w:r>
      <w:r>
        <w:rPr>
          <w:rFonts w:ascii="Arial" w:cs="Arial" w:eastAsia="Arial" w:hAnsi="Arial"/>
          <w:sz w:val="15"/>
          <w:szCs w:val="15"/>
          <w:color w:val="auto"/>
        </w:rPr>
        <w:t>Accumulated other comprehensive loss, net of tax, consists of the following as of the end of the periods shown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2007</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r>
      <w:tr>
        <w:trPr>
          <w:trHeight w:val="205"/>
        </w:trPr>
        <w:tc>
          <w:tcPr>
            <w:tcW w:w="6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 on investments</w:t>
            </w:r>
          </w:p>
        </w:tc>
        <w:tc>
          <w:tcPr>
            <w:tcW w:w="34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6280" w:type="dxa"/>
            <w:vAlign w:val="bottom"/>
          </w:tcPr>
          <w:p>
            <w:pPr>
              <w:spacing w:after="0"/>
              <w:rPr>
                <w:sz w:val="20"/>
                <w:szCs w:val="20"/>
                <w:color w:val="auto"/>
              </w:rPr>
            </w:pPr>
            <w:r>
              <w:rPr>
                <w:rFonts w:ascii="Arial" w:cs="Arial" w:eastAsia="Arial" w:hAnsi="Arial"/>
                <w:sz w:val="17"/>
                <w:szCs w:val="17"/>
                <w:color w:val="auto"/>
              </w:rPr>
              <w:t>Adjustment to initially apply SFAS No. 158, net of tax</w:t>
            </w:r>
          </w:p>
        </w:tc>
        <w:tc>
          <w:tcPr>
            <w:tcW w:w="2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6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34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
        </w:trPr>
        <w:tc>
          <w:tcPr>
            <w:tcW w:w="62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Plans</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of August 30, 2007, the Company had an aggregate of 181.8 million shares of its common stock reserved for issuance for stock options and restricted stock awards, of which 124.8 million shares were subject to outstanding awards and 57.0 million shares were available for future grants. Awards are subject to terms and conditions as determined by the Company’s Board of Directors.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3" w:name="page54"/>
    <w:bookmarkEnd w:id="53"/>
    <w:p>
      <w:pPr>
        <w:ind w:right="40"/>
        <w:spacing w:after="0" w:line="264"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Stock options granted by the Company are generally exercisable in increments of 25% during each year of employment beginning one year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grant. Stock options issued prior to January 19, 1998, and after September 22, 2004, generally expire six years from the date of grant. All other options expire ten years from the grant date.</w:t>
      </w:r>
    </w:p>
    <w:p>
      <w:pPr>
        <w:spacing w:after="0" w:line="201" w:lineRule="exact"/>
        <w:rPr>
          <w:sz w:val="20"/>
          <w:szCs w:val="20"/>
          <w:color w:val="auto"/>
        </w:rPr>
      </w:pPr>
    </w:p>
    <w:p>
      <w:pPr>
        <w:ind w:right="400"/>
        <w:spacing w:after="0" w:line="346" w:lineRule="auto"/>
        <w:rPr>
          <w:sz w:val="20"/>
          <w:szCs w:val="20"/>
          <w:color w:val="auto"/>
        </w:rPr>
      </w:pPr>
      <w:r>
        <w:rPr>
          <w:rFonts w:ascii="Arial" w:cs="Arial" w:eastAsia="Arial" w:hAnsi="Arial"/>
          <w:sz w:val="15"/>
          <w:szCs w:val="15"/>
          <w:color w:val="auto"/>
        </w:rPr>
        <w:t>In connection with the Company’s acquisition of Lexar in 2006, the Company assumed Lexar options, which were converted into options to purchase 6.6 million shares of the Company’s common stock, which vest over four years and expire ten years from the grant date. (See “Acquisitions – Lexar Media, Inc.”)</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Option activity for 2007 is summarized as follows: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0"/>
              </w:rPr>
              <w:t>Weighted-</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average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0"/>
              </w:rPr>
              <w:t>average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13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exercise price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contractual life</w:t>
            </w:r>
          </w:p>
        </w:tc>
        <w:tc>
          <w:tcPr>
            <w:tcW w:w="2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Aggregate</w:t>
            </w:r>
          </w:p>
        </w:tc>
      </w:tr>
      <w:tr>
        <w:trPr>
          <w:trHeight w:val="227"/>
        </w:trPr>
        <w:tc>
          <w:tcPr>
            <w:tcW w:w="60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19"/>
                <w:szCs w:val="19"/>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1"/>
              </w:rPr>
              <w:t>per share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13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intrinsic value</w:t>
            </w:r>
          </w:p>
        </w:tc>
      </w:tr>
      <w:tr>
        <w:trPr>
          <w:trHeight w:val="205"/>
        </w:trPr>
        <w:tc>
          <w:tcPr>
            <w:tcW w:w="60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August 31, 2006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20.02</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24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12.80</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9.55</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Cancelled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(7.1)</w:t>
            </w:r>
          </w:p>
        </w:tc>
        <w:tc>
          <w:tcPr>
            <w:tcW w:w="24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20.17</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6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at August 30, 2007</w:t>
            </w:r>
          </w:p>
        </w:tc>
        <w:tc>
          <w:tcPr>
            <w:tcW w:w="130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119.5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5"/>
              <w:spacing w:after="0" w:line="185" w:lineRule="exact"/>
              <w:rPr>
                <w:sz w:val="20"/>
                <w:szCs w:val="20"/>
                <w:color w:val="auto"/>
              </w:rPr>
            </w:pPr>
            <w:r>
              <w:rPr>
                <w:rFonts w:ascii="Arial" w:cs="Arial" w:eastAsia="Arial" w:hAnsi="Arial"/>
                <w:sz w:val="17"/>
                <w:szCs w:val="17"/>
                <w:color w:val="auto"/>
              </w:rPr>
              <w:t>20.00</w:t>
            </w:r>
          </w:p>
        </w:tc>
        <w:tc>
          <w:tcPr>
            <w:tcW w:w="1360" w:type="dxa"/>
            <w:vAlign w:val="bottom"/>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rPr>
              <w:t>4.02</w:t>
            </w:r>
          </w:p>
        </w:tc>
        <w:tc>
          <w:tcPr>
            <w:tcW w:w="2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7</w:t>
            </w:r>
          </w:p>
        </w:tc>
      </w:tr>
      <w:tr>
        <w:trPr>
          <w:trHeight w:val="196"/>
        </w:trPr>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August 30, 2007</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21.12</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3.87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Expected to vest after August 30, 2007</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15.6</w:t>
            </w:r>
          </w:p>
        </w:tc>
        <w:tc>
          <w:tcPr>
            <w:tcW w:w="24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13.06</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4.97</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options outstanding as of August 30, 2007: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9"/>
              </w:rPr>
              <w:t>Outstanding options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Exercisable options</w:t>
            </w:r>
          </w:p>
        </w:tc>
      </w:tr>
      <w:tr>
        <w:trPr>
          <w:trHeight w:val="189"/>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2"/>
              </w:rPr>
              <w:t>Weighted-</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5"/>
              <w:spacing w:after="0" w:line="189" w:lineRule="exact"/>
              <w:rPr>
                <w:sz w:val="20"/>
                <w:szCs w:val="20"/>
                <w:color w:val="auto"/>
              </w:rPr>
            </w:pPr>
            <w:r>
              <w:rPr>
                <w:rFonts w:ascii="Arial" w:cs="Arial" w:eastAsia="Arial" w:hAnsi="Arial"/>
                <w:sz w:val="17"/>
                <w:szCs w:val="17"/>
                <w:b w:val="1"/>
                <w:bCs w:val="1"/>
                <w:color w:val="auto"/>
                <w:w w:val="92"/>
              </w:rPr>
              <w:t>Weighted-</w:t>
            </w: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5"/>
              <w:spacing w:after="0" w:line="189" w:lineRule="exact"/>
              <w:rPr>
                <w:sz w:val="20"/>
                <w:szCs w:val="20"/>
                <w:color w:val="auto"/>
              </w:rPr>
            </w:pPr>
            <w:r>
              <w:rPr>
                <w:rFonts w:ascii="Arial" w:cs="Arial" w:eastAsia="Arial" w:hAnsi="Arial"/>
                <w:sz w:val="17"/>
                <w:szCs w:val="17"/>
                <w:b w:val="1"/>
                <w:bCs w:val="1"/>
                <w:color w:val="auto"/>
                <w:w w:val="92"/>
              </w:rPr>
              <w:t>Weighted-</w:t>
            </w:r>
          </w:p>
        </w:tc>
        <w:tc>
          <w:tcPr>
            <w:tcW w:w="100" w:type="dxa"/>
            <w:vAlign w:val="bottom"/>
          </w:tcPr>
          <w:p>
            <w:pPr>
              <w:spacing w:after="0"/>
              <w:rPr>
                <w:sz w:val="16"/>
                <w:szCs w:val="16"/>
                <w:color w:val="auto"/>
              </w:rPr>
            </w:pPr>
          </w:p>
        </w:tc>
      </w:tr>
      <w:tr>
        <w:trPr>
          <w:trHeight w:val="205"/>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7"/>
              </w:rPr>
              <w:t>average</w:t>
            </w:r>
          </w:p>
        </w:tc>
        <w:tc>
          <w:tcPr>
            <w:tcW w:w="1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average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average</w:t>
            </w:r>
          </w:p>
        </w:tc>
      </w:tr>
      <w:tr>
        <w:trPr>
          <w:trHeight w:val="205"/>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1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2"/>
              </w:rPr>
              <w:t>exercise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2"/>
              </w:rPr>
              <w:t>exercise</w:t>
            </w:r>
          </w:p>
        </w:tc>
      </w:tr>
      <w:tr>
        <w:trPr>
          <w:trHeight w:val="205"/>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40" w:type="dxa"/>
            <w:vAlign w:val="bottom"/>
          </w:tcPr>
          <w:p>
            <w:pPr>
              <w:jc w:val="right"/>
              <w:ind w:right="175"/>
              <w:spacing w:after="0"/>
              <w:rPr>
                <w:sz w:val="20"/>
                <w:szCs w:val="20"/>
                <w:color w:val="auto"/>
              </w:rPr>
            </w:pPr>
            <w:r>
              <w:rPr>
                <w:rFonts w:ascii="Arial" w:cs="Arial" w:eastAsia="Arial" w:hAnsi="Arial"/>
                <w:sz w:val="17"/>
                <w:szCs w:val="17"/>
                <w:b w:val="1"/>
                <w:bCs w:val="1"/>
                <w:color w:val="auto"/>
              </w:rPr>
              <w:t>Number</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1"/>
              </w:rPr>
              <w:t>contractual</w:t>
            </w:r>
          </w:p>
        </w:tc>
        <w:tc>
          <w:tcPr>
            <w:tcW w:w="1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price</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Number</w:t>
            </w: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price</w:t>
            </w:r>
          </w:p>
        </w:tc>
      </w:tr>
      <w:tr>
        <w:trPr>
          <w:trHeight w:val="227"/>
        </w:trPr>
        <w:tc>
          <w:tcPr>
            <w:tcW w:w="4700" w:type="dxa"/>
            <w:vAlign w:val="bottom"/>
            <w:gridSpan w:val="3"/>
          </w:tcPr>
          <w:p>
            <w:pPr>
              <w:spacing w:after="0"/>
              <w:rPr>
                <w:sz w:val="20"/>
                <w:szCs w:val="20"/>
                <w:color w:val="auto"/>
              </w:rPr>
            </w:pPr>
            <w:r>
              <w:rPr>
                <w:rFonts w:ascii="Arial" w:cs="Arial" w:eastAsia="Arial" w:hAnsi="Arial"/>
                <w:sz w:val="17"/>
                <w:szCs w:val="17"/>
                <w:b w:val="1"/>
                <w:bCs w:val="1"/>
                <w:color w:val="auto"/>
              </w:rPr>
              <w:t>Range of exercise prices</w:t>
            </w:r>
          </w:p>
        </w:tc>
        <w:tc>
          <w:tcPr>
            <w:tcW w:w="1140" w:type="dxa"/>
            <w:vAlign w:val="bottom"/>
          </w:tcPr>
          <w:p>
            <w:pPr>
              <w:jc w:val="right"/>
              <w:ind w:right="155"/>
              <w:spacing w:after="0"/>
              <w:rPr>
                <w:sz w:val="20"/>
                <w:szCs w:val="20"/>
                <w:color w:val="auto"/>
              </w:rPr>
            </w:pPr>
            <w:r>
              <w:rPr>
                <w:rFonts w:ascii="Arial" w:cs="Arial" w:eastAsia="Arial" w:hAnsi="Arial"/>
                <w:sz w:val="17"/>
                <w:szCs w:val="17"/>
                <w:b w:val="1"/>
                <w:bCs w:val="1"/>
                <w:color w:val="auto"/>
              </w:rPr>
              <w:t>of shares</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91"/>
              </w:rPr>
              <w:t>life (in years)</w:t>
            </w:r>
          </w:p>
        </w:tc>
        <w:tc>
          <w:tcPr>
            <w:tcW w:w="16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per share</w:t>
            </w:r>
          </w:p>
        </w:tc>
        <w:tc>
          <w:tcPr>
            <w:tcW w:w="12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of shares</w:t>
            </w:r>
          </w:p>
        </w:tc>
        <w:tc>
          <w:tcPr>
            <w:tcW w:w="2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per share</w:t>
            </w:r>
          </w:p>
        </w:tc>
      </w:tr>
      <w:tr>
        <w:trPr>
          <w:trHeight w:val="205"/>
        </w:trPr>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$0.51 -</w:t>
            </w:r>
          </w:p>
        </w:tc>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$14.02</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4.43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12.51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12.43</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14.03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3980" w:type="dxa"/>
            <w:vAlign w:val="bottom"/>
          </w:tcPr>
          <w:p>
            <w:pPr>
              <w:ind w:left="40"/>
              <w:spacing w:after="0"/>
              <w:rPr>
                <w:sz w:val="20"/>
                <w:szCs w:val="20"/>
                <w:color w:val="auto"/>
              </w:rPr>
            </w:pPr>
            <w:r>
              <w:rPr>
                <w:rFonts w:ascii="Arial" w:cs="Arial" w:eastAsia="Arial" w:hAnsi="Arial"/>
                <w:sz w:val="17"/>
                <w:szCs w:val="17"/>
                <w:color w:val="auto"/>
              </w:rPr>
              <w:t>22.83</w:t>
            </w:r>
          </w:p>
        </w:tc>
        <w:tc>
          <w:tcPr>
            <w:tcW w:w="1140" w:type="dxa"/>
            <w:vAlign w:val="bottom"/>
          </w:tcPr>
          <w:p>
            <w:pPr>
              <w:jc w:val="right"/>
              <w:spacing w:after="0"/>
              <w:rPr>
                <w:sz w:val="20"/>
                <w:szCs w:val="20"/>
                <w:color w:val="auto"/>
              </w:rPr>
            </w:pPr>
            <w:r>
              <w:rPr>
                <w:rFonts w:ascii="Arial" w:cs="Arial" w:eastAsia="Arial" w:hAnsi="Arial"/>
                <w:sz w:val="17"/>
                <w:szCs w:val="17"/>
                <w:color w:val="auto"/>
              </w:rPr>
              <w:t>29.6</w:t>
            </w:r>
          </w:p>
        </w:tc>
        <w:tc>
          <w:tcPr>
            <w:tcW w:w="1600" w:type="dxa"/>
            <w:vAlign w:val="bottom"/>
          </w:tcPr>
          <w:p>
            <w:pPr>
              <w:jc w:val="right"/>
              <w:ind w:right="115"/>
              <w:spacing w:after="0"/>
              <w:rPr>
                <w:sz w:val="20"/>
                <w:szCs w:val="20"/>
                <w:color w:val="auto"/>
              </w:rPr>
            </w:pPr>
            <w:r>
              <w:rPr>
                <w:rFonts w:ascii="Arial" w:cs="Arial" w:eastAsia="Arial" w:hAnsi="Arial"/>
                <w:sz w:val="17"/>
                <w:szCs w:val="17"/>
                <w:color w:val="auto"/>
              </w:rPr>
              <w:t>4.40</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18.87</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27.3</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19.22</w:t>
            </w:r>
          </w:p>
        </w:tc>
      </w:tr>
      <w:tr>
        <w:trPr>
          <w:trHeight w:val="205"/>
        </w:trPr>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34.06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2.86</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29.97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29.97</w:t>
            </w:r>
          </w:p>
        </w:tc>
      </w:tr>
      <w:tr>
        <w:trPr>
          <w:trHeight w:val="205"/>
        </w:trPr>
        <w:tc>
          <w:tcPr>
            <w:tcW w:w="580" w:type="dxa"/>
            <w:vAlign w:val="bottom"/>
          </w:tcPr>
          <w:p>
            <w:pPr>
              <w:jc w:val="right"/>
              <w:spacing w:after="0"/>
              <w:rPr>
                <w:sz w:val="20"/>
                <w:szCs w:val="20"/>
                <w:color w:val="auto"/>
              </w:rPr>
            </w:pPr>
            <w:r>
              <w:rPr>
                <w:rFonts w:ascii="Arial" w:cs="Arial" w:eastAsia="Arial" w:hAnsi="Arial"/>
                <w:sz w:val="17"/>
                <w:szCs w:val="17"/>
                <w:color w:val="auto"/>
              </w:rPr>
              <w:t>34.09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3980" w:type="dxa"/>
            <w:vAlign w:val="bottom"/>
          </w:tcPr>
          <w:p>
            <w:pPr>
              <w:ind w:left="40"/>
              <w:spacing w:after="0"/>
              <w:rPr>
                <w:sz w:val="20"/>
                <w:szCs w:val="20"/>
                <w:color w:val="auto"/>
              </w:rPr>
            </w:pPr>
            <w:r>
              <w:rPr>
                <w:rFonts w:ascii="Arial" w:cs="Arial" w:eastAsia="Arial" w:hAnsi="Arial"/>
                <w:sz w:val="17"/>
                <w:szCs w:val="17"/>
                <w:color w:val="auto"/>
              </w:rPr>
              <w:t>40.06</w:t>
            </w:r>
          </w:p>
        </w:tc>
        <w:tc>
          <w:tcPr>
            <w:tcW w:w="1140" w:type="dxa"/>
            <w:vAlign w:val="bottom"/>
          </w:tcPr>
          <w:p>
            <w:pPr>
              <w:jc w:val="right"/>
              <w:spacing w:after="0"/>
              <w:rPr>
                <w:sz w:val="20"/>
                <w:szCs w:val="20"/>
                <w:color w:val="auto"/>
              </w:rPr>
            </w:pPr>
            <w:r>
              <w:rPr>
                <w:rFonts w:ascii="Arial" w:cs="Arial" w:eastAsia="Arial" w:hAnsi="Arial"/>
                <w:sz w:val="17"/>
                <w:szCs w:val="17"/>
                <w:color w:val="auto"/>
              </w:rPr>
              <w:t>6.6</w:t>
            </w:r>
          </w:p>
        </w:tc>
        <w:tc>
          <w:tcPr>
            <w:tcW w:w="1600" w:type="dxa"/>
            <w:vAlign w:val="bottom"/>
          </w:tcPr>
          <w:p>
            <w:pPr>
              <w:jc w:val="right"/>
              <w:ind w:right="115"/>
              <w:spacing w:after="0"/>
              <w:rPr>
                <w:sz w:val="20"/>
                <w:szCs w:val="20"/>
                <w:color w:val="auto"/>
              </w:rPr>
            </w:pPr>
            <w:r>
              <w:rPr>
                <w:rFonts w:ascii="Arial" w:cs="Arial" w:eastAsia="Arial" w:hAnsi="Arial"/>
                <w:sz w:val="17"/>
                <w:szCs w:val="17"/>
                <w:color w:val="auto"/>
              </w:rPr>
              <w:t>2.38</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36.93</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6.6</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36.93</w:t>
            </w:r>
          </w:p>
        </w:tc>
      </w:tr>
      <w:tr>
        <w:trPr>
          <w:trHeight w:val="205"/>
        </w:trPr>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96.56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6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3.11</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66.35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66.35</w:t>
            </w:r>
          </w:p>
        </w:tc>
      </w:tr>
      <w:tr>
        <w:trPr>
          <w:trHeight w:val="26"/>
        </w:trPr>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119.5</w:t>
            </w:r>
          </w:p>
        </w:tc>
        <w:tc>
          <w:tcPr>
            <w:tcW w:w="1600" w:type="dxa"/>
            <w:vAlign w:val="bottom"/>
          </w:tcPr>
          <w:p>
            <w:pPr>
              <w:jc w:val="right"/>
              <w:ind w:right="115"/>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20.00</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102.9</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21.12</w:t>
            </w: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20"/>
        <w:spacing w:after="0" w:line="346" w:lineRule="auto"/>
        <w:rPr>
          <w:sz w:val="20"/>
          <w:szCs w:val="20"/>
          <w:color w:val="auto"/>
        </w:rPr>
      </w:pPr>
      <w:r>
        <w:rPr>
          <w:rFonts w:ascii="Arial" w:cs="Arial" w:eastAsia="Arial" w:hAnsi="Arial"/>
          <w:sz w:val="15"/>
          <w:szCs w:val="15"/>
          <w:color w:val="auto"/>
        </w:rPr>
        <w:t>The weighted-average grant-date fair value per share was $4.87, $5.92 and $5.10 for options granted during 2007, 2006 and 2005, respectively. The total intrinsic value was $32 million and $46 million for options exercised during 2007 and 2006. The total intrinsic value for options exercised during 2005 was de minimis.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Company’s nonvested options for 2007 are summarized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Weighted-</w:t>
            </w:r>
          </w:p>
        </w:tc>
      </w:tr>
      <w:tr>
        <w:trPr>
          <w:trHeight w:val="205"/>
        </w:trPr>
        <w:tc>
          <w:tcPr>
            <w:tcW w:w="8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average grant</w:t>
            </w:r>
          </w:p>
        </w:tc>
      </w:tr>
      <w:tr>
        <w:trPr>
          <w:trHeight w:val="205"/>
        </w:trPr>
        <w:tc>
          <w:tcPr>
            <w:tcW w:w="88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13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date fair value</w:t>
            </w:r>
          </w:p>
        </w:tc>
      </w:tr>
      <w:tr>
        <w:trPr>
          <w:trHeight w:val="227"/>
        </w:trPr>
        <w:tc>
          <w:tcPr>
            <w:tcW w:w="88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9"/>
              </w:rPr>
              <w:t>per share</w:t>
            </w:r>
          </w:p>
        </w:tc>
      </w:tr>
      <w:tr>
        <w:trPr>
          <w:trHeight w:val="205"/>
        </w:trPr>
        <w:tc>
          <w:tcPr>
            <w:tcW w:w="88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August 31, 2006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4.87</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6.28</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Cancelled</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6.04</w:t>
            </w:r>
          </w:p>
        </w:tc>
      </w:tr>
      <w:tr>
        <w:trPr>
          <w:trHeight w:val="26"/>
        </w:trPr>
        <w:tc>
          <w:tcPr>
            <w:tcW w:w="88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August 30, 2007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As of August 30, 2007, there was $64 million of total unrecognized compensation cost net of estimated forfeitures related to nonvested stock options, which is expected to be recognized over a weighted-average period of 1.4 years. The Company’s nonvested options as of August 30, 2007, have a weighted-average exercise price of $13.06, a weighted-average remaining contractual life of 4.95 years and a de minimis aggregate intrinsic value.</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fair value of each option award is estimated as of the date of grant using the Black-Scholes model. Expected volatilities are based on implied volatilities from traded options on the Company’s stock and historical volatility. The expected life of options granted is based on historical experience and on the terms and conditions of the options. The risk-free rates are based on the U.S. Treasury yield in effect at the time of the grant. For purposes of this valuation model, no dividends have been assumed. 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Assumptions used in the Black-Scholes model are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2007</w:t>
            </w: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40" w:type="dxa"/>
            <w:vAlign w:val="bottom"/>
          </w:tcPr>
          <w:p>
            <w:pPr>
              <w:spacing w:after="0"/>
              <w:rPr>
                <w:sz w:val="19"/>
                <w:szCs w:val="19"/>
                <w:color w:val="auto"/>
              </w:rPr>
            </w:pPr>
          </w:p>
        </w:tc>
      </w:tr>
      <w:tr>
        <w:trPr>
          <w:trHeight w:val="205"/>
        </w:trPr>
        <w:tc>
          <w:tcPr>
            <w:tcW w:w="56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Average expected life in years</w:t>
            </w:r>
          </w:p>
        </w:tc>
        <w:tc>
          <w:tcPr>
            <w:tcW w:w="46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4.25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w:t>
            </w:r>
          </w:p>
        </w:tc>
      </w:tr>
      <w:tr>
        <w:trPr>
          <w:trHeight w:val="205"/>
        </w:trPr>
        <w:tc>
          <w:tcPr>
            <w:tcW w:w="5600" w:type="dxa"/>
            <w:vAlign w:val="bottom"/>
          </w:tcPr>
          <w:p>
            <w:pPr>
              <w:spacing w:after="0"/>
              <w:rPr>
                <w:sz w:val="20"/>
                <w:szCs w:val="20"/>
                <w:color w:val="auto"/>
              </w:rPr>
            </w:pPr>
            <w:r>
              <w:rPr>
                <w:rFonts w:ascii="Arial" w:cs="Arial" w:eastAsia="Arial" w:hAnsi="Arial"/>
                <w:sz w:val="17"/>
                <w:szCs w:val="17"/>
                <w:color w:val="auto"/>
              </w:rPr>
              <w:t>Expected volatility</w:t>
            </w:r>
          </w:p>
        </w:tc>
        <w:tc>
          <w:tcPr>
            <w:tcW w:w="4680" w:type="dxa"/>
            <w:vAlign w:val="bottom"/>
          </w:tcPr>
          <w:p>
            <w:pPr>
              <w:jc w:val="right"/>
              <w:ind w:right="175"/>
              <w:spacing w:after="0"/>
              <w:rPr>
                <w:sz w:val="20"/>
                <w:szCs w:val="20"/>
                <w:color w:val="auto"/>
              </w:rPr>
            </w:pPr>
            <w:r>
              <w:rPr>
                <w:rFonts w:ascii="Arial" w:cs="Arial" w:eastAsia="Arial" w:hAnsi="Arial"/>
                <w:sz w:val="17"/>
                <w:szCs w:val="17"/>
                <w:color w:val="auto"/>
              </w:rPr>
              <w:t>33%-42%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42%-48%</w:t>
            </w:r>
          </w:p>
        </w:tc>
      </w:tr>
      <w:tr>
        <w:trPr>
          <w:trHeight w:val="205"/>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6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56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680" w:type="dxa"/>
            <w:vAlign w:val="bottom"/>
          </w:tcPr>
          <w:p>
            <w:pPr>
              <w:jc w:val="right"/>
              <w:ind w:right="175"/>
              <w:spacing w:after="0"/>
              <w:rPr>
                <w:sz w:val="20"/>
                <w:szCs w:val="20"/>
                <w:color w:val="auto"/>
              </w:rPr>
            </w:pPr>
            <w:r>
              <w:rPr>
                <w:rFonts w:ascii="Arial" w:cs="Arial" w:eastAsia="Arial" w:hAnsi="Arial"/>
                <w:sz w:val="17"/>
                <w:szCs w:val="17"/>
                <w:color w:val="auto"/>
              </w:rPr>
              <w:t>4.5%-5.2%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3.9%-5.2%</w:t>
            </w:r>
          </w:p>
        </w:tc>
      </w:tr>
    </w:tbl>
    <w:p>
      <w:pPr>
        <w:spacing w:after="0" w:line="20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As of August 30, 2007, there were 5.3 million shares of restricted stock and restricted stock units outstanding, of which 1.5 million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Company-wide performance goals. Restricted stock activity for 2007 is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7"/>
              </w:rPr>
              <w:t>average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3"/>
              </w:rPr>
              <w:t>remaining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4"/>
              </w:rPr>
              <w:t>Number of</w:t>
            </w: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2"/>
              </w:rPr>
              <w:t>contractual life</w:t>
            </w:r>
          </w:p>
        </w:tc>
        <w:tc>
          <w:tcPr>
            <w:tcW w:w="2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Aggregate</w:t>
            </w:r>
          </w:p>
        </w:tc>
      </w:tr>
      <w:tr>
        <w:trPr>
          <w:trHeight w:val="227"/>
        </w:trPr>
        <w:tc>
          <w:tcPr>
            <w:tcW w:w="7440" w:type="dxa"/>
            <w:vAlign w:val="bottom"/>
          </w:tcPr>
          <w:p>
            <w:pPr>
              <w:spacing w:after="0"/>
              <w:rPr>
                <w:sz w:val="19"/>
                <w:szCs w:val="19"/>
                <w:color w:val="auto"/>
              </w:rPr>
            </w:pPr>
          </w:p>
        </w:tc>
        <w:tc>
          <w:tcPr>
            <w:tcW w:w="840" w:type="dxa"/>
            <w:vAlign w:val="bottom"/>
          </w:tcPr>
          <w:p>
            <w:pPr>
              <w:jc w:val="center"/>
              <w:ind w:left="215"/>
              <w:spacing w:after="0"/>
              <w:rPr>
                <w:sz w:val="20"/>
                <w:szCs w:val="20"/>
                <w:color w:val="auto"/>
              </w:rPr>
            </w:pPr>
            <w:r>
              <w:rPr>
                <w:rFonts w:ascii="Arial" w:cs="Arial" w:eastAsia="Arial" w:hAnsi="Arial"/>
                <w:sz w:val="17"/>
                <w:szCs w:val="17"/>
                <w:b w:val="1"/>
                <w:bCs w:val="1"/>
                <w:color w:val="auto"/>
                <w:w w:val="83"/>
              </w:rPr>
              <w:t>shares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(in years)</w:t>
            </w:r>
          </w:p>
        </w:tc>
        <w:tc>
          <w:tcPr>
            <w:tcW w:w="1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intrinsic value</w:t>
            </w:r>
          </w:p>
        </w:tc>
      </w:tr>
      <w:tr>
        <w:trPr>
          <w:trHeight w:val="205"/>
        </w:trPr>
        <w:tc>
          <w:tcPr>
            <w:tcW w:w="7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August 31, 2006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28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Restrictions lapsed</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(0.8)</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7440" w:type="dxa"/>
            <w:vAlign w:val="bottom"/>
            <w:tcBorders>
              <w:top w:val="single" w:sz="8" w:color="CCEEFF"/>
            </w:tcBorders>
          </w:tcPr>
          <w:p>
            <w:pPr>
              <w:spacing w:after="0" w:line="185" w:lineRule="exact"/>
              <w:rPr>
                <w:sz w:val="20"/>
                <w:szCs w:val="20"/>
                <w:color w:val="auto"/>
              </w:rPr>
            </w:pPr>
            <w:r>
              <w:rPr>
                <w:rFonts w:ascii="Arial" w:cs="Arial" w:eastAsia="Arial" w:hAnsi="Arial"/>
                <w:sz w:val="17"/>
                <w:szCs w:val="17"/>
                <w:color w:val="auto"/>
              </w:rPr>
              <w:t>Outstanding at August 30, 2007</w:t>
            </w:r>
          </w:p>
        </w:tc>
        <w:tc>
          <w:tcPr>
            <w:tcW w:w="8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5.3</w:t>
            </w:r>
          </w:p>
        </w:tc>
        <w:tc>
          <w:tcPr>
            <w:tcW w:w="1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jc w:val="right"/>
              <w:ind w:right="15"/>
              <w:spacing w:after="0" w:line="185" w:lineRule="exact"/>
              <w:rPr>
                <w:sz w:val="20"/>
                <w:szCs w:val="20"/>
                <w:color w:val="auto"/>
              </w:rPr>
            </w:pPr>
            <w:r>
              <w:rPr>
                <w:rFonts w:ascii="Arial" w:cs="Arial" w:eastAsia="Arial" w:hAnsi="Arial"/>
                <w:sz w:val="17"/>
                <w:szCs w:val="17"/>
                <w:color w:val="auto"/>
              </w:rPr>
              <w:t>2.4</w:t>
            </w:r>
          </w:p>
        </w:tc>
        <w:tc>
          <w:tcPr>
            <w:tcW w:w="260" w:type="dxa"/>
            <w:vAlign w:val="bottom"/>
            <w:tcBorders>
              <w:top w:val="single" w:sz="8" w:color="CCEEFF"/>
            </w:tcBorders>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CCEEFF"/>
            </w:tcBorders>
          </w:tcPr>
          <w:p>
            <w:pPr>
              <w:jc w:val="right"/>
              <w:spacing w:after="0" w:line="185" w:lineRule="exact"/>
              <w:rPr>
                <w:sz w:val="20"/>
                <w:szCs w:val="20"/>
                <w:color w:val="auto"/>
              </w:rPr>
            </w:pPr>
            <w:r>
              <w:rPr>
                <w:rFonts w:ascii="Arial" w:cs="Arial" w:eastAsia="Arial" w:hAnsi="Arial"/>
                <w:sz w:val="17"/>
                <w:szCs w:val="17"/>
                <w:color w:val="auto"/>
              </w:rPr>
              <w:t>60</w:t>
            </w:r>
          </w:p>
        </w:tc>
        <w:tc>
          <w:tcPr>
            <w:tcW w:w="100" w:type="dxa"/>
            <w:vAlign w:val="bottom"/>
            <w:tcBorders>
              <w:top w:val="single" w:sz="8" w:color="CCEEFF"/>
            </w:tcBorders>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7"/>
                <w:szCs w:val="17"/>
                <w:color w:val="auto"/>
              </w:rPr>
              <w:t>Expected to vest after August 30, 2007</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weighted-average grant-date fair value for restricted stock awards granted during 2007 and 2006 was $14.91 and $13.04 per share, respectively. The total value of awards for which restrictions lapsed during 2007 and 2006 was $11 million and $2 million. As of August 30, 2007, there was $49 million of total unrecognized compensation cost net of estimated forfeitures, related to nonvested restricted stock awards, which is expected to be recognized over a weighted-average period of 1.4 years.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55" w:name="page56"/>
    <w:bookmarkEnd w:id="55"/>
    <w:p>
      <w:pPr>
        <w:ind w:right="60"/>
        <w:spacing w:after="0" w:line="278" w:lineRule="auto"/>
        <w:rPr>
          <w:sz w:val="20"/>
          <w:szCs w:val="20"/>
          <w:color w:val="auto"/>
        </w:rPr>
      </w:pPr>
      <w:r>
        <w:rPr>
          <w:rFonts w:ascii="Arial" w:cs="Arial" w:eastAsia="Arial" w:hAnsi="Arial"/>
          <w:sz w:val="16"/>
          <w:szCs w:val="16"/>
          <w:b w:val="1"/>
          <w:bCs w:val="1"/>
          <w:i w:val="1"/>
          <w:iCs w:val="1"/>
          <w:color w:val="auto"/>
        </w:rPr>
        <w:t xml:space="preserve">Stock Purchase Plan: </w:t>
      </w:r>
      <w:r>
        <w:rPr>
          <w:rFonts w:ascii="Arial" w:cs="Arial" w:eastAsia="Arial" w:hAnsi="Arial"/>
          <w:sz w:val="16"/>
          <w:szCs w:val="16"/>
          <w:color w:val="auto"/>
        </w:rPr>
        <w:t>The Company’s 1989 Employee Stock Purchase Plan (“ESPP”) allows eligible employees to purchase shares of the Company’s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payroll deductions. Prior to July 1, 2005, shares could be purchased at 85% of the lower of the beginning or ending closing stock prices of each quarterly offering period. After July 1, 2005, shares can be purchased at 95% of the ending closing stock price of each offering quarterly period. Shares can be resold when purchased. Purchases are limited to 20% of an employee’s eligible compensation. As of August 30, 2007, 27.4 million shares of the Company’s common stock had been issued under the ESPP and 2.1 million shares were available for future issuance under the plan.</w:t>
      </w:r>
    </w:p>
    <w:p>
      <w:pPr>
        <w:spacing w:after="0" w:line="19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i w:val="1"/>
          <w:iCs w:val="1"/>
          <w:color w:val="auto"/>
        </w:rPr>
        <w:t xml:space="preserve">Non-Employee Director Stock Incentive Plan: </w:t>
      </w:r>
      <w:r>
        <w:rPr>
          <w:rFonts w:ascii="Arial" w:cs="Arial" w:eastAsia="Arial" w:hAnsi="Arial"/>
          <w:sz w:val="17"/>
          <w:szCs w:val="17"/>
          <w:color w:val="auto"/>
        </w:rPr>
        <w:t>Shares are issued under the Director Stock Incentive Plan (“DSIP”) as compensation to non-employee directors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 of August 30, 2007, 64,666 shares of the Company’s common stock had been issued under the DSIP and 435,334 shares were reserved for future issuance under the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20"/>
                <w:szCs w:val="20"/>
                <w:color w:val="auto"/>
              </w:rPr>
            </w:pPr>
            <w:r>
              <w:rPr>
                <w:rFonts w:ascii="Arial" w:cs="Arial" w:eastAsia="Arial" w:hAnsi="Arial"/>
                <w:sz w:val="17"/>
                <w:szCs w:val="17"/>
                <w:b w:val="1"/>
                <w:bCs w:val="1"/>
                <w:i w:val="1"/>
                <w:iCs w:val="1"/>
                <w:color w:val="auto"/>
                <w:w w:val="96"/>
              </w:rPr>
              <w:t xml:space="preserve">Stock-Based Compensation Expense: </w:t>
            </w:r>
            <w:r>
              <w:rPr>
                <w:rFonts w:ascii="Arial" w:cs="Arial" w:eastAsia="Arial" w:hAnsi="Arial"/>
                <w:sz w:val="17"/>
                <w:szCs w:val="17"/>
                <w:color w:val="auto"/>
                <w:w w:val="96"/>
              </w:rPr>
              <w:t>Total compensation cost for the Company’s stock plans was as follows:</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3"/>
        </w:trPr>
        <w:tc>
          <w:tcPr>
            <w:tcW w:w="8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2007</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20" w:type="dxa"/>
            <w:vAlign w:val="bottom"/>
          </w:tcPr>
          <w:p>
            <w:pPr>
              <w:spacing w:after="0"/>
              <w:rPr>
                <w:sz w:val="24"/>
                <w:szCs w:val="24"/>
                <w:color w:val="auto"/>
              </w:rPr>
            </w:pPr>
          </w:p>
        </w:tc>
      </w:tr>
      <w:tr>
        <w:trPr>
          <w:trHeight w:val="205"/>
        </w:trPr>
        <w:tc>
          <w:tcPr>
            <w:tcW w:w="8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 by caption:</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Cost of goods sold</w:t>
            </w:r>
          </w:p>
        </w:tc>
        <w:tc>
          <w:tcPr>
            <w:tcW w:w="146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r>
      <w:tr>
        <w:trPr>
          <w:trHeight w:val="211"/>
        </w:trPr>
        <w:tc>
          <w:tcPr>
            <w:tcW w:w="82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r>
      <w:tr>
        <w:trPr>
          <w:trHeight w:val="245"/>
        </w:trPr>
        <w:tc>
          <w:tcPr>
            <w:tcW w:w="8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1"/>
                <w:szCs w:val="21"/>
                <w:color w:val="auto"/>
              </w:rPr>
            </w:pPr>
          </w:p>
        </w:tc>
      </w:tr>
      <w:tr>
        <w:trPr>
          <w:trHeight w:val="196"/>
        </w:trPr>
        <w:tc>
          <w:tcPr>
            <w:tcW w:w="82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5"/>
        </w:trPr>
        <w:tc>
          <w:tcPr>
            <w:tcW w:w="8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Stock-based compensation expense by type of award:</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7"/>
                <w:szCs w:val="17"/>
                <w:color w:val="auto"/>
              </w:rPr>
            </w:pPr>
          </w:p>
        </w:tc>
      </w:tr>
      <w:tr>
        <w:trPr>
          <w:trHeight w:val="211"/>
        </w:trPr>
        <w:tc>
          <w:tcPr>
            <w:tcW w:w="8200" w:type="dxa"/>
            <w:vAlign w:val="bottom"/>
          </w:tcPr>
          <w:p>
            <w:pPr>
              <w:spacing w:after="0"/>
              <w:rPr>
                <w:sz w:val="20"/>
                <w:szCs w:val="20"/>
                <w:color w:val="auto"/>
              </w:rPr>
            </w:pPr>
            <w:r>
              <w:rPr>
                <w:rFonts w:ascii="Arial" w:cs="Arial" w:eastAsia="Arial" w:hAnsi="Arial"/>
                <w:sz w:val="17"/>
                <w:szCs w:val="17"/>
                <w:color w:val="auto"/>
              </w:rPr>
              <w:t>Restricted stock</w:t>
            </w:r>
          </w:p>
        </w:tc>
        <w:tc>
          <w:tcPr>
            <w:tcW w:w="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r>
      <w:tr>
        <w:trPr>
          <w:trHeight w:val="225"/>
        </w:trPr>
        <w:tc>
          <w:tcPr>
            <w:tcW w:w="8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r>
      <w:tr>
        <w:trPr>
          <w:trHeight w:val="20"/>
        </w:trPr>
        <w:tc>
          <w:tcPr>
            <w:tcW w:w="8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Stock-based compensation expense of $3 million and $1 million was capitalized and remained in inventory at the end of 2007 and 2006, respectively. As of August 30, 2007, $113 million of total unrecognized compensation costs net of estimated forfeitures related to non-vested awards is expected to be recognized over a weighted-average period of 1.4 years.</w:t>
      </w:r>
    </w:p>
    <w:p>
      <w:pPr>
        <w:spacing w:after="0" w:line="201"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Through 2005, the Company accounted for its stock plans using the intrinsic value method prescribed by APB Opinion No. 25, “Accounting for Stock Issued to Employees,” and related interpretations. Previously reported amounts have not been restated. The following presents the pro forma income and per share data required under SFAS No. 123, “Accounting for Stock-Based Compensation” as if a fair value based method had been used to account for stock-based compensation for 2005: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05"/>
        </w:trPr>
        <w:tc>
          <w:tcPr>
            <w:tcW w:w="9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to common shareholders</w:t>
            </w:r>
          </w:p>
        </w:tc>
        <w:tc>
          <w:tcPr>
            <w:tcW w:w="10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9380" w:type="dxa"/>
            <w:vAlign w:val="bottom"/>
          </w:tcPr>
          <w:p>
            <w:pPr>
              <w:spacing w:after="0"/>
              <w:rPr>
                <w:sz w:val="20"/>
                <w:szCs w:val="20"/>
                <w:color w:val="auto"/>
              </w:rPr>
            </w:pPr>
            <w:r>
              <w:rPr>
                <w:rFonts w:ascii="Arial" w:cs="Arial" w:eastAsia="Arial" w:hAnsi="Arial"/>
                <w:sz w:val="17"/>
                <w:szCs w:val="17"/>
                <w:color w:val="auto"/>
              </w:rPr>
              <w:t>Stock-based employee compensation expense included in reported net income, net of tax</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w w:val="98"/>
              </w:rPr>
              <w:t>Less total stock-based employee compensation expense determined under a fair value-based method for all awards, net of tax</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(265)</w:t>
            </w:r>
          </w:p>
        </w:tc>
      </w:tr>
      <w:tr>
        <w:trPr>
          <w:trHeight w:val="26"/>
        </w:trPr>
        <w:tc>
          <w:tcPr>
            <w:tcW w:w="9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9380" w:type="dxa"/>
            <w:vAlign w:val="bottom"/>
          </w:tcPr>
          <w:p>
            <w:pPr>
              <w:spacing w:after="0"/>
              <w:rPr>
                <w:sz w:val="20"/>
                <w:szCs w:val="20"/>
                <w:color w:val="auto"/>
              </w:rPr>
            </w:pPr>
            <w:r>
              <w:rPr>
                <w:rFonts w:ascii="Arial" w:cs="Arial" w:eastAsia="Arial" w:hAnsi="Arial"/>
                <w:sz w:val="17"/>
                <w:szCs w:val="17"/>
                <w:color w:val="auto"/>
              </w:rPr>
              <w:t>Pro forma net loss available to common shareholders</w:t>
            </w:r>
          </w:p>
        </w:tc>
        <w:tc>
          <w:tcPr>
            <w:tcW w:w="8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(75)</w:t>
            </w:r>
          </w:p>
        </w:tc>
      </w:tr>
      <w:tr>
        <w:trPr>
          <w:trHeight w:val="20"/>
        </w:trPr>
        <w:tc>
          <w:tcPr>
            <w:tcW w:w="9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9380" w:type="dxa"/>
            <w:vAlign w:val="bottom"/>
          </w:tcPr>
          <w:p>
            <w:pPr>
              <w:spacing w:after="0"/>
              <w:rPr>
                <w:sz w:val="20"/>
                <w:szCs w:val="20"/>
                <w:color w:val="auto"/>
              </w:rPr>
            </w:pPr>
            <w:r>
              <w:rPr>
                <w:rFonts w:ascii="Arial" w:cs="Arial" w:eastAsia="Arial" w:hAnsi="Arial"/>
                <w:sz w:val="17"/>
                <w:szCs w:val="17"/>
                <w:color w:val="auto"/>
              </w:rPr>
              <w:t>Earnings (loss) per share: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Basic, as reported</w:t>
            </w:r>
          </w:p>
        </w:tc>
        <w:tc>
          <w:tcPr>
            <w:tcW w:w="10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0.29</w:t>
            </w:r>
          </w:p>
        </w:tc>
      </w:tr>
      <w:tr>
        <w:trPr>
          <w:trHeight w:val="205"/>
        </w:trPr>
        <w:tc>
          <w:tcPr>
            <w:tcW w:w="9380" w:type="dxa"/>
            <w:vAlign w:val="bottom"/>
          </w:tcPr>
          <w:p>
            <w:pPr>
              <w:spacing w:after="0"/>
              <w:rPr>
                <w:sz w:val="20"/>
                <w:szCs w:val="20"/>
                <w:color w:val="auto"/>
              </w:rPr>
            </w:pPr>
            <w:r>
              <w:rPr>
                <w:rFonts w:ascii="Arial" w:cs="Arial" w:eastAsia="Arial" w:hAnsi="Arial"/>
                <w:sz w:val="17"/>
                <w:szCs w:val="17"/>
                <w:color w:val="auto"/>
              </w:rPr>
              <w:t>Basic, pro forma</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(0.12)</w:t>
            </w:r>
          </w:p>
        </w:tc>
      </w:tr>
      <w:tr>
        <w:trPr>
          <w:trHeight w:val="205"/>
        </w:trPr>
        <w:tc>
          <w:tcPr>
            <w:tcW w:w="9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9380" w:type="dxa"/>
            <w:vAlign w:val="bottom"/>
          </w:tcPr>
          <w:p>
            <w:pPr>
              <w:spacing w:after="0"/>
              <w:rPr>
                <w:sz w:val="20"/>
                <w:szCs w:val="20"/>
                <w:color w:val="auto"/>
              </w:rPr>
            </w:pPr>
            <w:r>
              <w:rPr>
                <w:rFonts w:ascii="Arial" w:cs="Arial" w:eastAsia="Arial" w:hAnsi="Arial"/>
                <w:sz w:val="17"/>
                <w:szCs w:val="17"/>
                <w:color w:val="auto"/>
              </w:rPr>
              <w:t>Diluted, as reported</w:t>
            </w:r>
          </w:p>
        </w:tc>
        <w:tc>
          <w:tcPr>
            <w:tcW w:w="10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0.29</w:t>
            </w:r>
          </w:p>
        </w:tc>
      </w:tr>
      <w:tr>
        <w:trPr>
          <w:trHeight w:val="205"/>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Diluted, pro forma</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(0.12)</w:t>
            </w:r>
          </w:p>
        </w:tc>
      </w:tr>
    </w:tbl>
    <w:p>
      <w:pPr>
        <w:spacing w:after="0" w:line="218"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Stock-based compensation expense in the above presentation does not reflect any significant income taxes, which is consistent with the Company’s treatment of income or loss from its U.S. operations. (See “Income Taxes.”) In 2005, the Company accelerated the vesting of substantially all of its unvested stock options then outstanding under the Company’s stock plans to reduce compensation costs recognized subsequent to the adoption of SFAS 123(R).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6" w:name="page57"/>
    <w:bookmarkEnd w:id="56"/>
    <w:p>
      <w:pPr>
        <w:ind w:right="100"/>
        <w:spacing w:after="0" w:line="277" w:lineRule="auto"/>
        <w:rPr>
          <w:sz w:val="20"/>
          <w:szCs w:val="20"/>
          <w:color w:val="auto"/>
        </w:rPr>
      </w:pPr>
      <w:r>
        <w:rPr>
          <w:rFonts w:ascii="Arial" w:cs="Arial" w:eastAsia="Arial" w:hAnsi="Arial"/>
          <w:sz w:val="17"/>
          <w:szCs w:val="17"/>
          <w:color w:val="auto"/>
        </w:rPr>
        <w:t>Assumptions used in the Black-Scholes option valuation model to estimate the value of the Company’s options included in pro forma amounts for 2005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2005</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9"/>
        </w:trPr>
        <w:tc>
          <w:tcPr>
            <w:tcW w:w="8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89"/>
              </w:rPr>
              <w:t>Employee</w:t>
            </w:r>
          </w:p>
        </w:tc>
        <w:tc>
          <w:tcPr>
            <w:tcW w:w="140" w:type="dxa"/>
            <w:vAlign w:val="bottom"/>
          </w:tcPr>
          <w:p>
            <w:pPr>
              <w:spacing w:after="0"/>
              <w:rPr>
                <w:sz w:val="16"/>
                <w:szCs w:val="16"/>
                <w:color w:val="auto"/>
              </w:rPr>
            </w:pPr>
          </w:p>
        </w:tc>
      </w:tr>
      <w:tr>
        <w:trPr>
          <w:trHeight w:val="205"/>
        </w:trPr>
        <w:tc>
          <w:tcPr>
            <w:tcW w:w="8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stock</w:t>
            </w:r>
          </w:p>
        </w:tc>
      </w:tr>
      <w:tr>
        <w:trPr>
          <w:trHeight w:val="205"/>
        </w:trPr>
        <w:tc>
          <w:tcPr>
            <w:tcW w:w="876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Arial" w:cs="Arial" w:eastAsia="Arial" w:hAnsi="Arial"/>
                <w:sz w:val="17"/>
                <w:szCs w:val="17"/>
                <w:b w:val="1"/>
                <w:bCs w:val="1"/>
                <w:color w:val="auto"/>
                <w:w w:val="97"/>
              </w:rPr>
              <w:t>Stock option</w:t>
            </w:r>
          </w:p>
        </w:tc>
        <w:tc>
          <w:tcPr>
            <w:tcW w:w="12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Purchase plan</w:t>
            </w:r>
          </w:p>
        </w:tc>
      </w:tr>
      <w:tr>
        <w:trPr>
          <w:trHeight w:val="227"/>
        </w:trPr>
        <w:tc>
          <w:tcPr>
            <w:tcW w:w="8760" w:type="dxa"/>
            <w:vAlign w:val="bottom"/>
          </w:tcPr>
          <w:p>
            <w:pPr>
              <w:spacing w:after="0"/>
              <w:rPr>
                <w:sz w:val="19"/>
                <w:szCs w:val="19"/>
                <w:color w:val="auto"/>
              </w:rPr>
            </w:pPr>
          </w:p>
        </w:tc>
        <w:tc>
          <w:tcPr>
            <w:tcW w:w="1420" w:type="dxa"/>
            <w:vAlign w:val="bottom"/>
          </w:tcPr>
          <w:p>
            <w:pPr>
              <w:jc w:val="right"/>
              <w:ind w:right="355"/>
              <w:spacing w:after="0"/>
              <w:rPr>
                <w:sz w:val="20"/>
                <w:szCs w:val="20"/>
                <w:color w:val="auto"/>
              </w:rPr>
            </w:pPr>
            <w:r>
              <w:rPr>
                <w:rFonts w:ascii="Arial" w:cs="Arial" w:eastAsia="Arial" w:hAnsi="Arial"/>
                <w:sz w:val="17"/>
                <w:szCs w:val="17"/>
                <w:b w:val="1"/>
                <w:bCs w:val="1"/>
                <w:color w:val="auto"/>
              </w:rPr>
              <w:t>plan shares</w:t>
            </w:r>
          </w:p>
        </w:tc>
        <w:tc>
          <w:tcPr>
            <w:tcW w:w="12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3"/>
              </w:rPr>
              <w:t>shares</w:t>
            </w:r>
          </w:p>
        </w:tc>
      </w:tr>
      <w:tr>
        <w:trPr>
          <w:trHeight w:val="205"/>
        </w:trPr>
        <w:tc>
          <w:tcPr>
            <w:tcW w:w="87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Average expected life in years</w:t>
            </w:r>
          </w:p>
        </w:tc>
        <w:tc>
          <w:tcPr>
            <w:tcW w:w="1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4.25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0.25</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Expected volatility</w:t>
            </w: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48%</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33%</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Benefit Plans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employee retirement plans at its U.S. and international sites. Details of the more significant plans are discussed as follows:</w:t>
      </w:r>
    </w:p>
    <w:p>
      <w:pPr>
        <w:spacing w:after="0" w:line="240"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b w:val="1"/>
          <w:bCs w:val="1"/>
          <w:i w:val="1"/>
          <w:iCs w:val="1"/>
          <w:color w:val="auto"/>
        </w:rPr>
        <w:t xml:space="preserve">Employee Savings Plan for U.S. Employees: </w:t>
      </w:r>
      <w:r>
        <w:rPr>
          <w:rFonts w:ascii="Arial" w:cs="Arial" w:eastAsia="Arial" w:hAnsi="Arial"/>
          <w:sz w:val="15"/>
          <w:szCs w:val="15"/>
          <w:color w:val="auto"/>
        </w:rPr>
        <w:t>The Company has a 401(k) retirement plan (“RAM Plan”) under which U.S. employees may contribute up to 45%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eligible pay (subject to IRS annual contribution limits) to various savings alternatives, none of which include direct investment in the Company’s common stock. Under the RAM plan, the Company matches in cash eligible contributions from employees up to 4% of the employee’s annual eligible earnings, or $2,000, whichever is greater. Contribution expense for the Company’s RAM Plan was $31 million, $26 million and $18 million in 2007, 2006 and 2005, respectively.</w:t>
      </w:r>
    </w:p>
    <w:p>
      <w:pPr>
        <w:spacing w:after="0" w:line="17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i w:val="1"/>
          <w:iCs w:val="1"/>
          <w:color w:val="auto"/>
        </w:rPr>
        <w:t>Retirement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pension plans in various countries worldwide. The pension plans are only available to local employees and are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mandated. Upon adoption of FAS 158 as of August 30, 2007, the Company recorded a liability of $8 million related to the unfunded pension liabilities of the plans.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Restructure</w:t>
      </w:r>
    </w:p>
    <w:p>
      <w:pPr>
        <w:spacing w:after="0" w:line="239"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In an effort to increase the Company’s competitiveness and efficiency, in the fourth quarter of 2007, the Company announced a number of initiatives to drive greater cost efficiencies and revenue growth across its operations. The initiatives included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The Company will continue to execute the initiatives through 2008. In connection with the restructure, the Company recorded a charge of $19 million consisting primarily of employee severance and related costs resulting from a reduction in the Company’s workforce of approximately 1,000 employees (primarily from the Company’s Memory segment). As of August 30, 2007, $5 million of the restructure costs remained unpaid and were included in accounts payable and accrued expenses.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Operating (Income) Expense, Net</w:t>
      </w:r>
    </w:p>
    <w:p>
      <w:pPr>
        <w:spacing w:after="0" w:line="23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Other operating income for 2007 includes $43 million from gains on disposals of semiconductor equipment, a gain of $30 million from the sale of certain intellectual property to Toshiba Corporation and $7 million in grants received in connection with the Company’s operations in China. Other operating expense for 2007 includes losses of $14 million from changes in currency exchange rates. Other operating income for 2006 includes $230 million of net proceeds for the sale of the Company’s existing NAND Flash memory designs and certain related technology to Intel net of amounts paid by the Company for a perpetual, paid-up license to use and modify such designs. Other operating income for 2006 also includes $23 million in additional amounts expected to be reimbursed resulting from the extension of an economic development agreement, which allows the Company to recover amounts relating to certain investments in IM Flash. (See “Joint Ventures – NAND Flash Joint Ventures with Intel.”) Other operating income for 2005 includes gains net of losses on disposals of semiconductor equipment of $13 million and $12 million in receipts from the U.S. Government in connection with anti-dumping tariffs.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7" w:name="page58"/>
    <w:bookmarkEnd w:id="57"/>
    <w:p>
      <w:pPr>
        <w:spacing w:after="0"/>
        <w:rPr>
          <w:sz w:val="20"/>
          <w:szCs w:val="20"/>
          <w:color w:val="auto"/>
        </w:rPr>
      </w:pPr>
      <w:r>
        <w:rPr>
          <w:rFonts w:ascii="Arial" w:cs="Arial" w:eastAsia="Arial" w:hAnsi="Arial"/>
          <w:sz w:val="19"/>
          <w:szCs w:val="19"/>
          <w:b w:val="1"/>
          <w:bCs w:val="1"/>
          <w:color w:val="auto"/>
        </w:rPr>
        <w:t>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Income (loss) before taxes and noncontrolling interests in net income and the income tax (provision)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2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taxes and noncontrolling interests in net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(571)</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351</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108</w:t>
            </w:r>
          </w:p>
        </w:tc>
      </w:tr>
      <w:tr>
        <w:trPr>
          <w:trHeight w:val="211"/>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(168)</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433</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 (provision):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U.S. federal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Foreign</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r>
      <w:tr>
        <w:trPr>
          <w:trHeight w:val="205"/>
        </w:trPr>
        <w:tc>
          <w:tcPr>
            <w:tcW w:w="74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Deferred:</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U.S. federal</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State</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r>
      <w:tr>
        <w:trPr>
          <w:trHeight w:val="211"/>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1"/>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income tax (provision) computed using the U.S. federal statutory rate reconciled to the Company’s income tax (provision)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2007</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U.S. federal income tax benefit (provision) at statutory rate</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Foreign operations</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8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w w:val="95"/>
              </w:rPr>
              <w:t>(219)</w:t>
            </w: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Tax credits</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w:t>
            </w: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Export sales benefit</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8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6"/>
        </w:trPr>
        <w:tc>
          <w:tcPr>
            <w:tcW w:w="74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 (provision)</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0"/>
        </w:trPr>
        <w:tc>
          <w:tcPr>
            <w:tcW w:w="7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State taxes reflect investment tax credits of $10 million, $23 million and $14 million for 2007, 2006 and 2005, respectively.</w:t>
      </w:r>
    </w:p>
    <w:p>
      <w:pPr>
        <w:spacing w:after="0" w:line="240" w:lineRule="exact"/>
        <w:rPr>
          <w:sz w:val="20"/>
          <w:szCs w:val="20"/>
          <w:color w:val="auto"/>
        </w:rPr>
      </w:pPr>
    </w:p>
    <w:p>
      <w:pPr>
        <w:ind w:right="900"/>
        <w:spacing w:after="0" w:line="309" w:lineRule="auto"/>
        <w:rPr>
          <w:sz w:val="20"/>
          <w:szCs w:val="20"/>
          <w:color w:val="auto"/>
        </w:rPr>
      </w:pPr>
      <w:r>
        <w:rPr>
          <w:rFonts w:ascii="Arial" w:cs="Arial" w:eastAsia="Arial" w:hAnsi="Arial"/>
          <w:sz w:val="16"/>
          <w:szCs w:val="16"/>
          <w:color w:val="auto"/>
        </w:rPr>
        <w:t>Deferred income taxes reflect the net tax effects of temporary differences between the bases of assets and liabilities for financial reporting and income tax purposes. The Company’s deferred tax assets and liabilities consist of the following as of the end of the periods shown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7"/>
        </w:trPr>
        <w:tc>
          <w:tcPr>
            <w:tcW w:w="60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r>
      <w:tr>
        <w:trPr>
          <w:trHeight w:val="205"/>
        </w:trPr>
        <w:tc>
          <w:tcPr>
            <w:tcW w:w="60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Net operating loss and credit carryforwards</w:t>
            </w:r>
          </w:p>
        </w:tc>
        <w:tc>
          <w:tcPr>
            <w:tcW w:w="2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1,136</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929</w:t>
            </w: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Basis differences in investments in joint ventures</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301</w:t>
            </w: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Deferred revenue</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160</w:t>
            </w: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7"/>
                <w:szCs w:val="17"/>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Inventories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7"/>
                <w:szCs w:val="17"/>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Accrued product and process technology</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r>
      <w:tr>
        <w:trPr>
          <w:trHeight w:val="26"/>
        </w:trPr>
        <w:tc>
          <w:tcPr>
            <w:tcW w:w="60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Gross deferred tax assets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1,692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1,547</w:t>
            </w: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(915)</w:t>
            </w:r>
          </w:p>
        </w:tc>
      </w:tr>
      <w:tr>
        <w:trPr>
          <w:trHeight w:val="26"/>
        </w:trPr>
        <w:tc>
          <w:tcPr>
            <w:tcW w:w="60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6080" w:type="dxa"/>
            <w:vAlign w:val="bottom"/>
          </w:tcPr>
          <w:p>
            <w:pPr>
              <w:spacing w:after="0"/>
              <w:rPr>
                <w:sz w:val="20"/>
                <w:szCs w:val="20"/>
                <w:color w:val="auto"/>
              </w:rPr>
            </w:pPr>
            <w:r>
              <w:rPr>
                <w:rFonts w:ascii="Arial" w:cs="Arial" w:eastAsia="Arial" w:hAnsi="Arial"/>
                <w:sz w:val="17"/>
                <w:szCs w:val="17"/>
                <w:color w:val="auto"/>
              </w:rPr>
              <w:t>Deferred tax assets, net of valuation allowance</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r>
      <w:tr>
        <w:trPr>
          <w:trHeight w:val="205"/>
        </w:trPr>
        <w:tc>
          <w:tcPr>
            <w:tcW w:w="60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Excess tax over book depreciation</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(308)</w:t>
            </w: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Receivables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Unremitted earnings on certain subsidiaries</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Intangible assets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(68)</w:t>
            </w: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Product and process technology</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Other</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6"/>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(585)</w:t>
            </w:r>
          </w:p>
        </w:tc>
      </w:tr>
      <w:tr>
        <w:trPr>
          <w:trHeight w:val="205"/>
        </w:trPr>
        <w:tc>
          <w:tcPr>
            <w:tcW w:w="608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21"/>
                <w:szCs w:val="21"/>
                <w:color w:val="auto"/>
              </w:rPr>
            </w:pPr>
          </w:p>
        </w:tc>
      </w:tr>
      <w:tr>
        <w:trPr>
          <w:trHeight w:val="196"/>
        </w:trPr>
        <w:tc>
          <w:tcPr>
            <w:tcW w:w="6080" w:type="dxa"/>
            <w:vAlign w:val="bottom"/>
            <w:tcBorders>
              <w:top w:val="single" w:sz="8" w:color="CCEEFF"/>
            </w:tcBorders>
          </w:tcPr>
          <w:p>
            <w:pPr>
              <w:spacing w:after="0"/>
              <w:rPr>
                <w:sz w:val="17"/>
                <w:szCs w:val="17"/>
                <w:color w:val="auto"/>
              </w:rPr>
            </w:pPr>
          </w:p>
        </w:tc>
        <w:tc>
          <w:tcPr>
            <w:tcW w:w="27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Reported as:</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Current deferred tax assets</w:t>
            </w:r>
          </w:p>
        </w:tc>
        <w:tc>
          <w:tcPr>
            <w:tcW w:w="2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r>
      <w:tr>
        <w:trPr>
          <w:trHeight w:val="20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Noncurrent deferred tax assets</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7"/>
                <w:szCs w:val="17"/>
                <w:color w:val="auto"/>
              </w:rPr>
              <w:t>Noncurrent deferred tax liabilities</w:t>
            </w: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r>
      <w:tr>
        <w:trPr>
          <w:trHeight w:val="26"/>
        </w:trPr>
        <w:tc>
          <w:tcPr>
            <w:tcW w:w="6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The Company has a valuation allowance against substantially all of its U.S. net deferred tax assets. As of August 30, 2007, the Company had aggregate U.S. tax net operating loss carryforwards of $2.2 billion and unused U.S. tax credit carryforwards of $202 million. The Company also has unused state tax net operating loss carryforwards of $1.5 billion and unused state tax credits of $169 million as of August 30, 2007. Substantially all of the net operating loss carryforwards expire in 2022 to 2027 and substantially all of the tax credit carryforwards expire in 2013 to 2027.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w:t>
      </w:r>
    </w:p>
    <w:p>
      <w:pPr>
        <w:spacing w:after="0" w:line="2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7"/>
          <w:szCs w:val="17"/>
          <w:color w:val="auto"/>
        </w:rPr>
        <w:t>The changes in valuation allowance of $227 million and $(114) million in 2007 and 2006, respectively, are primarily due to uncertainties of realizing certain U.S. net operating losses and certain tax credit carryforwards. The change in the valuation allowance in 2007 and 2006 includes $6 million and $12 million, respectively, for stock plan deductions, which will be credited to additional capital if realized.</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color w:val="auto"/>
        </w:rPr>
        <w:t>Provision has been made for deferred taxes on undistributed earnings of non-U.S. subsidiaries to the extent that dividend payments from such companies are expected to result in additional tax liability. Remaining undistributed earnings of $935 million as of August 30, 2007, have been indefinitely reinvested; therefore, no provision has been made for taxes due upon remittance of these earnings. Determination of the amount of unrecognized deferred tax liability on these unremitted earnings is not practicable.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color w:val="auto"/>
        </w:rPr>
        <w:t>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2007</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common shareholders – Basic</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(320)</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Net effect of assumed conversion of debt</w:t>
            </w: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common shareholders – Diluted</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(320)</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w:t>
            </w:r>
          </w:p>
        </w:tc>
      </w:tr>
      <w:tr>
        <w:trPr>
          <w:trHeight w:val="196"/>
        </w:trPr>
        <w:tc>
          <w:tcPr>
            <w:tcW w:w="74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 – Basic</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769.1</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691.7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647.7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effect of dilutive stock options and assumed conversionof debt</w:t>
            </w: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54.3</w:t>
            </w:r>
          </w:p>
        </w:tc>
      </w:tr>
      <w:tr>
        <w:trPr>
          <w:trHeight w:val="26"/>
        </w:trPr>
        <w:tc>
          <w:tcPr>
            <w:tcW w:w="7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 – Diluted</w:t>
            </w: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769.1</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725.1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702.0</w:t>
            </w:r>
          </w:p>
        </w:tc>
      </w:tr>
      <w:tr>
        <w:trPr>
          <w:trHeight w:val="196"/>
        </w:trPr>
        <w:tc>
          <w:tcPr>
            <w:tcW w:w="74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Basic</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(0.42)</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0.59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0.29</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(0.42)</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0.29</w:t>
            </w:r>
          </w:p>
        </w:tc>
      </w:tr>
    </w:tbl>
    <w:p>
      <w:pPr>
        <w:spacing w:after="0" w:line="218"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05"/>
        </w:trPr>
        <w:tc>
          <w:tcPr>
            <w:tcW w:w="8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plans</w:t>
            </w:r>
          </w:p>
        </w:tc>
        <w:tc>
          <w:tcPr>
            <w:tcW w:w="142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w w:val="89"/>
              </w:rPr>
              <w:t>124.9</w:t>
            </w:r>
          </w:p>
        </w:tc>
        <w:tc>
          <w:tcPr>
            <w:tcW w:w="66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68.7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117.4</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Convertible notes payable</w:t>
            </w:r>
          </w:p>
        </w:tc>
        <w:tc>
          <w:tcPr>
            <w:tcW w:w="1420" w:type="dxa"/>
            <w:vAlign w:val="bottom"/>
          </w:tcPr>
          <w:p>
            <w:pPr>
              <w:jc w:val="right"/>
              <w:ind w:right="935"/>
              <w:spacing w:after="0"/>
              <w:rPr>
                <w:sz w:val="20"/>
                <w:szCs w:val="20"/>
                <w:color w:val="auto"/>
              </w:rPr>
            </w:pPr>
            <w:r>
              <w:rPr>
                <w:rFonts w:ascii="Arial" w:cs="Arial" w:eastAsia="Arial" w:hAnsi="Arial"/>
                <w:sz w:val="17"/>
                <w:szCs w:val="17"/>
                <w:color w:val="auto"/>
              </w:rPr>
              <w:t>97.6</w:t>
            </w:r>
          </w:p>
        </w:tc>
        <w:tc>
          <w:tcPr>
            <w:tcW w:w="660" w:type="dxa"/>
            <w:vAlign w:val="bottom"/>
          </w:tcPr>
          <w:p>
            <w:pPr>
              <w:jc w:val="right"/>
              <w:ind w:right="215"/>
              <w:spacing w:after="0"/>
              <w:rPr>
                <w:sz w:val="20"/>
                <w:szCs w:val="20"/>
                <w:color w:val="auto"/>
              </w:rPr>
            </w:pPr>
            <w:r>
              <w:rPr>
                <w:rFonts w:ascii="Arial" w:cs="Arial" w:eastAsia="Arial" w:hAnsi="Arial"/>
                <w:sz w:val="17"/>
                <w:szCs w:val="17"/>
                <w:color w:val="auto"/>
              </w:rPr>
              <w:t>6.2</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Common stock warrants</w:t>
            </w:r>
          </w:p>
        </w:tc>
        <w:tc>
          <w:tcPr>
            <w:tcW w:w="142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29.1</w:t>
            </w:r>
          </w:p>
        </w:tc>
        <w:tc>
          <w:tcPr>
            <w:tcW w:w="66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29.1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Acquisitions</w:t>
      </w:r>
    </w:p>
    <w:p>
      <w:pPr>
        <w:spacing w:after="0" w:line="239"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b w:val="1"/>
          <w:bCs w:val="1"/>
          <w:i w:val="1"/>
          <w:iCs w:val="1"/>
          <w:color w:val="auto"/>
        </w:rPr>
        <w:t xml:space="preserve">Lexar Media, Inc. (“Lexar”): </w:t>
      </w:r>
      <w:r>
        <w:rPr>
          <w:rFonts w:ascii="Arial" w:cs="Arial" w:eastAsia="Arial" w:hAnsi="Arial"/>
          <w:sz w:val="15"/>
          <w:szCs w:val="15"/>
          <w:color w:val="auto"/>
        </w:rPr>
        <w:t>On June 21, 2006, the Company acquired Lexar, a designer, developer, manufacturer and marketer of Flash memory products, in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for stock merger to broaden the Company’s NAND Flash memory product offering, enhance its retail presence and strengthen its portfolio of intellectual property. Pursuant to the terms of the merger agreement, each issued and outstanding share of common stock of Lexar was converted into 0.5925 shares of Micron’s common stock (the “Exchange Ratio”), and each issued, outstanding and unexercised Lexar employee stock option with an exercise price per share of $9.54 or less was converted into a Micron employee stock option using the Exchange Ratio. In connection therewith, the Company issued 50.7 million shares of common stock, issued 6.6 million stock options and incurred other acquisition costs resulting in an aggregate purchase price of $886 million. The Company’s results of operations for 2006 include the results of Lexar, which are included in the Company’s Memory segment, for the period subsequent to the acquisition date.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$886 million purchase price was allocated to the assets and liabilities of Lexar based on an estimate of fair values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As of</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As of</w:t>
            </w: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August 31,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August 30,</w:t>
            </w:r>
          </w:p>
        </w:tc>
      </w:tr>
      <w:tr>
        <w:trPr>
          <w:trHeight w:val="227"/>
        </w:trPr>
        <w:tc>
          <w:tcPr>
            <w:tcW w:w="7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2006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b w:val="1"/>
                <w:bCs w:val="1"/>
                <w:color w:val="auto"/>
                <w:w w:val="89"/>
              </w:rPr>
              <w:t>Adjustments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and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Receivables ($179 of which was classified as noncurrent)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317</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Intangible assets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458</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(176)</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Debt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(113)</w:t>
            </w:r>
          </w:p>
        </w:tc>
      </w:tr>
      <w:tr>
        <w:trPr>
          <w:trHeight w:val="26"/>
        </w:trPr>
        <w:tc>
          <w:tcPr>
            <w:tcW w:w="7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Aggregate purchase price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886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886</w:t>
            </w:r>
          </w:p>
        </w:tc>
      </w:tr>
      <w:tr>
        <w:trPr>
          <w:trHeight w:val="20"/>
        </w:trPr>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As of June 21, 2006, the estimated fair value of Lexar’s convertible debt exceeded its face value by $43 million. The convertible debt was recorded at its $70 million face value and the $43 million was recorded as additional capital in the accompanying consolidated financial statements.</w:t>
      </w:r>
    </w:p>
    <w:p>
      <w:pPr>
        <w:spacing w:after="0" w:line="19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Effective September 15, 2006, the Company and Toshiba Corporation entered into agreements settling all outstanding NAND Flash memory-related litigation between the companies. Toshiba purchased certain of the Company’s semiconductor technology patents and licensed certain patents previously owned by Lexar. The Company will receive payments totaling $288 million over three years, a substantial portion of which was included in the allocation of the purchase price for Lexar as a receivable at an imputed interest rate of 5.9%. As of August 30, 2007, $193 million of the settlement proceeds remained in current and noncurrent receivables.</w:t>
      </w:r>
    </w:p>
    <w:p>
      <w:pPr>
        <w:spacing w:after="0" w:line="174"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The following unaudited pro forma information presents the consolidated results of operations of the Company as if the acquisition of Lexar had taken place at the beginning of 2006 and at the beginning of 2005. The pro forma information does not necessarily reflect the actual results that would have occurred nor is it necessarily indicative of future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20" w:type="dxa"/>
            <w:vAlign w:val="bottom"/>
          </w:tcPr>
          <w:p>
            <w:pPr>
              <w:spacing w:after="0"/>
              <w:rPr>
                <w:sz w:val="19"/>
                <w:szCs w:val="19"/>
                <w:color w:val="auto"/>
              </w:rPr>
            </w:pPr>
          </w:p>
        </w:tc>
      </w:tr>
      <w:tr>
        <w:trPr>
          <w:trHeight w:val="216"/>
        </w:trPr>
        <w:tc>
          <w:tcPr>
            <w:tcW w:w="5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(unaudited)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53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418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9"/>
              </w:rPr>
              <w:t>5,746</w:t>
            </w:r>
          </w:p>
        </w:tc>
        <w:tc>
          <w:tcPr>
            <w:tcW w:w="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5,682</w:t>
            </w:r>
          </w:p>
        </w:tc>
        <w:tc>
          <w:tcPr>
            <w:tcW w:w="120" w:type="dxa"/>
            <w:vAlign w:val="bottom"/>
            <w:shd w:val="clear" w:color="auto" w:fill="CCEEFF"/>
          </w:tcPr>
          <w:p>
            <w:pPr>
              <w:spacing w:after="0"/>
              <w:rPr>
                <w:sz w:val="17"/>
                <w:szCs w:val="17"/>
                <w:color w:val="auto"/>
              </w:rPr>
            </w:pPr>
          </w:p>
        </w:tc>
      </w:tr>
      <w:tr>
        <w:trPr>
          <w:trHeight w:val="205"/>
        </w:trPr>
        <w:tc>
          <w:tcPr>
            <w:tcW w:w="5360" w:type="dxa"/>
            <w:vAlign w:val="bottom"/>
          </w:tcPr>
          <w:p>
            <w:pPr>
              <w:spacing w:after="0"/>
              <w:rPr>
                <w:sz w:val="20"/>
                <w:szCs w:val="20"/>
                <w:color w:val="auto"/>
              </w:rPr>
            </w:pPr>
            <w:r>
              <w:rPr>
                <w:rFonts w:ascii="Arial" w:cs="Arial" w:eastAsia="Arial" w:hAnsi="Arial"/>
                <w:sz w:val="17"/>
                <w:szCs w:val="17"/>
                <w:color w:val="auto"/>
              </w:rPr>
              <w:t>Net income</w:t>
            </w:r>
          </w:p>
        </w:tc>
        <w:tc>
          <w:tcPr>
            <w:tcW w:w="418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266</w:t>
            </w:r>
          </w:p>
        </w:tc>
        <w:tc>
          <w:tcPr>
            <w:tcW w:w="4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102</w:t>
            </w:r>
          </w:p>
        </w:tc>
      </w:tr>
      <w:tr>
        <w:trPr>
          <w:trHeight w:val="205"/>
        </w:trPr>
        <w:tc>
          <w:tcPr>
            <w:tcW w:w="536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Earnings per share – diluted</w:t>
            </w:r>
          </w:p>
        </w:tc>
        <w:tc>
          <w:tcPr>
            <w:tcW w:w="418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0.35</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0.15</w:t>
            </w:r>
          </w:p>
        </w:tc>
      </w:tr>
    </w:tbl>
    <w:p>
      <w:pPr>
        <w:spacing w:after="0" w:line="20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b w:val="1"/>
          <w:bCs w:val="1"/>
          <w:i w:val="1"/>
          <w:iCs w:val="1"/>
          <w:color w:val="auto"/>
        </w:rPr>
        <w:t xml:space="preserve">Avago Technologies Limited Image Sensor Business: </w:t>
      </w:r>
      <w:r>
        <w:rPr>
          <w:rFonts w:ascii="Arial" w:cs="Arial" w:eastAsia="Arial" w:hAnsi="Arial"/>
          <w:sz w:val="16"/>
          <w:szCs w:val="16"/>
          <w:color w:val="auto"/>
        </w:rPr>
        <w:t>On December 11, 2006, the Company acquired the CMOS image sensor business of Avago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Limited (“Avago”), for an initial cash payment of $53 million and additional contingent consideration at inception of up to $17 million if certain milestones were met through 2008. Due to the achievement of certain milestones during 2007, the Company increased the initial $53 million acquisition cost (and its preliminary allocation of this cost to goodwill) by $4 million. Based on a preliminary allocation of acquisition costs as of August 30, 2007, the Company had recorded total assets of $58 million (including intangible assets of $17 million and goodwill of $40 million) and total liabilities of $1 million. The Company’s results of operations subsequent to the acquisition date include the CMOS image sensor business acquired from Avago as part of the Company’s Imaging segment. Mercedes Johnson, a member of the Company’s Board of Directors, is the Senior Vice President, Finance and Chief Financial Officer of Avago. Ms. Johnson recused herself from all deliberations of the Company’s Board of Directors concerning this transaction.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color w:val="auto"/>
        </w:rPr>
        <w:t>Joint Ventures</w:t>
      </w:r>
    </w:p>
    <w:p>
      <w:pPr>
        <w:spacing w:after="0" w:line="23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 xml:space="preserve">NAND Flash Joint Ventures with Intel (“IM Flash”): </w:t>
      </w:r>
      <w:r>
        <w:rPr>
          <w:rFonts w:ascii="Arial" w:cs="Arial" w:eastAsia="Arial" w:hAnsi="Arial"/>
          <w:sz w:val="17"/>
          <w:szCs w:val="17"/>
          <w:color w:val="auto"/>
        </w:rPr>
        <w:t>The Company has formed two joint ventures with Intel to manufacture NAND Flash memory products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exclusive benefit of the partners: IM Flash Technologies, LLC and IM Flash Singapore LLP. As of August 30, 2007, the Company owned 51% and Intel owned 49% of IM Flash. The Company’s capital contributions of assets and cash to IM Flash were matched by pro rata cash contributions from Intel of $1,238 million and $936 million in 2007 and 2006, respectively. The partners share the output of IM Flash generally in proportion to their ownership in IM Flash. IM Flash sells products to the joint venture partners at long-term negotiated prices approximating cost. IM Flash sales to Intel were $255 million and $111 million for 2007 and 2006, respectively.</w:t>
      </w:r>
    </w:p>
    <w:p>
      <w:pPr>
        <w:spacing w:after="0" w:line="21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IM Flash manufactures NAND Flash memory products based on NAND Flash designs developed by the Company and Intel and licensed to the Company. Product design and other research and development costs for NAND Flash are generally shared equally between the Company and Intel. In 2007 and 2006, the Company received $240 million and $86 million, respectively, from Intel under the NAND Flash research and development cost sharing arrangement. In the second quarter of 2006, the Company received net proceeds of $230 million from Intel for the sale of the Company’s then existing NAND Flash memory designs and certain related technology and the Company’s acquisition of a perpetual, paid-up license to use and modify such designs.</w:t>
      </w:r>
    </w:p>
    <w:p>
      <w:pPr>
        <w:spacing w:after="0" w:line="19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Under the terms of a lease agreement, IM Flash has the use of approximately 50% of the Company’s manufacturing facility in Manassas, Virginia through January 2016. IM Flash purchases and installs manufacturing equipment into the leased facility, which is operated and maintained by the Company. The cost of operating and maintaining the equipment is charged to IM Flash. Under the terms of a wafer supply agreement, the Company manufactures wafers for IM Flash in its Boise, Idaho facility through January 2011. The Company and Intel entered into various service contracts with IM Flash under which they provide operational and administrative support services. The Company and Intel generally charge IM Flash for costs of providing such services.</w:t>
      </w:r>
    </w:p>
    <w:p>
      <w:pPr>
        <w:spacing w:after="0" w:line="19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Company has determined that both of the IM Flash joint ventures are variable interest entities as defined in FIN 46(R), “Consolidation of Variable Interest Entities,” and that the Company is the primary beneficiary of both. Accordingly, IM Flash financial results are included in the accompanying consolidated financial statements of the Company. All amounts pertaining to Intel’s interests in IM Flash are reported as noncontrolling interest. IM Flash’s cash and marketable investment securities are not anticipated to be made available to finance the Company’s other operations. The creditors of IM Flash have recourse only to the assets of IM Flash and do not have recourse to any other assets of the Company.</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 xml:space="preserve">TECH Semiconductor Singapore Pte. Ltd. (“TECH”): </w:t>
      </w:r>
      <w:r>
        <w:rPr>
          <w:rFonts w:ascii="Arial" w:cs="Arial" w:eastAsia="Arial" w:hAnsi="Arial"/>
          <w:sz w:val="17"/>
          <w:szCs w:val="17"/>
          <w:color w:val="auto"/>
        </w:rPr>
        <w:t>Since 1998, the Company has participated in TECH, a semiconductor memory manufacturing joint venture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Singapore among the Company, the Singapore Economic Development Board (“EDB”), Canon Inc. and HP. As of August 30, 2007, the Company owned an approximate 73% interest in TECH. The shareholders’ agreement for the TECH joint venture expires in 2011. The Company began consolidating TECH’s financial results as of the beginning of the Company’s third quarter of 2006. TECH’s cash and marketable investment securities are not anticipated to be made available to finance the Company’s other operations. The creditors of TECH have recourse only to the assets of TECH and do not have recourse to any other assets of the Company.</w:t>
      </w:r>
    </w:p>
    <w:p>
      <w:pPr>
        <w:spacing w:after="0" w:line="210"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On March 30, 2007, the Company exercised its option and acquired all of the shares of TECH common stock held by EDB for approximately $290 million, of which $216 million was outstanding as of August 30, 2007, payable through December 2007. As a result of the acquisition, the Company’s ownership interest in TECH increased from 43% to 73%. The Company applied purchase accounting to the acquisition of these shares, which resulted in a $322 million reduction in noncontrolling interest. The accompanying consolidated financial statements reflect the impact of acquiring these shares as of March 30, 2007.</w:t>
      </w:r>
    </w:p>
    <w:p>
      <w:pPr>
        <w:spacing w:after="0" w:line="19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TECH’s semiconductor manufacturing uses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Through the second quarter of 2006, prior to the consolidation of TECH, all of these transactions with TECH were recognized as part of the net cost of products purchased from TECH. The net cost of products purchased from TECH amounted to $287 million for the first six months of 2006 and $652 million for 2005.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349" w:right="259" w:bottom="1440" w:gutter="0" w:footer="0" w:header="0"/>
        </w:sectPr>
      </w:pPr>
    </w:p>
    <w:bookmarkStart w:id="62" w:name="page63"/>
    <w:bookmarkEnd w:id="62"/>
    <w:p>
      <w:pPr>
        <w:ind w:right="20"/>
        <w:spacing w:after="0" w:line="297" w:lineRule="auto"/>
        <w:rPr>
          <w:sz w:val="20"/>
          <w:szCs w:val="20"/>
          <w:color w:val="auto"/>
        </w:rPr>
      </w:pPr>
      <w:r>
        <w:rPr>
          <w:rFonts w:ascii="Arial" w:cs="Arial" w:eastAsia="Arial" w:hAnsi="Arial"/>
          <w:sz w:val="15"/>
          <w:szCs w:val="15"/>
          <w:b w:val="1"/>
          <w:bCs w:val="1"/>
          <w:i w:val="1"/>
          <w:iCs w:val="1"/>
          <w:color w:val="auto"/>
        </w:rPr>
        <w:t xml:space="preserve">MP Mask Technology Center, LLC (“MP Mask”): </w:t>
      </w:r>
      <w:r>
        <w:rPr>
          <w:rFonts w:ascii="Arial" w:cs="Arial" w:eastAsia="Arial" w:hAnsi="Arial"/>
          <w:sz w:val="15"/>
          <w:szCs w:val="15"/>
          <w:color w:val="auto"/>
        </w:rPr>
        <w:t>In the third quarter of 2006, the Company formed a joint venture, MP Mask, with Photronics, Inc. (“Photronics”)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produce photomasks for leading-edge and advanced next generation semiconductors. The Company contributed its then existing reticle manufacturing operation to the venture. In exchange for a 49.99% interest in MP Mask, Photronics paid $48 million cash and $15 million in notes due over two years to the Company. In connection with the joint venture, the Company received $72 million in exchange for entering into a license agreement with Photronics, which will be recognized over the term of the 10-year agreement. The Company and Photronics also entered into supply arrangements wherein the Company is expected to purchase a substantial majority of the reticles produced by MP Mask. The financial results of MP Mask are included in the consolidated financial results of the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Information</w:t>
      </w:r>
    </w:p>
    <w:p>
      <w:pPr>
        <w:spacing w:after="0" w:line="23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Company’s reportable segments are Memory and Imaging. The Memory segment’s primary products are DRAM and NAND Flash and the Imaging segment’s primary product is CMOS image sensors.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2007</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2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Memory</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5,001</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4,523</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4,577</w:t>
            </w:r>
          </w:p>
        </w:tc>
        <w:tc>
          <w:tcPr>
            <w:tcW w:w="120" w:type="dxa"/>
            <w:vAlign w:val="bottom"/>
          </w:tcPr>
          <w:p>
            <w:pPr>
              <w:spacing w:after="0"/>
              <w:rPr>
                <w:sz w:val="17"/>
                <w:szCs w:val="17"/>
                <w:color w:val="auto"/>
              </w:rPr>
            </w:pPr>
          </w:p>
        </w:tc>
      </w:tr>
      <w:tr>
        <w:trPr>
          <w:trHeight w:val="211"/>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Imaging</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Total consolidated net sales</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5,688</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5,272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4,880</w:t>
            </w:r>
          </w:p>
        </w:tc>
        <w:tc>
          <w:tcPr>
            <w:tcW w:w="12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Operating income (loss):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192</w:t>
            </w: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Imaging</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8"/>
                <w:szCs w:val="18"/>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Total consolidated operating income (loss)</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Geographic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7"/>
                <w:szCs w:val="17"/>
                <w:color w:val="auto"/>
              </w:rPr>
              <w:t>Geographic net sales based on customer location were as follows:</w:t>
            </w: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5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2007</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0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1,719</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1,721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1,657</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20"/>
                <w:szCs w:val="20"/>
                <w:color w:val="auto"/>
              </w:rPr>
            </w:pPr>
            <w:r>
              <w:rPr>
                <w:rFonts w:ascii="Arial" w:cs="Arial" w:eastAsia="Arial" w:hAnsi="Arial"/>
                <w:sz w:val="17"/>
                <w:szCs w:val="17"/>
                <w:color w:val="auto"/>
              </w:rPr>
              <w:t>Asia Pacific (excluding China and Japan)</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1,496</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1,068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China</w:t>
            </w:r>
          </w:p>
        </w:tc>
        <w:tc>
          <w:tcPr>
            <w:tcW w:w="2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1,064</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1,049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20"/>
                <w:szCs w:val="20"/>
                <w:color w:val="auto"/>
              </w:rPr>
            </w:pPr>
            <w:r>
              <w:rPr>
                <w:rFonts w:ascii="Arial" w:cs="Arial" w:eastAsia="Arial" w:hAnsi="Arial"/>
                <w:sz w:val="17"/>
                <w:szCs w:val="17"/>
                <w:color w:val="auto"/>
              </w:rPr>
              <w:t>Europe</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666</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719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Japan</w:t>
            </w:r>
          </w:p>
        </w:tc>
        <w:tc>
          <w:tcPr>
            <w:tcW w:w="2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477</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20"/>
                <w:szCs w:val="20"/>
                <w:color w:val="auto"/>
              </w:rPr>
            </w:pPr>
            <w:r>
              <w:rPr>
                <w:rFonts w:ascii="Arial" w:cs="Arial" w:eastAsia="Arial" w:hAnsi="Arial"/>
                <w:sz w:val="17"/>
                <w:szCs w:val="17"/>
                <w:color w:val="auto"/>
              </w:rPr>
              <w:t>Other</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266</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shd w:val="clear" w:color="auto" w:fill="CCEEFF"/>
          </w:tcPr>
          <w:p>
            <w:pPr>
              <w:spacing w:after="0"/>
              <w:rPr>
                <w:sz w:val="21"/>
                <w:szCs w:val="21"/>
                <w:color w:val="auto"/>
              </w:rPr>
            </w:pPr>
          </w:p>
        </w:tc>
        <w:tc>
          <w:tcPr>
            <w:tcW w:w="30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5,688</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5,272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4,880</w:t>
            </w:r>
          </w:p>
        </w:tc>
        <w:tc>
          <w:tcPr>
            <w:tcW w:w="0" w:type="dxa"/>
            <w:vAlign w:val="bottom"/>
          </w:tcPr>
          <w:p>
            <w:pPr>
              <w:spacing w:after="0"/>
              <w:rPr>
                <w:sz w:val="1"/>
                <w:szCs w:val="1"/>
                <w:color w:val="auto"/>
              </w:rPr>
            </w:pPr>
          </w:p>
        </w:tc>
      </w:tr>
      <w:tr>
        <w:trPr>
          <w:trHeight w:val="426"/>
        </w:trPr>
        <w:tc>
          <w:tcPr>
            <w:tcW w:w="5200" w:type="dxa"/>
            <w:vAlign w:val="bottom"/>
            <w:tcBorders>
              <w:top w:val="single" w:sz="8" w:color="CCEEFF"/>
            </w:tcBorders>
          </w:tcPr>
          <w:p>
            <w:pPr>
              <w:spacing w:after="0"/>
              <w:rPr>
                <w:sz w:val="20"/>
                <w:szCs w:val="20"/>
                <w:color w:val="auto"/>
              </w:rPr>
            </w:pPr>
            <w:r>
              <w:rPr>
                <w:rFonts w:ascii="Arial" w:cs="Arial" w:eastAsia="Arial" w:hAnsi="Arial"/>
                <w:sz w:val="17"/>
                <w:szCs w:val="17"/>
                <w:color w:val="auto"/>
                <w:w w:val="98"/>
              </w:rPr>
              <w:t>Net property, plant and equipment by geographic area was as follows:</w:t>
            </w:r>
          </w:p>
        </w:tc>
        <w:tc>
          <w:tcPr>
            <w:tcW w:w="224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2007</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0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6,545</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4,422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3,677</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20"/>
                <w:szCs w:val="20"/>
                <w:color w:val="auto"/>
              </w:rPr>
            </w:pPr>
            <w:r>
              <w:rPr>
                <w:rFonts w:ascii="Arial" w:cs="Arial" w:eastAsia="Arial" w:hAnsi="Arial"/>
                <w:sz w:val="17"/>
                <w:szCs w:val="17"/>
                <w:color w:val="auto"/>
              </w:rPr>
              <w:t>Singapore</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1,212</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867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Italy</w:t>
            </w:r>
          </w:p>
        </w:tc>
        <w:tc>
          <w:tcPr>
            <w:tcW w:w="2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268</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20"/>
                <w:szCs w:val="20"/>
                <w:color w:val="auto"/>
              </w:rPr>
            </w:pPr>
            <w:r>
              <w:rPr>
                <w:rFonts w:ascii="Arial" w:cs="Arial" w:eastAsia="Arial" w:hAnsi="Arial"/>
                <w:sz w:val="17"/>
                <w:szCs w:val="17"/>
                <w:color w:val="auto"/>
              </w:rPr>
              <w:t>Japan</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226</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6"/>
        </w:trPr>
        <w:tc>
          <w:tcPr>
            <w:tcW w:w="5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200" w:type="dxa"/>
            <w:vAlign w:val="bottom"/>
          </w:tcPr>
          <w:p>
            <w:pPr>
              <w:spacing w:after="0"/>
              <w:rPr>
                <w:sz w:val="17"/>
                <w:szCs w:val="17"/>
                <w:color w:val="auto"/>
              </w:rPr>
            </w:pPr>
          </w:p>
        </w:tc>
        <w:tc>
          <w:tcPr>
            <w:tcW w:w="300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8,279</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5,888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4,684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40" w:type="dxa"/>
            <w:vAlign w:val="bottom"/>
            <w:vMerge w:val="restart"/>
          </w:tcPr>
          <w:p>
            <w:pPr>
              <w:jc w:val="right"/>
              <w:ind w:right="1555"/>
              <w:spacing w:after="0"/>
              <w:rPr>
                <w:sz w:val="20"/>
                <w:szCs w:val="20"/>
                <w:color w:val="auto"/>
              </w:rPr>
            </w:pPr>
            <w:r>
              <w:rPr>
                <w:rFonts w:ascii="Arial" w:cs="Arial" w:eastAsia="Arial" w:hAnsi="Arial"/>
                <w:sz w:val="17"/>
                <w:szCs w:val="17"/>
                <w:color w:val="auto"/>
              </w:rPr>
              <w:t>62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0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Quarterly Financial Information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First</w:t>
            </w:r>
          </w:p>
        </w:tc>
        <w:tc>
          <w:tcPr>
            <w:tcW w:w="1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Second</w:t>
            </w:r>
          </w:p>
        </w:tc>
        <w:tc>
          <w:tcPr>
            <w:tcW w:w="18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Third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Fourth</w:t>
            </w: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2007</w:t>
            </w:r>
          </w:p>
        </w:tc>
        <w:tc>
          <w:tcPr>
            <w:tcW w:w="1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Quarter</w:t>
            </w:r>
          </w:p>
        </w:tc>
      </w:tr>
      <w:tr>
        <w:trPr>
          <w:trHeight w:val="205"/>
        </w:trPr>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1,530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1,437</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442</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357</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110</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income (loss)</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115</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(158)</w:t>
            </w:r>
          </w:p>
        </w:tc>
      </w:tr>
      <w:tr>
        <w:trPr>
          <w:trHeight w:val="205"/>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Diluted earnings (loss) per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0.15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(0.29)</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(0.21)</w:t>
            </w:r>
          </w:p>
        </w:tc>
      </w:tr>
    </w:tbl>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First</w:t>
            </w:r>
          </w:p>
        </w:tc>
        <w:tc>
          <w:tcPr>
            <w:tcW w:w="18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Second</w:t>
            </w:r>
          </w:p>
        </w:tc>
        <w:tc>
          <w:tcPr>
            <w:tcW w:w="1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Third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Fourth</w:t>
            </w: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2006</w:t>
            </w:r>
          </w:p>
        </w:tc>
        <w:tc>
          <w:tcPr>
            <w:tcW w:w="1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Quarter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Quarter</w:t>
            </w:r>
          </w:p>
        </w:tc>
      </w:tr>
      <w:tr>
        <w:trPr>
          <w:trHeight w:val="205"/>
        </w:trPr>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1,373</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311</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236</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324</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income</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193</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0.09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0.27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0.12</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0.08</w:t>
            </w:r>
          </w:p>
        </w:tc>
      </w:tr>
    </w:tbl>
    <w:p>
      <w:pPr>
        <w:spacing w:after="0" w:line="207"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As a result of a settlement agreement with a class of direct purchasers of certain DRAM products, the Company recorded a $50 million charge to revenue and $31 million net charge to selling, general and administrative expenses in the first quarter of 2007. The aggregate net charge including the impact on the Company’s compensation programs was a $77 million reduction in net income.</w:t>
      </w:r>
    </w:p>
    <w:p>
      <w:pPr>
        <w:spacing w:after="0" w:line="201" w:lineRule="exact"/>
        <w:rPr>
          <w:sz w:val="20"/>
          <w:szCs w:val="20"/>
          <w:color w:val="auto"/>
        </w:rPr>
      </w:pPr>
    </w:p>
    <w:p>
      <w:pPr>
        <w:ind w:right="680"/>
        <w:spacing w:after="0" w:line="277" w:lineRule="auto"/>
        <w:rPr>
          <w:sz w:val="20"/>
          <w:szCs w:val="20"/>
          <w:color w:val="auto"/>
        </w:rPr>
      </w:pPr>
      <w:r>
        <w:rPr>
          <w:rFonts w:ascii="Arial" w:cs="Arial" w:eastAsia="Arial" w:hAnsi="Arial"/>
          <w:sz w:val="17"/>
          <w:szCs w:val="17"/>
          <w:color w:val="auto"/>
        </w:rPr>
        <w:t>Results for the second quarter of 2006 include a $230 million gain from the sale of the Company’s existing NAND Flash memory designs and certain related technology to Intel net of amounts paid by the Company for a perpetual, paid-up license to use and modify such designs.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Micron Technology,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appearing under Item 8 present fairly, in all material respects, the financial position of Micron Technology, Inc. and its subsidiaries at August 30, 2007 and August 31, 2006, and the results of their operations and their cash flows for each of the three years in the period ended August 30, 2007 in conformity with accounting principles generally accepted in the United States of America. In addition, in our opinion, the financial statement schedule listed in the accompanying index appearing under Item 8 presents fairly, in all material respects, the information set forth therein when read in conjunction with the related consolidated financial statements. Also in our opinion, the Company maintained, in all material respects, effective internal control over financial reporting as of August 30,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As discussed in the Significant Accounting Policies note to the consolidated financial statements, the Company changed the manner in which it accounts for share-based compensation in the year ended August 31, 2006.</w:t>
      </w:r>
    </w:p>
    <w:p>
      <w:pPr>
        <w:spacing w:after="0" w:line="190"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October 24, 2007</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354" w:right="29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(i) recorded, processed, summarized and reported, within the time periods specified in the Commission’s rules and forms and (ii) accumulated and communicated to the Company’s management, including the Company’s principal executive officer and principal financial officer, as appropriate to allow timely decisions regarding required disclosure.</w:t>
      </w:r>
    </w:p>
    <w:p>
      <w:pPr>
        <w:spacing w:after="0" w:line="196" w:lineRule="exact"/>
        <w:rPr>
          <w:sz w:val="20"/>
          <w:szCs w:val="20"/>
          <w:color w:val="auto"/>
        </w:rPr>
      </w:pPr>
    </w:p>
    <w:p>
      <w:pPr>
        <w:ind w:right="640"/>
        <w:spacing w:after="0" w:line="277" w:lineRule="auto"/>
        <w:rPr>
          <w:sz w:val="20"/>
          <w:szCs w:val="20"/>
          <w:color w:val="auto"/>
        </w:rPr>
      </w:pPr>
      <w:r>
        <w:rPr>
          <w:rFonts w:ascii="Arial" w:cs="Arial" w:eastAsia="Arial" w:hAnsi="Arial"/>
          <w:sz w:val="17"/>
          <w:szCs w:val="17"/>
          <w:color w:val="auto"/>
        </w:rPr>
        <w:t>During the fourth quarter of fiscal 2007, there were no changes in the Company’s internal control over financial reporting that have materially affected, or are reasonably likely to materially affect,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4"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 i) pertain to the maintenance of records that in reasonable detail accurately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97" w:lineRule="exact"/>
        <w:rPr>
          <w:sz w:val="20"/>
          <w:szCs w:val="20"/>
          <w:color w:val="auto"/>
        </w:rPr>
      </w:pPr>
    </w:p>
    <w:p>
      <w:pPr>
        <w:ind w:right="440"/>
        <w:spacing w:after="0" w:line="264" w:lineRule="auto"/>
        <w:rPr>
          <w:sz w:val="20"/>
          <w:szCs w:val="20"/>
          <w:color w:val="auto"/>
        </w:rPr>
      </w:pPr>
      <w:r>
        <w:rPr>
          <w:rFonts w:ascii="Arial" w:cs="Arial" w:eastAsia="Arial" w:hAnsi="Arial"/>
          <w:sz w:val="17"/>
          <w:szCs w:val="17"/>
          <w:color w:val="auto"/>
        </w:rPr>
        <w:t>Internal control over financial reporting cannot provide absolute assurance regarding the prevention or detection of misstatements because of inherent limitations. These inherent limitations are known by management and considered in the design of the Company’s internal control over financial reporting which reduce, though not eliminate, this risk.</w:t>
      </w:r>
    </w:p>
    <w:p>
      <w:pPr>
        <w:spacing w:after="0" w:line="20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Management conducted an evaluation of the effectiveness of the Company’s internal control over financial reporting based on the framework in Internal Control – Integrated Framework issued by the Committee of Sponsoring Organizations of the Treadway Commission. Based on this evaluation, management concluded that the Company’s internal control over financial reporting was effective as of August 30, 2007. The effectiveness of the Company’s internal control over financial reporting as of August 30, 2007 has been audited by PricewaterhouseCoopers LLP, an independent registered public accounting firm, as stated in their report, which is included in Part II, Item 8, of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and Executive Officers of the Registrant</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244"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Certain information concerning the registrant’s executive officers is included under the caption, “Directors and Executive Officers of the Registrant,” in Part I, Item 1 of this report. Other information required by Items 10, 11, 12, 13 and 14 will be contained in the registrant’s Proxy Statement which will be filed with the Securities and Exchange Commission within 120 days after August 30, 2007, and is incorporated herein by reference.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report:</w:t>
      </w:r>
    </w:p>
    <w:p>
      <w:pPr>
        <w:spacing w:after="0" w:line="240" w:lineRule="exact"/>
        <w:rPr>
          <w:sz w:val="20"/>
          <w:szCs w:val="20"/>
          <w:color w:val="auto"/>
        </w:rPr>
      </w:pPr>
    </w:p>
    <w:p>
      <w:pPr>
        <w:ind w:left="920" w:hanging="208"/>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Statement: See Index to Consolidated Financial Statements under Item 8.</w:t>
      </w:r>
    </w:p>
    <w:p>
      <w:pPr>
        <w:spacing w:after="0" w:line="20" w:lineRule="exact"/>
        <w:rPr>
          <w:rFonts w:ascii="Arial" w:cs="Arial" w:eastAsia="Arial" w:hAnsi="Arial"/>
          <w:sz w:val="17"/>
          <w:szCs w:val="17"/>
          <w:color w:val="auto"/>
        </w:rPr>
      </w:pPr>
    </w:p>
    <w:p>
      <w:pPr>
        <w:ind w:left="920" w:hanging="208"/>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Certain Financial Statement Schedules have been omitted since they are either not required, not applicable or the information is otherwise included.</w:t>
      </w:r>
    </w:p>
    <w:p>
      <w:pPr>
        <w:spacing w:after="0" w:line="21" w:lineRule="exact"/>
        <w:rPr>
          <w:rFonts w:ascii="Arial" w:cs="Arial" w:eastAsia="Arial" w:hAnsi="Arial"/>
          <w:sz w:val="16"/>
          <w:szCs w:val="16"/>
          <w:color w:val="auto"/>
        </w:rPr>
      </w:pPr>
    </w:p>
    <w:p>
      <w:pPr>
        <w:ind w:left="920" w:hanging="208"/>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Exhibit</w:t>
            </w:r>
          </w:p>
        </w:tc>
        <w:tc>
          <w:tcPr>
            <w:tcW w:w="1062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color w:val="auto"/>
              </w:rPr>
              <w:t>Description</w:t>
            </w:r>
          </w:p>
        </w:tc>
      </w:tr>
      <w:tr>
        <w:trPr>
          <w:trHeight w:val="205"/>
        </w:trPr>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60" w:type="dxa"/>
            <w:vAlign w:val="bottom"/>
          </w:tcPr>
          <w:p>
            <w:pPr>
              <w:spacing w:after="0"/>
              <w:rPr>
                <w:sz w:val="17"/>
                <w:szCs w:val="17"/>
                <w:color w:val="auto"/>
              </w:rPr>
            </w:pPr>
          </w:p>
        </w:tc>
      </w:tr>
      <w:tr>
        <w:trPr>
          <w:trHeight w:val="193"/>
        </w:trPr>
        <w:tc>
          <w:tcPr>
            <w:tcW w:w="8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1.1</w:t>
            </w:r>
          </w:p>
        </w:tc>
        <w:tc>
          <w:tcPr>
            <w:tcW w:w="10620" w:type="dxa"/>
            <w:vAlign w:val="bottom"/>
            <w:gridSpan w:val="2"/>
            <w:shd w:val="clear" w:color="auto" w:fill="CCEEFF"/>
          </w:tcPr>
          <w:p>
            <w:pPr>
              <w:ind w:left="300"/>
              <w:spacing w:after="0" w:line="193" w:lineRule="exact"/>
              <w:rPr>
                <w:sz w:val="20"/>
                <w:szCs w:val="20"/>
                <w:color w:val="auto"/>
              </w:rPr>
            </w:pPr>
            <w:r>
              <w:rPr>
                <w:rFonts w:ascii="Arial" w:cs="Arial" w:eastAsia="Arial" w:hAnsi="Arial"/>
                <w:sz w:val="17"/>
                <w:szCs w:val="17"/>
                <w:color w:val="auto"/>
              </w:rPr>
              <w:t>Underwriting Agreement dated as of May 17, 2007, by and between Micron Technology, Inc. and Morgan Stanley &amp; Co. Incorporated, as</w:t>
            </w:r>
          </w:p>
        </w:tc>
      </w:tr>
      <w:tr>
        <w:trPr>
          <w:trHeight w:val="218"/>
        </w:trPr>
        <w:tc>
          <w:tcPr>
            <w:tcW w:w="800" w:type="dxa"/>
            <w:vAlign w:val="bottom"/>
            <w:shd w:val="clear" w:color="auto" w:fill="CCEEFF"/>
          </w:tcPr>
          <w:p>
            <w:pPr>
              <w:spacing w:after="0"/>
              <w:rPr>
                <w:sz w:val="18"/>
                <w:szCs w:val="18"/>
                <w:color w:val="auto"/>
              </w:rPr>
            </w:pP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representative of the underwriters (1)</w:t>
            </w:r>
          </w:p>
        </w:tc>
      </w:tr>
      <w:tr>
        <w:trPr>
          <w:trHeight w:val="193"/>
        </w:trPr>
        <w:tc>
          <w:tcPr>
            <w:tcW w:w="800" w:type="dxa"/>
            <w:vAlign w:val="bottom"/>
          </w:tcPr>
          <w:p>
            <w:pPr>
              <w:spacing w:after="0" w:line="193" w:lineRule="exact"/>
              <w:rPr>
                <w:sz w:val="20"/>
                <w:szCs w:val="20"/>
                <w:color w:val="auto"/>
              </w:rPr>
            </w:pPr>
            <w:r>
              <w:rPr>
                <w:rFonts w:ascii="Arial" w:cs="Arial" w:eastAsia="Arial" w:hAnsi="Arial"/>
                <w:sz w:val="17"/>
                <w:szCs w:val="17"/>
                <w:color w:val="auto"/>
              </w:rPr>
              <w:t>2.1</w:t>
            </w:r>
          </w:p>
        </w:tc>
        <w:tc>
          <w:tcPr>
            <w:tcW w:w="10620" w:type="dxa"/>
            <w:vAlign w:val="bottom"/>
            <w:gridSpan w:val="2"/>
          </w:tcPr>
          <w:p>
            <w:pPr>
              <w:ind w:left="300"/>
              <w:spacing w:after="0" w:line="193" w:lineRule="exact"/>
              <w:rPr>
                <w:sz w:val="20"/>
                <w:szCs w:val="20"/>
                <w:color w:val="auto"/>
              </w:rPr>
            </w:pPr>
            <w:r>
              <w:rPr>
                <w:rFonts w:ascii="Arial" w:cs="Arial" w:eastAsia="Arial" w:hAnsi="Arial"/>
                <w:sz w:val="17"/>
                <w:szCs w:val="17"/>
                <w:color w:val="auto"/>
                <w:w w:val="92"/>
              </w:rPr>
              <w:t>Agreement and Plan of Merger by and among Micron Technology, Inc., March 2006 Merger Corp. and Lexar Media, Inc., dated as of March 8, 2006</w:t>
            </w:r>
          </w:p>
        </w:tc>
      </w:tr>
      <w:tr>
        <w:trPr>
          <w:trHeight w:val="217"/>
        </w:trPr>
        <w:tc>
          <w:tcPr>
            <w:tcW w:w="800" w:type="dxa"/>
            <w:vAlign w:val="bottom"/>
          </w:tcPr>
          <w:p>
            <w:pPr>
              <w:spacing w:after="0"/>
              <w:rPr>
                <w:sz w:val="18"/>
                <w:szCs w:val="18"/>
                <w:color w:val="auto"/>
              </w:rPr>
            </w:pPr>
          </w:p>
        </w:tc>
        <w:tc>
          <w:tcPr>
            <w:tcW w:w="660" w:type="dxa"/>
            <w:vAlign w:val="bottom"/>
          </w:tcPr>
          <w:p>
            <w:pPr>
              <w:ind w:left="300"/>
              <w:spacing w:after="0"/>
              <w:rPr>
                <w:sz w:val="20"/>
                <w:szCs w:val="20"/>
                <w:color w:val="auto"/>
              </w:rPr>
            </w:pPr>
            <w:r>
              <w:rPr>
                <w:rFonts w:ascii="Arial" w:cs="Arial" w:eastAsia="Arial" w:hAnsi="Arial"/>
                <w:sz w:val="17"/>
                <w:szCs w:val="17"/>
                <w:color w:val="auto"/>
              </w:rPr>
              <w:t>(2)</w:t>
            </w:r>
          </w:p>
        </w:tc>
        <w:tc>
          <w:tcPr>
            <w:tcW w:w="9960" w:type="dxa"/>
            <w:vAlign w:val="bottom"/>
          </w:tcPr>
          <w:p>
            <w:pPr>
              <w:spacing w:after="0"/>
              <w:rPr>
                <w:sz w:val="18"/>
                <w:szCs w:val="18"/>
                <w:color w:val="auto"/>
              </w:rPr>
            </w:pPr>
          </w:p>
        </w:tc>
      </w:tr>
      <w:tr>
        <w:trPr>
          <w:trHeight w:val="193"/>
        </w:trPr>
        <w:tc>
          <w:tcPr>
            <w:tcW w:w="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2.2</w:t>
            </w:r>
          </w:p>
        </w:tc>
        <w:tc>
          <w:tcPr>
            <w:tcW w:w="1062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w w:val="91"/>
              </w:rPr>
              <w:t>First Amendment to Agreement and Plan of Merger dated as of May 30, 2006, by and among Micron Technology, Inc., March 2006 Merger Corp. and</w:t>
            </w:r>
          </w:p>
        </w:tc>
      </w:tr>
      <w:tr>
        <w:trPr>
          <w:trHeight w:val="218"/>
        </w:trPr>
        <w:tc>
          <w:tcPr>
            <w:tcW w:w="800" w:type="dxa"/>
            <w:vAlign w:val="bottom"/>
            <w:shd w:val="clear" w:color="auto" w:fill="CCEEFF"/>
          </w:tcPr>
          <w:p>
            <w:pPr>
              <w:spacing w:after="0"/>
              <w:rPr>
                <w:sz w:val="18"/>
                <w:szCs w:val="18"/>
                <w:color w:val="auto"/>
              </w:rPr>
            </w:pP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Lexar Media, Inc. (3)</w:t>
            </w:r>
          </w:p>
        </w:tc>
      </w:tr>
      <w:tr>
        <w:trPr>
          <w:trHeight w:val="193"/>
        </w:trPr>
        <w:tc>
          <w:tcPr>
            <w:tcW w:w="800" w:type="dxa"/>
            <w:vAlign w:val="bottom"/>
          </w:tcPr>
          <w:p>
            <w:pPr>
              <w:spacing w:after="0" w:line="193" w:lineRule="exact"/>
              <w:rPr>
                <w:sz w:val="20"/>
                <w:szCs w:val="20"/>
                <w:color w:val="auto"/>
              </w:rPr>
            </w:pPr>
            <w:r>
              <w:rPr>
                <w:rFonts w:ascii="Arial" w:cs="Arial" w:eastAsia="Arial" w:hAnsi="Arial"/>
                <w:sz w:val="17"/>
                <w:szCs w:val="17"/>
                <w:color w:val="auto"/>
              </w:rPr>
              <w:t>2.3</w:t>
            </w:r>
          </w:p>
        </w:tc>
        <w:tc>
          <w:tcPr>
            <w:tcW w:w="10620" w:type="dxa"/>
            <w:vAlign w:val="bottom"/>
            <w:gridSpan w:val="2"/>
          </w:tcPr>
          <w:p>
            <w:pPr>
              <w:ind w:left="300"/>
              <w:spacing w:after="0" w:line="193" w:lineRule="exact"/>
              <w:rPr>
                <w:sz w:val="20"/>
                <w:szCs w:val="20"/>
                <w:color w:val="auto"/>
              </w:rPr>
            </w:pPr>
            <w:r>
              <w:rPr>
                <w:rFonts w:ascii="Arial" w:cs="Arial" w:eastAsia="Arial" w:hAnsi="Arial"/>
                <w:sz w:val="17"/>
                <w:szCs w:val="17"/>
                <w:color w:val="auto"/>
                <w:w w:val="92"/>
              </w:rPr>
              <w:t>Second Amendment to Agreement and Plan of Merger dated as of June 4, 2006, by and among Micron Technology, Inc., March 2006 Merger Corp.</w:t>
            </w:r>
          </w:p>
        </w:tc>
      </w:tr>
      <w:tr>
        <w:trPr>
          <w:trHeight w:val="217"/>
        </w:trPr>
        <w:tc>
          <w:tcPr>
            <w:tcW w:w="800" w:type="dxa"/>
            <w:vAlign w:val="bottom"/>
          </w:tcPr>
          <w:p>
            <w:pPr>
              <w:spacing w:after="0"/>
              <w:rPr>
                <w:sz w:val="18"/>
                <w:szCs w:val="18"/>
                <w:color w:val="auto"/>
              </w:rPr>
            </w:pPr>
          </w:p>
        </w:tc>
        <w:tc>
          <w:tcPr>
            <w:tcW w:w="10620" w:type="dxa"/>
            <w:vAlign w:val="bottom"/>
            <w:gridSpan w:val="2"/>
          </w:tcPr>
          <w:p>
            <w:pPr>
              <w:ind w:left="300"/>
              <w:spacing w:after="0"/>
              <w:rPr>
                <w:sz w:val="20"/>
                <w:szCs w:val="20"/>
                <w:color w:val="auto"/>
              </w:rPr>
            </w:pPr>
            <w:r>
              <w:rPr>
                <w:rFonts w:ascii="Arial" w:cs="Arial" w:eastAsia="Arial" w:hAnsi="Arial"/>
                <w:sz w:val="17"/>
                <w:szCs w:val="17"/>
                <w:color w:val="auto"/>
              </w:rPr>
              <w:t>and Lexar Media, Inc. (4)</w:t>
            </w:r>
          </w:p>
        </w:tc>
      </w:tr>
      <w:tr>
        <w:trPr>
          <w:trHeight w:val="206"/>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Restated Certificate of Incorporation of the Registrant (5)</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3.2</w:t>
            </w:r>
          </w:p>
        </w:tc>
        <w:tc>
          <w:tcPr>
            <w:tcW w:w="10620" w:type="dxa"/>
            <w:vAlign w:val="bottom"/>
            <w:gridSpan w:val="2"/>
          </w:tcPr>
          <w:p>
            <w:pPr>
              <w:ind w:left="300"/>
              <w:spacing w:after="0"/>
              <w:rPr>
                <w:sz w:val="20"/>
                <w:szCs w:val="20"/>
                <w:color w:val="auto"/>
              </w:rPr>
            </w:pPr>
            <w:r>
              <w:rPr>
                <w:rFonts w:ascii="Arial" w:cs="Arial" w:eastAsia="Arial" w:hAnsi="Arial"/>
                <w:sz w:val="17"/>
                <w:szCs w:val="17"/>
                <w:color w:val="auto"/>
              </w:rPr>
              <w:t>Bylaws of the Registrant, as amended (6)</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4.1</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Form of Global Warrant representing Warrants to purchase Common Stock expiring May 15, 2008 (the “Warrants”) (7)</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4.2</w:t>
            </w:r>
          </w:p>
        </w:tc>
        <w:tc>
          <w:tcPr>
            <w:tcW w:w="10620" w:type="dxa"/>
            <w:vAlign w:val="bottom"/>
            <w:gridSpan w:val="2"/>
          </w:tcPr>
          <w:p>
            <w:pPr>
              <w:ind w:left="300"/>
              <w:spacing w:after="0"/>
              <w:rPr>
                <w:sz w:val="20"/>
                <w:szCs w:val="20"/>
                <w:color w:val="auto"/>
              </w:rPr>
            </w:pPr>
            <w:r>
              <w:rPr>
                <w:rFonts w:ascii="Arial" w:cs="Arial" w:eastAsia="Arial" w:hAnsi="Arial"/>
                <w:sz w:val="17"/>
                <w:szCs w:val="17"/>
                <w:color w:val="auto"/>
              </w:rPr>
              <w:t>Securities Purchase Agreement dated September 24, 2003, between the Registrant and Intel Capital Corporation (8)</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4.3</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Stock Rights Agreement dated September 24, 2003, between the Registrant and Intel Capital Corporation (8)</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4.4</w:t>
            </w:r>
          </w:p>
        </w:tc>
        <w:tc>
          <w:tcPr>
            <w:tcW w:w="10620" w:type="dxa"/>
            <w:vAlign w:val="bottom"/>
            <w:gridSpan w:val="2"/>
          </w:tcPr>
          <w:p>
            <w:pPr>
              <w:ind w:left="300"/>
              <w:spacing w:after="0"/>
              <w:rPr>
                <w:sz w:val="20"/>
                <w:szCs w:val="20"/>
                <w:color w:val="auto"/>
              </w:rPr>
            </w:pPr>
            <w:r>
              <w:rPr>
                <w:rFonts w:ascii="Arial" w:cs="Arial" w:eastAsia="Arial" w:hAnsi="Arial"/>
                <w:sz w:val="17"/>
                <w:szCs w:val="17"/>
                <w:color w:val="auto"/>
              </w:rPr>
              <w:t>Indenture dated March 30, 2005, by and between Lexar Media, Inc. and U.S. Bank National Association (9)</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4.5</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First Supplemental Indenture to the Lexar Indenture dated as of June 21, 2006, between Lexar and U.S. Bank National Association (10)</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4.6</w:t>
            </w:r>
          </w:p>
        </w:tc>
        <w:tc>
          <w:tcPr>
            <w:tcW w:w="10620" w:type="dxa"/>
            <w:vAlign w:val="bottom"/>
            <w:gridSpan w:val="2"/>
          </w:tcPr>
          <w:p>
            <w:pPr>
              <w:ind w:left="300"/>
              <w:spacing w:after="0"/>
              <w:rPr>
                <w:sz w:val="20"/>
                <w:szCs w:val="20"/>
                <w:color w:val="auto"/>
              </w:rPr>
            </w:pPr>
            <w:r>
              <w:rPr>
                <w:rFonts w:ascii="Arial" w:cs="Arial" w:eastAsia="Arial" w:hAnsi="Arial"/>
                <w:sz w:val="17"/>
                <w:szCs w:val="17"/>
                <w:color w:val="auto"/>
              </w:rPr>
              <w:t>Indenture dated as of May 23, 2007 by and between Micron Technology, Inc. and Wells Fargo Bank, National Association, as trustee (1)</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Executive Officer Performance Incentive Plan (11)</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10.2</w:t>
            </w:r>
          </w:p>
        </w:tc>
        <w:tc>
          <w:tcPr>
            <w:tcW w:w="660" w:type="dxa"/>
            <w:vAlign w:val="bottom"/>
          </w:tcPr>
          <w:p>
            <w:pPr>
              <w:ind w:left="300"/>
              <w:spacing w:after="0"/>
              <w:rPr>
                <w:sz w:val="20"/>
                <w:szCs w:val="20"/>
                <w:color w:val="auto"/>
              </w:rPr>
            </w:pPr>
            <w:r>
              <w:rPr>
                <w:rFonts w:ascii="Arial" w:cs="Arial" w:eastAsia="Arial" w:hAnsi="Arial"/>
                <w:sz w:val="17"/>
                <w:szCs w:val="17"/>
                <w:color w:val="auto"/>
                <w:w w:val="89"/>
              </w:rPr>
              <w:t>1989</w:t>
            </w:r>
          </w:p>
        </w:tc>
        <w:tc>
          <w:tcPr>
            <w:tcW w:w="9960" w:type="dxa"/>
            <w:vAlign w:val="bottom"/>
          </w:tcPr>
          <w:p>
            <w:pPr>
              <w:ind w:left="20"/>
              <w:spacing w:after="0"/>
              <w:rPr>
                <w:sz w:val="20"/>
                <w:szCs w:val="20"/>
                <w:color w:val="auto"/>
              </w:rPr>
            </w:pPr>
            <w:r>
              <w:rPr>
                <w:rFonts w:ascii="Arial" w:cs="Arial" w:eastAsia="Arial" w:hAnsi="Arial"/>
                <w:sz w:val="17"/>
                <w:szCs w:val="17"/>
                <w:color w:val="auto"/>
              </w:rPr>
              <w:t>Employee Stock Purchase Plan (13)</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10.3</w:t>
            </w:r>
          </w:p>
        </w:tc>
        <w:tc>
          <w:tcPr>
            <w:tcW w:w="6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9"/>
              </w:rPr>
              <w:t>1994</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 Plan (12)</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10.4</w:t>
            </w:r>
          </w:p>
        </w:tc>
        <w:tc>
          <w:tcPr>
            <w:tcW w:w="660" w:type="dxa"/>
            <w:vAlign w:val="bottom"/>
          </w:tcPr>
          <w:p>
            <w:pPr>
              <w:ind w:left="300"/>
              <w:spacing w:after="0"/>
              <w:rPr>
                <w:sz w:val="20"/>
                <w:szCs w:val="20"/>
                <w:color w:val="auto"/>
              </w:rPr>
            </w:pPr>
            <w:r>
              <w:rPr>
                <w:rFonts w:ascii="Arial" w:cs="Arial" w:eastAsia="Arial" w:hAnsi="Arial"/>
                <w:sz w:val="17"/>
                <w:szCs w:val="17"/>
                <w:color w:val="auto"/>
                <w:w w:val="89"/>
              </w:rPr>
              <w:t>1994</w:t>
            </w:r>
          </w:p>
        </w:tc>
        <w:tc>
          <w:tcPr>
            <w:tcW w:w="9960" w:type="dxa"/>
            <w:vAlign w:val="bottom"/>
          </w:tcPr>
          <w:p>
            <w:pPr>
              <w:ind w:left="20"/>
              <w:spacing w:after="0"/>
              <w:rPr>
                <w:sz w:val="20"/>
                <w:szCs w:val="20"/>
                <w:color w:val="auto"/>
              </w:rPr>
            </w:pPr>
            <w:r>
              <w:rPr>
                <w:rFonts w:ascii="Arial" w:cs="Arial" w:eastAsia="Arial" w:hAnsi="Arial"/>
                <w:sz w:val="17"/>
                <w:szCs w:val="17"/>
                <w:color w:val="auto"/>
              </w:rPr>
              <w:t>Stock Option Plan Form of Agreement and Terms and Conditions (13)</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10.5</w:t>
            </w:r>
          </w:p>
        </w:tc>
        <w:tc>
          <w:tcPr>
            <w:tcW w:w="6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9"/>
              </w:rPr>
              <w:t>1997</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Nonstatutory Stock Option Plan (14)</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10.6</w:t>
            </w:r>
          </w:p>
        </w:tc>
        <w:tc>
          <w:tcPr>
            <w:tcW w:w="660" w:type="dxa"/>
            <w:vAlign w:val="bottom"/>
          </w:tcPr>
          <w:p>
            <w:pPr>
              <w:ind w:left="300"/>
              <w:spacing w:after="0"/>
              <w:rPr>
                <w:sz w:val="20"/>
                <w:szCs w:val="20"/>
                <w:color w:val="auto"/>
              </w:rPr>
            </w:pPr>
            <w:r>
              <w:rPr>
                <w:rFonts w:ascii="Arial" w:cs="Arial" w:eastAsia="Arial" w:hAnsi="Arial"/>
                <w:sz w:val="17"/>
                <w:szCs w:val="17"/>
                <w:color w:val="auto"/>
                <w:w w:val="89"/>
              </w:rPr>
              <w:t>1998</w:t>
            </w:r>
          </w:p>
        </w:tc>
        <w:tc>
          <w:tcPr>
            <w:tcW w:w="9960" w:type="dxa"/>
            <w:vAlign w:val="bottom"/>
          </w:tcPr>
          <w:p>
            <w:pPr>
              <w:ind w:left="20"/>
              <w:spacing w:after="0"/>
              <w:rPr>
                <w:sz w:val="20"/>
                <w:szCs w:val="20"/>
                <w:color w:val="auto"/>
              </w:rPr>
            </w:pPr>
            <w:r>
              <w:rPr>
                <w:rFonts w:ascii="Arial" w:cs="Arial" w:eastAsia="Arial" w:hAnsi="Arial"/>
                <w:sz w:val="17"/>
                <w:szCs w:val="17"/>
                <w:color w:val="auto"/>
              </w:rPr>
              <w:t>Non-Employee Director Stock Incentive Plan (15)</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10.7</w:t>
            </w:r>
          </w:p>
        </w:tc>
        <w:tc>
          <w:tcPr>
            <w:tcW w:w="6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9"/>
              </w:rPr>
              <w:t>1998</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Nonstatutory Stock Option Plan (14)</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10.8</w:t>
            </w:r>
          </w:p>
        </w:tc>
        <w:tc>
          <w:tcPr>
            <w:tcW w:w="660" w:type="dxa"/>
            <w:vAlign w:val="bottom"/>
          </w:tcPr>
          <w:p>
            <w:pPr>
              <w:ind w:left="300"/>
              <w:spacing w:after="0"/>
              <w:rPr>
                <w:sz w:val="20"/>
                <w:szCs w:val="20"/>
                <w:color w:val="auto"/>
              </w:rPr>
            </w:pPr>
            <w:r>
              <w:rPr>
                <w:rFonts w:ascii="Arial" w:cs="Arial" w:eastAsia="Arial" w:hAnsi="Arial"/>
                <w:sz w:val="17"/>
                <w:szCs w:val="17"/>
                <w:color w:val="auto"/>
                <w:w w:val="89"/>
              </w:rPr>
              <w:t>2001</w:t>
            </w:r>
          </w:p>
        </w:tc>
        <w:tc>
          <w:tcPr>
            <w:tcW w:w="9960" w:type="dxa"/>
            <w:vAlign w:val="bottom"/>
          </w:tcPr>
          <w:p>
            <w:pPr>
              <w:ind w:left="20"/>
              <w:spacing w:after="0"/>
              <w:rPr>
                <w:sz w:val="20"/>
                <w:szCs w:val="20"/>
                <w:color w:val="auto"/>
              </w:rPr>
            </w:pPr>
            <w:r>
              <w:rPr>
                <w:rFonts w:ascii="Arial" w:cs="Arial" w:eastAsia="Arial" w:hAnsi="Arial"/>
                <w:sz w:val="17"/>
                <w:szCs w:val="17"/>
                <w:color w:val="auto"/>
              </w:rPr>
              <w:t>Stock Option Plan (16)</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10.9</w:t>
            </w:r>
          </w:p>
        </w:tc>
        <w:tc>
          <w:tcPr>
            <w:tcW w:w="6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9"/>
              </w:rPr>
              <w:t>2001</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 Plan Form of Agreement (17)</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10.10</w:t>
            </w:r>
          </w:p>
        </w:tc>
        <w:tc>
          <w:tcPr>
            <w:tcW w:w="660" w:type="dxa"/>
            <w:vAlign w:val="bottom"/>
          </w:tcPr>
          <w:p>
            <w:pPr>
              <w:ind w:left="300"/>
              <w:spacing w:after="0"/>
              <w:rPr>
                <w:sz w:val="20"/>
                <w:szCs w:val="20"/>
                <w:color w:val="auto"/>
              </w:rPr>
            </w:pPr>
            <w:r>
              <w:rPr>
                <w:rFonts w:ascii="Arial" w:cs="Arial" w:eastAsia="Arial" w:hAnsi="Arial"/>
                <w:sz w:val="17"/>
                <w:szCs w:val="17"/>
                <w:color w:val="auto"/>
                <w:w w:val="89"/>
              </w:rPr>
              <w:t>2002</w:t>
            </w:r>
          </w:p>
        </w:tc>
        <w:tc>
          <w:tcPr>
            <w:tcW w:w="9960" w:type="dxa"/>
            <w:vAlign w:val="bottom"/>
          </w:tcPr>
          <w:p>
            <w:pPr>
              <w:ind w:left="20"/>
              <w:spacing w:after="0"/>
              <w:rPr>
                <w:sz w:val="20"/>
                <w:szCs w:val="20"/>
                <w:color w:val="auto"/>
              </w:rPr>
            </w:pPr>
            <w:r>
              <w:rPr>
                <w:rFonts w:ascii="Arial" w:cs="Arial" w:eastAsia="Arial" w:hAnsi="Arial"/>
                <w:sz w:val="17"/>
                <w:szCs w:val="17"/>
                <w:color w:val="auto"/>
              </w:rPr>
              <w:t>Employment Inducement Stock Option Plan (16)</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10.11</w:t>
            </w:r>
          </w:p>
        </w:tc>
        <w:tc>
          <w:tcPr>
            <w:tcW w:w="6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9"/>
              </w:rPr>
              <w:t>2004</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Incentive Plan (10)</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10.12</w:t>
            </w:r>
          </w:p>
        </w:tc>
        <w:tc>
          <w:tcPr>
            <w:tcW w:w="660" w:type="dxa"/>
            <w:vAlign w:val="bottom"/>
          </w:tcPr>
          <w:p>
            <w:pPr>
              <w:ind w:left="300"/>
              <w:spacing w:after="0"/>
              <w:rPr>
                <w:sz w:val="20"/>
                <w:szCs w:val="20"/>
                <w:color w:val="auto"/>
              </w:rPr>
            </w:pPr>
            <w:r>
              <w:rPr>
                <w:rFonts w:ascii="Arial" w:cs="Arial" w:eastAsia="Arial" w:hAnsi="Arial"/>
                <w:sz w:val="17"/>
                <w:szCs w:val="17"/>
                <w:color w:val="auto"/>
                <w:w w:val="89"/>
              </w:rPr>
              <w:t>2004</w:t>
            </w:r>
          </w:p>
        </w:tc>
        <w:tc>
          <w:tcPr>
            <w:tcW w:w="9960" w:type="dxa"/>
            <w:vAlign w:val="bottom"/>
          </w:tcPr>
          <w:p>
            <w:pPr>
              <w:ind w:left="20"/>
              <w:spacing w:after="0"/>
              <w:rPr>
                <w:sz w:val="20"/>
                <w:szCs w:val="20"/>
                <w:color w:val="auto"/>
              </w:rPr>
            </w:pPr>
            <w:r>
              <w:rPr>
                <w:rFonts w:ascii="Arial" w:cs="Arial" w:eastAsia="Arial" w:hAnsi="Arial"/>
                <w:sz w:val="17"/>
                <w:szCs w:val="17"/>
                <w:color w:val="auto"/>
              </w:rPr>
              <w:t>Equity Incentive Plan Forms of Agreement and Terms and Conditions (13)</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10.13</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Nonstatutory Stock Option Plan (18)</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10.14</w:t>
            </w:r>
          </w:p>
        </w:tc>
        <w:tc>
          <w:tcPr>
            <w:tcW w:w="10620" w:type="dxa"/>
            <w:vAlign w:val="bottom"/>
            <w:gridSpan w:val="2"/>
          </w:tcPr>
          <w:p>
            <w:pPr>
              <w:ind w:left="300"/>
              <w:spacing w:after="0"/>
              <w:rPr>
                <w:sz w:val="20"/>
                <w:szCs w:val="20"/>
                <w:color w:val="auto"/>
              </w:rPr>
            </w:pPr>
            <w:r>
              <w:rPr>
                <w:rFonts w:ascii="Arial" w:cs="Arial" w:eastAsia="Arial" w:hAnsi="Arial"/>
                <w:sz w:val="17"/>
                <w:szCs w:val="17"/>
                <w:color w:val="auto"/>
              </w:rPr>
              <w:t>Nonstatutory Stock Option Plan Form of Agreement and Terms and Conditions (13)</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10.15</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Lexar Media, Inc. 2000 Equity Incentive Plan (19)</w:t>
            </w: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10.16</w:t>
            </w:r>
          </w:p>
        </w:tc>
        <w:tc>
          <w:tcPr>
            <w:tcW w:w="10620" w:type="dxa"/>
            <w:vAlign w:val="bottom"/>
            <w:gridSpan w:val="2"/>
          </w:tcPr>
          <w:p>
            <w:pPr>
              <w:ind w:left="300"/>
              <w:spacing w:after="0"/>
              <w:rPr>
                <w:sz w:val="20"/>
                <w:szCs w:val="20"/>
                <w:color w:val="auto"/>
              </w:rPr>
            </w:pPr>
            <w:r>
              <w:rPr>
                <w:rFonts w:ascii="Arial" w:cs="Arial" w:eastAsia="Arial" w:hAnsi="Arial"/>
                <w:sz w:val="17"/>
                <w:szCs w:val="17"/>
                <w:color w:val="auto"/>
              </w:rPr>
              <w:t>Micron Quantum Devices, Inc. 1996 Stock Option Plan (12)</w:t>
            </w:r>
          </w:p>
        </w:tc>
      </w:tr>
      <w:tr>
        <w:trPr>
          <w:trHeight w:val="205"/>
        </w:trPr>
        <w:tc>
          <w:tcPr>
            <w:tcW w:w="800" w:type="dxa"/>
            <w:vAlign w:val="bottom"/>
            <w:shd w:val="clear" w:color="auto" w:fill="CCEEFF"/>
          </w:tcPr>
          <w:p>
            <w:pPr>
              <w:spacing w:after="0"/>
              <w:rPr>
                <w:sz w:val="20"/>
                <w:szCs w:val="20"/>
                <w:color w:val="auto"/>
              </w:rPr>
            </w:pPr>
            <w:r>
              <w:rPr>
                <w:rFonts w:ascii="Arial" w:cs="Arial" w:eastAsia="Arial" w:hAnsi="Arial"/>
                <w:sz w:val="17"/>
                <w:szCs w:val="17"/>
                <w:color w:val="auto"/>
              </w:rPr>
              <w:t>10.17</w:t>
            </w:r>
          </w:p>
        </w:tc>
        <w:tc>
          <w:tcPr>
            <w:tcW w:w="10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Micron Quantum Devices, Inc. 1996 Stock Option Plan Sample Stock Option Assumption Letter (12)</w:t>
            </w:r>
          </w:p>
        </w:tc>
      </w:tr>
      <w:tr>
        <w:trPr>
          <w:trHeight w:val="435"/>
        </w:trPr>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960" w:type="dxa"/>
            <w:vAlign w:val="bottom"/>
          </w:tcPr>
          <w:p>
            <w:pPr>
              <w:ind w:left="4160"/>
              <w:spacing w:after="0"/>
              <w:rPr>
                <w:sz w:val="20"/>
                <w:szCs w:val="20"/>
                <w:color w:val="auto"/>
              </w:rPr>
            </w:pPr>
            <w:r>
              <w:rPr>
                <w:rFonts w:ascii="Arial" w:cs="Arial" w:eastAsia="Arial" w:hAnsi="Arial"/>
                <w:sz w:val="17"/>
                <w:szCs w:val="17"/>
                <w:color w:val="auto"/>
              </w:rPr>
              <w:t>66</w:t>
            </w:r>
          </w:p>
        </w:tc>
      </w:tr>
      <w:tr>
        <w:trPr>
          <w:trHeight w:val="113"/>
        </w:trPr>
        <w:tc>
          <w:tcPr>
            <w:tcW w:w="8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7"/>
                <w:szCs w:val="17"/>
                <w:color w:val="auto"/>
              </w:rPr>
              <w:t>10.18</w:t>
            </w:r>
          </w:p>
        </w:tc>
        <w:tc>
          <w:tcPr>
            <w:tcW w:w="10640" w:type="dxa"/>
            <w:vAlign w:val="bottom"/>
          </w:tcPr>
          <w:p>
            <w:pPr>
              <w:ind w:left="320"/>
              <w:spacing w:after="0"/>
              <w:rPr>
                <w:sz w:val="20"/>
                <w:szCs w:val="20"/>
                <w:color w:val="auto"/>
              </w:rPr>
            </w:pPr>
            <w:r>
              <w:rPr>
                <w:rFonts w:ascii="Arial" w:cs="Arial" w:eastAsia="Arial" w:hAnsi="Arial"/>
                <w:sz w:val="17"/>
                <w:szCs w:val="17"/>
                <w:color w:val="auto"/>
              </w:rPr>
              <w:t>Rendition, Inc. 1994 Equity Incentive Plan (20)</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10.19</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Rendition, Inc. 1994 Equity Incentive Plan Sample Stock Option Assumption Letter (20)</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10.20*</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0"/>
              </w:rPr>
              <w:t>Settlement and Release Agreement dated September 15, 2006, by and among Toshiba Corporation, Micron Technology, Inc. and Acclaim Innovations,</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LLC (21)</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10.21*</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3"/>
              </w:rPr>
              <w:t>Patent License Agreement dated September 15, 2006, by and among Toshiba Corporation, Acclaim Innovations, LLC and Micron Technology, Inc.</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10.22*</w:t>
            </w:r>
          </w:p>
        </w:tc>
        <w:tc>
          <w:tcPr>
            <w:tcW w:w="10640" w:type="dxa"/>
            <w:vAlign w:val="bottom"/>
          </w:tcPr>
          <w:p>
            <w:pPr>
              <w:ind w:left="320"/>
              <w:spacing w:after="0"/>
              <w:rPr>
                <w:sz w:val="20"/>
                <w:szCs w:val="20"/>
                <w:color w:val="auto"/>
              </w:rPr>
            </w:pPr>
            <w:r>
              <w:rPr>
                <w:rFonts w:ascii="Arial" w:cs="Arial" w:eastAsia="Arial" w:hAnsi="Arial"/>
                <w:sz w:val="17"/>
                <w:szCs w:val="17"/>
                <w:color w:val="auto"/>
              </w:rPr>
              <w:t>Omnibus Agreement dated as of February 27, 2007, between Micron Technology, Inc. and Intel Corporation (10)</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10.23*</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2"/>
              </w:rPr>
              <w:t>Limited Liability Partnership Agreement dated as of February 27, 2007, between Micron Semiconductor Asia Pte. Ltd. and Intel Technology Asia Pte.</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Ltd. (10)</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10.24*</w:t>
            </w:r>
          </w:p>
        </w:tc>
        <w:tc>
          <w:tcPr>
            <w:tcW w:w="10640" w:type="dxa"/>
            <w:vAlign w:val="bottom"/>
          </w:tcPr>
          <w:p>
            <w:pPr>
              <w:ind w:left="320"/>
              <w:spacing w:after="0"/>
              <w:rPr>
                <w:sz w:val="20"/>
                <w:szCs w:val="20"/>
                <w:color w:val="auto"/>
              </w:rPr>
            </w:pPr>
            <w:r>
              <w:rPr>
                <w:rFonts w:ascii="Arial" w:cs="Arial" w:eastAsia="Arial" w:hAnsi="Arial"/>
                <w:sz w:val="17"/>
                <w:szCs w:val="17"/>
                <w:color w:val="auto"/>
              </w:rPr>
              <w:t>Supply Agreement dated as of February 27, 2007, between Micron Semiconductor Asia Pte. Ltd. and IM Flash Singapore, LLP (10)</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10.25*</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4"/>
              </w:rPr>
              <w:t>Amended and Restated Limited Liability Company Operating Agreement of IM Flash Technologies, LLC dated as of February 27, 2007, between</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Micron Technology, Inc. and Intel Corporation (10)</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10.26*</w:t>
            </w:r>
          </w:p>
        </w:tc>
        <w:tc>
          <w:tcPr>
            <w:tcW w:w="10640" w:type="dxa"/>
            <w:vAlign w:val="bottom"/>
          </w:tcPr>
          <w:p>
            <w:pPr>
              <w:ind w:left="320"/>
              <w:spacing w:after="0"/>
              <w:rPr>
                <w:sz w:val="20"/>
                <w:szCs w:val="20"/>
                <w:color w:val="auto"/>
              </w:rPr>
            </w:pPr>
            <w:r>
              <w:rPr>
                <w:rFonts w:ascii="Arial" w:cs="Arial" w:eastAsia="Arial" w:hAnsi="Arial"/>
                <w:sz w:val="17"/>
                <w:szCs w:val="17"/>
                <w:color w:val="auto"/>
              </w:rPr>
              <w:t>Supply Agreement dated as of February 27, 2007, between Intel Technology Asia Pte. Ltd. and IM Flash Singapore, LLP (10)</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10.27</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Form of Indemnification Agreement between the Registrant and its officers and directors (22)</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10.28</w:t>
            </w:r>
          </w:p>
        </w:tc>
        <w:tc>
          <w:tcPr>
            <w:tcW w:w="10640" w:type="dxa"/>
            <w:vAlign w:val="bottom"/>
          </w:tcPr>
          <w:p>
            <w:pPr>
              <w:ind w:left="320"/>
              <w:spacing w:after="0"/>
              <w:rPr>
                <w:sz w:val="20"/>
                <w:szCs w:val="20"/>
                <w:color w:val="auto"/>
              </w:rPr>
            </w:pPr>
            <w:r>
              <w:rPr>
                <w:rFonts w:ascii="Arial" w:cs="Arial" w:eastAsia="Arial" w:hAnsi="Arial"/>
                <w:sz w:val="17"/>
                <w:szCs w:val="17"/>
                <w:color w:val="auto"/>
              </w:rPr>
              <w:t>Form of Severance Agreement between the Company and its officers (23)</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10.29</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Form of Agreement and Amendment to Severance Agreement between the Company and its officers (24)</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10.30</w:t>
            </w:r>
          </w:p>
        </w:tc>
        <w:tc>
          <w:tcPr>
            <w:tcW w:w="10640" w:type="dxa"/>
            <w:vAlign w:val="bottom"/>
          </w:tcPr>
          <w:p>
            <w:pPr>
              <w:ind w:left="320"/>
              <w:spacing w:after="0"/>
              <w:rPr>
                <w:sz w:val="20"/>
                <w:szCs w:val="20"/>
                <w:color w:val="auto"/>
              </w:rPr>
            </w:pPr>
            <w:r>
              <w:rPr>
                <w:rFonts w:ascii="Arial" w:cs="Arial" w:eastAsia="Arial" w:hAnsi="Arial"/>
                <w:sz w:val="17"/>
                <w:szCs w:val="17"/>
                <w:color w:val="auto"/>
              </w:rPr>
              <w:t>Purchase Agreement dated October 1, 1998, between the Registrant and TECH Semiconductor Singapore Pte. Ltd. (25)</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10.31</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 Agreement dated as of July 12, 2001, between the Registrant and Lehman Brothers, Inc. relating to the Warrants (7)</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10.32</w:t>
            </w:r>
          </w:p>
        </w:tc>
        <w:tc>
          <w:tcPr>
            <w:tcW w:w="10640" w:type="dxa"/>
            <w:vAlign w:val="bottom"/>
          </w:tcPr>
          <w:p>
            <w:pPr>
              <w:ind w:left="320"/>
              <w:spacing w:after="0"/>
              <w:rPr>
                <w:sz w:val="20"/>
                <w:szCs w:val="20"/>
                <w:color w:val="auto"/>
              </w:rPr>
            </w:pPr>
            <w:r>
              <w:rPr>
                <w:rFonts w:ascii="Arial" w:cs="Arial" w:eastAsia="Arial" w:hAnsi="Arial"/>
                <w:sz w:val="17"/>
                <w:szCs w:val="17"/>
                <w:color w:val="auto"/>
              </w:rPr>
              <w:t>Registration Rights Agreement dated as of July 18, 2001, between the Registrant and Lehman Brothers, Inc., relating to the Warrants (7)</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10.33</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Warrant Agreement dated as of July 18, 2001, between the Registrant and Wells Fargo Bank Minnesota, N.A., relating to the Warrants (7)</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10.34*</w:t>
            </w:r>
          </w:p>
        </w:tc>
        <w:tc>
          <w:tcPr>
            <w:tcW w:w="10640" w:type="dxa"/>
            <w:vAlign w:val="bottom"/>
          </w:tcPr>
          <w:p>
            <w:pPr>
              <w:ind w:left="320"/>
              <w:spacing w:after="0"/>
              <w:rPr>
                <w:sz w:val="20"/>
                <w:szCs w:val="20"/>
                <w:color w:val="auto"/>
              </w:rPr>
            </w:pPr>
            <w:r>
              <w:rPr>
                <w:rFonts w:ascii="Arial" w:cs="Arial" w:eastAsia="Arial" w:hAnsi="Arial"/>
                <w:sz w:val="17"/>
                <w:szCs w:val="17"/>
                <w:color w:val="auto"/>
              </w:rPr>
              <w:t>Business Agreement dated September 24, 2003, between the Registrant and Intel Corporation (8)</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10.35</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Rights and Restrictions Agreement dated September 24, 2003, between the Registrant and Intel Capital (8)</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10.36*</w:t>
            </w:r>
          </w:p>
        </w:tc>
        <w:tc>
          <w:tcPr>
            <w:tcW w:w="10640" w:type="dxa"/>
            <w:vAlign w:val="bottom"/>
          </w:tcPr>
          <w:p>
            <w:pPr>
              <w:ind w:left="320"/>
              <w:spacing w:after="0"/>
              <w:rPr>
                <w:sz w:val="20"/>
                <w:szCs w:val="20"/>
                <w:color w:val="auto"/>
              </w:rPr>
            </w:pPr>
            <w:r>
              <w:rPr>
                <w:rFonts w:ascii="Arial" w:cs="Arial" w:eastAsia="Arial" w:hAnsi="Arial"/>
                <w:sz w:val="17"/>
                <w:szCs w:val="17"/>
                <w:color w:val="auto"/>
              </w:rPr>
              <w:t>Master Agreement dated as of November 18, 2005, between Micron Technology, Inc. and Intel Corporation (26)</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10.37*</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3"/>
              </w:rPr>
              <w:t>Limited Liability Company Operating Agreement of IM Flash Technologies, LLC dated as of January 6, 2006, between Micron Technology, Inc. and</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Intel Corporation (26)</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10.38*</w:t>
            </w:r>
          </w:p>
        </w:tc>
        <w:tc>
          <w:tcPr>
            <w:tcW w:w="10640" w:type="dxa"/>
            <w:vAlign w:val="bottom"/>
          </w:tcPr>
          <w:p>
            <w:pPr>
              <w:ind w:left="320"/>
              <w:spacing w:after="0"/>
              <w:rPr>
                <w:sz w:val="20"/>
                <w:szCs w:val="20"/>
                <w:color w:val="auto"/>
              </w:rPr>
            </w:pPr>
            <w:r>
              <w:rPr>
                <w:rFonts w:ascii="Arial" w:cs="Arial" w:eastAsia="Arial" w:hAnsi="Arial"/>
                <w:sz w:val="17"/>
                <w:szCs w:val="17"/>
                <w:color w:val="auto"/>
              </w:rPr>
              <w:t>Manufacturing Services Agreement dated as of January 6, 2006, between Micron Technology, Inc. and IM Flash Technologies, LLC (26)</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10.39*</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Boise Supply Agreement dated as of January 6, 2006, between IM Flash Technologies, LLC and Micron Technology, Inc. (26)</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10.40*</w:t>
            </w:r>
          </w:p>
        </w:tc>
        <w:tc>
          <w:tcPr>
            <w:tcW w:w="10640" w:type="dxa"/>
            <w:vAlign w:val="bottom"/>
          </w:tcPr>
          <w:p>
            <w:pPr>
              <w:ind w:left="320"/>
              <w:spacing w:after="0"/>
              <w:rPr>
                <w:sz w:val="20"/>
                <w:szCs w:val="20"/>
                <w:color w:val="auto"/>
              </w:rPr>
            </w:pPr>
            <w:r>
              <w:rPr>
                <w:rFonts w:ascii="Arial" w:cs="Arial" w:eastAsia="Arial" w:hAnsi="Arial"/>
                <w:sz w:val="17"/>
                <w:szCs w:val="17"/>
                <w:color w:val="auto"/>
              </w:rPr>
              <w:t>MTV Lease Agreement dated as of January 6, 2006, between Micron Technology, Inc. and IM Flash Technologies, LLC (26)</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10.41*</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Product Designs Assignment Agreement dated January 6, 2006, between Intel Corporation and Micron Technology, Inc. (26)</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10.42*</w:t>
            </w:r>
          </w:p>
        </w:tc>
        <w:tc>
          <w:tcPr>
            <w:tcW w:w="10640" w:type="dxa"/>
            <w:vAlign w:val="bottom"/>
          </w:tcPr>
          <w:p>
            <w:pPr>
              <w:ind w:left="320"/>
              <w:spacing w:after="0"/>
              <w:rPr>
                <w:sz w:val="20"/>
                <w:szCs w:val="20"/>
                <w:color w:val="auto"/>
              </w:rPr>
            </w:pPr>
            <w:r>
              <w:rPr>
                <w:rFonts w:ascii="Arial" w:cs="Arial" w:eastAsia="Arial" w:hAnsi="Arial"/>
                <w:sz w:val="17"/>
                <w:szCs w:val="17"/>
                <w:color w:val="auto"/>
              </w:rPr>
              <w:t>NAND Flash Supply Agreement, effective as of January 6, 2006, between Apple Computer, Inc. and Micron Technology, Inc. (26)</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10.43*</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Supply Agreement dated as of January 6, 2006, between Micron Technology, Inc. and IM Flash Technologies, LLC (26)</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10.44*</w:t>
            </w:r>
          </w:p>
        </w:tc>
        <w:tc>
          <w:tcPr>
            <w:tcW w:w="10640" w:type="dxa"/>
            <w:vAlign w:val="bottom"/>
          </w:tcPr>
          <w:p>
            <w:pPr>
              <w:ind w:left="320"/>
              <w:spacing w:after="0"/>
              <w:rPr>
                <w:sz w:val="20"/>
                <w:szCs w:val="20"/>
                <w:color w:val="auto"/>
              </w:rPr>
            </w:pPr>
            <w:r>
              <w:rPr>
                <w:rFonts w:ascii="Arial" w:cs="Arial" w:eastAsia="Arial" w:hAnsi="Arial"/>
                <w:sz w:val="17"/>
                <w:szCs w:val="17"/>
                <w:color w:val="auto"/>
              </w:rPr>
              <w:t>Supply Agreement dated as of January 6, 2006, between Intel Corporation and IM Flash Technologies, LLC (26)</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10.45</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7"/>
              </w:rPr>
              <w:t>Capped Call Confirmation (Reference No. CEODL6) by and between Micron Technology, Inc. and Morgan Stanley &amp; Co. International plc (1)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10.46</w:t>
            </w:r>
          </w:p>
        </w:tc>
        <w:tc>
          <w:tcPr>
            <w:tcW w:w="10640" w:type="dxa"/>
            <w:vAlign w:val="bottom"/>
          </w:tcPr>
          <w:p>
            <w:pPr>
              <w:ind w:left="320"/>
              <w:spacing w:after="0"/>
              <w:rPr>
                <w:sz w:val="20"/>
                <w:szCs w:val="20"/>
                <w:color w:val="auto"/>
              </w:rPr>
            </w:pPr>
            <w:r>
              <w:rPr>
                <w:rFonts w:ascii="Arial" w:cs="Arial" w:eastAsia="Arial" w:hAnsi="Arial"/>
                <w:sz w:val="17"/>
                <w:szCs w:val="17"/>
                <w:color w:val="auto"/>
              </w:rPr>
              <w:t>Capped Call Confirmation (Reference No. 53228800) by and between Micron Technology, Inc. and Credit Suisse International (1)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10.47</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Capped Call Confirmation (Reference No. 53228855) by and between Micron Technology, Inc. and Credit Suisse International (1)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21.1</w:t>
            </w:r>
          </w:p>
        </w:tc>
        <w:tc>
          <w:tcPr>
            <w:tcW w:w="10640" w:type="dxa"/>
            <w:vAlign w:val="bottom"/>
          </w:tcPr>
          <w:p>
            <w:pPr>
              <w:ind w:left="320"/>
              <w:spacing w:after="0"/>
              <w:rPr>
                <w:sz w:val="20"/>
                <w:szCs w:val="20"/>
                <w:color w:val="auto"/>
              </w:rPr>
            </w:pPr>
            <w:r>
              <w:rPr>
                <w:rFonts w:ascii="Arial" w:cs="Arial" w:eastAsia="Arial" w:hAnsi="Arial"/>
                <w:sz w:val="17"/>
                <w:szCs w:val="17"/>
                <w:color w:val="auto"/>
              </w:rPr>
              <w:t>Subsidiaries of the Registrant</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23.1</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31.1</w:t>
            </w:r>
          </w:p>
        </w:tc>
        <w:tc>
          <w:tcPr>
            <w:tcW w:w="10640" w:type="dxa"/>
            <w:vAlign w:val="bottom"/>
          </w:tcPr>
          <w:p>
            <w:pPr>
              <w:ind w:left="320"/>
              <w:spacing w:after="0"/>
              <w:rPr>
                <w:sz w:val="20"/>
                <w:szCs w:val="20"/>
                <w:color w:val="auto"/>
              </w:rPr>
            </w:pPr>
            <w:r>
              <w:rPr>
                <w:rFonts w:ascii="Arial" w:cs="Arial" w:eastAsia="Arial" w:hAnsi="Arial"/>
                <w:sz w:val="17"/>
                <w:szCs w:val="17"/>
                <w:color w:val="auto"/>
              </w:rPr>
              <w:t>Rule 13a-14(a) Certification of Chief Executive Officer</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Rule 13a-14(a) Certification of Chief Financial Officer</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32.1</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rPr>
              <w:t>Certification of Chief Executive Officer Pursuant to 18 U.S.C. 1350</w:t>
            </w:r>
          </w:p>
        </w:tc>
      </w:tr>
      <w:tr>
        <w:trPr>
          <w:trHeight w:val="214"/>
        </w:trPr>
        <w:tc>
          <w:tcPr>
            <w:tcW w:w="780" w:type="dxa"/>
            <w:vAlign w:val="bottom"/>
          </w:tcPr>
          <w:p>
            <w:pPr>
              <w:spacing w:after="0"/>
              <w:rPr>
                <w:sz w:val="20"/>
                <w:szCs w:val="20"/>
                <w:color w:val="auto"/>
              </w:rPr>
            </w:pPr>
            <w:r>
              <w:rPr>
                <w:rFonts w:ascii="Arial" w:cs="Arial" w:eastAsia="Arial" w:hAnsi="Arial"/>
                <w:sz w:val="17"/>
                <w:szCs w:val="17"/>
                <w:color w:val="auto"/>
              </w:rPr>
              <w:t>32.2</w:t>
            </w:r>
          </w:p>
        </w:tc>
        <w:tc>
          <w:tcPr>
            <w:tcW w:w="10640" w:type="dxa"/>
            <w:vAlign w:val="bottom"/>
          </w:tcPr>
          <w:p>
            <w:pPr>
              <w:ind w:left="320"/>
              <w:spacing w:after="0"/>
              <w:rPr>
                <w:sz w:val="20"/>
                <w:szCs w:val="20"/>
                <w:color w:val="auto"/>
              </w:rPr>
            </w:pPr>
            <w:r>
              <w:rPr>
                <w:rFonts w:ascii="Arial" w:cs="Arial" w:eastAsia="Arial" w:hAnsi="Arial"/>
                <w:sz w:val="17"/>
                <w:szCs w:val="17"/>
                <w:color w:val="auto"/>
              </w:rPr>
              <w:t>Certification of Chief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53605" cy="130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8" w:name="page69"/>
    <w:bookmarkEnd w:id="68"/>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May 17, 2007</w:t>
      </w:r>
    </w:p>
    <w:p>
      <w:pPr>
        <w:spacing w:after="0" w:line="20"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March 8, 2006</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May 30, 2006</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June 4, 2006</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Quarterly Report on Form 10-Q for the fiscal quarter ended May 31, 2001</w:t>
      </w:r>
    </w:p>
    <w:p>
      <w:pPr>
        <w:spacing w:after="0" w:line="21" w:lineRule="exact"/>
        <w:rPr>
          <w:rFonts w:ascii="Arial" w:cs="Arial" w:eastAsia="Arial" w:hAnsi="Arial"/>
          <w:sz w:val="16"/>
          <w:szCs w:val="16"/>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December 5, 2006</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Annual Report on Form 10-K for the fiscal year ended August 30, 2001</w:t>
      </w:r>
    </w:p>
    <w:p>
      <w:pPr>
        <w:spacing w:after="0" w:line="21" w:lineRule="exact"/>
        <w:rPr>
          <w:rFonts w:ascii="Arial" w:cs="Arial" w:eastAsia="Arial" w:hAnsi="Arial"/>
          <w:sz w:val="16"/>
          <w:szCs w:val="16"/>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September 24, 2003</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Lexar Media, Inc.’s Current Report on Form 8-K dated March 30, 2005</w:t>
      </w:r>
    </w:p>
    <w:p>
      <w:pPr>
        <w:spacing w:after="0" w:line="21" w:lineRule="exact"/>
        <w:rPr>
          <w:rFonts w:ascii="Arial" w:cs="Arial" w:eastAsia="Arial" w:hAnsi="Arial"/>
          <w:sz w:val="16"/>
          <w:szCs w:val="16"/>
          <w:color w:val="auto"/>
        </w:rPr>
      </w:pPr>
    </w:p>
    <w:p>
      <w:pPr>
        <w:ind w:left="1117" w:hanging="1117"/>
        <w:spacing w:after="0"/>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Quarterly Report on Form 10-Q for the fiscal quarter ended March 1, 2007</w:t>
      </w:r>
    </w:p>
    <w:p>
      <w:pPr>
        <w:spacing w:after="0" w:line="21" w:lineRule="exact"/>
        <w:rPr>
          <w:rFonts w:ascii="Arial" w:cs="Arial" w:eastAsia="Arial" w:hAnsi="Arial"/>
          <w:sz w:val="16"/>
          <w:szCs w:val="16"/>
          <w:color w:val="auto"/>
        </w:rPr>
      </w:pPr>
    </w:p>
    <w:p>
      <w:pPr>
        <w:ind w:left="1117" w:hanging="1117"/>
        <w:spacing w:after="0"/>
        <w:tabs>
          <w:tab w:leader="none" w:pos="1117"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December 2, 2004</w:t>
      </w:r>
    </w:p>
    <w:p>
      <w:pPr>
        <w:spacing w:after="0" w:line="32" w:lineRule="exact"/>
        <w:rPr>
          <w:rFonts w:ascii="Arial" w:cs="Arial" w:eastAsia="Arial" w:hAnsi="Arial"/>
          <w:sz w:val="15"/>
          <w:szCs w:val="15"/>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 No. 333-50353)</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Quarterly Report on Form 10-Q for the fiscal quarter ended March 3, 2005</w:t>
      </w:r>
    </w:p>
    <w:p>
      <w:pPr>
        <w:spacing w:after="0" w:line="21" w:lineRule="exact"/>
        <w:rPr>
          <w:rFonts w:ascii="Arial" w:cs="Arial" w:eastAsia="Arial" w:hAnsi="Arial"/>
          <w:sz w:val="16"/>
          <w:szCs w:val="16"/>
          <w:color w:val="auto"/>
        </w:rPr>
      </w:pPr>
    </w:p>
    <w:p>
      <w:pPr>
        <w:ind w:left="1117" w:hanging="1117"/>
        <w:spacing w:after="0"/>
        <w:tabs>
          <w:tab w:leader="none" w:pos="1117"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November 28, 2002</w:t>
      </w:r>
    </w:p>
    <w:p>
      <w:pPr>
        <w:spacing w:after="0" w:line="32" w:lineRule="exact"/>
        <w:rPr>
          <w:rFonts w:ascii="Arial" w:cs="Arial" w:eastAsia="Arial" w:hAnsi="Arial"/>
          <w:sz w:val="15"/>
          <w:szCs w:val="15"/>
          <w:color w:val="auto"/>
        </w:rPr>
      </w:pPr>
    </w:p>
    <w:p>
      <w:pPr>
        <w:ind w:left="1117" w:hanging="1117"/>
        <w:spacing w:after="0"/>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Quarterly Report on Form 10-Q for the fiscal quarter ended June 3, 1999</w:t>
      </w:r>
    </w:p>
    <w:p>
      <w:pPr>
        <w:spacing w:after="0" w:line="21" w:lineRule="exact"/>
        <w:rPr>
          <w:rFonts w:ascii="Arial" w:cs="Arial" w:eastAsia="Arial" w:hAnsi="Arial"/>
          <w:sz w:val="16"/>
          <w:szCs w:val="16"/>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 No. 333-102545)</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April 3, 2005</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 No. 333-103341)</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 No. 333-135459)</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 No. 333-65449)</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November 30, 2006</w:t>
      </w:r>
    </w:p>
    <w:p>
      <w:pPr>
        <w:spacing w:after="0" w:line="32" w:lineRule="exact"/>
        <w:rPr>
          <w:rFonts w:ascii="Arial" w:cs="Arial" w:eastAsia="Arial" w:hAnsi="Arial"/>
          <w:sz w:val="15"/>
          <w:szCs w:val="15"/>
          <w:color w:val="auto"/>
        </w:rPr>
      </w:pPr>
    </w:p>
    <w:p>
      <w:pPr>
        <w:ind w:left="1117" w:hanging="1117"/>
        <w:spacing w:after="0"/>
        <w:tabs>
          <w:tab w:leader="none" w:pos="1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Proxy Statement for the 1986 Annual Meeting of Shareholders</w:t>
      </w:r>
    </w:p>
    <w:p>
      <w:pPr>
        <w:spacing w:after="0" w:line="9" w:lineRule="exact"/>
        <w:rPr>
          <w:rFonts w:ascii="Arial" w:cs="Arial" w:eastAsia="Arial" w:hAnsi="Arial"/>
          <w:sz w:val="17"/>
          <w:szCs w:val="17"/>
          <w:color w:val="auto"/>
        </w:rPr>
      </w:pPr>
    </w:p>
    <w:p>
      <w:pPr>
        <w:ind w:left="1117" w:hanging="1117"/>
        <w:spacing w:after="0"/>
        <w:tabs>
          <w:tab w:leader="none" w:pos="11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Annual Report on Form 10-K for the fiscal year ended August 28, 2003</w:t>
      </w:r>
    </w:p>
    <w:p>
      <w:pPr>
        <w:spacing w:after="0" w:line="21" w:lineRule="exact"/>
        <w:rPr>
          <w:rFonts w:ascii="Arial" w:cs="Arial" w:eastAsia="Arial" w:hAnsi="Arial"/>
          <w:sz w:val="16"/>
          <w:szCs w:val="16"/>
          <w:color w:val="auto"/>
        </w:rPr>
      </w:pPr>
    </w:p>
    <w:p>
      <w:pPr>
        <w:ind w:left="1117" w:hanging="1117"/>
        <w:spacing w:after="0"/>
        <w:tabs>
          <w:tab w:leader="none" w:pos="1117"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February 27, 1997</w:t>
      </w:r>
    </w:p>
    <w:p>
      <w:pPr>
        <w:spacing w:after="0" w:line="32" w:lineRule="exact"/>
        <w:rPr>
          <w:rFonts w:ascii="Arial" w:cs="Arial" w:eastAsia="Arial" w:hAnsi="Arial"/>
          <w:sz w:val="15"/>
          <w:szCs w:val="15"/>
          <w:color w:val="auto"/>
        </w:rPr>
      </w:pPr>
    </w:p>
    <w:p>
      <w:pPr>
        <w:ind w:left="1117" w:hanging="1117"/>
        <w:spacing w:after="0"/>
        <w:tabs>
          <w:tab w:leader="none" w:pos="1117"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December 3, 1998</w:t>
      </w:r>
    </w:p>
    <w:p>
      <w:pPr>
        <w:spacing w:after="0" w:line="32" w:lineRule="exact"/>
        <w:rPr>
          <w:rFonts w:ascii="Arial" w:cs="Arial" w:eastAsia="Arial" w:hAnsi="Arial"/>
          <w:sz w:val="15"/>
          <w:szCs w:val="15"/>
          <w:color w:val="auto"/>
        </w:rPr>
      </w:pPr>
    </w:p>
    <w:p>
      <w:pPr>
        <w:ind w:left="-3" w:right="1759" w:firstLine="3"/>
        <w:spacing w:after="0" w:line="330" w:lineRule="auto"/>
        <w:tabs>
          <w:tab w:leader="none" w:pos="1113"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December 1, 2005 * Portions of this exhibit have been omitted pursuant to a request for confidential treatment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-3556000</wp:posOffset>
            </wp:positionV>
            <wp:extent cx="7253605" cy="130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-3295650</wp:posOffset>
            </wp:positionV>
            <wp:extent cx="7253605" cy="130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-3035300</wp:posOffset>
            </wp:positionV>
            <wp:extent cx="7253605" cy="130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-2774315</wp:posOffset>
            </wp:positionV>
            <wp:extent cx="7253605" cy="130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-2513965</wp:posOffset>
            </wp:positionV>
            <wp:extent cx="7253605" cy="130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-2253615</wp:posOffset>
            </wp:positionV>
            <wp:extent cx="7253605" cy="130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-1993265</wp:posOffset>
            </wp:positionV>
            <wp:extent cx="7253605" cy="130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-1732280</wp:posOffset>
            </wp:positionV>
            <wp:extent cx="7253605" cy="130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-1471930</wp:posOffset>
            </wp:positionV>
            <wp:extent cx="7253605" cy="130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-1211580</wp:posOffset>
            </wp:positionV>
            <wp:extent cx="7253605" cy="130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-951230</wp:posOffset>
            </wp:positionV>
            <wp:extent cx="7253605" cy="130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-690245</wp:posOffset>
            </wp:positionV>
            <wp:extent cx="7253605" cy="130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-429895</wp:posOffset>
            </wp:positionV>
            <wp:extent cx="7253605" cy="130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36" w:lineRule="exact"/>
        <w:rPr>
          <w:sz w:val="20"/>
          <w:szCs w:val="20"/>
          <w:color w:val="auto"/>
        </w:rPr>
      </w:pPr>
    </w:p>
    <w:p>
      <w:pPr>
        <w:ind w:left="5617"/>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17"/>
          </w:cols>
          <w:pgMar w:left="243" w:top="589"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SIGNATURES</w:t>
      </w:r>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Boise, State of Idaho, on the 26th day of October 2007.</w:t>
      </w:r>
    </w:p>
    <w:p>
      <w:pPr>
        <w:spacing w:after="0" w:line="1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80"/>
        <w:spacing w:after="0"/>
        <w:tabs>
          <w:tab w:leader="none" w:pos="79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i w:val="1"/>
          <w:iCs w:val="1"/>
          <w:color w:val="auto"/>
        </w:rPr>
        <w:t>/s/ W. G. Stover, Jr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13970</wp:posOffset>
            </wp:positionV>
            <wp:extent cx="352488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24885" cy="16510"/>
                    </a:xfrm>
                    <a:prstGeom prst="rect">
                      <a:avLst/>
                    </a:prstGeom>
                    <a:noFill/>
                  </pic:spPr>
                </pic:pic>
              </a:graphicData>
            </a:graphic>
          </wp:anchor>
        </w:drawing>
      </w:r>
    </w:p>
    <w:p>
      <w:pPr>
        <w:spacing w:after="0" w:line="11" w:lineRule="exact"/>
        <w:rPr>
          <w:sz w:val="20"/>
          <w:szCs w:val="20"/>
          <w:color w:val="auto"/>
        </w:rPr>
      </w:pPr>
    </w:p>
    <w:p>
      <w:pPr>
        <w:jc w:val="center"/>
        <w:ind w:left="5880"/>
        <w:spacing w:after="0"/>
        <w:rPr>
          <w:sz w:val="20"/>
          <w:szCs w:val="20"/>
          <w:color w:val="auto"/>
        </w:rPr>
      </w:pPr>
      <w:r>
        <w:rPr>
          <w:rFonts w:ascii="Arial" w:cs="Arial" w:eastAsia="Arial" w:hAnsi="Arial"/>
          <w:sz w:val="17"/>
          <w:szCs w:val="17"/>
          <w:b w:val="1"/>
          <w:bCs w:val="1"/>
          <w:color w:val="auto"/>
        </w:rPr>
        <w:t>W. G. Stover, Jr.</w:t>
      </w:r>
    </w:p>
    <w:p>
      <w:pPr>
        <w:spacing w:after="0" w:line="25" w:lineRule="exact"/>
        <w:rPr>
          <w:sz w:val="20"/>
          <w:szCs w:val="20"/>
          <w:color w:val="auto"/>
        </w:rPr>
      </w:pPr>
    </w:p>
    <w:p>
      <w:pPr>
        <w:jc w:val="center"/>
        <w:ind w:left="5880"/>
        <w:spacing w:after="0"/>
        <w:rPr>
          <w:sz w:val="20"/>
          <w:szCs w:val="20"/>
          <w:color w:val="auto"/>
        </w:rPr>
      </w:pPr>
      <w:r>
        <w:rPr>
          <w:rFonts w:ascii="Arial" w:cs="Arial" w:eastAsia="Arial" w:hAnsi="Arial"/>
          <w:sz w:val="17"/>
          <w:szCs w:val="17"/>
          <w:color w:val="auto"/>
        </w:rPr>
        <w:t>Vice President of Finance, Chief Financial Officer</w:t>
      </w:r>
    </w:p>
    <w:p>
      <w:pPr>
        <w:spacing w:after="0" w:line="10" w:lineRule="exact"/>
        <w:rPr>
          <w:sz w:val="20"/>
          <w:szCs w:val="20"/>
          <w:color w:val="auto"/>
        </w:rPr>
      </w:pPr>
    </w:p>
    <w:p>
      <w:pPr>
        <w:jc w:val="center"/>
        <w:ind w:left="5880"/>
        <w:spacing w:after="0"/>
        <w:rPr>
          <w:sz w:val="20"/>
          <w:szCs w:val="20"/>
          <w:color w:val="auto"/>
        </w:rPr>
      </w:pPr>
      <w:r>
        <w:rPr>
          <w:rFonts w:ascii="Arial" w:cs="Arial" w:eastAsia="Arial" w:hAnsi="Arial"/>
          <w:sz w:val="17"/>
          <w:szCs w:val="17"/>
          <w:color w:val="auto"/>
        </w:rPr>
        <w:t>(Principal Financial and Accounting Officer)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Signature</w:t>
            </w:r>
          </w:p>
        </w:tc>
        <w:tc>
          <w:tcPr>
            <w:tcW w:w="3420" w:type="dxa"/>
            <w:vAlign w:val="bottom"/>
            <w:tcBorders>
              <w:bottom w:val="single" w:sz="8" w:color="auto"/>
            </w:tcBorders>
          </w:tcPr>
          <w:p>
            <w:pPr>
              <w:ind w:left="2340"/>
              <w:spacing w:after="0"/>
              <w:rPr>
                <w:sz w:val="20"/>
                <w:szCs w:val="20"/>
                <w:color w:val="auto"/>
              </w:rPr>
            </w:pPr>
            <w:r>
              <w:rPr>
                <w:rFonts w:ascii="Arial" w:cs="Arial" w:eastAsia="Arial" w:hAnsi="Arial"/>
                <w:sz w:val="17"/>
                <w:szCs w:val="17"/>
                <w:b w:val="1"/>
                <w:bCs w:val="1"/>
                <w:color w:val="auto"/>
              </w:rPr>
              <w:t>Title</w:t>
            </w:r>
          </w:p>
        </w:tc>
        <w:tc>
          <w:tcPr>
            <w:tcW w:w="2820" w:type="dxa"/>
            <w:vAlign w:val="bottom"/>
            <w:tcBorders>
              <w:bottom w:val="single" w:sz="8" w:color="auto"/>
            </w:tcBorders>
          </w:tcPr>
          <w:p>
            <w:pPr>
              <w:ind w:left="1520"/>
              <w:spacing w:after="0"/>
              <w:rPr>
                <w:sz w:val="20"/>
                <w:szCs w:val="20"/>
                <w:color w:val="auto"/>
              </w:rPr>
            </w:pPr>
            <w:r>
              <w:rPr>
                <w:rFonts w:ascii="Arial" w:cs="Arial" w:eastAsia="Arial" w:hAnsi="Arial"/>
                <w:sz w:val="17"/>
                <w:szCs w:val="17"/>
                <w:b w:val="1"/>
                <w:bCs w:val="1"/>
                <w:color w:val="auto"/>
              </w:rPr>
              <w:t>Date</w:t>
            </w:r>
          </w:p>
        </w:tc>
      </w:tr>
      <w:tr>
        <w:trPr>
          <w:trHeight w:val="62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8"/>
              </w:rPr>
              <w:t>/s/ Steven R. Appleton</w:t>
            </w:r>
          </w:p>
        </w:tc>
        <w:tc>
          <w:tcPr>
            <w:tcW w:w="3420" w:type="dxa"/>
            <w:vAlign w:val="bottom"/>
          </w:tcPr>
          <w:p>
            <w:pPr>
              <w:ind w:left="1060"/>
              <w:spacing w:after="0"/>
              <w:rPr>
                <w:sz w:val="20"/>
                <w:szCs w:val="20"/>
                <w:color w:val="auto"/>
              </w:rPr>
            </w:pPr>
            <w:r>
              <w:rPr>
                <w:rFonts w:ascii="Arial" w:cs="Arial" w:eastAsia="Arial" w:hAnsi="Arial"/>
                <w:sz w:val="17"/>
                <w:szCs w:val="17"/>
                <w:color w:val="auto"/>
              </w:rPr>
              <w:t>Chairman of the Board,</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26, 2007</w:t>
            </w:r>
          </w:p>
        </w:tc>
      </w:tr>
      <w:tr>
        <w:trPr>
          <w:trHeight w:val="193"/>
        </w:trPr>
        <w:tc>
          <w:tcPr>
            <w:tcW w:w="518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90"/>
              </w:rPr>
              <w:t>(Steven R. Appleton)</w:t>
            </w:r>
          </w:p>
        </w:tc>
        <w:tc>
          <w:tcPr>
            <w:tcW w:w="3420" w:type="dxa"/>
            <w:vAlign w:val="bottom"/>
          </w:tcPr>
          <w:p>
            <w:pPr>
              <w:ind w:left="1060"/>
              <w:spacing w:after="0" w:line="193" w:lineRule="exact"/>
              <w:rPr>
                <w:sz w:val="20"/>
                <w:szCs w:val="20"/>
                <w:color w:val="auto"/>
              </w:rPr>
            </w:pPr>
            <w:r>
              <w:rPr>
                <w:rFonts w:ascii="Arial" w:cs="Arial" w:eastAsia="Arial" w:hAnsi="Arial"/>
                <w:sz w:val="17"/>
                <w:szCs w:val="17"/>
                <w:color w:val="auto"/>
              </w:rPr>
              <w:t>Chief Executive Officer</w:t>
            </w:r>
          </w:p>
        </w:tc>
        <w:tc>
          <w:tcPr>
            <w:tcW w:w="2820" w:type="dxa"/>
            <w:vAlign w:val="bottom"/>
          </w:tcPr>
          <w:p>
            <w:pPr>
              <w:spacing w:after="0"/>
              <w:rPr>
                <w:sz w:val="16"/>
                <w:szCs w:val="16"/>
                <w:color w:val="auto"/>
              </w:rPr>
            </w:pPr>
          </w:p>
        </w:tc>
      </w:tr>
      <w:tr>
        <w:trPr>
          <w:trHeight w:val="205"/>
        </w:trPr>
        <w:tc>
          <w:tcPr>
            <w:tcW w:w="5180" w:type="dxa"/>
            <w:vAlign w:val="bottom"/>
          </w:tcPr>
          <w:p>
            <w:pPr>
              <w:spacing w:after="0"/>
              <w:rPr>
                <w:sz w:val="17"/>
                <w:szCs w:val="17"/>
                <w:color w:val="auto"/>
              </w:rPr>
            </w:pPr>
          </w:p>
        </w:tc>
        <w:tc>
          <w:tcPr>
            <w:tcW w:w="3420" w:type="dxa"/>
            <w:vAlign w:val="bottom"/>
          </w:tcPr>
          <w:p>
            <w:pPr>
              <w:ind w:left="1060"/>
              <w:spacing w:after="0"/>
              <w:rPr>
                <w:sz w:val="20"/>
                <w:szCs w:val="20"/>
                <w:color w:val="auto"/>
              </w:rPr>
            </w:pPr>
            <w:r>
              <w:rPr>
                <w:rFonts w:ascii="Arial" w:cs="Arial" w:eastAsia="Arial" w:hAnsi="Arial"/>
                <w:sz w:val="17"/>
                <w:szCs w:val="17"/>
                <w:color w:val="auto"/>
              </w:rPr>
              <w:t>(Principal Executive</w:t>
            </w:r>
          </w:p>
        </w:tc>
        <w:tc>
          <w:tcPr>
            <w:tcW w:w="282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3420" w:type="dxa"/>
            <w:vAlign w:val="bottom"/>
          </w:tcPr>
          <w:p>
            <w:pPr>
              <w:ind w:left="1100"/>
              <w:spacing w:after="0"/>
              <w:rPr>
                <w:sz w:val="20"/>
                <w:szCs w:val="20"/>
                <w:color w:val="auto"/>
              </w:rPr>
            </w:pPr>
            <w:r>
              <w:rPr>
                <w:rFonts w:ascii="Arial" w:cs="Arial" w:eastAsia="Arial" w:hAnsi="Arial"/>
                <w:sz w:val="17"/>
                <w:szCs w:val="17"/>
                <w:color w:val="auto"/>
              </w:rPr>
              <w:t>Officer)</w:t>
            </w:r>
          </w:p>
        </w:tc>
        <w:tc>
          <w:tcPr>
            <w:tcW w:w="2820" w:type="dxa"/>
            <w:vAlign w:val="bottom"/>
          </w:tcPr>
          <w:p>
            <w:pPr>
              <w:spacing w:after="0"/>
              <w:rPr>
                <w:sz w:val="18"/>
                <w:szCs w:val="18"/>
                <w:color w:val="auto"/>
              </w:rPr>
            </w:pP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7"/>
              </w:rPr>
              <w:t>/s/ W. G. Stover, Jr.</w:t>
            </w:r>
          </w:p>
        </w:tc>
        <w:tc>
          <w:tcPr>
            <w:tcW w:w="3420" w:type="dxa"/>
            <w:vAlign w:val="bottom"/>
          </w:tcPr>
          <w:p>
            <w:pPr>
              <w:ind w:left="1060"/>
              <w:spacing w:after="0"/>
              <w:rPr>
                <w:sz w:val="20"/>
                <w:szCs w:val="20"/>
                <w:color w:val="auto"/>
              </w:rPr>
            </w:pPr>
            <w:r>
              <w:rPr>
                <w:rFonts w:ascii="Arial" w:cs="Arial" w:eastAsia="Arial" w:hAnsi="Arial"/>
                <w:sz w:val="17"/>
                <w:szCs w:val="17"/>
                <w:color w:val="auto"/>
              </w:rPr>
              <w:t>Vice President of Finance,</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26, 2007</w:t>
            </w:r>
          </w:p>
        </w:tc>
      </w:tr>
      <w:tr>
        <w:trPr>
          <w:trHeight w:val="193"/>
        </w:trPr>
        <w:tc>
          <w:tcPr>
            <w:tcW w:w="5180" w:type="dxa"/>
            <w:vAlign w:val="bottom"/>
          </w:tcPr>
          <w:p>
            <w:pPr>
              <w:jc w:val="center"/>
              <w:spacing w:after="0" w:line="193" w:lineRule="exact"/>
              <w:rPr>
                <w:sz w:val="20"/>
                <w:szCs w:val="20"/>
                <w:color w:val="auto"/>
              </w:rPr>
            </w:pPr>
            <w:r>
              <w:rPr>
                <w:rFonts w:ascii="Arial" w:cs="Arial" w:eastAsia="Arial" w:hAnsi="Arial"/>
                <w:sz w:val="17"/>
                <w:szCs w:val="17"/>
                <w:b w:val="1"/>
                <w:bCs w:val="1"/>
                <w:color w:val="auto"/>
                <w:w w:val="91"/>
              </w:rPr>
              <w:t>(W. G. Stover, Jr.)</w:t>
            </w:r>
          </w:p>
        </w:tc>
        <w:tc>
          <w:tcPr>
            <w:tcW w:w="3420" w:type="dxa"/>
            <w:vAlign w:val="bottom"/>
          </w:tcPr>
          <w:p>
            <w:pPr>
              <w:ind w:left="1060"/>
              <w:spacing w:after="0" w:line="193" w:lineRule="exact"/>
              <w:rPr>
                <w:sz w:val="20"/>
                <w:szCs w:val="20"/>
                <w:color w:val="auto"/>
              </w:rPr>
            </w:pPr>
            <w:r>
              <w:rPr>
                <w:rFonts w:ascii="Arial" w:cs="Arial" w:eastAsia="Arial" w:hAnsi="Arial"/>
                <w:sz w:val="17"/>
                <w:szCs w:val="17"/>
                <w:color w:val="auto"/>
              </w:rPr>
              <w:t>Chief Financial Officer</w:t>
            </w:r>
          </w:p>
        </w:tc>
        <w:tc>
          <w:tcPr>
            <w:tcW w:w="2820" w:type="dxa"/>
            <w:vAlign w:val="bottom"/>
          </w:tcPr>
          <w:p>
            <w:pPr>
              <w:spacing w:after="0"/>
              <w:rPr>
                <w:sz w:val="16"/>
                <w:szCs w:val="16"/>
                <w:color w:val="auto"/>
              </w:rPr>
            </w:pPr>
          </w:p>
        </w:tc>
      </w:tr>
      <w:tr>
        <w:trPr>
          <w:trHeight w:val="205"/>
        </w:trPr>
        <w:tc>
          <w:tcPr>
            <w:tcW w:w="5180" w:type="dxa"/>
            <w:vAlign w:val="bottom"/>
          </w:tcPr>
          <w:p>
            <w:pPr>
              <w:spacing w:after="0"/>
              <w:rPr>
                <w:sz w:val="17"/>
                <w:szCs w:val="17"/>
                <w:color w:val="auto"/>
              </w:rPr>
            </w:pPr>
          </w:p>
        </w:tc>
        <w:tc>
          <w:tcPr>
            <w:tcW w:w="3420" w:type="dxa"/>
            <w:vAlign w:val="bottom"/>
          </w:tcPr>
          <w:p>
            <w:pPr>
              <w:ind w:left="1060"/>
              <w:spacing w:after="0"/>
              <w:rPr>
                <w:sz w:val="20"/>
                <w:szCs w:val="20"/>
                <w:color w:val="auto"/>
              </w:rPr>
            </w:pPr>
            <w:r>
              <w:rPr>
                <w:rFonts w:ascii="Arial" w:cs="Arial" w:eastAsia="Arial" w:hAnsi="Arial"/>
                <w:sz w:val="17"/>
                <w:szCs w:val="17"/>
                <w:color w:val="auto"/>
              </w:rPr>
              <w:t>(Principal Financial and</w:t>
            </w:r>
          </w:p>
        </w:tc>
        <w:tc>
          <w:tcPr>
            <w:tcW w:w="282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3420" w:type="dxa"/>
            <w:vAlign w:val="bottom"/>
          </w:tcPr>
          <w:p>
            <w:pPr>
              <w:ind w:left="1060"/>
              <w:spacing w:after="0"/>
              <w:rPr>
                <w:sz w:val="20"/>
                <w:szCs w:val="20"/>
                <w:color w:val="auto"/>
              </w:rPr>
            </w:pPr>
            <w:r>
              <w:rPr>
                <w:rFonts w:ascii="Arial" w:cs="Arial" w:eastAsia="Arial" w:hAnsi="Arial"/>
                <w:sz w:val="17"/>
                <w:szCs w:val="17"/>
                <w:color w:val="auto"/>
              </w:rPr>
              <w:t>Accounting Officer)</w:t>
            </w:r>
          </w:p>
        </w:tc>
        <w:tc>
          <w:tcPr>
            <w:tcW w:w="2820" w:type="dxa"/>
            <w:vAlign w:val="bottom"/>
          </w:tcPr>
          <w:p>
            <w:pPr>
              <w:spacing w:after="0"/>
              <w:rPr>
                <w:sz w:val="18"/>
                <w:szCs w:val="18"/>
                <w:color w:val="auto"/>
              </w:rPr>
            </w:pP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2"/>
              </w:rPr>
              <w:t>/s/ Teruaki Aoki</w:t>
            </w:r>
          </w:p>
        </w:tc>
        <w:tc>
          <w:tcPr>
            <w:tcW w:w="342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26, 2007</w:t>
            </w:r>
          </w:p>
        </w:tc>
      </w:tr>
      <w:tr>
        <w:trPr>
          <w:trHeight w:val="220"/>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95"/>
              </w:rPr>
              <w:t>(Teruaki Aoki)</w:t>
            </w:r>
          </w:p>
        </w:tc>
        <w:tc>
          <w:tcPr>
            <w:tcW w:w="342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60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7"/>
              </w:rPr>
              <w:t>/s/ James W. Bagley</w:t>
            </w:r>
          </w:p>
        </w:tc>
        <w:tc>
          <w:tcPr>
            <w:tcW w:w="342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26, 2007</w:t>
            </w:r>
          </w:p>
        </w:tc>
      </w:tr>
      <w:tr>
        <w:trPr>
          <w:trHeight w:val="220"/>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89"/>
              </w:rPr>
              <w:t>(James W. Bagley)</w:t>
            </w:r>
          </w:p>
        </w:tc>
        <w:tc>
          <w:tcPr>
            <w:tcW w:w="342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60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7"/>
              </w:rPr>
              <w:t>/s/ Mercedes Johnson</w:t>
            </w:r>
          </w:p>
        </w:tc>
        <w:tc>
          <w:tcPr>
            <w:tcW w:w="342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26, 2007</w:t>
            </w:r>
          </w:p>
        </w:tc>
      </w:tr>
      <w:tr>
        <w:trPr>
          <w:trHeight w:val="220"/>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88"/>
              </w:rPr>
              <w:t>(Mercedes Johnson)</w:t>
            </w:r>
          </w:p>
        </w:tc>
        <w:tc>
          <w:tcPr>
            <w:tcW w:w="342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60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2"/>
              </w:rPr>
              <w:t>/s/ Lawrence N. Mondry</w:t>
            </w:r>
          </w:p>
        </w:tc>
        <w:tc>
          <w:tcPr>
            <w:tcW w:w="342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26, 2007</w:t>
            </w:r>
          </w:p>
        </w:tc>
      </w:tr>
      <w:tr>
        <w:trPr>
          <w:trHeight w:val="220"/>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94"/>
              </w:rPr>
              <w:t>(Lawrence N. Mondry)</w:t>
            </w:r>
          </w:p>
        </w:tc>
        <w:tc>
          <w:tcPr>
            <w:tcW w:w="342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606"/>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0"/>
              </w:rPr>
              <w:t>/s/ Robert E. Switz</w:t>
            </w:r>
          </w:p>
        </w:tc>
        <w:tc>
          <w:tcPr>
            <w:tcW w:w="342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26, 2007</w:t>
            </w:r>
          </w:p>
        </w:tc>
      </w:tr>
      <w:tr>
        <w:trPr>
          <w:trHeight w:val="220"/>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93"/>
              </w:rPr>
              <w:t>(Robert E. Switz)</w:t>
            </w:r>
          </w:p>
        </w:tc>
        <w:tc>
          <w:tcPr>
            <w:tcW w:w="342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419"/>
        </w:trPr>
        <w:tc>
          <w:tcPr>
            <w:tcW w:w="5180" w:type="dxa"/>
            <w:vAlign w:val="bottom"/>
          </w:tcPr>
          <w:p>
            <w:pPr>
              <w:spacing w:after="0"/>
              <w:rPr>
                <w:sz w:val="24"/>
                <w:szCs w:val="24"/>
                <w:color w:val="auto"/>
              </w:rPr>
            </w:pPr>
          </w:p>
        </w:tc>
        <w:tc>
          <w:tcPr>
            <w:tcW w:w="3420" w:type="dxa"/>
            <w:vAlign w:val="bottom"/>
          </w:tcPr>
          <w:p>
            <w:pPr>
              <w:ind w:left="440"/>
              <w:spacing w:after="0"/>
              <w:rPr>
                <w:sz w:val="20"/>
                <w:szCs w:val="20"/>
                <w:color w:val="auto"/>
              </w:rPr>
            </w:pPr>
            <w:r>
              <w:rPr>
                <w:rFonts w:ascii="Arial" w:cs="Arial" w:eastAsia="Arial" w:hAnsi="Arial"/>
                <w:sz w:val="17"/>
                <w:szCs w:val="17"/>
                <w:color w:val="auto"/>
              </w:rPr>
              <w:t>69</w:t>
            </w:r>
          </w:p>
        </w:tc>
        <w:tc>
          <w:tcPr>
            <w:tcW w:w="2820" w:type="dxa"/>
            <w:vAlign w:val="bottom"/>
          </w:tcPr>
          <w:p>
            <w:pPr>
              <w:spacing w:after="0"/>
              <w:rPr>
                <w:sz w:val="24"/>
                <w:szCs w:val="24"/>
                <w:color w:val="auto"/>
              </w:rPr>
            </w:pPr>
          </w:p>
        </w:tc>
      </w:tr>
      <w:tr>
        <w:trPr>
          <w:trHeight w:val="113"/>
        </w:trPr>
        <w:tc>
          <w:tcPr>
            <w:tcW w:w="518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75"/>
              <w:spacing w:after="0"/>
              <w:rPr>
                <w:sz w:val="20"/>
                <w:szCs w:val="20"/>
                <w:color w:val="auto"/>
              </w:rPr>
            </w:pPr>
            <w:r>
              <w:rPr>
                <w:rFonts w:ascii="Arial" w:cs="Arial" w:eastAsia="Arial" w:hAnsi="Arial"/>
                <w:sz w:val="17"/>
                <w:szCs w:val="17"/>
                <w:b w:val="1"/>
                <w:bCs w:val="1"/>
                <w:color w:val="auto"/>
                <w:w w:val="88"/>
              </w:rPr>
              <w:t>Acquisitions</w:t>
            </w:r>
          </w:p>
        </w:tc>
        <w:tc>
          <w:tcPr>
            <w:tcW w:w="18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Charged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Balance at</w:t>
            </w:r>
          </w:p>
        </w:tc>
        <w:tc>
          <w:tcPr>
            <w:tcW w:w="22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w w:val="92"/>
              </w:rPr>
              <w:t>and</w:t>
            </w:r>
          </w:p>
        </w:tc>
        <w:tc>
          <w:tcPr>
            <w:tcW w:w="180" w:type="dxa"/>
            <w:vAlign w:val="bottom"/>
          </w:tcPr>
          <w:p>
            <w:pPr>
              <w:spacing w:after="0"/>
              <w:rPr>
                <w:sz w:val="17"/>
                <w:szCs w:val="17"/>
                <w:color w:val="auto"/>
              </w:rPr>
            </w:pPr>
          </w:p>
        </w:tc>
        <w:tc>
          <w:tcPr>
            <w:tcW w:w="120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(Credited) to</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Balance</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35"/>
              <w:spacing w:after="0"/>
              <w:rPr>
                <w:sz w:val="20"/>
                <w:szCs w:val="20"/>
                <w:color w:val="auto"/>
              </w:rPr>
            </w:pPr>
            <w:r>
              <w:rPr>
                <w:rFonts w:ascii="Arial" w:cs="Arial" w:eastAsia="Arial" w:hAnsi="Arial"/>
                <w:sz w:val="17"/>
                <w:szCs w:val="17"/>
                <w:b w:val="1"/>
                <w:bCs w:val="1"/>
                <w:color w:val="auto"/>
                <w:w w:val="90"/>
              </w:rPr>
              <w:t>Beginning of</w:t>
            </w:r>
          </w:p>
        </w:tc>
        <w:tc>
          <w:tcPr>
            <w:tcW w:w="14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Consolidation</w:t>
            </w:r>
          </w:p>
        </w:tc>
        <w:tc>
          <w:tcPr>
            <w:tcW w:w="18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w w:val="87"/>
              </w:rPr>
              <w:t>Costs and</w:t>
            </w:r>
          </w:p>
        </w:tc>
        <w:tc>
          <w:tcPr>
            <w:tcW w:w="20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Arial" w:cs="Arial" w:eastAsia="Arial" w:hAnsi="Arial"/>
                <w:sz w:val="17"/>
                <w:szCs w:val="17"/>
                <w:b w:val="1"/>
                <w:bCs w:val="1"/>
                <w:color w:val="auto"/>
                <w:w w:val="90"/>
              </w:rPr>
              <w:t>Deductions/</w:t>
            </w:r>
          </w:p>
        </w:tc>
        <w:tc>
          <w:tcPr>
            <w:tcW w:w="2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at End of</w:t>
            </w: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Year</w:t>
            </w:r>
          </w:p>
        </w:tc>
        <w:tc>
          <w:tcPr>
            <w:tcW w:w="22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rPr>
              <w:t>of TECH</w:t>
            </w:r>
          </w:p>
        </w:tc>
        <w:tc>
          <w:tcPr>
            <w:tcW w:w="18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7"/>
                <w:szCs w:val="17"/>
                <w:b w:val="1"/>
                <w:bCs w:val="1"/>
                <w:color w:val="auto"/>
                <w:w w:val="85"/>
              </w:rPr>
              <w:t>Expenses</w:t>
            </w:r>
          </w:p>
        </w:tc>
        <w:tc>
          <w:tcPr>
            <w:tcW w:w="200" w:type="dxa"/>
            <w:vAlign w:val="bottom"/>
          </w:tcPr>
          <w:p>
            <w:pPr>
              <w:spacing w:after="0"/>
              <w:rPr>
                <w:sz w:val="19"/>
                <w:szCs w:val="19"/>
                <w:color w:val="auto"/>
              </w:rPr>
            </w:pPr>
          </w:p>
        </w:tc>
        <w:tc>
          <w:tcPr>
            <w:tcW w:w="1160" w:type="dxa"/>
            <w:vAlign w:val="bottom"/>
          </w:tcPr>
          <w:p>
            <w:pPr>
              <w:jc w:val="right"/>
              <w:ind w:right="215"/>
              <w:spacing w:after="0"/>
              <w:rPr>
                <w:sz w:val="20"/>
                <w:szCs w:val="20"/>
                <w:color w:val="auto"/>
              </w:rPr>
            </w:pPr>
            <w:r>
              <w:rPr>
                <w:rFonts w:ascii="Arial" w:cs="Arial" w:eastAsia="Arial" w:hAnsi="Arial"/>
                <w:sz w:val="17"/>
                <w:szCs w:val="17"/>
                <w:b w:val="1"/>
                <w:bCs w:val="1"/>
                <w:color w:val="auto"/>
              </w:rPr>
              <w:t>Write-Offs</w:t>
            </w:r>
          </w:p>
        </w:tc>
        <w:tc>
          <w:tcPr>
            <w:tcW w:w="24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Year</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Allowance for Doubtful Accounts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4700" w:type="dxa"/>
            <w:vAlign w:val="bottom"/>
            <w:gridSpan w:val="2"/>
          </w:tcPr>
          <w:p>
            <w:pPr>
              <w:ind w:left="320"/>
              <w:spacing w:after="0"/>
              <w:rPr>
                <w:sz w:val="20"/>
                <w:szCs w:val="20"/>
                <w:color w:val="auto"/>
              </w:rPr>
            </w:pPr>
            <w:r>
              <w:rPr>
                <w:rFonts w:ascii="Arial" w:cs="Arial" w:eastAsia="Arial" w:hAnsi="Arial"/>
                <w:sz w:val="17"/>
                <w:szCs w:val="17"/>
                <w:color w:val="auto"/>
              </w:rPr>
              <w:t>Year ended August 30, 2007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5"/>
        </w:trPr>
        <w:tc>
          <w:tcPr>
            <w:tcW w:w="4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Year ended August 31, 2006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5"/>
        </w:trPr>
        <w:tc>
          <w:tcPr>
            <w:tcW w:w="4700" w:type="dxa"/>
            <w:vAlign w:val="bottom"/>
            <w:gridSpan w:val="2"/>
          </w:tcPr>
          <w:p>
            <w:pPr>
              <w:ind w:left="320"/>
              <w:spacing w:after="0"/>
              <w:rPr>
                <w:sz w:val="20"/>
                <w:szCs w:val="20"/>
                <w:color w:val="auto"/>
              </w:rPr>
            </w:pPr>
            <w:r>
              <w:rPr>
                <w:rFonts w:ascii="Arial" w:cs="Arial" w:eastAsia="Arial" w:hAnsi="Arial"/>
                <w:sz w:val="17"/>
                <w:szCs w:val="17"/>
                <w:color w:val="auto"/>
              </w:rPr>
              <w:t>Year ended September 1, 2005</w:t>
            </w:r>
          </w:p>
        </w:tc>
        <w:tc>
          <w:tcPr>
            <w:tcW w:w="10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4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Allowance for Obsolete Inventories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4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Year ended August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r>
      <w:tr>
        <w:trPr>
          <w:trHeight w:val="205"/>
        </w:trPr>
        <w:tc>
          <w:tcPr>
            <w:tcW w:w="4700" w:type="dxa"/>
            <w:vAlign w:val="bottom"/>
            <w:gridSpan w:val="2"/>
          </w:tcPr>
          <w:p>
            <w:pPr>
              <w:ind w:left="320"/>
              <w:spacing w:after="0"/>
              <w:rPr>
                <w:sz w:val="20"/>
                <w:szCs w:val="20"/>
                <w:color w:val="auto"/>
              </w:rPr>
            </w:pPr>
            <w:r>
              <w:rPr>
                <w:rFonts w:ascii="Arial" w:cs="Arial" w:eastAsia="Arial" w:hAnsi="Arial"/>
                <w:sz w:val="17"/>
                <w:szCs w:val="17"/>
                <w:color w:val="auto"/>
              </w:rPr>
              <w:t>Year ended August 31, 2006</w:t>
            </w:r>
          </w:p>
        </w:tc>
        <w:tc>
          <w:tcPr>
            <w:tcW w:w="10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r>
      <w:tr>
        <w:trPr>
          <w:trHeight w:val="205"/>
        </w:trPr>
        <w:tc>
          <w:tcPr>
            <w:tcW w:w="4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Year ended September 1, 2005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Deferred Tax Asset Valuation Allowance</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4700" w:type="dxa"/>
            <w:vAlign w:val="bottom"/>
            <w:gridSpan w:val="2"/>
          </w:tcPr>
          <w:p>
            <w:pPr>
              <w:ind w:left="320"/>
              <w:spacing w:after="0"/>
              <w:rPr>
                <w:sz w:val="20"/>
                <w:szCs w:val="20"/>
                <w:color w:val="auto"/>
              </w:rPr>
            </w:pPr>
            <w:r>
              <w:rPr>
                <w:rFonts w:ascii="Arial" w:cs="Arial" w:eastAsia="Arial" w:hAnsi="Arial"/>
                <w:sz w:val="17"/>
                <w:szCs w:val="17"/>
                <w:color w:val="auto"/>
              </w:rPr>
              <w:t>Year ended August 30, 2007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915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219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1,142</w:t>
            </w:r>
          </w:p>
        </w:tc>
      </w:tr>
      <w:tr>
        <w:trPr>
          <w:trHeight w:val="205"/>
        </w:trPr>
        <w:tc>
          <w:tcPr>
            <w:tcW w:w="4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Year ended August 31, 2006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1,029</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915</w:t>
            </w:r>
          </w:p>
        </w:tc>
      </w:tr>
      <w:tr>
        <w:trPr>
          <w:trHeight w:val="216"/>
        </w:trPr>
        <w:tc>
          <w:tcPr>
            <w:tcW w:w="4700" w:type="dxa"/>
            <w:vAlign w:val="bottom"/>
            <w:gridSpan w:val="2"/>
          </w:tcPr>
          <w:p>
            <w:pPr>
              <w:ind w:left="320"/>
              <w:spacing w:after="0"/>
              <w:rPr>
                <w:sz w:val="20"/>
                <w:szCs w:val="20"/>
                <w:color w:val="auto"/>
              </w:rPr>
            </w:pPr>
            <w:r>
              <w:rPr>
                <w:rFonts w:ascii="Arial" w:cs="Arial" w:eastAsia="Arial" w:hAnsi="Arial"/>
                <w:sz w:val="17"/>
                <w:szCs w:val="17"/>
                <w:color w:val="auto"/>
              </w:rPr>
              <w:t>Year ended September 1, 2005</w:t>
            </w:r>
          </w:p>
        </w:tc>
        <w:tc>
          <w:tcPr>
            <w:tcW w:w="10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1,004</w:t>
            </w:r>
          </w:p>
        </w:tc>
        <w:tc>
          <w:tcPr>
            <w:tcW w:w="22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1,029</w:t>
            </w:r>
          </w:p>
        </w:tc>
      </w:tr>
    </w:tbl>
    <w:p>
      <w:pPr>
        <w:spacing w:after="0" w:line="207" w:lineRule="exact"/>
        <w:rPr>
          <w:sz w:val="20"/>
          <w:szCs w:val="20"/>
          <w:color w:val="auto"/>
        </w:rPr>
      </w:pPr>
    </w:p>
    <w:p>
      <w:pPr>
        <w:ind w:right="660"/>
        <w:spacing w:after="0" w:line="277" w:lineRule="auto"/>
        <w:rPr>
          <w:sz w:val="20"/>
          <w:szCs w:val="20"/>
          <w:color w:val="auto"/>
        </w:rPr>
      </w:pPr>
      <w:r>
        <w:rPr>
          <w:rFonts w:ascii="Arial" w:cs="Arial" w:eastAsia="Arial" w:hAnsi="Arial"/>
          <w:sz w:val="17"/>
          <w:szCs w:val="17"/>
          <w:color w:val="auto"/>
        </w:rPr>
        <w:t>The allowance for obsolete inventories excludes any charges for write-downs of work in process and finished goods inventories to their estimated fair market values. (See “Item 8. Financial Statements and Supplementary Data – Notes to Consolidated Financial Statements.”)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640" w:type="dxa"/>
            <w:vAlign w:val="bottom"/>
            <w:gridSpan w:val="2"/>
          </w:tcPr>
          <w:p>
            <w:pPr>
              <w:ind w:left="6600"/>
              <w:spacing w:after="0"/>
              <w:rPr>
                <w:sz w:val="20"/>
                <w:szCs w:val="20"/>
                <w:color w:val="auto"/>
              </w:rPr>
            </w:pPr>
            <w:r>
              <w:rPr>
                <w:rFonts w:ascii="Arial" w:cs="Arial" w:eastAsia="Arial" w:hAnsi="Arial"/>
                <w:sz w:val="17"/>
                <w:szCs w:val="17"/>
                <w:color w:val="auto"/>
                <w:w w:val="98"/>
              </w:rPr>
              <w:t>EXHIBIT 21.1</w:t>
            </w:r>
          </w:p>
        </w:tc>
        <w:tc>
          <w:tcPr>
            <w:tcW w:w="0" w:type="dxa"/>
            <w:vAlign w:val="bottom"/>
          </w:tcPr>
          <w:p>
            <w:pPr>
              <w:spacing w:after="0"/>
              <w:rPr>
                <w:sz w:val="1"/>
                <w:szCs w:val="1"/>
                <w:color w:val="auto"/>
              </w:rPr>
            </w:pPr>
          </w:p>
        </w:tc>
      </w:tr>
      <w:tr>
        <w:trPr>
          <w:trHeight w:val="436"/>
        </w:trPr>
        <w:tc>
          <w:tcPr>
            <w:tcW w:w="3800" w:type="dxa"/>
            <w:vAlign w:val="bottom"/>
          </w:tcPr>
          <w:p>
            <w:pPr>
              <w:spacing w:after="0"/>
              <w:rPr>
                <w:sz w:val="24"/>
                <w:szCs w:val="24"/>
                <w:color w:val="auto"/>
              </w:rPr>
            </w:pPr>
          </w:p>
        </w:tc>
        <w:tc>
          <w:tcPr>
            <w:tcW w:w="7640" w:type="dxa"/>
            <w:vAlign w:val="bottom"/>
            <w:gridSpan w:val="2"/>
          </w:tcPr>
          <w:p>
            <w:pPr>
              <w:ind w:left="700"/>
              <w:spacing w:after="0"/>
              <w:rPr>
                <w:sz w:val="20"/>
                <w:szCs w:val="20"/>
                <w:color w:val="auto"/>
              </w:rPr>
            </w:pPr>
            <w:r>
              <w:rPr>
                <w:rFonts w:ascii="Arial" w:cs="Arial" w:eastAsia="Arial" w:hAnsi="Arial"/>
                <w:sz w:val="17"/>
                <w:szCs w:val="17"/>
                <w:b w:val="1"/>
                <w:bCs w:val="1"/>
                <w:color w:val="auto"/>
              </w:rPr>
              <w:t>MICRON TECHNOLOGY, INC.</w:t>
            </w:r>
          </w:p>
        </w:tc>
        <w:tc>
          <w:tcPr>
            <w:tcW w:w="0" w:type="dxa"/>
            <w:vAlign w:val="bottom"/>
          </w:tcPr>
          <w:p>
            <w:pPr>
              <w:spacing w:after="0"/>
              <w:rPr>
                <w:sz w:val="1"/>
                <w:szCs w:val="1"/>
                <w:color w:val="auto"/>
              </w:rPr>
            </w:pPr>
          </w:p>
        </w:tc>
      </w:tr>
      <w:tr>
        <w:trPr>
          <w:trHeight w:val="436"/>
        </w:trPr>
        <w:tc>
          <w:tcPr>
            <w:tcW w:w="3800" w:type="dxa"/>
            <w:vAlign w:val="bottom"/>
          </w:tcPr>
          <w:p>
            <w:pPr>
              <w:spacing w:after="0"/>
              <w:rPr>
                <w:sz w:val="24"/>
                <w:szCs w:val="24"/>
                <w:color w:val="auto"/>
              </w:rPr>
            </w:pPr>
          </w:p>
        </w:tc>
        <w:tc>
          <w:tcPr>
            <w:tcW w:w="7640" w:type="dxa"/>
            <w:vAlign w:val="bottom"/>
            <w:gridSpan w:val="2"/>
          </w:tcPr>
          <w:p>
            <w:pPr>
              <w:ind w:left="380"/>
              <w:spacing w:after="0"/>
              <w:rPr>
                <w:sz w:val="20"/>
                <w:szCs w:val="20"/>
                <w:color w:val="auto"/>
              </w:rPr>
            </w:pPr>
            <w:r>
              <w:rPr>
                <w:rFonts w:ascii="Arial" w:cs="Arial" w:eastAsia="Arial" w:hAnsi="Arial"/>
                <w:sz w:val="17"/>
                <w:szCs w:val="17"/>
                <w:b w:val="1"/>
                <w:bCs w:val="1"/>
                <w:color w:val="auto"/>
              </w:rPr>
              <w:t>SUBSIDIARIES OF THE REGISTRANT</w:t>
            </w:r>
          </w:p>
        </w:tc>
        <w:tc>
          <w:tcPr>
            <w:tcW w:w="0" w:type="dxa"/>
            <w:vAlign w:val="bottom"/>
          </w:tcPr>
          <w:p>
            <w:pPr>
              <w:spacing w:after="0"/>
              <w:rPr>
                <w:sz w:val="1"/>
                <w:szCs w:val="1"/>
                <w:color w:val="auto"/>
              </w:rPr>
            </w:pPr>
          </w:p>
        </w:tc>
      </w:tr>
      <w:tr>
        <w:trPr>
          <w:trHeight w:val="421"/>
        </w:trPr>
        <w:tc>
          <w:tcPr>
            <w:tcW w:w="380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7640" w:type="dxa"/>
            <w:vAlign w:val="bottom"/>
            <w:gridSpan w:val="2"/>
          </w:tcPr>
          <w:p>
            <w:pPr>
              <w:ind w:left="4800"/>
              <w:spacing w:after="0"/>
              <w:rPr>
                <w:sz w:val="20"/>
                <w:szCs w:val="20"/>
                <w:color w:val="auto"/>
              </w:rPr>
            </w:pPr>
            <w:r>
              <w:rPr>
                <w:rFonts w:ascii="Arial" w:cs="Arial" w:eastAsia="Arial" w:hAnsi="Arial"/>
                <w:sz w:val="17"/>
                <w:szCs w:val="17"/>
                <w:b w:val="1"/>
                <w:bCs w:val="1"/>
                <w:color w:val="auto"/>
              </w:rPr>
              <w:t>State (or Jurisdiction) in which</w:t>
            </w:r>
          </w:p>
        </w:tc>
        <w:tc>
          <w:tcPr>
            <w:tcW w:w="0" w:type="dxa"/>
            <w:vAlign w:val="bottom"/>
          </w:tcPr>
          <w:p>
            <w:pPr>
              <w:spacing w:after="0"/>
              <w:rPr>
                <w:sz w:val="1"/>
                <w:szCs w:val="1"/>
                <w:color w:val="auto"/>
              </w:rPr>
            </w:pPr>
          </w:p>
        </w:tc>
      </w:tr>
      <w:tr>
        <w:trPr>
          <w:trHeight w:val="227"/>
        </w:trPr>
        <w:tc>
          <w:tcPr>
            <w:tcW w:w="3800" w:type="dxa"/>
            <w:vAlign w:val="bottom"/>
          </w:tcPr>
          <w:p>
            <w:pPr>
              <w:spacing w:after="0"/>
              <w:rPr>
                <w:sz w:val="19"/>
                <w:szCs w:val="19"/>
                <w:color w:val="auto"/>
              </w:rPr>
            </w:pPr>
          </w:p>
        </w:tc>
        <w:tc>
          <w:tcPr>
            <w:tcW w:w="7640" w:type="dxa"/>
            <w:vAlign w:val="bottom"/>
            <w:gridSpan w:val="2"/>
          </w:tcPr>
          <w:p>
            <w:pPr>
              <w:ind w:left="4800"/>
              <w:spacing w:after="0"/>
              <w:rPr>
                <w:sz w:val="20"/>
                <w:szCs w:val="20"/>
                <w:color w:val="auto"/>
              </w:rPr>
            </w:pPr>
            <w:r>
              <w:rPr>
                <w:rFonts w:ascii="Arial" w:cs="Arial" w:eastAsia="Arial" w:hAnsi="Arial"/>
                <w:sz w:val="17"/>
                <w:szCs w:val="17"/>
                <w:b w:val="1"/>
                <w:bCs w:val="1"/>
                <w:color w:val="auto"/>
              </w:rPr>
              <w:t>Organized</w:t>
            </w:r>
          </w:p>
        </w:tc>
        <w:tc>
          <w:tcPr>
            <w:tcW w:w="0" w:type="dxa"/>
            <w:vAlign w:val="bottom"/>
          </w:tcPr>
          <w:p>
            <w:pPr>
              <w:spacing w:after="0"/>
              <w:rPr>
                <w:sz w:val="1"/>
                <w:szCs w:val="1"/>
                <w:color w:val="auto"/>
              </w:rPr>
            </w:pPr>
          </w:p>
        </w:tc>
      </w:tr>
      <w:tr>
        <w:trPr>
          <w:trHeight w:val="205"/>
        </w:trPr>
        <w:tc>
          <w:tcPr>
            <w:tcW w:w="3800" w:type="dxa"/>
            <w:vAlign w:val="bottom"/>
            <w:tcBorders>
              <w:top w:val="single" w:sz="8" w:color="auto"/>
            </w:tcBorders>
          </w:tcPr>
          <w:p>
            <w:pPr>
              <w:spacing w:after="0"/>
              <w:rPr>
                <w:sz w:val="17"/>
                <w:szCs w:val="17"/>
                <w:color w:val="auto"/>
              </w:rPr>
            </w:pPr>
          </w:p>
        </w:tc>
        <w:tc>
          <w:tcPr>
            <w:tcW w:w="76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Lexar Media, Inc.</w:t>
            </w:r>
          </w:p>
        </w:tc>
        <w:tc>
          <w:tcPr>
            <w:tcW w:w="7620" w:type="dxa"/>
            <w:vAlign w:val="bottom"/>
            <w:shd w:val="clear" w:color="auto" w:fill="CCEEFF"/>
          </w:tcPr>
          <w:p>
            <w:pPr>
              <w:ind w:left="4800"/>
              <w:spacing w:after="0"/>
              <w:rPr>
                <w:sz w:val="20"/>
                <w:szCs w:val="20"/>
                <w:color w:val="auto"/>
              </w:rPr>
            </w:pPr>
            <w:r>
              <w:rPr>
                <w:rFonts w:ascii="Arial" w:cs="Arial" w:eastAsia="Arial" w:hAnsi="Arial"/>
                <w:sz w:val="17"/>
                <w:szCs w:val="17"/>
                <w:color w:val="auto"/>
              </w:rPr>
              <w:t>Delaware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Micron Europe Limited</w:t>
            </w:r>
          </w:p>
        </w:tc>
        <w:tc>
          <w:tcPr>
            <w:tcW w:w="7620" w:type="dxa"/>
            <w:vAlign w:val="bottom"/>
          </w:tcPr>
          <w:p>
            <w:pPr>
              <w:ind w:left="4800"/>
              <w:spacing w:after="0"/>
              <w:rPr>
                <w:sz w:val="20"/>
                <w:szCs w:val="20"/>
                <w:color w:val="auto"/>
              </w:rPr>
            </w:pPr>
            <w:r>
              <w:rPr>
                <w:rFonts w:ascii="Arial" w:cs="Arial" w:eastAsia="Arial" w:hAnsi="Arial"/>
                <w:sz w:val="17"/>
                <w:szCs w:val="17"/>
                <w:color w:val="auto"/>
              </w:rPr>
              <w:t>United Kingdom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w w:val="99"/>
              </w:rPr>
              <w:t>Also does business as Crucial Technology Europe</w:t>
            </w:r>
          </w:p>
        </w:tc>
        <w:tc>
          <w:tcPr>
            <w:tcW w:w="7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Micron Japan, Ltd.</w:t>
            </w:r>
          </w:p>
        </w:tc>
        <w:tc>
          <w:tcPr>
            <w:tcW w:w="7620" w:type="dxa"/>
            <w:vAlign w:val="bottom"/>
          </w:tcPr>
          <w:p>
            <w:pPr>
              <w:ind w:left="4800"/>
              <w:spacing w:after="0"/>
              <w:rPr>
                <w:sz w:val="20"/>
                <w:szCs w:val="20"/>
                <w:color w:val="auto"/>
              </w:rPr>
            </w:pPr>
            <w:r>
              <w:rPr>
                <w:rFonts w:ascii="Arial" w:cs="Arial" w:eastAsia="Arial" w:hAnsi="Arial"/>
                <w:sz w:val="17"/>
                <w:szCs w:val="17"/>
                <w:color w:val="auto"/>
              </w:rPr>
              <w:t>Japan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Micron Semiconductor Asia Pte. Ltd.</w:t>
            </w:r>
          </w:p>
        </w:tc>
        <w:tc>
          <w:tcPr>
            <w:tcW w:w="7620" w:type="dxa"/>
            <w:vAlign w:val="bottom"/>
            <w:shd w:val="clear" w:color="auto" w:fill="CCEEFF"/>
          </w:tcPr>
          <w:p>
            <w:pPr>
              <w:ind w:left="4800"/>
              <w:spacing w:after="0"/>
              <w:rPr>
                <w:sz w:val="20"/>
                <w:szCs w:val="20"/>
                <w:color w:val="auto"/>
              </w:rPr>
            </w:pPr>
            <w:r>
              <w:rPr>
                <w:rFonts w:ascii="Arial" w:cs="Arial" w:eastAsia="Arial" w:hAnsi="Arial"/>
                <w:sz w:val="17"/>
                <w:szCs w:val="17"/>
                <w:color w:val="auto"/>
              </w:rPr>
              <w:t>Singapore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Also does business as Crucial Technology Asia</w:t>
            </w:r>
          </w:p>
        </w:tc>
        <w:tc>
          <w:tcPr>
            <w:tcW w:w="7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Micron Semiconductor (Deutschland) GmbH</w:t>
            </w:r>
          </w:p>
        </w:tc>
        <w:tc>
          <w:tcPr>
            <w:tcW w:w="7620" w:type="dxa"/>
            <w:vAlign w:val="bottom"/>
            <w:shd w:val="clear" w:color="auto" w:fill="CCEEFF"/>
          </w:tcPr>
          <w:p>
            <w:pPr>
              <w:ind w:left="4800"/>
              <w:spacing w:after="0"/>
              <w:rPr>
                <w:sz w:val="20"/>
                <w:szCs w:val="20"/>
                <w:color w:val="auto"/>
              </w:rPr>
            </w:pPr>
            <w:r>
              <w:rPr>
                <w:rFonts w:ascii="Arial" w:cs="Arial" w:eastAsia="Arial" w:hAnsi="Arial"/>
                <w:sz w:val="17"/>
                <w:szCs w:val="17"/>
                <w:color w:val="auto"/>
              </w:rPr>
              <w:t>Germany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Micron Semiconductor Products, Inc.</w:t>
            </w:r>
          </w:p>
        </w:tc>
        <w:tc>
          <w:tcPr>
            <w:tcW w:w="7620" w:type="dxa"/>
            <w:vAlign w:val="bottom"/>
          </w:tcPr>
          <w:p>
            <w:pPr>
              <w:ind w:left="4800"/>
              <w:spacing w:after="0"/>
              <w:rPr>
                <w:sz w:val="20"/>
                <w:szCs w:val="20"/>
                <w:color w:val="auto"/>
              </w:rPr>
            </w:pPr>
            <w:r>
              <w:rPr>
                <w:rFonts w:ascii="Arial" w:cs="Arial" w:eastAsia="Arial" w:hAnsi="Arial"/>
                <w:sz w:val="17"/>
                <w:szCs w:val="17"/>
                <w:color w:val="auto"/>
              </w:rPr>
              <w:t>Idaho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Also does business as Crucial Technology</w:t>
            </w:r>
          </w:p>
        </w:tc>
        <w:tc>
          <w:tcPr>
            <w:tcW w:w="7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Micron Semiconductor (Shanghai) Co., Ltd.</w:t>
            </w:r>
          </w:p>
        </w:tc>
        <w:tc>
          <w:tcPr>
            <w:tcW w:w="7620" w:type="dxa"/>
            <w:vAlign w:val="bottom"/>
          </w:tcPr>
          <w:p>
            <w:pPr>
              <w:ind w:left="4800"/>
              <w:spacing w:after="0"/>
              <w:rPr>
                <w:sz w:val="20"/>
                <w:szCs w:val="20"/>
                <w:color w:val="auto"/>
              </w:rPr>
            </w:pPr>
            <w:r>
              <w:rPr>
                <w:rFonts w:ascii="Arial" w:cs="Arial" w:eastAsia="Arial" w:hAnsi="Arial"/>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Micron Semiconductor (Xiamen) Co., Ltd.</w:t>
            </w:r>
          </w:p>
        </w:tc>
        <w:tc>
          <w:tcPr>
            <w:tcW w:w="7620" w:type="dxa"/>
            <w:vAlign w:val="bottom"/>
            <w:shd w:val="clear" w:color="auto" w:fill="CCEEFF"/>
          </w:tcPr>
          <w:p>
            <w:pPr>
              <w:ind w:left="4800"/>
              <w:spacing w:after="0"/>
              <w:rPr>
                <w:sz w:val="20"/>
                <w:szCs w:val="20"/>
                <w:color w:val="auto"/>
              </w:rPr>
            </w:pPr>
            <w:r>
              <w:rPr>
                <w:rFonts w:ascii="Arial" w:cs="Arial" w:eastAsia="Arial" w:hAnsi="Arial"/>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Micron Semiconductor (Xi’an) Co., Ltd.</w:t>
            </w:r>
          </w:p>
        </w:tc>
        <w:tc>
          <w:tcPr>
            <w:tcW w:w="7620" w:type="dxa"/>
            <w:vAlign w:val="bottom"/>
          </w:tcPr>
          <w:p>
            <w:pPr>
              <w:ind w:left="4800"/>
              <w:spacing w:after="0"/>
              <w:rPr>
                <w:sz w:val="20"/>
                <w:szCs w:val="20"/>
                <w:color w:val="auto"/>
              </w:rPr>
            </w:pPr>
            <w:r>
              <w:rPr>
                <w:rFonts w:ascii="Arial" w:cs="Arial" w:eastAsia="Arial" w:hAnsi="Arial"/>
                <w:sz w:val="17"/>
                <w:szCs w:val="17"/>
                <w:color w:val="auto"/>
              </w:rPr>
              <w:t>China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Micron Technology Italia S.r.l.</w:t>
            </w:r>
          </w:p>
        </w:tc>
        <w:tc>
          <w:tcPr>
            <w:tcW w:w="7620" w:type="dxa"/>
            <w:vAlign w:val="bottom"/>
            <w:shd w:val="clear" w:color="auto" w:fill="CCEEFF"/>
          </w:tcPr>
          <w:p>
            <w:pPr>
              <w:ind w:left="4800"/>
              <w:spacing w:after="0"/>
              <w:rPr>
                <w:sz w:val="20"/>
                <w:szCs w:val="20"/>
                <w:color w:val="auto"/>
              </w:rPr>
            </w:pPr>
            <w:r>
              <w:rPr>
                <w:rFonts w:ascii="Arial" w:cs="Arial" w:eastAsia="Arial" w:hAnsi="Arial"/>
                <w:sz w:val="17"/>
                <w:szCs w:val="17"/>
                <w:color w:val="auto"/>
              </w:rPr>
              <w:t>Italy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Arial" w:cs="Arial" w:eastAsia="Arial" w:hAnsi="Arial"/>
                <w:sz w:val="17"/>
                <w:szCs w:val="17"/>
                <w:color w:val="auto"/>
              </w:rPr>
              <w:t>Micron Technology Puerto Rico, Inc.</w:t>
            </w:r>
          </w:p>
        </w:tc>
        <w:tc>
          <w:tcPr>
            <w:tcW w:w="7620" w:type="dxa"/>
            <w:vAlign w:val="bottom"/>
          </w:tcPr>
          <w:p>
            <w:pPr>
              <w:ind w:left="4800"/>
              <w:spacing w:after="0"/>
              <w:rPr>
                <w:sz w:val="20"/>
                <w:szCs w:val="20"/>
                <w:color w:val="auto"/>
              </w:rPr>
            </w:pPr>
            <w:r>
              <w:rPr>
                <w:rFonts w:ascii="Arial" w:cs="Arial" w:eastAsia="Arial" w:hAnsi="Arial"/>
                <w:sz w:val="17"/>
                <w:szCs w:val="17"/>
                <w:color w:val="auto"/>
              </w:rPr>
              <w:t>Puerto Rico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Micron Technology Texas, LLC</w:t>
            </w:r>
          </w:p>
        </w:tc>
        <w:tc>
          <w:tcPr>
            <w:tcW w:w="7620" w:type="dxa"/>
            <w:vAlign w:val="bottom"/>
            <w:shd w:val="clear" w:color="auto" w:fill="CCEEFF"/>
          </w:tcPr>
          <w:p>
            <w:pPr>
              <w:ind w:left="4800"/>
              <w:spacing w:after="0"/>
              <w:rPr>
                <w:sz w:val="20"/>
                <w:szCs w:val="20"/>
                <w:color w:val="auto"/>
              </w:rPr>
            </w:pPr>
            <w:r>
              <w:rPr>
                <w:rFonts w:ascii="Arial" w:cs="Arial" w:eastAsia="Arial" w:hAnsi="Arial"/>
                <w:sz w:val="17"/>
                <w:szCs w:val="17"/>
                <w:color w:val="auto"/>
              </w:rPr>
              <w:t>Idaho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8"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color w:val="auto"/>
        </w:rPr>
        <w:t>EXHIBIT 23.1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hereby consent to the incorporation by reference in the Registration Statement on Forms S-3 (File Nos. 333-71620, 333-143026) and Forms S-8 (File Nos. 33-27078, 33-57887, 33-65050, 333-07283, 333-17073, 333-50353, 333-65449, 333-71249, 333-82549, 333-99271, 333-102545, 333-103341, 333-111170, 333-120620, 333-133667, 333-135459, 333-140091) of Micron Technology, Inc. of our report dated October 24, 2007,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color w:val="auto"/>
        </w:rPr>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October 24, 2007</w:t>
      </w:r>
    </w:p>
    <w:p>
      <w:pPr>
        <w:sectPr>
          <w:pgSz w:w="11900" w:h="16838" w:orient="portrait"/>
          <w:cols w:equalWidth="0" w:num="1">
            <w:col w:w="11420"/>
          </w:cols>
          <w:pgMar w:left="240" w:top="358"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Steven R. Appleton, certify that:</w:t>
      </w:r>
    </w:p>
    <w:p>
      <w:pPr>
        <w:spacing w:after="0" w:line="240"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Micron Technology, Inc.;</w:t>
      </w:r>
    </w:p>
    <w:p>
      <w:pPr>
        <w:spacing w:after="0" w:line="240" w:lineRule="exact"/>
        <w:rPr>
          <w:rFonts w:ascii="Arial" w:cs="Arial" w:eastAsia="Arial" w:hAnsi="Arial"/>
          <w:sz w:val="17"/>
          <w:szCs w:val="17"/>
          <w:color w:val="auto"/>
        </w:rPr>
      </w:pPr>
    </w:p>
    <w:p>
      <w:pPr>
        <w:ind w:left="320" w:right="400" w:hanging="317"/>
        <w:spacing w:after="0" w:line="346" w:lineRule="auto"/>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320" w:right="500" w:hanging="317"/>
        <w:spacing w:after="0" w:line="277"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320" w:right="160" w:hanging="317"/>
        <w:spacing w:after="0" w:line="264"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620" w:right="80" w:hanging="310"/>
        <w:spacing w:after="0" w:line="264"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620" w:right="220" w:hanging="310"/>
        <w:spacing w:after="0" w:line="264"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620" w:right="220" w:hanging="310"/>
        <w:spacing w:after="0" w:line="277"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620" w:right="160" w:hanging="310"/>
        <w:spacing w:after="0" w:line="264"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320" w:right="80" w:hanging="317"/>
        <w:spacing w:after="0" w:line="277"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620" w:right="400" w:hanging="310"/>
        <w:spacing w:after="0" w:line="277"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620" w:hanging="216"/>
        <w:spacing w:after="0" w:line="277" w:lineRule="auto"/>
        <w:tabs>
          <w:tab w:leader="none" w:pos="620" w:val="left"/>
        </w:tabs>
        <w:numPr>
          <w:ilvl w:val="2"/>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October 26, 2007</w:t>
      </w:r>
      <w:r>
        <w:rPr>
          <w:sz w:val="20"/>
          <w:szCs w:val="20"/>
          <w:color w:val="auto"/>
        </w:rPr>
        <w:tab/>
      </w:r>
      <w:r>
        <w:rPr>
          <w:rFonts w:ascii="Arial" w:cs="Arial" w:eastAsia="Arial" w:hAnsi="Arial"/>
          <w:sz w:val="15"/>
          <w:szCs w:val="15"/>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13970</wp:posOffset>
            </wp:positionV>
            <wp:extent cx="354139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41395" cy="16510"/>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Steven R. Appleton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Chairman and Chief Executive Officer</w:t>
      </w:r>
    </w:p>
    <w:p>
      <w:pPr>
        <w:sectPr>
          <w:pgSz w:w="11900" w:h="16838" w:orient="portrait"/>
          <w:cols w:equalWidth="0" w:num="1">
            <w:col w:w="11420"/>
          </w:cols>
          <w:pgMar w:left="240" w:top="589"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 W. G. Stover, Jr., certify that:</w:t>
      </w:r>
    </w:p>
    <w:p>
      <w:pPr>
        <w:spacing w:after="0" w:line="266" w:lineRule="exact"/>
        <w:rPr>
          <w:sz w:val="20"/>
          <w:szCs w:val="20"/>
          <w:color w:val="auto"/>
        </w:rPr>
      </w:pPr>
    </w:p>
    <w:p>
      <w:pPr>
        <w:ind w:left="320" w:hanging="317"/>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Micron Technology, Inc.;</w:t>
      </w:r>
    </w:p>
    <w:p>
      <w:pPr>
        <w:spacing w:after="0" w:line="240" w:lineRule="exact"/>
        <w:rPr>
          <w:rFonts w:ascii="Arial" w:cs="Arial" w:eastAsia="Arial" w:hAnsi="Arial"/>
          <w:sz w:val="17"/>
          <w:szCs w:val="17"/>
          <w:color w:val="auto"/>
        </w:rPr>
      </w:pPr>
    </w:p>
    <w:p>
      <w:pPr>
        <w:ind w:left="320" w:right="400" w:hanging="317"/>
        <w:spacing w:after="0" w:line="346" w:lineRule="auto"/>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320" w:right="500" w:hanging="317"/>
        <w:spacing w:after="0" w:line="277"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320" w:right="160" w:hanging="317"/>
        <w:spacing w:after="0" w:line="264"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620" w:right="80" w:hanging="310"/>
        <w:spacing w:after="0" w:line="264"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620" w:right="220" w:hanging="310"/>
        <w:spacing w:after="0" w:line="264"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620" w:right="220" w:hanging="310"/>
        <w:spacing w:after="0" w:line="277"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620" w:right="160" w:hanging="310"/>
        <w:spacing w:after="0" w:line="264"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320" w:right="80" w:hanging="317"/>
        <w:spacing w:after="0" w:line="277"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620" w:right="400" w:hanging="310"/>
        <w:spacing w:after="0" w:line="277"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620" w:right="620" w:hanging="310"/>
        <w:spacing w:after="0" w:line="277"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October 26, 2007</w:t>
      </w:r>
      <w:r>
        <w:rPr>
          <w:sz w:val="20"/>
          <w:szCs w:val="20"/>
          <w:color w:val="auto"/>
        </w:rPr>
        <w:tab/>
      </w:r>
      <w:r>
        <w:rPr>
          <w:rFonts w:ascii="Arial" w:cs="Arial" w:eastAsia="Arial" w:hAnsi="Arial"/>
          <w:sz w:val="14"/>
          <w:szCs w:val="14"/>
          <w:i w:val="1"/>
          <w:iCs w:val="1"/>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13970</wp:posOffset>
            </wp:positionV>
            <wp:extent cx="354139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41395" cy="16510"/>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W. G. Stover, Jr.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Vice President of Finance and Chief Financial Officer</w:t>
      </w:r>
    </w:p>
    <w:p>
      <w:pPr>
        <w:sectPr>
          <w:pgSz w:w="11900" w:h="16838" w:orient="portrait"/>
          <w:cols w:equalWidth="0" w:num="1">
            <w:col w:w="11420"/>
          </w:cols>
          <w:pgMar w:left="240" w:top="12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1350</w:t>
      </w:r>
    </w:p>
    <w:p>
      <w:pPr>
        <w:spacing w:after="0" w:line="229" w:lineRule="exact"/>
        <w:rPr>
          <w:sz w:val="20"/>
          <w:szCs w:val="20"/>
          <w:color w:val="auto"/>
        </w:rPr>
      </w:pPr>
    </w:p>
    <w:p>
      <w:pPr>
        <w:jc w:val="both"/>
        <w:ind w:right="80"/>
        <w:spacing w:after="0" w:line="260" w:lineRule="auto"/>
        <w:rPr>
          <w:sz w:val="20"/>
          <w:szCs w:val="20"/>
          <w:color w:val="auto"/>
        </w:rPr>
      </w:pPr>
      <w:r>
        <w:rPr>
          <w:rFonts w:ascii="Arial" w:cs="Arial" w:eastAsia="Arial" w:hAnsi="Arial"/>
          <w:sz w:val="17"/>
          <w:szCs w:val="17"/>
          <w:color w:val="auto"/>
        </w:rPr>
        <w:t>I, Steven R. Appleton, certify, pursuant to 18 U.S.C. 1350, as adopted pursuant to Section 906 of the Sarbanes-Oxley Act of 2002, that the Annual Report of Micron Technology, Inc. on Form 10-K for the period ended August 30, 2007,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00" w:lineRule="exact"/>
        <w:rPr>
          <w:sz w:val="20"/>
          <w:szCs w:val="20"/>
          <w:color w:val="auto"/>
        </w:rPr>
      </w:pPr>
    </w:p>
    <w:p>
      <w:pPr>
        <w:spacing w:after="0" w:line="235"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October 26, 2007</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13970</wp:posOffset>
            </wp:positionV>
            <wp:extent cx="354139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41395" cy="16510"/>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Steven R. Appleton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Chairman and Chief Executive Officer</w:t>
      </w:r>
    </w:p>
    <w:p>
      <w:pPr>
        <w:sectPr>
          <w:pgSz w:w="11900" w:h="16838" w:orient="portrait"/>
          <w:cols w:equalWidth="0" w:num="1">
            <w:col w:w="11420"/>
          </w:cols>
          <w:pgMar w:left="240" w:top="12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1350</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 W. G. Stover, Jr., certify, pursuant to 18 U.S.C. 1350, as adopted pursuant to Section 906 of the Sarbanes-Oxley Act of 2002, that the Annual Report of Micron Technology, Inc. on Form 10-K for the period ended August 30, 2007,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0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October 26, 2007</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i w:val="1"/>
          <w:iCs w:val="1"/>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13970</wp:posOffset>
            </wp:positionV>
            <wp:extent cx="354139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41395" cy="16510"/>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W. G. Stover, Jr.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Vice President of Finance and Chief Financial Officer</w:t>
      </w:r>
    </w:p>
    <w:sectPr>
      <w:pgSz w:w="11900" w:h="16838" w:orient="portrait"/>
      <w:cols w:equalWidth="0" w:num="1">
        <w:col w:w="11420"/>
      </w:cols>
      <w:pgMar w:left="24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2019-12-11T22:01:43Z</dcterms:created>
  <dcterms:modified xsi:type="dcterms:W3CDTF">2019-12-11T22:01:43Z</dcterms:modified>
</cp:coreProperties>
</file>