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October 9, 2008</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2529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800" w:type="dxa"/>
            <w:vAlign w:val="bottom"/>
            <w:tcBorders>
              <w:bottom w:val="single" w:sz="8" w:color="auto"/>
            </w:tcBorders>
          </w:tcPr>
          <w:p>
            <w:pPr>
              <w:jc w:val="center"/>
              <w:ind w:left="334"/>
              <w:spacing w:after="0"/>
              <w:rPr>
                <w:sz w:val="20"/>
                <w:szCs w:val="20"/>
                <w:color w:val="auto"/>
              </w:rPr>
            </w:pPr>
            <w:r>
              <w:rPr>
                <w:rFonts w:ascii="Arial" w:cs="Arial" w:eastAsia="Arial" w:hAnsi="Arial"/>
                <w:sz w:val="17"/>
                <w:szCs w:val="17"/>
                <w:b w:val="1"/>
                <w:bCs w:val="1"/>
                <w:color w:val="auto"/>
                <w:w w:val="93"/>
              </w:rPr>
              <w:t>Delaware</w:t>
            </w:r>
          </w:p>
        </w:tc>
        <w:tc>
          <w:tcPr>
            <w:tcW w:w="4080" w:type="dxa"/>
            <w:vAlign w:val="bottom"/>
            <w:tcBorders>
              <w:bottom w:val="single" w:sz="8" w:color="auto"/>
            </w:tcBorders>
          </w:tcPr>
          <w:p>
            <w:pPr>
              <w:jc w:val="right"/>
              <w:ind w:right="1534"/>
              <w:spacing w:after="0"/>
              <w:rPr>
                <w:sz w:val="20"/>
                <w:szCs w:val="20"/>
                <w:color w:val="auto"/>
              </w:rPr>
            </w:pPr>
            <w:r>
              <w:rPr>
                <w:rFonts w:ascii="Arial" w:cs="Arial" w:eastAsia="Arial" w:hAnsi="Arial"/>
                <w:sz w:val="17"/>
                <w:szCs w:val="17"/>
                <w:b w:val="1"/>
                <w:bCs w:val="1"/>
                <w:color w:val="auto"/>
              </w:rPr>
              <w:t>1-10658</w:t>
            </w:r>
          </w:p>
        </w:tc>
        <w:tc>
          <w:tcPr>
            <w:tcW w:w="3540" w:type="dxa"/>
            <w:vAlign w:val="bottom"/>
            <w:tcBorders>
              <w:bottom w:val="single" w:sz="8" w:color="auto"/>
            </w:tcBorders>
          </w:tcPr>
          <w:p>
            <w:pPr>
              <w:jc w:val="right"/>
              <w:ind w:right="1334"/>
              <w:spacing w:after="0"/>
              <w:rPr>
                <w:sz w:val="20"/>
                <w:szCs w:val="20"/>
                <w:color w:val="auto"/>
              </w:rPr>
            </w:pPr>
            <w:r>
              <w:rPr>
                <w:rFonts w:ascii="Arial" w:cs="Arial" w:eastAsia="Arial" w:hAnsi="Arial"/>
                <w:sz w:val="17"/>
                <w:szCs w:val="17"/>
                <w:b w:val="1"/>
                <w:bCs w:val="1"/>
                <w:color w:val="auto"/>
              </w:rPr>
              <w:t>75-1618004</w:t>
            </w:r>
          </w:p>
        </w:tc>
      </w:tr>
      <w:tr>
        <w:trPr>
          <w:trHeight w:val="217"/>
        </w:trPr>
        <w:tc>
          <w:tcPr>
            <w:tcW w:w="3800" w:type="dxa"/>
            <w:vAlign w:val="bottom"/>
          </w:tcPr>
          <w:p>
            <w:pPr>
              <w:jc w:val="center"/>
              <w:ind w:left="334"/>
              <w:spacing w:after="0"/>
              <w:rPr>
                <w:sz w:val="20"/>
                <w:szCs w:val="20"/>
                <w:color w:val="auto"/>
              </w:rPr>
            </w:pPr>
            <w:r>
              <w:rPr>
                <w:rFonts w:ascii="Arial" w:cs="Arial" w:eastAsia="Arial" w:hAnsi="Arial"/>
                <w:sz w:val="17"/>
                <w:szCs w:val="17"/>
                <w:color w:val="auto"/>
                <w:w w:val="93"/>
              </w:rPr>
              <w:t>(State or other jurisdiction of incorporation)</w:t>
            </w:r>
          </w:p>
        </w:tc>
        <w:tc>
          <w:tcPr>
            <w:tcW w:w="4080" w:type="dxa"/>
            <w:vAlign w:val="bottom"/>
          </w:tcPr>
          <w:p>
            <w:pPr>
              <w:jc w:val="center"/>
              <w:ind w:left="174"/>
              <w:spacing w:after="0"/>
              <w:rPr>
                <w:sz w:val="20"/>
                <w:szCs w:val="20"/>
                <w:color w:val="auto"/>
              </w:rPr>
            </w:pPr>
            <w:r>
              <w:rPr>
                <w:rFonts w:ascii="Arial" w:cs="Arial" w:eastAsia="Arial" w:hAnsi="Arial"/>
                <w:sz w:val="17"/>
                <w:szCs w:val="17"/>
                <w:color w:val="auto"/>
                <w:w w:val="93"/>
              </w:rPr>
              <w:t>(Commission File Number)</w:t>
            </w:r>
          </w:p>
        </w:tc>
        <w:tc>
          <w:tcPr>
            <w:tcW w:w="3540" w:type="dxa"/>
            <w:vAlign w:val="bottom"/>
          </w:tcPr>
          <w:p>
            <w:pPr>
              <w:jc w:val="right"/>
              <w:ind w:right="454"/>
              <w:spacing w:after="0"/>
              <w:rPr>
                <w:sz w:val="20"/>
                <w:szCs w:val="20"/>
                <w:color w:val="auto"/>
              </w:rPr>
            </w:pPr>
            <w:r>
              <w:rPr>
                <w:rFonts w:ascii="Arial" w:cs="Arial" w:eastAsia="Arial" w:hAnsi="Arial"/>
                <w:sz w:val="17"/>
                <w:szCs w:val="17"/>
                <w:color w:val="auto"/>
              </w:rPr>
              <w:t>(I.R.S. Employer Identification No.)</w:t>
            </w:r>
          </w:p>
        </w:tc>
      </w:tr>
      <w:tr>
        <w:trPr>
          <w:trHeight w:val="410"/>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2"/>
              </w:rPr>
              <w:t>8000 South Federal Way</w:t>
            </w:r>
          </w:p>
        </w:tc>
        <w:tc>
          <w:tcPr>
            <w:tcW w:w="3540" w:type="dxa"/>
            <w:vAlign w:val="bottom"/>
          </w:tcPr>
          <w:p>
            <w:pPr>
              <w:spacing w:after="0"/>
              <w:rPr>
                <w:sz w:val="24"/>
                <w:szCs w:val="24"/>
                <w:color w:val="auto"/>
              </w:rPr>
            </w:pPr>
          </w:p>
        </w:tc>
      </w:tr>
      <w:tr>
        <w:trPr>
          <w:trHeight w:val="23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Boise, Idaho 83716-9632</w:t>
            </w:r>
          </w:p>
        </w:tc>
        <w:tc>
          <w:tcPr>
            <w:tcW w:w="3540" w:type="dxa"/>
            <w:vAlign w:val="bottom"/>
          </w:tcPr>
          <w:p>
            <w:pPr>
              <w:spacing w:after="0"/>
              <w:rPr>
                <w:sz w:val="20"/>
                <w:szCs w:val="20"/>
                <w:color w:val="auto"/>
              </w:rPr>
            </w:pPr>
          </w:p>
        </w:tc>
      </w:tr>
      <w:tr>
        <w:trPr>
          <w:trHeight w:val="217"/>
        </w:trPr>
        <w:tc>
          <w:tcPr>
            <w:tcW w:w="380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7"/>
                <w:szCs w:val="17"/>
                <w:color w:val="auto"/>
                <w:w w:val="93"/>
              </w:rPr>
              <w:t>(Address of principal executive offices)</w:t>
            </w:r>
          </w:p>
        </w:tc>
        <w:tc>
          <w:tcPr>
            <w:tcW w:w="3540" w:type="dxa"/>
            <w:vAlign w:val="bottom"/>
          </w:tcPr>
          <w:p>
            <w:pPr>
              <w:spacing w:after="0"/>
              <w:rPr>
                <w:sz w:val="18"/>
                <w:szCs w:val="18"/>
                <w:color w:val="auto"/>
              </w:rPr>
            </w:pPr>
          </w:p>
        </w:tc>
      </w:tr>
    </w:tbl>
    <w:p>
      <w:pPr>
        <w:spacing w:after="0" w:line="203" w:lineRule="exact"/>
        <w:rPr>
          <w:sz w:val="24"/>
          <w:szCs w:val="24"/>
          <w:color w:val="auto"/>
        </w:rPr>
      </w:pPr>
    </w:p>
    <w:p>
      <w:pPr>
        <w:jc w:val="center"/>
        <w:ind w:left="560"/>
        <w:spacing w:after="0"/>
        <w:rPr>
          <w:sz w:val="20"/>
          <w:szCs w:val="20"/>
          <w:color w:val="auto"/>
        </w:rPr>
      </w:pPr>
      <w:r>
        <w:rPr>
          <w:rFonts w:ascii="Arial" w:cs="Arial" w:eastAsia="Arial" w:hAnsi="Arial"/>
          <w:sz w:val="17"/>
          <w:szCs w:val="17"/>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18415</wp:posOffset>
            </wp:positionV>
            <wp:extent cx="328612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6125" cy="16510"/>
                    </a:xfrm>
                    <a:prstGeom prst="rect">
                      <a:avLst/>
                    </a:prstGeom>
                    <a:noFill/>
                  </pic:spPr>
                </pic:pic>
              </a:graphicData>
            </a:graphic>
          </wp:anchor>
        </w:drawing>
      </w:r>
    </w:p>
    <w:p>
      <w:pPr>
        <w:spacing w:after="0" w:line="23" w:lineRule="exact"/>
        <w:rPr>
          <w:sz w:val="24"/>
          <w:szCs w:val="24"/>
          <w:color w:val="auto"/>
        </w:rPr>
      </w:pPr>
    </w:p>
    <w:p>
      <w:pPr>
        <w:jc w:val="center"/>
        <w:ind w:left="560"/>
        <w:spacing w:after="0"/>
        <w:rPr>
          <w:sz w:val="20"/>
          <w:szCs w:val="20"/>
          <w:color w:val="auto"/>
        </w:rPr>
      </w:pPr>
      <w:r>
        <w:rPr>
          <w:rFonts w:ascii="Arial" w:cs="Arial" w:eastAsia="Arial" w:hAnsi="Arial"/>
          <w:sz w:val="17"/>
          <w:szCs w:val="17"/>
          <w:color w:val="auto"/>
        </w:rPr>
        <w:t>(Registrant’s telephone number, including area code)</w:t>
      </w:r>
    </w:p>
    <w:p>
      <w:pPr>
        <w:spacing w:after="0" w:line="243" w:lineRule="exact"/>
        <w:rPr>
          <w:sz w:val="24"/>
          <w:szCs w:val="24"/>
          <w:color w:val="auto"/>
        </w:rPr>
      </w:pPr>
    </w:p>
    <w:p>
      <w:pPr>
        <w:ind w:right="62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25741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725805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1" w:name="page2"/>
    <w:bookmarkEnd w:id="1"/>
    <w:p>
      <w:pPr>
        <w:spacing w:after="0"/>
        <w:tabs>
          <w:tab w:leader="none" w:pos="1220" w:val="left"/>
        </w:tabs>
        <w:rPr>
          <w:sz w:val="20"/>
          <w:szCs w:val="20"/>
          <w:color w:val="auto"/>
        </w:rPr>
      </w:pPr>
      <w:r>
        <w:rPr>
          <w:rFonts w:ascii="Arial" w:cs="Arial" w:eastAsia="Arial" w:hAnsi="Arial"/>
          <w:sz w:val="17"/>
          <w:szCs w:val="17"/>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249" w:lineRule="exact"/>
        <w:rPr>
          <w:sz w:val="20"/>
          <w:szCs w:val="20"/>
          <w:color w:val="auto"/>
        </w:rPr>
      </w:pPr>
    </w:p>
    <w:p>
      <w:pPr>
        <w:jc w:val="both"/>
        <w:ind w:right="360"/>
        <w:spacing w:after="0" w:line="262" w:lineRule="auto"/>
        <w:rPr>
          <w:sz w:val="20"/>
          <w:szCs w:val="20"/>
          <w:color w:val="auto"/>
        </w:rPr>
      </w:pPr>
      <w:r>
        <w:rPr>
          <w:rFonts w:ascii="Arial" w:cs="Arial" w:eastAsia="Arial" w:hAnsi="Arial"/>
          <w:sz w:val="17"/>
          <w:szCs w:val="17"/>
          <w:color w:val="auto"/>
        </w:rPr>
        <w:t>On October 9, 2008, the Micron Technology, Inc. (the “Company”) announced a plan to restructure its memory operations in response to the challenging global environment for technology products. As a part of the restructure plan, the Company and its NAND Flash memory joint venture partner, Intel Corporation, have agreed to shutdown production of NAND Flash from the Company’s 200mm wafer fabrication facility in Boise, Idaho. The Company plans to reduce its global workforce by approximately 15 percent during the next two years.</w:t>
      </w:r>
    </w:p>
    <w:p>
      <w:pPr>
        <w:spacing w:after="0" w:line="205" w:lineRule="exact"/>
        <w:rPr>
          <w:sz w:val="20"/>
          <w:szCs w:val="20"/>
          <w:color w:val="auto"/>
        </w:rPr>
      </w:pPr>
    </w:p>
    <w:p>
      <w:pPr>
        <w:jc w:val="both"/>
        <w:ind w:right="580"/>
        <w:spacing w:after="0" w:line="266" w:lineRule="auto"/>
        <w:rPr>
          <w:sz w:val="20"/>
          <w:szCs w:val="20"/>
          <w:color w:val="auto"/>
        </w:rPr>
      </w:pPr>
      <w:r>
        <w:rPr>
          <w:rFonts w:ascii="Arial" w:cs="Arial" w:eastAsia="Arial" w:hAnsi="Arial"/>
          <w:sz w:val="17"/>
          <w:szCs w:val="17"/>
          <w:color w:val="auto"/>
        </w:rPr>
        <w:t>The Company expects cash costs associated with the restructure plan to approximate $60 million, and the resulting annual benefit to cash operating margin to approximate $175 million. The Company anticipates incurring restructure charges at least through the remainder of fiscal 2009, but is unable to estimate the aggregate amount of the charges.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press release related to the restructuring is attached as Exhibit 99.1 to the Current Report of Form 8K.</w:t>
      </w:r>
    </w:p>
    <w:p>
      <w:pPr>
        <w:spacing w:after="0" w:line="243" w:lineRule="exact"/>
        <w:rPr>
          <w:sz w:val="20"/>
          <w:szCs w:val="20"/>
          <w:color w:val="auto"/>
        </w:rPr>
      </w:pPr>
    </w:p>
    <w:p>
      <w:pPr>
        <w:jc w:val="both"/>
        <w:ind w:right="40" w:firstLine="310"/>
        <w:spacing w:after="0" w:line="291" w:lineRule="auto"/>
        <w:rPr>
          <w:sz w:val="20"/>
          <w:szCs w:val="20"/>
          <w:color w:val="auto"/>
        </w:rPr>
      </w:pPr>
      <w:r>
        <w:rPr>
          <w:rFonts w:ascii="Arial" w:cs="Arial" w:eastAsia="Arial" w:hAnsi="Arial"/>
          <w:sz w:val="15"/>
          <w:szCs w:val="15"/>
          <w:i w:val="1"/>
          <w:iCs w:val="1"/>
          <w:color w:val="auto"/>
        </w:rPr>
        <w:t>This Current Report on Form 8-K contains forward-looking statements regarding future restructure charges. Actual events or results may differ materially from those contained in the forward-looking statements. Please refer to the documents the Company files on a consolidated basis from time to time with the Securities and Exchange Commission, specifically the Company's most recent Form 10-K and Form 10-Q. These documents contain and identify important factors that could cause the actual results for the Company on a consolidated basis to differ materially from those contained in our forward-looking statements (see Certain Factors).</w:t>
      </w:r>
    </w:p>
    <w:p>
      <w:pPr>
        <w:ind w:right="600"/>
        <w:spacing w:after="0" w:line="334" w:lineRule="auto"/>
        <w:rPr>
          <w:sz w:val="20"/>
          <w:szCs w:val="20"/>
          <w:color w:val="auto"/>
        </w:rPr>
      </w:pPr>
      <w:r>
        <w:rPr>
          <w:rFonts w:ascii="Arial" w:cs="Arial" w:eastAsia="Arial" w:hAnsi="Arial"/>
          <w:sz w:val="15"/>
          <w:szCs w:val="15"/>
          <w:i w:val="1"/>
          <w:iCs w:val="1"/>
          <w:color w:val="auto"/>
        </w:rPr>
        <w:t>Although we believe that the expectations reflected in the forward-looking statements are reasonable, we cannot guarantee future results, levels of activity, performance or achievements. We are under no duty to update any of the forward-looking statements after the date of this report to conform to actual results.</w:t>
      </w:r>
    </w:p>
    <w:p>
      <w:pPr>
        <w:spacing w:after="0" w:line="148"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7"/>
                <w:szCs w:val="17"/>
                <w:color w:val="auto"/>
              </w:rPr>
              <w:t>(d)</w:t>
            </w:r>
          </w:p>
        </w:tc>
        <w:tc>
          <w:tcPr>
            <w:tcW w:w="9940" w:type="dxa"/>
            <w:vAlign w:val="bottom"/>
          </w:tcPr>
          <w:p>
            <w:pPr>
              <w:ind w:left="40"/>
              <w:spacing w:after="0"/>
              <w:rPr>
                <w:sz w:val="20"/>
                <w:szCs w:val="20"/>
                <w:color w:val="auto"/>
              </w:rPr>
            </w:pPr>
            <w:r>
              <w:rPr>
                <w:rFonts w:ascii="Arial" w:cs="Arial" w:eastAsia="Arial" w:hAnsi="Arial"/>
                <w:sz w:val="17"/>
                <w:szCs w:val="17"/>
                <w:color w:val="auto"/>
              </w:rPr>
              <w:t>Exhibits.</w:t>
            </w:r>
          </w:p>
        </w:tc>
      </w:tr>
      <w:tr>
        <w:trPr>
          <w:trHeight w:val="41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0" w:type="dxa"/>
            <w:vAlign w:val="bottom"/>
            <w:gridSpan w:val="2"/>
          </w:tcPr>
          <w:p>
            <w:pPr>
              <w:ind w:left="20"/>
              <w:spacing w:after="0"/>
              <w:rPr>
                <w:sz w:val="20"/>
                <w:szCs w:val="20"/>
                <w:color w:val="auto"/>
              </w:rPr>
            </w:pPr>
            <w:r>
              <w:rPr>
                <w:rFonts w:ascii="Arial" w:cs="Arial" w:eastAsia="Arial" w:hAnsi="Arial"/>
                <w:sz w:val="17"/>
                <w:szCs w:val="17"/>
                <w:color w:val="auto"/>
              </w:rPr>
              <w:t>The following exhibit is filed herewith:</w:t>
            </w:r>
          </w:p>
        </w:tc>
      </w:tr>
      <w:tr>
        <w:trPr>
          <w:trHeight w:val="446"/>
        </w:trPr>
        <w:tc>
          <w:tcPr>
            <w:tcW w:w="1480" w:type="dxa"/>
            <w:vAlign w:val="bottom"/>
            <w:gridSpan w:val="3"/>
          </w:tcPr>
          <w:p>
            <w:pPr>
              <w:spacing w:after="0"/>
              <w:rPr>
                <w:sz w:val="20"/>
                <w:szCs w:val="20"/>
                <w:color w:val="auto"/>
              </w:rPr>
            </w:pPr>
            <w:r>
              <w:rPr>
                <w:rFonts w:ascii="Arial" w:cs="Arial" w:eastAsia="Arial" w:hAnsi="Arial"/>
                <w:sz w:val="17"/>
                <w:szCs w:val="17"/>
                <w:b w:val="1"/>
                <w:bCs w:val="1"/>
                <w:color w:val="auto"/>
              </w:rPr>
              <w:t>Exhibit No.</w:t>
            </w:r>
          </w:p>
        </w:tc>
        <w:tc>
          <w:tcPr>
            <w:tcW w:w="9940" w:type="dxa"/>
            <w:vAlign w:val="bottom"/>
          </w:tcPr>
          <w:p>
            <w:pPr>
              <w:spacing w:after="0"/>
              <w:rPr>
                <w:sz w:val="20"/>
                <w:szCs w:val="20"/>
                <w:color w:val="auto"/>
              </w:rPr>
            </w:pPr>
            <w:r>
              <w:rPr>
                <w:rFonts w:ascii="Arial" w:cs="Arial" w:eastAsia="Arial" w:hAnsi="Arial"/>
                <w:sz w:val="17"/>
                <w:szCs w:val="17"/>
                <w:b w:val="1"/>
                <w:bCs w:val="1"/>
                <w:color w:val="auto"/>
              </w:rPr>
              <w:t>Description</w:t>
            </w:r>
          </w:p>
        </w:tc>
      </w:tr>
      <w:tr>
        <w:trPr>
          <w:trHeight w:val="217"/>
        </w:trPr>
        <w:tc>
          <w:tcPr>
            <w:tcW w:w="20" w:type="dxa"/>
            <w:vAlign w:val="bottom"/>
          </w:tcPr>
          <w:p>
            <w:pPr>
              <w:spacing w:after="0"/>
              <w:rPr>
                <w:sz w:val="18"/>
                <w:szCs w:val="18"/>
                <w:color w:val="auto"/>
              </w:rPr>
            </w:pPr>
          </w:p>
        </w:tc>
        <w:tc>
          <w:tcPr>
            <w:tcW w:w="1200" w:type="dxa"/>
            <w:vAlign w:val="bottom"/>
            <w:tcBorders>
              <w:top w:val="single" w:sz="8" w:color="auto"/>
            </w:tcBorders>
          </w:tcPr>
          <w:p>
            <w:pPr>
              <w:jc w:val="right"/>
              <w:ind w:right="354"/>
              <w:spacing w:after="0"/>
              <w:rPr>
                <w:sz w:val="20"/>
                <w:szCs w:val="20"/>
                <w:color w:val="auto"/>
              </w:rPr>
            </w:pPr>
            <w:r>
              <w:rPr>
                <w:rFonts w:ascii="Arial" w:cs="Arial" w:eastAsia="Arial" w:hAnsi="Arial"/>
                <w:sz w:val="17"/>
                <w:szCs w:val="17"/>
                <w:color w:val="auto"/>
              </w:rPr>
              <w:t>99.1</w:t>
            </w:r>
          </w:p>
        </w:tc>
        <w:tc>
          <w:tcPr>
            <w:tcW w:w="260" w:type="dxa"/>
            <w:vAlign w:val="bottom"/>
          </w:tcPr>
          <w:p>
            <w:pPr>
              <w:spacing w:after="0"/>
              <w:rPr>
                <w:sz w:val="18"/>
                <w:szCs w:val="18"/>
                <w:color w:val="auto"/>
              </w:rPr>
            </w:pPr>
          </w:p>
        </w:tc>
        <w:tc>
          <w:tcPr>
            <w:tcW w:w="99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Press Release issued on October 9, 2008</w:t>
            </w:r>
          </w:p>
        </w:tc>
      </w:tr>
      <w:tr>
        <w:trPr>
          <w:trHeight w:val="1934"/>
        </w:trPr>
        <w:tc>
          <w:tcPr>
            <w:tcW w:w="20" w:type="dxa"/>
            <w:vAlign w:val="bottom"/>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w:t>
      </w:r>
    </w:p>
    <w:p>
      <w:pPr>
        <w:spacing w:after="0" w:line="249" w:lineRule="exact"/>
        <w:rPr>
          <w:sz w:val="20"/>
          <w:szCs w:val="20"/>
          <w:color w:val="auto"/>
        </w:rPr>
      </w:pPr>
    </w:p>
    <w:p>
      <w:pPr>
        <w:ind w:firstLine="31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80" w:type="dxa"/>
            <w:vAlign w:val="bottom"/>
          </w:tcPr>
          <w:p>
            <w:pPr>
              <w:spacing w:after="0"/>
              <w:rPr>
                <w:sz w:val="19"/>
                <w:szCs w:val="19"/>
                <w:color w:val="auto"/>
              </w:rPr>
            </w:pPr>
          </w:p>
        </w:tc>
        <w:tc>
          <w:tcPr>
            <w:tcW w:w="7040" w:type="dxa"/>
            <w:vAlign w:val="bottom"/>
            <w:gridSpan w:val="3"/>
          </w:tcPr>
          <w:p>
            <w:pPr>
              <w:ind w:left="2600"/>
              <w:spacing w:after="0"/>
              <w:rPr>
                <w:sz w:val="20"/>
                <w:szCs w:val="20"/>
                <w:color w:val="auto"/>
              </w:rPr>
            </w:pPr>
            <w:r>
              <w:rPr>
                <w:rFonts w:ascii="Arial" w:cs="Arial" w:eastAsia="Arial" w:hAnsi="Arial"/>
                <w:sz w:val="17"/>
                <w:szCs w:val="17"/>
                <w:b w:val="1"/>
                <w:bCs w:val="1"/>
                <w:color w:val="auto"/>
              </w:rPr>
              <w:t>MICRON TECHNOLOGY, INC.</w:t>
            </w:r>
          </w:p>
        </w:tc>
      </w:tr>
      <w:tr>
        <w:trPr>
          <w:trHeight w:val="627"/>
        </w:trPr>
        <w:tc>
          <w:tcPr>
            <w:tcW w:w="4380" w:type="dxa"/>
            <w:vAlign w:val="bottom"/>
          </w:tcPr>
          <w:p>
            <w:pPr>
              <w:spacing w:after="0"/>
              <w:rPr>
                <w:sz w:val="20"/>
                <w:szCs w:val="20"/>
                <w:color w:val="auto"/>
              </w:rPr>
            </w:pPr>
            <w:r>
              <w:rPr>
                <w:rFonts w:ascii="Arial" w:cs="Arial" w:eastAsia="Arial" w:hAnsi="Arial"/>
                <w:sz w:val="17"/>
                <w:szCs w:val="17"/>
                <w:color w:val="auto"/>
              </w:rPr>
              <w:t>Date:   October 14, 2008</w:t>
            </w:r>
          </w:p>
        </w:tc>
        <w:tc>
          <w:tcPr>
            <w:tcW w:w="3120" w:type="dxa"/>
            <w:vAlign w:val="bottom"/>
          </w:tcPr>
          <w:p>
            <w:pPr>
              <w:ind w:left="2600"/>
              <w:spacing w:after="0"/>
              <w:rPr>
                <w:sz w:val="20"/>
                <w:szCs w:val="20"/>
                <w:color w:val="auto"/>
              </w:rPr>
            </w:pPr>
            <w:r>
              <w:rPr>
                <w:rFonts w:ascii="Arial" w:cs="Arial" w:eastAsia="Arial" w:hAnsi="Arial"/>
                <w:sz w:val="17"/>
                <w:szCs w:val="17"/>
                <w:color w:val="auto"/>
              </w:rPr>
              <w:t>By:</w:t>
            </w:r>
          </w:p>
        </w:tc>
        <w:tc>
          <w:tcPr>
            <w:tcW w:w="60" w:type="dxa"/>
            <w:vAlign w:val="bottom"/>
          </w:tcPr>
          <w:p>
            <w:pPr>
              <w:spacing w:after="0"/>
              <w:rPr>
                <w:sz w:val="24"/>
                <w:szCs w:val="24"/>
                <w:color w:val="auto"/>
              </w:rPr>
            </w:pPr>
          </w:p>
        </w:tc>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/s/ Steven R. Appleton</w:t>
            </w:r>
          </w:p>
        </w:tc>
      </w:tr>
      <w:tr>
        <w:trPr>
          <w:trHeight w:val="194"/>
        </w:trPr>
        <w:tc>
          <w:tcPr>
            <w:tcW w:w="4380" w:type="dxa"/>
            <w:vAlign w:val="bottom"/>
          </w:tcPr>
          <w:p>
            <w:pPr>
              <w:spacing w:after="0"/>
              <w:rPr>
                <w:sz w:val="16"/>
                <w:szCs w:val="16"/>
                <w:color w:val="auto"/>
              </w:rPr>
            </w:pPr>
          </w:p>
        </w:tc>
        <w:tc>
          <w:tcPr>
            <w:tcW w:w="3120" w:type="dxa"/>
            <w:vAlign w:val="bottom"/>
          </w:tcPr>
          <w:p>
            <w:pPr>
              <w:ind w:left="2600"/>
              <w:spacing w:after="0" w:line="194" w:lineRule="exact"/>
              <w:rPr>
                <w:sz w:val="20"/>
                <w:szCs w:val="20"/>
                <w:color w:val="auto"/>
              </w:rPr>
            </w:pPr>
            <w:r>
              <w:rPr>
                <w:rFonts w:ascii="Arial" w:cs="Arial" w:eastAsia="Arial" w:hAnsi="Arial"/>
                <w:sz w:val="17"/>
                <w:szCs w:val="17"/>
                <w:color w:val="auto"/>
                <w:w w:val="99"/>
              </w:rPr>
              <w:t>Name:</w:t>
            </w:r>
          </w:p>
        </w:tc>
        <w:tc>
          <w:tcPr>
            <w:tcW w:w="60" w:type="dxa"/>
            <w:vAlign w:val="bottom"/>
          </w:tcPr>
          <w:p>
            <w:pPr>
              <w:spacing w:after="0"/>
              <w:rPr>
                <w:sz w:val="16"/>
                <w:szCs w:val="16"/>
                <w:color w:val="auto"/>
              </w:rPr>
            </w:pPr>
          </w:p>
        </w:tc>
        <w:tc>
          <w:tcPr>
            <w:tcW w:w="3860" w:type="dxa"/>
            <w:vAlign w:val="bottom"/>
          </w:tcPr>
          <w:p>
            <w:pPr>
              <w:spacing w:after="0" w:line="194" w:lineRule="exact"/>
              <w:rPr>
                <w:sz w:val="20"/>
                <w:szCs w:val="20"/>
                <w:color w:val="auto"/>
              </w:rPr>
            </w:pPr>
            <w:r>
              <w:rPr>
                <w:rFonts w:ascii="Arial" w:cs="Arial" w:eastAsia="Arial" w:hAnsi="Arial"/>
                <w:sz w:val="17"/>
                <w:szCs w:val="17"/>
                <w:color w:val="auto"/>
              </w:rPr>
              <w:t>Steven R. Appleton</w:t>
            </w:r>
          </w:p>
        </w:tc>
      </w:tr>
      <w:tr>
        <w:trPr>
          <w:trHeight w:val="217"/>
        </w:trPr>
        <w:tc>
          <w:tcPr>
            <w:tcW w:w="4380" w:type="dxa"/>
            <w:vAlign w:val="bottom"/>
          </w:tcPr>
          <w:p>
            <w:pPr>
              <w:spacing w:after="0"/>
              <w:rPr>
                <w:sz w:val="18"/>
                <w:szCs w:val="18"/>
                <w:color w:val="auto"/>
              </w:rPr>
            </w:pPr>
          </w:p>
        </w:tc>
        <w:tc>
          <w:tcPr>
            <w:tcW w:w="3120" w:type="dxa"/>
            <w:vAlign w:val="bottom"/>
          </w:tcPr>
          <w:p>
            <w:pPr>
              <w:ind w:left="2600"/>
              <w:spacing w:after="0"/>
              <w:rPr>
                <w:sz w:val="20"/>
                <w:szCs w:val="20"/>
                <w:color w:val="auto"/>
              </w:rPr>
            </w:pPr>
            <w:r>
              <w:rPr>
                <w:rFonts w:ascii="Arial" w:cs="Arial" w:eastAsia="Arial" w:hAnsi="Arial"/>
                <w:sz w:val="17"/>
                <w:szCs w:val="17"/>
                <w:color w:val="auto"/>
              </w:rPr>
              <w:t>Title:</w:t>
            </w:r>
          </w:p>
        </w:tc>
        <w:tc>
          <w:tcPr>
            <w:tcW w:w="3920" w:type="dxa"/>
            <w:vAlign w:val="bottom"/>
            <w:gridSpan w:val="2"/>
          </w:tcPr>
          <w:p>
            <w:pPr>
              <w:ind w:left="60"/>
              <w:spacing w:after="0"/>
              <w:rPr>
                <w:sz w:val="20"/>
                <w:szCs w:val="20"/>
                <w:color w:val="auto"/>
              </w:rPr>
            </w:pPr>
            <w:r>
              <w:rPr>
                <w:rFonts w:ascii="Arial" w:cs="Arial" w:eastAsia="Arial" w:hAnsi="Arial"/>
                <w:sz w:val="17"/>
                <w:szCs w:val="17"/>
                <w:color w:val="auto"/>
              </w:rPr>
              <w:t>Chairman and Chief Executive Officer</w:t>
            </w:r>
          </w:p>
        </w:tc>
      </w:tr>
      <w:tr>
        <w:trPr>
          <w:trHeight w:val="863"/>
        </w:trPr>
        <w:tc>
          <w:tcPr>
            <w:tcW w:w="438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 w:name="page4"/>
    <w:bookmarkEnd w:id="3"/>
    <w:p>
      <w:pPr>
        <w:jc w:val="center"/>
        <w:ind w:right="-840"/>
        <w:spacing w:after="0"/>
        <w:rPr>
          <w:sz w:val="20"/>
          <w:szCs w:val="20"/>
          <w:color w:val="auto"/>
        </w:rPr>
      </w:pPr>
      <w:r>
        <w:rPr>
          <w:rFonts w:ascii="Arial" w:cs="Arial" w:eastAsia="Arial" w:hAnsi="Arial"/>
          <w:sz w:val="17"/>
          <w:szCs w:val="17"/>
          <w:b w:val="1"/>
          <w:bCs w:val="1"/>
          <w:color w:val="auto"/>
        </w:rPr>
        <w:t>INDEX TO EXHIBITS FILED WITH</w:t>
      </w:r>
    </w:p>
    <w:p>
      <w:pPr>
        <w:spacing w:after="0" w:line="28" w:lineRule="exact"/>
        <w:rPr>
          <w:sz w:val="20"/>
          <w:szCs w:val="20"/>
          <w:color w:val="auto"/>
        </w:rPr>
      </w:pPr>
    </w:p>
    <w:p>
      <w:pPr>
        <w:jc w:val="center"/>
        <w:ind w:right="-840"/>
        <w:spacing w:after="0"/>
        <w:rPr>
          <w:sz w:val="20"/>
          <w:szCs w:val="20"/>
          <w:color w:val="auto"/>
        </w:rPr>
      </w:pPr>
      <w:r>
        <w:rPr>
          <w:rFonts w:ascii="Arial" w:cs="Arial" w:eastAsia="Arial" w:hAnsi="Arial"/>
          <w:sz w:val="17"/>
          <w:szCs w:val="17"/>
          <w:b w:val="1"/>
          <w:bCs w:val="1"/>
          <w:color w:val="auto"/>
        </w:rPr>
        <w:t>THE CURRENT REPORT ON FORM 8-K DATED OCTOBER 9, 2008</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Exhibit</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18415</wp:posOffset>
            </wp:positionV>
            <wp:extent cx="725297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3"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Press Release issued on October 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635635</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9859"/>
          </w:cols>
          <w:pgMar w:left="600" w:top="728" w:right="1440" w:bottom="1440" w:gutter="0" w:footer="0" w:header="0"/>
        </w:sectPr>
      </w:pPr>
    </w:p>
    <w:bookmarkStart w:id="4" w:name="page5"/>
    <w:bookmarkEnd w:id="4"/>
    <w:p>
      <w:pPr>
        <w:ind w:left="10340"/>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ectPr>
          <w:pgSz w:w="11900" w:h="16838" w:orient="portrait"/>
          <w:cols w:equalWidth="0" w:num="1">
            <w:col w:w="11520"/>
          </w:cols>
          <w:pgMar w:left="240" w:top="586" w:right="139" w:bottom="1440" w:gutter="0" w:footer="0" w:header="0"/>
        </w:sectPr>
      </w:pPr>
    </w:p>
    <w:p>
      <w:pPr>
        <w:spacing w:after="0" w:line="24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Contacts:</w:t>
        <w:tab/>
        <w:t>Kipp A. Bedard</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Investor Relations</w:t>
      </w:r>
    </w:p>
    <w:p>
      <w:pPr>
        <w:spacing w:after="0" w:line="11" w:lineRule="exact"/>
        <w:rPr>
          <w:sz w:val="20"/>
          <w:szCs w:val="20"/>
          <w:color w:val="auto"/>
        </w:rPr>
      </w:pPr>
    </w:p>
    <w:p>
      <w:pPr>
        <w:ind w:left="820"/>
        <w:spacing w:after="0"/>
        <w:rPr>
          <w:sz w:val="20"/>
          <w:szCs w:val="20"/>
          <w:color w:val="auto"/>
        </w:rPr>
      </w:pPr>
      <w:r>
        <w:rPr>
          <w:rFonts w:ascii="Arial" w:cs="Arial" w:eastAsia="Arial" w:hAnsi="Arial"/>
          <w:sz w:val="15"/>
          <w:szCs w:val="15"/>
          <w:color w:val="auto"/>
        </w:rPr>
        <w:t>kbedard@micron.com</w:t>
      </w:r>
    </w:p>
    <w:p>
      <w:pPr>
        <w:spacing w:after="0" w:line="34" w:lineRule="exact"/>
        <w:rPr>
          <w:sz w:val="20"/>
          <w:szCs w:val="20"/>
          <w:color w:val="auto"/>
        </w:rPr>
      </w:pPr>
    </w:p>
    <w:p>
      <w:pPr>
        <w:ind w:left="820"/>
        <w:spacing w:after="0"/>
        <w:rPr>
          <w:sz w:val="20"/>
          <w:szCs w:val="20"/>
          <w:color w:val="auto"/>
        </w:rPr>
      </w:pPr>
      <w:r>
        <w:rPr>
          <w:rFonts w:ascii="Arial" w:cs="Arial" w:eastAsia="Arial" w:hAnsi="Arial"/>
          <w:sz w:val="17"/>
          <w:szCs w:val="17"/>
          <w:color w:val="auto"/>
        </w:rPr>
        <w:t>(208) 368-4400</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Daniel Francisco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Media Relations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dfrancisco@micron.com</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(208) 368-5584</w:t>
      </w:r>
    </w:p>
    <w:p>
      <w:pPr>
        <w:spacing w:after="0" w:line="200" w:lineRule="exact"/>
        <w:rPr>
          <w:sz w:val="20"/>
          <w:szCs w:val="20"/>
          <w:color w:val="auto"/>
        </w:rPr>
      </w:pPr>
    </w:p>
    <w:p>
      <w:pPr>
        <w:sectPr>
          <w:pgSz w:w="11900" w:h="16838" w:orient="portrait"/>
          <w:cols w:equalWidth="0" w:num="2">
            <w:col w:w="2360" w:space="440"/>
            <w:col w:w="8720"/>
          </w:cols>
          <w:pgMar w:left="240" w:top="586" w:right="139" w:bottom="1440" w:gutter="0" w:footer="0" w:header="0"/>
          <w:type w:val="continuous"/>
        </w:sectPr>
      </w:pPr>
    </w:p>
    <w:p>
      <w:pPr>
        <w:spacing w:after="0" w:line="259" w:lineRule="exact"/>
        <w:rPr>
          <w:sz w:val="20"/>
          <w:szCs w:val="20"/>
          <w:color w:val="auto"/>
        </w:rPr>
      </w:pPr>
    </w:p>
    <w:p>
      <w:pPr>
        <w:ind w:left="3180"/>
        <w:spacing w:after="0"/>
        <w:rPr>
          <w:sz w:val="20"/>
          <w:szCs w:val="20"/>
          <w:color w:val="auto"/>
        </w:rPr>
      </w:pPr>
      <w:r>
        <w:rPr>
          <w:rFonts w:ascii="Arial" w:cs="Arial" w:eastAsia="Arial" w:hAnsi="Arial"/>
          <w:sz w:val="17"/>
          <w:szCs w:val="17"/>
          <w:b w:val="1"/>
          <w:bCs w:val="1"/>
          <w:color w:val="auto"/>
        </w:rPr>
        <w:t>MICRON TECHNOLOGY TO RESTRUCTURE MEMORY OPERATIONS</w:t>
      </w:r>
    </w:p>
    <w:p>
      <w:pPr>
        <w:spacing w:after="0" w:line="243"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b w:val="1"/>
          <w:bCs w:val="1"/>
          <w:color w:val="auto"/>
        </w:rPr>
        <w:t xml:space="preserve">BOISE, Idaho, Oct. 9, 2008 </w:t>
      </w:r>
      <w:r>
        <w:rPr>
          <w:rFonts w:ascii="Arial" w:cs="Arial" w:eastAsia="Arial" w:hAnsi="Arial"/>
          <w:sz w:val="17"/>
          <w:szCs w:val="17"/>
          <w:color w:val="auto"/>
        </w:rPr>
        <w:t>– In response to a challenging global environment for technology products, Micron Technology, Inc., today announced a restructuring of</w:t>
      </w:r>
      <w:r>
        <w:rPr>
          <w:rFonts w:ascii="Arial" w:cs="Arial" w:eastAsia="Arial" w:hAnsi="Arial"/>
          <w:sz w:val="17"/>
          <w:szCs w:val="17"/>
          <w:b w:val="1"/>
          <w:bCs w:val="1"/>
          <w:color w:val="auto"/>
        </w:rPr>
        <w:t xml:space="preserve"> </w:t>
      </w:r>
      <w:r>
        <w:rPr>
          <w:rFonts w:ascii="Arial" w:cs="Arial" w:eastAsia="Arial" w:hAnsi="Arial"/>
          <w:sz w:val="17"/>
          <w:szCs w:val="17"/>
          <w:color w:val="auto"/>
        </w:rPr>
        <w:t>memory operations.</w:t>
      </w:r>
    </w:p>
    <w:p>
      <w:pPr>
        <w:spacing w:after="0" w:line="18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combination of declining customer demand and product oversupply in the marketplace has driven selling prices for NAND flash memory significantly below manufacturing costs, particularly for 200 millimeter (mm) manufacturing lines. As a result, IM Flash Technologies (IMFT), a joint venture between Micron and Intel Corporation, will discontinue the supply of NAND flash memory from Micron’s Boise facility. The NAND operation shutdown will reduce IMFT’s NAND flash produ by approximately 35,000 wafers (200mm) per month.</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part of the restructuring, Micron plans to reduce its global workforce by approximately 15 percent during the next two years. The majority of the workforce reductio which will begin with a voluntary program, will occur in Boise as a result of the NAND operation shutdown. Micron is committed to assisting employees affected by t workforce reductions and is providing severance and outplacement services.</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“Micron is in a strong position relative to our competitors, as evidenced by our balance sheet and cash flow, but we are not immune to the difficult global market condit that are affecting us all,” said Steve Appleton, Micron Chairman and CEO. “Operation shutdowns and related workforce reductions are always painful, but we are purs these actions to maintain the competitiveness of the company.”</w:t>
      </w: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Cash restructuring and other related expenses are anticipated to be approximately $60 million, and the next year’s cash operating margin benefit is expected to exceed $ million.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Micron</w:t>
      </w:r>
    </w:p>
    <w:p>
      <w:pPr>
        <w:spacing w:after="0" w:line="2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Micron Technology, Inc. is one of the world's leading providers of advanced semiconductor solutions. Through its worldwide operations, Micron manufactures and ma DRAMs, NAND flash memory, CMOS image sensors, other semiconductor components, and memory modules for use in leading-edge computing, consumer, networki mobile products. Micron's common stock is traded on the New York Stock Exchange (NYSE) under the MU symbol. To learn more about Micron Technology, Inc., vis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205" w:lineRule="exact"/>
        <w:rPr>
          <w:sz w:val="20"/>
          <w:szCs w:val="20"/>
          <w:color w:val="auto"/>
        </w:rPr>
      </w:pPr>
    </w:p>
    <w:p>
      <w:pPr>
        <w:jc w:val="center"/>
        <w:ind w:left="620"/>
        <w:spacing w:after="0"/>
        <w:rPr>
          <w:sz w:val="20"/>
          <w:szCs w:val="20"/>
          <w:color w:val="auto"/>
        </w:rPr>
      </w:pPr>
      <w:r>
        <w:rPr>
          <w:rFonts w:ascii="Arial" w:cs="Arial" w:eastAsia="Arial" w:hAnsi="Arial"/>
          <w:sz w:val="17"/>
          <w:szCs w:val="17"/>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Micron and the Micron orbit logo are trademarks of Micron Technology, Inc. All other trademarks are the property of their respective owners.</w:t>
      </w:r>
    </w:p>
    <w:p>
      <w:pPr>
        <w:spacing w:after="0" w:line="243" w:lineRule="exact"/>
        <w:rPr>
          <w:sz w:val="20"/>
          <w:szCs w:val="20"/>
          <w:color w:val="auto"/>
        </w:rPr>
      </w:pPr>
    </w:p>
    <w:p>
      <w:pPr>
        <w:ind w:right="120"/>
        <w:spacing w:after="0" w:line="297" w:lineRule="auto"/>
        <w:rPr>
          <w:sz w:val="20"/>
          <w:szCs w:val="20"/>
          <w:color w:val="auto"/>
        </w:rPr>
      </w:pPr>
      <w:r>
        <w:rPr>
          <w:rFonts w:ascii="Arial" w:cs="Arial" w:eastAsia="Arial" w:hAnsi="Arial"/>
          <w:sz w:val="15"/>
          <w:szCs w:val="15"/>
          <w:i w:val="1"/>
          <w:iCs w:val="1"/>
          <w:color w:val="auto"/>
        </w:rPr>
        <w:t>This press release contains forward-looking statements regarding reductions in NAND production levels, the number of employees affected by the restructuring of the Company’s memory operations, cash restructuring and other related expenses and the next year’s cash operating margin benefit. Actual events or results may differ materially from those contained in the forward-looking statements. Please refer to the documents the Company files on a consolidated basis from time to time with the Securities and Exchange Commission, specifically the Company's most recent Form 10-K and Form 10-Q. These documents contain and identify important factors that could cause the actual results for the Company on a consolidated basis to differ materially from those contained in our forward-looking statements (see Certain Factors). Although we believe that the expectations reflected in the forward-looking statements are reasonable, we cannot guarantee future results, levels of activity, performance or achievements. We are under no duty to update any of the forward-looking statements after the date of this report to conform to actual results.</w:t>
      </w:r>
    </w:p>
    <w:sectPr>
      <w:pgSz w:w="11900" w:h="16838" w:orient="portrait"/>
      <w:cols w:equalWidth="0" w:num="1">
        <w:col w:w="11520"/>
      </w:cols>
      <w:pgMar w:left="240" w:top="58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2019-12-13T12:58:39Z</dcterms:created>
  <dcterms:modified xsi:type="dcterms:W3CDTF">2019-12-13T12:58:39Z</dcterms:modified>
</cp:coreProperties>
</file>