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April 20, 2018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3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8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1-10658</w:t>
            </w:r>
          </w:p>
        </w:tc>
        <w:tc>
          <w:tcPr>
            <w:tcW w:w="400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(Commission File Number)</w:t>
            </w:r>
          </w:p>
        </w:tc>
        <w:tc>
          <w:tcPr>
            <w:tcW w:w="4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(I.R.S. Employer Identification No.)</w:t>
            </w:r>
          </w:p>
        </w:tc>
      </w:tr>
    </w:tbl>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36830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36830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68" w:lineRule="exact"/>
        <w:rPr>
          <w:sz w:val="24"/>
          <w:szCs w:val="24"/>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2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151130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168275</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182" w:right="239" w:bottom="1440" w:gutter="0" w:footer="0" w:header="0"/>
        </w:sectPr>
      </w:pPr>
    </w:p>
    <w:bookmarkStart w:id="1" w:name="page2"/>
    <w:bookmarkEnd w:id="1"/>
    <w:p>
      <w:pPr>
        <w:ind w:left="4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5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On April 20, 2018, Micron Technology, Inc., a Delaware corporation (“Micron”), issued a notice to redeem all of its outstanding 5.250% Senior Notes due 2024 (the “2024 Senior Notes”) pursuant to the terms of the indenture that governs the 2024 Senior Notes. Micron will redeem the 2024 Senior Notes on May 21, 2018 at a price equal to 103.938% of the principal amount thereof, plus accrued and unpaid interest to, but excluding, such redemption date. As of the date hereof, there is $550.0 million in aggregate principal amount of 2024 Senior Notes outstanding.</w:t>
      </w:r>
    </w:p>
    <w:p>
      <w:pPr>
        <w:spacing w:after="0" w:line="18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Additionally, on April 20, 2018, Micron issued a notice to redeem all of its 5.625% Senior Notes due 2026 (the “2026 Senior Notes”) pursuant to the terms of the indenture that governs the 2026 Senior Notes. Micron will redeem the 2026 Senior Notes on May 21, 2018 at a price equal to 100% of the principal amount thereof, plus a make-whole premium, plus accrued and unpaid interest to, but excluding, such redemption date. As of the date hereof, there is $129.483 million in aggregate principal amount of 2026 Senior Notes outstanding.</w:t>
      </w:r>
    </w:p>
    <w:p>
      <w:pPr>
        <w:sectPr>
          <w:pgSz w:w="11900" w:h="16838" w:orient="portrait"/>
          <w:cols w:equalWidth="0" w:num="1">
            <w:col w:w="11320"/>
          </w:cols>
          <w:pgMar w:left="240" w:top="738" w:right="339" w:bottom="1440" w:gutter="0" w:footer="0" w:header="0"/>
        </w:sectPr>
      </w:pPr>
    </w:p>
    <w:bookmarkStart w:id="2" w:name="page3"/>
    <w:bookmarkEnd w:id="2"/>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14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April 23, 2018</w:t>
            </w:r>
          </w:p>
        </w:tc>
        <w:tc>
          <w:tcPr>
            <w:tcW w:w="28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David A. Zinsner</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0" w:type="dxa"/>
            <w:vAlign w:val="bottom"/>
            <w:vMerge w:val="restart"/>
          </w:tcPr>
          <w:p>
            <w:pPr>
              <w:ind w:left="1860"/>
              <w:spacing w:after="0"/>
              <w:rPr>
                <w:sz w:val="20"/>
                <w:szCs w:val="20"/>
                <w:color w:val="auto"/>
              </w:rPr>
            </w:pPr>
            <w:r>
              <w:rPr>
                <w:rFonts w:ascii="Times New Roman" w:cs="Times New Roman" w:eastAsia="Times New Roman" w:hAnsi="Times New Roman"/>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80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A. Zinsner</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28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860"/>
      </w:cols>
      <w:pgMar w:left="240" w:top="576"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2019-12-05T13:49:20Z</dcterms:created>
  <dcterms:modified xsi:type="dcterms:W3CDTF">2019-12-05T13:49:20Z</dcterms:modified>
</cp:coreProperties>
</file>