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-235585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-614680</wp:posOffset>
            </wp:positionV>
            <wp:extent cx="57785" cy="628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20955</wp:posOffset>
            </wp:positionV>
            <wp:extent cx="6996430" cy="5173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Murphy Mark J.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80" w:firstLine="1"/>
        <w:spacing w:after="0" w:line="25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 &amp; Chief Financial Officer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41"/>
            <w:col w:w="3339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7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73,460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163,521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28,965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28,965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28,965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18,365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18,365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18,365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18,365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18,365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18,365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-2501900</wp:posOffset>
            </wp:positionV>
            <wp:extent cx="28575" cy="2506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0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vests 33 1/3% on October 15, 2023, and 1/12 of the total restricted stock award vests quarterly thereafter.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hanging="1"/>
        <w:spacing w:after="0" w:line="237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hanging="1"/>
        <w:spacing w:after="0" w:line="237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hanging="1"/>
        <w:spacing w:after="0" w:line="237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DRAM revenue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10/17/2022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828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2022-10-17T16:16:32Z</dcterms:created>
  <dcterms:modified xsi:type="dcterms:W3CDTF">2022-10-17T16:16:32Z</dcterms:modified>
</cp:coreProperties>
</file>