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 Stock, $0.10 par value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11 pages</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385" w:lineRule="exact"/>
        <w:rPr>
          <w:sz w:val="24"/>
          <w:szCs w:val="24"/>
          <w:color w:val="auto"/>
        </w:rPr>
      </w:pPr>
    </w:p>
    <w:p>
      <w:pPr>
        <w:jc w:val="center"/>
        <w:ind w:right="1060"/>
        <w:spacing w:after="0" w:line="279" w:lineRule="auto"/>
        <w:rPr>
          <w:sz w:val="20"/>
          <w:szCs w:val="20"/>
          <w:color w:val="auto"/>
        </w:rPr>
      </w:pPr>
      <w:r>
        <w:rPr>
          <w:rFonts w:ascii="Courier New" w:cs="Courier New" w:eastAsia="Courier New" w:hAnsi="Courier New"/>
          <w:sz w:val="16"/>
          <w:szCs w:val="16"/>
          <w:color w:val="auto"/>
        </w:rPr>
        <w:t>----------------------- CUSIP No. 595112103 -----------------------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426" w:lineRule="exact"/>
        <w:rPr>
          <w:sz w:val="24"/>
          <w:szCs w:val="24"/>
          <w:color w:val="auto"/>
        </w:rPr>
      </w:pPr>
    </w:p>
    <w:p>
      <w:pPr>
        <w:sectPr>
          <w:pgSz w:w="11900" w:h="16838" w:orient="portrait"/>
          <w:cols w:equalWidth="0" w:num="2">
            <w:col w:w="3500" w:space="720"/>
            <w:col w:w="5999"/>
          </w:cols>
          <w:pgMar w:left="240" w:top="64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Goldman, Sachs &amp; Co.</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740"/>
        <w:spacing w:after="0" w:line="238" w:lineRule="auto"/>
        <w:rPr>
          <w:sz w:val="20"/>
          <w:szCs w:val="20"/>
          <w:color w:val="auto"/>
        </w:rPr>
      </w:pPr>
      <w:r>
        <w:rPr>
          <w:rFonts w:ascii="Courier New" w:cs="Courier New" w:eastAsia="Courier New" w:hAnsi="Courier New"/>
          <w:sz w:val="18"/>
          <w:szCs w:val="18"/>
          <w:color w:val="auto"/>
        </w:rPr>
        <w:t>(a) [_]</w:t>
      </w:r>
    </w:p>
    <w:p>
      <w:pPr>
        <w:ind w:left="6740"/>
        <w:spacing w:after="0"/>
        <w:rPr>
          <w:sz w:val="20"/>
          <w:szCs w:val="20"/>
          <w:color w:val="auto"/>
        </w:rPr>
      </w:pPr>
      <w:r>
        <w:rPr>
          <w:rFonts w:ascii="Courier New" w:cs="Courier New" w:eastAsia="Courier New" w:hAnsi="Courier New"/>
          <w:sz w:val="18"/>
          <w:szCs w:val="18"/>
          <w:color w:val="auto"/>
        </w:rPr>
        <w:t>(b) [_]</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20"/>
        <w:spacing w:after="0"/>
        <w:tabs>
          <w:tab w:leader="none" w:pos="2720" w:val="left"/>
        </w:tabs>
        <w:rPr>
          <w:sz w:val="20"/>
          <w:szCs w:val="20"/>
          <w:color w:val="auto"/>
        </w:rPr>
      </w:pPr>
      <w:r>
        <w:rPr>
          <w:rFonts w:ascii="Courier New" w:cs="Courier New" w:eastAsia="Courier New" w:hAnsi="Courier New"/>
          <w:sz w:val="18"/>
          <w:szCs w:val="18"/>
          <w:color w:val="auto"/>
        </w:rPr>
        <w:t>5.</w:t>
        <w:tab/>
        <w:t>Sole Voting Power</w:t>
      </w:r>
    </w:p>
    <w:p>
      <w:pPr>
        <w:sectPr>
          <w:pgSz w:w="11900" w:h="16838" w:orient="portrait"/>
          <w:cols w:equalWidth="0" w:num="1">
            <w:col w:w="10219"/>
          </w:cols>
          <w:pgMar w:left="240" w:top="649" w:right="1440" w:bottom="0" w:gutter="0" w:footer="0" w:header="0"/>
          <w:type w:val="continuous"/>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w:t>
      </w:r>
    </w:p>
    <w:p>
      <w:pPr>
        <w:sectPr>
          <w:pgSz w:w="11900" w:h="16838" w:orient="portrait"/>
          <w:cols w:equalWidth="0" w:num="2">
            <w:col w:w="2560" w:space="720"/>
            <w:col w:w="6939"/>
          </w:cols>
          <w:pgMar w:left="240" w:top="649" w:right="1440" w:bottom="0" w:gutter="0" w:footer="0" w:header="0"/>
          <w:type w:val="continuous"/>
        </w:sectPr>
      </w:pPr>
    </w:p>
    <w:bookmarkStart w:id="1" w:name="page2"/>
    <w:bookmarkEnd w:id="1"/>
    <w:tbl>
      <w:tblPr>
        <w:tblLayout w:type="fixed"/>
        <w:tblInd w:w="320" w:type="dxa"/>
        <w:tblCellMar>
          <w:top w:w="0" w:type="dxa"/>
          <w:left w:w="0" w:type="dxa"/>
          <w:bottom w:w="0" w:type="dxa"/>
          <w:right w:w="0" w:type="dxa"/>
        </w:tblCellMar>
      </w:tblPr>
      <w:tr>
        <w:trPr>
          <w:trHeight w:val="204"/>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31,917,475</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31,923,777</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31,923,777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7059" w:hanging="1152"/>
        <w:spacing w:after="0" w:line="470" w:lineRule="auto"/>
        <w:tabs>
          <w:tab w:leader="none" w:pos="6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BD-PN-IA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11 pages</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595112103</w:t>
            </w:r>
          </w:p>
        </w:tc>
        <w:tc>
          <w:tcPr>
            <w:tcW w:w="1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13G</w:t>
            </w: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Goldman Sachs Group,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740"/>
        <w:spacing w:after="0" w:line="238" w:lineRule="auto"/>
        <w:rPr>
          <w:sz w:val="20"/>
          <w:szCs w:val="20"/>
          <w:color w:val="auto"/>
        </w:rPr>
      </w:pPr>
      <w:r>
        <w:rPr>
          <w:rFonts w:ascii="Courier New" w:cs="Courier New" w:eastAsia="Courier New" w:hAnsi="Courier New"/>
          <w:sz w:val="18"/>
          <w:szCs w:val="18"/>
          <w:color w:val="auto"/>
        </w:rPr>
        <w:t>(a) [_]</w:t>
      </w:r>
    </w:p>
    <w:p>
      <w:pPr>
        <w:ind w:left="6740"/>
        <w:spacing w:after="0"/>
        <w:rPr>
          <w:sz w:val="20"/>
          <w:szCs w:val="20"/>
          <w:color w:val="auto"/>
        </w:rPr>
      </w:pPr>
      <w:r>
        <w:rPr>
          <w:rFonts w:ascii="Courier New" w:cs="Courier New" w:eastAsia="Courier New" w:hAnsi="Courier New"/>
          <w:sz w:val="18"/>
          <w:szCs w:val="18"/>
          <w:color w:val="auto"/>
        </w:rPr>
        <w:t>(b) [_]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31,917,475</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31,923,777</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259" w:hanging="1047"/>
        <w:spacing w:after="0" w:line="470" w:lineRule="auto"/>
        <w:tabs>
          <w:tab w:leader="none" w:pos="6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31,923,777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180" w:right="2739" w:hanging="7172"/>
        <w:spacing w:after="0" w:line="399" w:lineRule="auto"/>
        <w:tabs>
          <w:tab w:leader="none" w:pos="6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4419" w:hanging="1152"/>
        <w:spacing w:after="0" w:line="470" w:lineRule="auto"/>
        <w:tabs>
          <w:tab w:leader="none" w:pos="6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7059" w:hanging="1152"/>
        <w:spacing w:after="0" w:line="470" w:lineRule="auto"/>
        <w:tabs>
          <w:tab w:leader="none" w:pos="6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HC-CO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11 pages</w:t>
      </w:r>
    </w:p>
    <w:p>
      <w:pPr>
        <w:sectPr>
          <w:pgSz w:w="11900" w:h="16838" w:orient="portrait"/>
          <w:cols w:equalWidth="0" w:num="1">
            <w:col w:w="10219"/>
          </w:cols>
          <w:pgMar w:left="240" w:top="717" w:right="1440" w:bottom="1440" w:gutter="0" w:footer="0" w:header="0"/>
        </w:sectPr>
      </w:pPr>
    </w:p>
    <w:bookmarkStart w:id="3" w:name="page4"/>
    <w:bookmarkEnd w:id="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 Federal Way</w:t>
      </w:r>
    </w:p>
    <w:p>
      <w:pPr>
        <w:spacing w:after="0" w:line="238" w:lineRule="auto"/>
        <w:rPr>
          <w:sz w:val="20"/>
          <w:szCs w:val="20"/>
          <w:color w:val="auto"/>
        </w:rPr>
      </w:pPr>
      <w:r>
        <w:rPr>
          <w:rFonts w:ascii="Courier New" w:cs="Courier New" w:eastAsia="Courier New" w:hAnsi="Courier New"/>
          <w:sz w:val="18"/>
          <w:szCs w:val="18"/>
          <w:color w:val="auto"/>
        </w:rPr>
        <w:t>Boise, Idaho 83716-9632</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Persons Filing:</w:t>
      </w:r>
    </w:p>
    <w:p>
      <w:pPr>
        <w:spacing w:after="0" w:line="238" w:lineRule="auto"/>
        <w:rPr>
          <w:sz w:val="20"/>
          <w:szCs w:val="20"/>
          <w:color w:val="auto"/>
        </w:rPr>
      </w:pPr>
      <w:r>
        <w:rPr>
          <w:rFonts w:ascii="Courier New" w:cs="Courier New" w:eastAsia="Courier New" w:hAnsi="Courier New"/>
          <w:sz w:val="18"/>
          <w:szCs w:val="18"/>
          <w:color w:val="auto"/>
        </w:rPr>
        <w:t>Goldman, Sachs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Goldman Sachs Group, Inc.</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 Broad Street</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New York, NY</w:t>
        <w:tab/>
        <w:t>10004</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Citizenship:</w:t>
      </w:r>
    </w:p>
    <w:p>
      <w:pPr>
        <w:spacing w:after="0" w:line="238" w:lineRule="auto"/>
        <w:rPr>
          <w:sz w:val="20"/>
          <w:szCs w:val="20"/>
          <w:color w:val="auto"/>
        </w:rPr>
      </w:pPr>
      <w:r>
        <w:rPr>
          <w:rFonts w:ascii="Courier New" w:cs="Courier New" w:eastAsia="Courier New" w:hAnsi="Courier New"/>
          <w:sz w:val="18"/>
          <w:szCs w:val="18"/>
          <w:color w:val="auto"/>
        </w:rPr>
        <w:t>Goldman, Sachs &amp; Co. -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Goldman Sachs Group, Inc. - Delaware</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$0.10 par value</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2319"/>
        <w:spacing w:after="0" w:line="290" w:lineRule="auto"/>
        <w:rPr>
          <w:sz w:val="20"/>
          <w:szCs w:val="20"/>
          <w:color w:val="auto"/>
        </w:rPr>
      </w:pPr>
      <w:r>
        <w:rPr>
          <w:rFonts w:ascii="Courier New" w:cs="Courier New" w:eastAsia="Courier New" w:hAnsi="Courier New"/>
          <w:sz w:val="16"/>
          <w:szCs w:val="16"/>
          <w:color w:val="auto"/>
        </w:rPr>
        <w:t>If this statement is filed pursuant to Rules 13d-1(b) or 13d-2(b) or (c), check whether the person filing is a:</w:t>
      </w:r>
    </w:p>
    <w:p>
      <w:pPr>
        <w:spacing w:after="0" w:line="17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Broker or dealer registered under Section 15 of the 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U.S.C. 78o).</w:t>
      </w:r>
    </w:p>
    <w:p>
      <w:pPr>
        <w:ind w:left="1160"/>
        <w:spacing w:after="0" w:line="238" w:lineRule="auto"/>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ectPr>
          <w:pgSz w:w="11900" w:h="16838" w:orient="portrait"/>
          <w:cols w:equalWidth="0" w:num="2">
            <w:col w:w="1800" w:space="200"/>
            <w:col w:w="8219"/>
          </w:cols>
          <w:pgMar w:left="240" w:top="717" w:right="1440" w:bottom="144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(b).[_]</w:t>
      </w:r>
    </w:p>
    <w:p>
      <w:pPr>
        <w:spacing w:after="0" w:line="20" w:lineRule="exact"/>
        <w:rPr>
          <w:sz w:val="20"/>
          <w:szCs w:val="20"/>
          <w:color w:val="auto"/>
        </w:rPr>
      </w:pPr>
      <w:r>
        <w:rPr>
          <w:sz w:val="20"/>
          <w:szCs w:val="20"/>
          <w:color w:val="auto"/>
        </w:rPr>
        <w:br w:type="column"/>
      </w:r>
    </w:p>
    <w:p>
      <w:pPr>
        <w:ind w:right="3479"/>
        <w:spacing w:after="0" w:line="235"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ectPr>
          <w:pgSz w:w="11900" w:h="16838" w:orient="portrait"/>
          <w:cols w:equalWidth="0" w:num="2">
            <w:col w:w="1800" w:space="200"/>
            <w:col w:w="821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(c).[_]</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Insurance company as defined in Section 3(a)(19) of the Act (15 U.S.C. 78c).</w:t>
      </w:r>
    </w:p>
    <w:p>
      <w:pPr>
        <w:spacing w:after="0" w:line="200" w:lineRule="exact"/>
        <w:rPr>
          <w:sz w:val="20"/>
          <w:szCs w:val="20"/>
          <w:color w:val="auto"/>
        </w:rPr>
      </w:pPr>
    </w:p>
    <w:p>
      <w:pPr>
        <w:sectPr>
          <w:pgSz w:w="11900" w:h="16838" w:orient="portrait"/>
          <w:cols w:equalWidth="0" w:num="2">
            <w:col w:w="1800" w:space="200"/>
            <w:col w:w="821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(d).[_]</w:t>
      </w:r>
    </w:p>
    <w:p>
      <w:pPr>
        <w:spacing w:after="0" w:line="20" w:lineRule="exact"/>
        <w:rPr>
          <w:sz w:val="20"/>
          <w:szCs w:val="20"/>
          <w:color w:val="auto"/>
        </w:rPr>
      </w:pPr>
      <w:r>
        <w:rPr>
          <w:sz w:val="20"/>
          <w:szCs w:val="20"/>
          <w:color w:val="auto"/>
        </w:rPr>
        <w:br w:type="column"/>
      </w:r>
    </w:p>
    <w:p>
      <w:pPr>
        <w:ind w:right="2739"/>
        <w:spacing w:after="0" w:line="290" w:lineRule="auto"/>
        <w:rPr>
          <w:sz w:val="20"/>
          <w:szCs w:val="20"/>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170" w:lineRule="exact"/>
        <w:rPr>
          <w:sz w:val="20"/>
          <w:szCs w:val="20"/>
          <w:color w:val="auto"/>
        </w:rPr>
      </w:pPr>
    </w:p>
    <w:p>
      <w:pPr>
        <w:sectPr>
          <w:pgSz w:w="11900" w:h="16838" w:orient="portrait"/>
          <w:cols w:equalWidth="0" w:num="2">
            <w:col w:w="1800" w:space="200"/>
            <w:col w:w="8219"/>
          </w:cols>
          <w:pgMar w:left="240" w:top="717"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(e).[X]</w:t>
      </w:r>
    </w:p>
    <w:p>
      <w:pPr>
        <w:spacing w:after="0" w:line="20" w:lineRule="exact"/>
        <w:rPr>
          <w:sz w:val="20"/>
          <w:szCs w:val="20"/>
          <w:color w:val="auto"/>
        </w:rPr>
      </w:pPr>
      <w:r>
        <w:rPr>
          <w:sz w:val="20"/>
          <w:szCs w:val="20"/>
          <w:color w:val="auto"/>
        </w:rPr>
        <w:br w:type="column"/>
      </w:r>
    </w:p>
    <w:p>
      <w:pPr>
        <w:ind w:right="3999"/>
        <w:spacing w:after="0" w:line="236" w:lineRule="auto"/>
        <w:rPr>
          <w:sz w:val="20"/>
          <w:szCs w:val="20"/>
          <w:color w:val="auto"/>
        </w:rPr>
      </w:pPr>
      <w:r>
        <w:rPr>
          <w:rFonts w:ascii="Courier New" w:cs="Courier New" w:eastAsia="Courier New" w:hAnsi="Courier New"/>
          <w:sz w:val="18"/>
          <w:szCs w:val="18"/>
          <w:color w:val="auto"/>
        </w:rPr>
        <w:t>An investment adviser in accordance with Rule 13d-1(b)(1)(ii)(E); Goldman, Sachs &amp; Co.</w:t>
      </w:r>
    </w:p>
    <w:p>
      <w:pPr>
        <w:spacing w:after="0" w:line="200" w:lineRule="exact"/>
        <w:rPr>
          <w:sz w:val="20"/>
          <w:szCs w:val="20"/>
          <w:color w:val="auto"/>
        </w:rPr>
      </w:pPr>
    </w:p>
    <w:p>
      <w:pPr>
        <w:sectPr>
          <w:pgSz w:w="11900" w:h="16838" w:orient="portrait"/>
          <w:cols w:equalWidth="0" w:num="2">
            <w:col w:w="1800" w:space="200"/>
            <w:col w:w="8219"/>
          </w:cols>
          <w:pgMar w:left="240" w:top="717" w:right="1440" w:bottom="1440" w:gutter="0" w:footer="0" w:header="0"/>
          <w:type w:val="continuous"/>
        </w:sectPr>
      </w:pP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(f).[_]</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Rule 13d-1(b)(1)(ii)(F);</w:t>
      </w:r>
    </w:p>
    <w:p>
      <w:pPr>
        <w:spacing w:after="0" w:line="200" w:lineRule="exact"/>
        <w:rPr>
          <w:sz w:val="20"/>
          <w:szCs w:val="20"/>
          <w:color w:val="auto"/>
        </w:rPr>
      </w:pPr>
    </w:p>
    <w:p>
      <w:pPr>
        <w:sectPr>
          <w:pgSz w:w="11900" w:h="16838" w:orient="portrait"/>
          <w:cols w:equalWidth="0" w:num="2">
            <w:col w:w="1800" w:space="200"/>
            <w:col w:w="821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(g).[X]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parent holding company or control person in accordance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Rule 13d-1(b)(1)(ii)(G);</w:t>
      </w:r>
    </w:p>
    <w:p>
      <w:pPr>
        <w:ind w:left="1160"/>
        <w:spacing w:after="0" w:line="238" w:lineRule="auto"/>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ectPr>
          <w:pgSz w:w="11900" w:h="16838" w:orient="portrait"/>
          <w:cols w:equalWidth="0" w:num="2">
            <w:col w:w="1800" w:space="200"/>
            <w:col w:w="8219"/>
          </w:cols>
          <w:pgMar w:left="240" w:top="717" w:right="1440" w:bottom="144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(h).[_]</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800" w:space="200"/>
            <w:col w:w="821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(i).[_]</w:t>
      </w:r>
    </w:p>
    <w:p>
      <w:pPr>
        <w:spacing w:after="0" w:line="20" w:lineRule="exact"/>
        <w:rPr>
          <w:sz w:val="20"/>
          <w:szCs w:val="20"/>
          <w:color w:val="auto"/>
        </w:rPr>
      </w:pPr>
      <w:r>
        <w:rPr>
          <w:sz w:val="20"/>
          <w:szCs w:val="20"/>
          <w:color w:val="auto"/>
        </w:rPr>
        <w:br w:type="column"/>
      </w:r>
    </w:p>
    <w:p>
      <w:pPr>
        <w:ind w:right="2319"/>
        <w:spacing w:after="0" w:line="236"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ectPr>
          <w:pgSz w:w="11900" w:h="16838" w:orient="portrait"/>
          <w:cols w:equalWidth="0" w:num="2">
            <w:col w:w="1800" w:space="200"/>
            <w:col w:w="8219"/>
          </w:cols>
          <w:pgMar w:left="240" w:top="717" w:right="1440" w:bottom="1440" w:gutter="0" w:footer="0" w:header="0"/>
          <w:type w:val="continuous"/>
        </w:sectPr>
      </w:pP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(j).[_]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Rule 13d-1(b)(1)(ii)(J).</w:t>
      </w:r>
    </w:p>
    <w:p>
      <w:pPr>
        <w:spacing w:after="0" w:line="200" w:lineRule="exact"/>
        <w:rPr>
          <w:sz w:val="20"/>
          <w:szCs w:val="20"/>
          <w:color w:val="auto"/>
        </w:rPr>
      </w:pPr>
    </w:p>
    <w:p>
      <w:pPr>
        <w:sectPr>
          <w:pgSz w:w="11900" w:h="16838" w:orient="portrait"/>
          <w:cols w:equalWidth="0" w:num="2">
            <w:col w:w="1800" w:space="200"/>
            <w:col w:w="821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4 of 11 pages</w:t>
      </w:r>
    </w:p>
    <w:p>
      <w:pPr>
        <w:sectPr>
          <w:pgSz w:w="11900" w:h="16838" w:orient="portrait"/>
          <w:cols w:equalWidth="0" w:num="1">
            <w:col w:w="10219"/>
          </w:cols>
          <w:pgMar w:left="240" w:top="717"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w w:val="99"/>
              </w:rPr>
              <w:t>Amount beneficially</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owned:</w:t>
            </w:r>
          </w:p>
        </w:tc>
        <w:tc>
          <w:tcPr>
            <w:tcW w:w="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See the response(s)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Item  9</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See the response(s)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Item 11</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w w:val="99"/>
              </w:rPr>
              <w:t>Number of shares as</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to which such</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person has:</w:t>
            </w:r>
          </w:p>
        </w:tc>
      </w:tr>
    </w:tbl>
    <w:p>
      <w:pPr>
        <w:spacing w:after="0" w:line="207" w:lineRule="exact"/>
        <w:rPr>
          <w:sz w:val="20"/>
          <w:szCs w:val="20"/>
          <w:color w:val="auto"/>
        </w:rPr>
      </w:pPr>
    </w:p>
    <w:p>
      <w:pPr>
        <w:jc w:val="both"/>
        <w:ind w:left="2960" w:right="1779" w:hanging="947"/>
        <w:spacing w:after="0" w:line="290" w:lineRule="auto"/>
        <w:tabs>
          <w:tab w:leader="none" w:pos="29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both"/>
        <w:ind w:left="2960" w:right="1779" w:hanging="947"/>
        <w:spacing w:after="0" w:line="290" w:lineRule="auto"/>
        <w:tabs>
          <w:tab w:leader="none" w:pos="29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70" w:lineRule="exact"/>
        <w:rPr>
          <w:sz w:val="20"/>
          <w:szCs w:val="20"/>
          <w:color w:val="auto"/>
        </w:rPr>
      </w:pPr>
    </w:p>
    <w:p>
      <w:pPr>
        <w:jc w:val="both"/>
        <w:ind w:left="2960" w:right="1779" w:hanging="947"/>
        <w:spacing w:after="0" w:line="236" w:lineRule="auto"/>
        <w:tabs>
          <w:tab w:leader="none" w:pos="294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8"/>
          <w:szCs w:val="18"/>
          <w:color w:val="auto"/>
        </w:rPr>
        <w:t>Sole power to dispose or to direct the disposition of: See the response(s) to Item 7 on the attached cover page(s).</w:t>
      </w:r>
    </w:p>
    <w:p>
      <w:pPr>
        <w:spacing w:after="0" w:line="209" w:lineRule="exact"/>
        <w:rPr>
          <w:sz w:val="20"/>
          <w:szCs w:val="20"/>
          <w:color w:val="auto"/>
        </w:rPr>
      </w:pPr>
    </w:p>
    <w:p>
      <w:pPr>
        <w:jc w:val="both"/>
        <w:ind w:left="2960" w:right="1779" w:hanging="947"/>
        <w:spacing w:after="0" w:line="236" w:lineRule="auto"/>
        <w:tabs>
          <w:tab w:leader="none" w:pos="29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000" w:right="2319" w:hanging="2001"/>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ind w:left="3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left="2000" w:right="1779" w:hanging="2001"/>
        <w:spacing w:after="0" w:line="236" w:lineRule="auto"/>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See Exhibit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(99.2)</w:t>
            </w: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000" w:type="dxa"/>
            <w:vAlign w:val="bottom"/>
            <w:gridSpan w:val="6"/>
          </w:tcPr>
          <w:p>
            <w:pPr>
              <w:ind w:left="5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620" w:type="dxa"/>
            <w:vAlign w:val="bottom"/>
          </w:tcPr>
          <w:p>
            <w:pPr>
              <w:ind w:left="560"/>
              <w:spacing w:after="0"/>
              <w:rPr>
                <w:sz w:val="20"/>
                <w:szCs w:val="20"/>
                <w:color w:val="auto"/>
              </w:rPr>
            </w:pPr>
            <w:r>
              <w:rPr>
                <w:rFonts w:ascii="Courier New" w:cs="Courier New" w:eastAsia="Courier New" w:hAnsi="Courier New"/>
                <w:sz w:val="18"/>
                <w:szCs w:val="18"/>
                <w:color w:val="auto"/>
              </w:rPr>
              <w:t>Notice of</w:t>
            </w:r>
          </w:p>
        </w:tc>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Dissolution</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Group.</w:t>
            </w:r>
          </w:p>
        </w:tc>
        <w:tc>
          <w:tcPr>
            <w:tcW w:w="264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460" w:type="dxa"/>
            <w:vAlign w:val="bottom"/>
            <w:gridSpan w:val="2"/>
          </w:tcPr>
          <w:p>
            <w:pPr>
              <w:ind w:left="560"/>
              <w:spacing w:after="0"/>
              <w:rPr>
                <w:sz w:val="20"/>
                <w:szCs w:val="20"/>
                <w:color w:val="auto"/>
              </w:rPr>
            </w:pPr>
            <w:r>
              <w:rPr>
                <w:rFonts w:ascii="Courier New" w:cs="Courier New" w:eastAsia="Courier New" w:hAnsi="Courier New"/>
                <w:sz w:val="18"/>
                <w:szCs w:val="18"/>
                <w:color w:val="auto"/>
              </w:rPr>
              <w:t>Certification.</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6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6"/>
              </w:rPr>
              <w:t>By signing</w:t>
            </w:r>
          </w:p>
        </w:tc>
        <w:tc>
          <w:tcPr>
            <w:tcW w:w="5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below I certify that, to the best of my knowledge</w:t>
            </w:r>
          </w:p>
        </w:tc>
      </w:tr>
      <w:tr>
        <w:trPr>
          <w:trHeight w:val="203"/>
        </w:trPr>
        <w:tc>
          <w:tcPr>
            <w:tcW w:w="1440" w:type="dxa"/>
            <w:vAlign w:val="bottom"/>
          </w:tcPr>
          <w:p>
            <w:pPr>
              <w:spacing w:after="0"/>
              <w:rPr>
                <w:sz w:val="17"/>
                <w:szCs w:val="17"/>
                <w:color w:val="auto"/>
              </w:rPr>
            </w:pPr>
          </w:p>
        </w:tc>
        <w:tc>
          <w:tcPr>
            <w:tcW w:w="246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rPr>
              <w:t>and belief,  the</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referred to above were acquired</w:t>
            </w:r>
          </w:p>
        </w:tc>
      </w:tr>
      <w:tr>
        <w:trPr>
          <w:trHeight w:val="203"/>
        </w:trPr>
        <w:tc>
          <w:tcPr>
            <w:tcW w:w="1440" w:type="dxa"/>
            <w:vAlign w:val="bottom"/>
          </w:tcPr>
          <w:p>
            <w:pPr>
              <w:spacing w:after="0"/>
              <w:rPr>
                <w:sz w:val="17"/>
                <w:szCs w:val="17"/>
                <w:color w:val="auto"/>
              </w:rPr>
            </w:pPr>
          </w:p>
        </w:tc>
        <w:tc>
          <w:tcPr>
            <w:tcW w:w="358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w w:val="99"/>
              </w:rPr>
              <w:t>and are held in the ordinary</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course of business and were not</w:t>
            </w:r>
          </w:p>
        </w:tc>
      </w:tr>
      <w:tr>
        <w:trPr>
          <w:trHeight w:val="203"/>
        </w:trPr>
        <w:tc>
          <w:tcPr>
            <w:tcW w:w="1440" w:type="dxa"/>
            <w:vAlign w:val="bottom"/>
          </w:tcPr>
          <w:p>
            <w:pPr>
              <w:spacing w:after="0"/>
              <w:rPr>
                <w:sz w:val="17"/>
                <w:szCs w:val="17"/>
                <w:color w:val="auto"/>
              </w:rPr>
            </w:pPr>
          </w:p>
        </w:tc>
        <w:tc>
          <w:tcPr>
            <w:tcW w:w="16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acquired</w:t>
            </w:r>
          </w:p>
        </w:tc>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are not</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held</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for the</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purpose  of or with the</w:t>
            </w:r>
          </w:p>
        </w:tc>
      </w:tr>
      <w:tr>
        <w:trPr>
          <w:trHeight w:val="203"/>
        </w:trPr>
        <w:tc>
          <w:tcPr>
            <w:tcW w:w="1440" w:type="dxa"/>
            <w:vAlign w:val="bottom"/>
          </w:tcPr>
          <w:p>
            <w:pPr>
              <w:spacing w:after="0"/>
              <w:rPr>
                <w:sz w:val="17"/>
                <w:szCs w:val="17"/>
                <w:color w:val="auto"/>
              </w:rPr>
            </w:pPr>
          </w:p>
        </w:tc>
        <w:tc>
          <w:tcPr>
            <w:tcW w:w="16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effect of</w:t>
            </w:r>
          </w:p>
        </w:tc>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changing or</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influencing</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the control of the issuer</w:t>
            </w:r>
          </w:p>
        </w:tc>
      </w:tr>
      <w:tr>
        <w:trPr>
          <w:trHeight w:val="203"/>
        </w:trPr>
        <w:tc>
          <w:tcPr>
            <w:tcW w:w="1440" w:type="dxa"/>
            <w:vAlign w:val="bottom"/>
          </w:tcPr>
          <w:p>
            <w:pPr>
              <w:spacing w:after="0"/>
              <w:rPr>
                <w:sz w:val="17"/>
                <w:szCs w:val="17"/>
                <w:color w:val="auto"/>
              </w:rPr>
            </w:pPr>
          </w:p>
        </w:tc>
        <w:tc>
          <w:tcPr>
            <w:tcW w:w="246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w w:val="96"/>
              </w:rPr>
              <w:t>of the  securities</w:t>
            </w:r>
          </w:p>
        </w:tc>
        <w:tc>
          <w:tcPr>
            <w:tcW w:w="4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and were not acquired and are not held in</w:t>
            </w:r>
          </w:p>
        </w:tc>
      </w:tr>
      <w:tr>
        <w:trPr>
          <w:trHeight w:val="203"/>
        </w:trPr>
        <w:tc>
          <w:tcPr>
            <w:tcW w:w="1440" w:type="dxa"/>
            <w:vAlign w:val="bottom"/>
          </w:tcPr>
          <w:p>
            <w:pPr>
              <w:spacing w:after="0"/>
              <w:rPr>
                <w:sz w:val="17"/>
                <w:szCs w:val="17"/>
                <w:color w:val="auto"/>
              </w:rPr>
            </w:pPr>
          </w:p>
        </w:tc>
        <w:tc>
          <w:tcPr>
            <w:tcW w:w="2840" w:type="dxa"/>
            <w:vAlign w:val="bottom"/>
            <w:gridSpan w:val="3"/>
          </w:tcPr>
          <w:p>
            <w:pPr>
              <w:ind w:left="560"/>
              <w:spacing w:after="0" w:line="203" w:lineRule="exact"/>
              <w:rPr>
                <w:sz w:val="20"/>
                <w:szCs w:val="20"/>
                <w:color w:val="auto"/>
              </w:rPr>
            </w:pPr>
            <w:r>
              <w:rPr>
                <w:rFonts w:ascii="Courier New" w:cs="Courier New" w:eastAsia="Courier New" w:hAnsi="Courier New"/>
                <w:sz w:val="18"/>
                <w:szCs w:val="18"/>
                <w:color w:val="auto"/>
                <w:w w:val="99"/>
              </w:rPr>
              <w:t>connection with or as</w:t>
            </w:r>
          </w:p>
        </w:tc>
        <w:tc>
          <w:tcPr>
            <w:tcW w:w="4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 participant in any transaction having</w:t>
            </w:r>
          </w:p>
        </w:tc>
      </w:tr>
      <w:tr>
        <w:trPr>
          <w:trHeight w:val="203"/>
        </w:trPr>
        <w:tc>
          <w:tcPr>
            <w:tcW w:w="1440" w:type="dxa"/>
            <w:vAlign w:val="bottom"/>
          </w:tcPr>
          <w:p>
            <w:pPr>
              <w:spacing w:after="0"/>
              <w:rPr>
                <w:sz w:val="17"/>
                <w:szCs w:val="17"/>
                <w:color w:val="auto"/>
              </w:rPr>
            </w:pPr>
          </w:p>
        </w:tc>
        <w:tc>
          <w:tcPr>
            <w:tcW w:w="358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rPr>
              <w:t>that purpose or effect.</w:t>
            </w: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right="1779" w:firstLine="956"/>
        <w:spacing w:after="0" w:line="237" w:lineRule="auto"/>
        <w:tabs>
          <w:tab w:leader="none" w:pos="11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(the "SEC") Release No. 34-39538 (January 12, 1998), this filing reflects the securities beneficially owned by the investment banking division ("IBD") of The Goldman Sachs Group, Inc. and its subsidiaries and affiliates (collectively, "GSG"). This filing does not reflect securities, if any, beneficially owned by any other operating unit of GSG. IBD disclaims beneficial ownership of the securities beneficially owned by (i) any client accounts with respect to which IBD or its employees have voting or investment discretion, or both and (ii) certain investment entities, of which IBD is the general partner, managing general partner or other manager, to the extent interests in such entities are held by persons other than IBD.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11 pages</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7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7, 2005</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By:/s/</w:t>
      </w:r>
      <w:r>
        <w:rPr>
          <w:sz w:val="20"/>
          <w:szCs w:val="20"/>
          <w:color w:val="auto"/>
        </w:rPr>
        <w:tab/>
      </w:r>
      <w:r>
        <w:rPr>
          <w:rFonts w:ascii="Courier New" w:cs="Courier New" w:eastAsia="Courier New" w:hAnsi="Courier New"/>
          <w:sz w:val="16"/>
          <w:szCs w:val="16"/>
          <w:color w:val="auto"/>
        </w:rPr>
        <w:t>Ted Chang</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Name:</w:t>
        <w:tab/>
        <w:t>Ted Chang</w:t>
      </w: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338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GOLDMAN,</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SACHS &amp; CO.</w:t>
            </w:r>
          </w:p>
        </w:tc>
      </w:tr>
      <w:tr>
        <w:trPr>
          <w:trHeight w:val="608"/>
        </w:trPr>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By:/s/</w:t>
            </w:r>
          </w:p>
        </w:tc>
        <w:tc>
          <w:tcPr>
            <w:tcW w:w="3620" w:type="dxa"/>
            <w:vAlign w:val="bottom"/>
          </w:tcPr>
          <w:p>
            <w:pPr>
              <w:ind w:left="160"/>
              <w:spacing w:after="0"/>
              <w:rPr>
                <w:sz w:val="20"/>
                <w:szCs w:val="20"/>
                <w:color w:val="auto"/>
              </w:rPr>
            </w:pPr>
            <w:r>
              <w:rPr>
                <w:rFonts w:ascii="Courier New" w:cs="Courier New" w:eastAsia="Courier New" w:hAnsi="Courier New"/>
                <w:sz w:val="18"/>
                <w:szCs w:val="18"/>
                <w:color w:val="auto"/>
              </w:rPr>
              <w:t>Ted Chang</w:t>
            </w:r>
          </w:p>
        </w:tc>
      </w:tr>
      <w:tr>
        <w:trPr>
          <w:trHeight w:val="203"/>
        </w:trPr>
        <w:tc>
          <w:tcPr>
            <w:tcW w:w="45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Name:</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Ted Chang</w:t>
            </w:r>
          </w:p>
        </w:tc>
      </w:tr>
      <w:tr>
        <w:trPr>
          <w:trHeight w:val="203"/>
        </w:trPr>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11 pages</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3220" w:type="dxa"/>
            <w:vAlign w:val="bottom"/>
            <w:gridSpan w:val="2"/>
          </w:tcPr>
          <w:p>
            <w:pPr>
              <w:ind w:left="1260"/>
              <w:spacing w:after="0"/>
              <w:rPr>
                <w:sz w:val="20"/>
                <w:szCs w:val="20"/>
                <w:color w:val="auto"/>
              </w:rPr>
            </w:pPr>
            <w:r>
              <w:rPr>
                <w:rFonts w:ascii="Courier New" w:cs="Courier New" w:eastAsia="Courier New" w:hAnsi="Courier New"/>
                <w:sz w:val="18"/>
                <w:szCs w:val="18"/>
                <w:color w:val="auto"/>
              </w:rPr>
              <w:t>INDEX TO EXHIBITS</w:t>
            </w:r>
          </w:p>
        </w:tc>
        <w:tc>
          <w:tcPr>
            <w:tcW w:w="3320" w:type="dxa"/>
            <w:vAlign w:val="bottom"/>
          </w:tcPr>
          <w:p>
            <w:pPr>
              <w:spacing w:after="0"/>
              <w:rPr>
                <w:sz w:val="17"/>
                <w:szCs w:val="17"/>
                <w:color w:val="auto"/>
              </w:rPr>
            </w:pPr>
          </w:p>
        </w:tc>
      </w:tr>
      <w:tr>
        <w:trPr>
          <w:trHeight w:val="810"/>
        </w:trPr>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Exhibit No.</w:t>
            </w:r>
          </w:p>
        </w:tc>
        <w:tc>
          <w:tcPr>
            <w:tcW w:w="1520" w:type="dxa"/>
            <w:vAlign w:val="bottom"/>
          </w:tcPr>
          <w:p>
            <w:pPr>
              <w:ind w:left="740"/>
              <w:spacing w:after="0"/>
              <w:rPr>
                <w:sz w:val="20"/>
                <w:szCs w:val="20"/>
                <w:color w:val="auto"/>
              </w:rPr>
            </w:pPr>
            <w:r>
              <w:rPr>
                <w:rFonts w:ascii="Courier New" w:cs="Courier New" w:eastAsia="Courier New" w:hAnsi="Courier New"/>
                <w:sz w:val="18"/>
                <w:szCs w:val="18"/>
                <w:color w:val="auto"/>
              </w:rPr>
              <w:t>Exhibit</w:t>
            </w:r>
          </w:p>
        </w:tc>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03"/>
        </w:trPr>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405"/>
        </w:trPr>
        <w:tc>
          <w:tcPr>
            <w:tcW w:w="18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99.1</w:t>
            </w:r>
          </w:p>
        </w:tc>
        <w:tc>
          <w:tcPr>
            <w:tcW w:w="322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8"/>
              </w:rPr>
              <w:t>Joint Filing  Agreement,</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w w:val="97"/>
              </w:rPr>
              <w:t>dated February 7, 2005, between</w:t>
            </w:r>
          </w:p>
        </w:tc>
      </w:tr>
      <w:tr>
        <w:trPr>
          <w:trHeight w:val="203"/>
        </w:trPr>
        <w:tc>
          <w:tcPr>
            <w:tcW w:w="1800" w:type="dxa"/>
            <w:vAlign w:val="bottom"/>
          </w:tcPr>
          <w:p>
            <w:pPr>
              <w:spacing w:after="0"/>
              <w:rPr>
                <w:sz w:val="17"/>
                <w:szCs w:val="17"/>
                <w:color w:val="auto"/>
              </w:rPr>
            </w:pPr>
          </w:p>
        </w:tc>
        <w:tc>
          <w:tcPr>
            <w:tcW w:w="3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8"/>
              </w:rPr>
              <w:t>The Goldman Sachs Group,</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Inc.  and  Goldman, Sachs &amp; Co.</w:t>
            </w:r>
          </w:p>
        </w:tc>
      </w:tr>
      <w:tr>
        <w:trPr>
          <w:trHeight w:val="405"/>
        </w:trPr>
        <w:tc>
          <w:tcPr>
            <w:tcW w:w="18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99.2</w:t>
            </w:r>
          </w:p>
        </w:tc>
        <w:tc>
          <w:tcPr>
            <w:tcW w:w="32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Item 7 Information</w:t>
            </w:r>
          </w:p>
        </w:tc>
        <w:tc>
          <w:tcPr>
            <w:tcW w:w="3320" w:type="dxa"/>
            <w:vAlign w:val="bottom"/>
          </w:tcPr>
          <w:p>
            <w:pPr>
              <w:spacing w:after="0"/>
              <w:rPr>
                <w:sz w:val="24"/>
                <w:szCs w:val="24"/>
                <w:color w:val="auto"/>
              </w:rPr>
            </w:pPr>
          </w:p>
        </w:tc>
      </w:tr>
      <w:tr>
        <w:trPr>
          <w:trHeight w:val="405"/>
        </w:trPr>
        <w:tc>
          <w:tcPr>
            <w:tcW w:w="18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99.3</w:t>
            </w:r>
          </w:p>
        </w:tc>
        <w:tc>
          <w:tcPr>
            <w:tcW w:w="1520" w:type="dxa"/>
            <w:vAlign w:val="bottom"/>
          </w:tcPr>
          <w:p>
            <w:pPr>
              <w:ind w:left="640"/>
              <w:spacing w:after="0"/>
              <w:rPr>
                <w:sz w:val="20"/>
                <w:szCs w:val="20"/>
                <w:color w:val="auto"/>
              </w:rPr>
            </w:pPr>
            <w:r>
              <w:rPr>
                <w:rFonts w:ascii="Courier New" w:cs="Courier New" w:eastAsia="Courier New" w:hAnsi="Courier New"/>
                <w:sz w:val="18"/>
                <w:szCs w:val="18"/>
                <w:color w:val="auto"/>
                <w:w w:val="99"/>
              </w:rPr>
              <w:t>Power of</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dated</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December 12, 2003, relating to</w:t>
            </w:r>
          </w:p>
        </w:tc>
      </w:tr>
      <w:tr>
        <w:trPr>
          <w:trHeight w:val="203"/>
        </w:trPr>
        <w:tc>
          <w:tcPr>
            <w:tcW w:w="1800" w:type="dxa"/>
            <w:vAlign w:val="bottom"/>
          </w:tcPr>
          <w:p>
            <w:pPr>
              <w:spacing w:after="0"/>
              <w:rPr>
                <w:sz w:val="17"/>
                <w:szCs w:val="17"/>
                <w:color w:val="auto"/>
              </w:rPr>
            </w:pPr>
          </w:p>
        </w:tc>
        <w:tc>
          <w:tcPr>
            <w:tcW w:w="3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8"/>
              </w:rPr>
              <w:t>The Goldman Sachs Group,</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405"/>
        </w:trPr>
        <w:tc>
          <w:tcPr>
            <w:tcW w:w="18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99.4</w:t>
            </w:r>
          </w:p>
        </w:tc>
        <w:tc>
          <w:tcPr>
            <w:tcW w:w="1520" w:type="dxa"/>
            <w:vAlign w:val="bottom"/>
          </w:tcPr>
          <w:p>
            <w:pPr>
              <w:ind w:left="640"/>
              <w:spacing w:after="0"/>
              <w:rPr>
                <w:sz w:val="20"/>
                <w:szCs w:val="20"/>
                <w:color w:val="auto"/>
              </w:rPr>
            </w:pPr>
            <w:r>
              <w:rPr>
                <w:rFonts w:ascii="Courier New" w:cs="Courier New" w:eastAsia="Courier New" w:hAnsi="Courier New"/>
                <w:sz w:val="18"/>
                <w:szCs w:val="18"/>
                <w:color w:val="auto"/>
                <w:w w:val="99"/>
              </w:rPr>
              <w:t>Power of</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dated</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November 19, 2003, relating to</w:t>
            </w:r>
          </w:p>
        </w:tc>
      </w:tr>
      <w:tr>
        <w:trPr>
          <w:trHeight w:val="203"/>
        </w:trPr>
        <w:tc>
          <w:tcPr>
            <w:tcW w:w="1800" w:type="dxa"/>
            <w:vAlign w:val="bottom"/>
          </w:tcPr>
          <w:p>
            <w:pPr>
              <w:spacing w:after="0"/>
              <w:rPr>
                <w:sz w:val="17"/>
                <w:szCs w:val="17"/>
                <w:color w:val="auto"/>
              </w:rPr>
            </w:pPr>
          </w:p>
        </w:tc>
        <w:tc>
          <w:tcPr>
            <w:tcW w:w="15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Goldman,</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Sachs &amp; Co.</w:t>
            </w:r>
          </w:p>
        </w:tc>
        <w:tc>
          <w:tcPr>
            <w:tcW w:w="33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11 pages</w:t>
      </w:r>
    </w:p>
    <w:p>
      <w:pPr>
        <w:sectPr>
          <w:pgSz w:w="11900" w:h="16838" w:orient="portrait"/>
          <w:cols w:equalWidth="0" w:num="1">
            <w:col w:w="10219"/>
          </w:cols>
          <w:pgMar w:left="240" w:top="717" w:right="1440" w:bottom="1440" w:gutter="0" w:footer="0" w:header="0"/>
        </w:sectPr>
      </w:pPr>
    </w:p>
    <w:bookmarkStart w:id="7" w:name="page8"/>
    <w:bookmarkEnd w:id="7"/>
    <w:p>
      <w:pPr>
        <w:ind w:left="68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$0.10 par value, of Micron Technology, Inc. and further agree</w:t>
      </w:r>
    </w:p>
    <w:p>
      <w:pPr>
        <w:spacing w:after="0" w:line="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to the filing of this agreement as an Exhibit thereto. In addition, each party to this Agreement expressly authorizes each other party to this Agreement to file on its behalf any and all amendments to such Statement on Schedule 13G.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7, 2005</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By:/s/</w:t>
      </w:r>
      <w:r>
        <w:rPr>
          <w:sz w:val="20"/>
          <w:szCs w:val="20"/>
          <w:color w:val="auto"/>
        </w:rPr>
        <w:tab/>
      </w:r>
      <w:r>
        <w:rPr>
          <w:rFonts w:ascii="Courier New" w:cs="Courier New" w:eastAsia="Courier New" w:hAnsi="Courier New"/>
          <w:sz w:val="16"/>
          <w:szCs w:val="16"/>
          <w:color w:val="auto"/>
        </w:rPr>
        <w:t>Ted Chang</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Name:</w:t>
        <w:tab/>
        <w:t>Ted Chang</w:t>
      </w: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338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GOLDMAN,</w:t>
            </w:r>
          </w:p>
        </w:tc>
        <w:tc>
          <w:tcPr>
            <w:tcW w:w="3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SACHS &amp; CO.</w:t>
            </w:r>
          </w:p>
        </w:tc>
      </w:tr>
      <w:tr>
        <w:trPr>
          <w:trHeight w:val="608"/>
        </w:trPr>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By:/s/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Ted</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Chang</w:t>
            </w:r>
          </w:p>
        </w:tc>
      </w:tr>
      <w:tr>
        <w:trPr>
          <w:trHeight w:val="203"/>
        </w:trPr>
        <w:tc>
          <w:tcPr>
            <w:tcW w:w="45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Name: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Ted</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Chang</w:t>
            </w:r>
          </w:p>
        </w:tc>
      </w:tr>
      <w:tr>
        <w:trPr>
          <w:trHeight w:val="203"/>
        </w:trPr>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w:t>
            </w:r>
          </w:p>
        </w:tc>
        <w:tc>
          <w:tcPr>
            <w:tcW w:w="3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11 pages</w:t>
      </w:r>
    </w:p>
    <w:p>
      <w:pPr>
        <w:sectPr>
          <w:pgSz w:w="11900" w:h="16838" w:orient="portrait"/>
          <w:cols w:equalWidth="0" w:num="1">
            <w:col w:w="10219"/>
          </w:cols>
          <w:pgMar w:left="240" w:top="1122"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ITEM 7 INFORMATION</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securities being reported on by the The Goldman Sachs Group, Inc. ("GS Group"), as a parent holding company, are owned, or may be deemed to be beneficially owned, by Goldman, Sachs &amp; Co. ("Goldman Sachs"), a broker or dealer registered under Section 15 of the Act and an investment adviser registered under Section 203 of the Investment Advisers Act of 1940. Goldman Sachs is a direct and indirect wholly-owned subsidiary of GS Group.</w:t>
      </w: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11 pages</w:t>
      </w:r>
    </w:p>
    <w:p>
      <w:pPr>
        <w:sectPr>
          <w:pgSz w:w="11900" w:h="16838" w:orient="portrait"/>
          <w:cols w:equalWidth="0" w:num="1">
            <w:col w:w="10219"/>
          </w:cols>
          <w:pgMar w:left="240" w:top="919"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each of Roger S. Begelman, Edward T. Joel, Saskia Brookfied Martin and Ted Chang,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12th,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Gregory K. Palm</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K. Palm</w:t>
      </w:r>
    </w:p>
    <w:p>
      <w:pPr>
        <w:spacing w:after="0" w:line="237" w:lineRule="auto"/>
        <w:rPr>
          <w:sz w:val="20"/>
          <w:szCs w:val="20"/>
          <w:color w:val="auto"/>
        </w:rPr>
      </w:pPr>
      <w:r>
        <w:rPr>
          <w:rFonts w:ascii="Courier New" w:cs="Courier New" w:eastAsia="Courier New" w:hAnsi="Courier New"/>
          <w:sz w:val="18"/>
          <w:szCs w:val="18"/>
          <w:color w:val="auto"/>
        </w:rPr>
        <w:t>Title: Executive Vice President and General Counsel</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11 pages</w:t>
      </w:r>
    </w:p>
    <w:p>
      <w:pPr>
        <w:sectPr>
          <w:pgSz w:w="11900" w:h="16838" w:orient="portrait"/>
          <w:cols w:equalWidth="0" w:num="1">
            <w:col w:w="10219"/>
          </w:cols>
          <w:pgMar w:left="240" w:top="514"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99.4</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KNOW ALL PERSONS BY THESE PRESENTS that GOLDMAN, SACHS &amp; CO. (the "Company") does hereby make, constitute and appoint each of Roger S. Begelman, Edward T. Joel, Saskia Brookfied Martin and Ted Chang,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19th,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By: /s/ Gregory</w:t>
      </w:r>
      <w:r>
        <w:rPr>
          <w:sz w:val="20"/>
          <w:szCs w:val="20"/>
          <w:color w:val="auto"/>
        </w:rPr>
        <w:tab/>
      </w:r>
      <w:r>
        <w:rPr>
          <w:rFonts w:ascii="Courier New" w:cs="Courier New" w:eastAsia="Courier New" w:hAnsi="Courier New"/>
          <w:sz w:val="16"/>
          <w:szCs w:val="16"/>
          <w:color w:val="auto"/>
        </w:rPr>
        <w:t>K. Palm</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K. Palm</w:t>
      </w:r>
    </w:p>
    <w:p>
      <w:pPr>
        <w:spacing w:after="0" w:line="237"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11 of 11 pages</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9"/>
    </w:lvl>
  </w:abstractNum>
  <w:abstractNum w:abstractNumId="2">
    <w:nsid w:val="41B71EFB"/>
    <w:multiLevelType w:val="hybridMultilevel"/>
    <w:lvl w:ilvl="0">
      <w:lvlJc w:val="left"/>
      <w:lvlText w:val="%1."/>
      <w:numFmt w:val="decimal"/>
      <w:start w:val="10"/>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2019-12-13T13:29:35Z</dcterms:created>
  <dcterms:modified xsi:type="dcterms:W3CDTF">2019-12-13T13:29:35Z</dcterms:modified>
</cp:coreProperties>
</file>