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107315</wp:posOffset>
            </wp:positionV>
            <wp:extent cx="72758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5830" cy="34290"/>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July 2, 2012</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Date of Report (date of earliest event reported)</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270115"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115" cy="13970"/>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Borders>
              <w:bottom w:val="single" w:sz="8" w:color="auto"/>
            </w:tcBorders>
          </w:tcPr>
          <w:p>
            <w:pPr>
              <w:jc w:val="center"/>
              <w:ind w:left="386"/>
              <w:spacing w:after="0"/>
              <w:rPr>
                <w:sz w:val="20"/>
                <w:szCs w:val="20"/>
                <w:color w:val="auto"/>
              </w:rPr>
            </w:pPr>
            <w:r>
              <w:rPr>
                <w:rFonts w:ascii="Arial" w:cs="Arial" w:eastAsia="Arial" w:hAnsi="Arial"/>
                <w:sz w:val="15"/>
                <w:szCs w:val="15"/>
                <w:b w:val="1"/>
                <w:bCs w:val="1"/>
                <w:color w:val="auto"/>
                <w:w w:val="91"/>
              </w:rPr>
              <w:t>Delaware</w:t>
            </w:r>
          </w:p>
        </w:tc>
        <w:tc>
          <w:tcPr>
            <w:tcW w:w="4100" w:type="dxa"/>
            <w:vAlign w:val="bottom"/>
            <w:tcBorders>
              <w:bottom w:val="single" w:sz="8" w:color="auto"/>
            </w:tcBorders>
          </w:tcPr>
          <w:p>
            <w:pPr>
              <w:jc w:val="right"/>
              <w:ind w:right="1586"/>
              <w:spacing w:after="0"/>
              <w:rPr>
                <w:sz w:val="20"/>
                <w:szCs w:val="20"/>
                <w:color w:val="auto"/>
              </w:rPr>
            </w:pPr>
            <w:r>
              <w:rPr>
                <w:rFonts w:ascii="Arial" w:cs="Arial" w:eastAsia="Arial" w:hAnsi="Arial"/>
                <w:sz w:val="15"/>
                <w:szCs w:val="15"/>
                <w:b w:val="1"/>
                <w:bCs w:val="1"/>
                <w:color w:val="auto"/>
              </w:rPr>
              <w:t>1-10658</w:t>
            </w:r>
          </w:p>
        </w:tc>
        <w:tc>
          <w:tcPr>
            <w:tcW w:w="3540" w:type="dxa"/>
            <w:vAlign w:val="bottom"/>
            <w:tcBorders>
              <w:bottom w:val="single" w:sz="8" w:color="auto"/>
            </w:tcBorders>
          </w:tcPr>
          <w:p>
            <w:pPr>
              <w:jc w:val="right"/>
              <w:ind w:right="1426"/>
              <w:spacing w:after="0"/>
              <w:rPr>
                <w:sz w:val="20"/>
                <w:szCs w:val="20"/>
                <w:color w:val="auto"/>
              </w:rPr>
            </w:pPr>
            <w:r>
              <w:rPr>
                <w:rFonts w:ascii="Arial" w:cs="Arial" w:eastAsia="Arial" w:hAnsi="Arial"/>
                <w:sz w:val="15"/>
                <w:szCs w:val="15"/>
                <w:b w:val="1"/>
                <w:bCs w:val="1"/>
                <w:color w:val="auto"/>
              </w:rPr>
              <w:t>75-1618004</w:t>
            </w:r>
          </w:p>
        </w:tc>
      </w:tr>
      <w:tr>
        <w:trPr>
          <w:trHeight w:val="189"/>
        </w:trPr>
        <w:tc>
          <w:tcPr>
            <w:tcW w:w="3820" w:type="dxa"/>
            <w:vAlign w:val="bottom"/>
          </w:tcPr>
          <w:p>
            <w:pPr>
              <w:jc w:val="center"/>
              <w:ind w:left="366"/>
              <w:spacing w:after="0"/>
              <w:rPr>
                <w:sz w:val="20"/>
                <w:szCs w:val="20"/>
                <w:color w:val="auto"/>
              </w:rPr>
            </w:pPr>
            <w:r>
              <w:rPr>
                <w:rFonts w:ascii="Arial" w:cs="Arial" w:eastAsia="Arial" w:hAnsi="Arial"/>
                <w:sz w:val="15"/>
                <w:szCs w:val="15"/>
                <w:color w:val="auto"/>
                <w:w w:val="92"/>
              </w:rPr>
              <w:t>(State or other jurisdiction of incorporation)</w:t>
            </w:r>
          </w:p>
        </w:tc>
        <w:tc>
          <w:tcPr>
            <w:tcW w:w="4100" w:type="dxa"/>
            <w:vAlign w:val="bottom"/>
          </w:tcPr>
          <w:p>
            <w:pPr>
              <w:jc w:val="center"/>
              <w:ind w:left="226"/>
              <w:spacing w:after="0"/>
              <w:rPr>
                <w:sz w:val="20"/>
                <w:szCs w:val="20"/>
                <w:color w:val="auto"/>
              </w:rPr>
            </w:pPr>
            <w:r>
              <w:rPr>
                <w:rFonts w:ascii="Arial" w:cs="Arial" w:eastAsia="Arial" w:hAnsi="Arial"/>
                <w:sz w:val="15"/>
                <w:szCs w:val="15"/>
                <w:color w:val="auto"/>
                <w:w w:val="91"/>
              </w:rPr>
              <w:t>(Commission File Number)</w:t>
            </w:r>
          </w:p>
        </w:tc>
        <w:tc>
          <w:tcPr>
            <w:tcW w:w="3540" w:type="dxa"/>
            <w:vAlign w:val="bottom"/>
          </w:tcPr>
          <w:p>
            <w:pPr>
              <w:jc w:val="right"/>
              <w:ind w:right="626"/>
              <w:spacing w:after="0"/>
              <w:rPr>
                <w:sz w:val="20"/>
                <w:szCs w:val="20"/>
                <w:color w:val="auto"/>
              </w:rPr>
            </w:pPr>
            <w:r>
              <w:rPr>
                <w:rFonts w:ascii="Arial" w:cs="Arial" w:eastAsia="Arial" w:hAnsi="Arial"/>
                <w:sz w:val="15"/>
                <w:szCs w:val="15"/>
                <w:color w:val="auto"/>
              </w:rPr>
              <w:t>(I.R.S. Employer Identification No.)</w:t>
            </w:r>
          </w:p>
        </w:tc>
      </w:tr>
      <w:tr>
        <w:trPr>
          <w:trHeight w:val="355"/>
        </w:trPr>
        <w:tc>
          <w:tcPr>
            <w:tcW w:w="38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5"/>
                <w:szCs w:val="15"/>
                <w:b w:val="1"/>
                <w:bCs w:val="1"/>
                <w:color w:val="auto"/>
                <w:w w:val="90"/>
              </w:rPr>
              <w:t>8000 South Federal Way</w:t>
            </w:r>
          </w:p>
        </w:tc>
        <w:tc>
          <w:tcPr>
            <w:tcW w:w="3540" w:type="dxa"/>
            <w:vAlign w:val="bottom"/>
          </w:tcPr>
          <w:p>
            <w:pPr>
              <w:spacing w:after="0"/>
              <w:rPr>
                <w:sz w:val="24"/>
                <w:szCs w:val="24"/>
                <w:color w:val="auto"/>
              </w:rPr>
            </w:pPr>
          </w:p>
        </w:tc>
      </w:tr>
      <w:tr>
        <w:trPr>
          <w:trHeight w:val="196"/>
        </w:trPr>
        <w:tc>
          <w:tcPr>
            <w:tcW w:w="3820" w:type="dxa"/>
            <w:vAlign w:val="bottom"/>
          </w:tcPr>
          <w:p>
            <w:pPr>
              <w:spacing w:after="0"/>
              <w:rPr>
                <w:sz w:val="17"/>
                <w:szCs w:val="17"/>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Boise, Idaho 83716-9632</w:t>
            </w:r>
          </w:p>
        </w:tc>
        <w:tc>
          <w:tcPr>
            <w:tcW w:w="3540" w:type="dxa"/>
            <w:vAlign w:val="bottom"/>
          </w:tcPr>
          <w:p>
            <w:pPr>
              <w:spacing w:after="0"/>
              <w:rPr>
                <w:sz w:val="17"/>
                <w:szCs w:val="17"/>
                <w:color w:val="auto"/>
              </w:rPr>
            </w:pPr>
          </w:p>
        </w:tc>
      </w:tr>
      <w:tr>
        <w:trPr>
          <w:trHeight w:val="189"/>
        </w:trPr>
        <w:tc>
          <w:tcPr>
            <w:tcW w:w="382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5"/>
                <w:szCs w:val="15"/>
                <w:color w:val="auto"/>
                <w:w w:val="91"/>
              </w:rPr>
              <w:t>(Address of principal executive offices)</w:t>
            </w:r>
          </w:p>
        </w:tc>
        <w:tc>
          <w:tcPr>
            <w:tcW w:w="3540" w:type="dxa"/>
            <w:vAlign w:val="bottom"/>
          </w:tcPr>
          <w:p>
            <w:pPr>
              <w:spacing w:after="0"/>
              <w:rPr>
                <w:sz w:val="16"/>
                <w:szCs w:val="16"/>
                <w:color w:val="auto"/>
              </w:rPr>
            </w:pPr>
          </w:p>
        </w:tc>
      </w:tr>
    </w:tbl>
    <w:p>
      <w:pPr>
        <w:spacing w:after="0" w:line="176" w:lineRule="exact"/>
        <w:rPr>
          <w:sz w:val="24"/>
          <w:szCs w:val="24"/>
          <w:color w:val="auto"/>
        </w:rPr>
      </w:pPr>
    </w:p>
    <w:p>
      <w:pPr>
        <w:jc w:val="center"/>
        <w:ind w:left="580"/>
        <w:spacing w:after="0"/>
        <w:rPr>
          <w:sz w:val="20"/>
          <w:szCs w:val="20"/>
          <w:color w:val="auto"/>
        </w:rPr>
      </w:pPr>
      <w:r>
        <w:rPr>
          <w:rFonts w:ascii="Arial" w:cs="Arial" w:eastAsia="Arial" w:hAnsi="Arial"/>
          <w:sz w:val="15"/>
          <w:szCs w:val="15"/>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2141220</wp:posOffset>
            </wp:positionH>
            <wp:positionV relativeFrom="paragraph">
              <wp:posOffset>13335</wp:posOffset>
            </wp:positionV>
            <wp:extent cx="336232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2325" cy="13970"/>
                    </a:xfrm>
                    <a:prstGeom prst="rect">
                      <a:avLst/>
                    </a:prstGeom>
                    <a:noFill/>
                  </pic:spPr>
                </pic:pic>
              </a:graphicData>
            </a:graphic>
          </wp:anchor>
        </w:drawing>
      </w:r>
    </w:p>
    <w:p>
      <w:pPr>
        <w:spacing w:after="0" w:line="13" w:lineRule="exact"/>
        <w:rPr>
          <w:sz w:val="24"/>
          <w:szCs w:val="24"/>
          <w:color w:val="auto"/>
        </w:rPr>
      </w:pPr>
    </w:p>
    <w:p>
      <w:pPr>
        <w:jc w:val="center"/>
        <w:ind w:left="580"/>
        <w:spacing w:after="0"/>
        <w:rPr>
          <w:sz w:val="20"/>
          <w:szCs w:val="20"/>
          <w:color w:val="auto"/>
        </w:rPr>
      </w:pPr>
      <w:r>
        <w:rPr>
          <w:rFonts w:ascii="Arial" w:cs="Arial" w:eastAsia="Arial" w:hAnsi="Arial"/>
          <w:sz w:val="15"/>
          <w:szCs w:val="15"/>
          <w:color w:val="auto"/>
        </w:rPr>
        <w:t>(Registrant’s telephone number, including area code)</w:t>
      </w:r>
    </w:p>
    <w:p>
      <w:pPr>
        <w:spacing w:after="0" w:line="207" w:lineRule="exact"/>
        <w:rPr>
          <w:sz w:val="24"/>
          <w:szCs w:val="24"/>
          <w:color w:val="auto"/>
        </w:rPr>
      </w:pPr>
    </w:p>
    <w:p>
      <w:pPr>
        <w:ind w:right="660"/>
        <w:spacing w:after="0" w:line="271"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color w:val="auto"/>
        </w:rPr>
        <w:t>o Written communications pursuant to Rule 425 under the Securities Act (17 CFR 230.425)</w:t>
      </w:r>
    </w:p>
    <w:p>
      <w:pPr>
        <w:spacing w:after="0" w:line="207" w:lineRule="exact"/>
        <w:rPr>
          <w:sz w:val="24"/>
          <w:szCs w:val="24"/>
          <w:color w:val="auto"/>
        </w:rPr>
      </w:pPr>
    </w:p>
    <w:p>
      <w:pPr>
        <w:spacing w:after="0"/>
        <w:rPr>
          <w:sz w:val="20"/>
          <w:szCs w:val="20"/>
          <w:color w:val="auto"/>
        </w:rPr>
      </w:pPr>
      <w:r>
        <w:rPr>
          <w:rFonts w:ascii="Arial" w:cs="Arial" w:eastAsia="Arial" w:hAnsi="Arial"/>
          <w:sz w:val="15"/>
          <w:szCs w:val="15"/>
          <w:color w:val="auto"/>
        </w:rPr>
        <w:t>o Soliciting material pursuant to Rule 14a-12 under the Exchange Act (17 CFR 240.14a-12)</w:t>
      </w:r>
    </w:p>
    <w:p>
      <w:pPr>
        <w:spacing w:after="0" w:line="207" w:lineRule="exact"/>
        <w:rPr>
          <w:sz w:val="24"/>
          <w:szCs w:val="24"/>
          <w:color w:val="auto"/>
        </w:rPr>
      </w:pPr>
    </w:p>
    <w:p>
      <w:pPr>
        <w:spacing w:after="0"/>
        <w:rPr>
          <w:sz w:val="20"/>
          <w:szCs w:val="20"/>
          <w:color w:val="auto"/>
        </w:rPr>
      </w:pPr>
      <w:r>
        <w:rPr>
          <w:rFonts w:ascii="Arial" w:cs="Arial" w:eastAsia="Arial" w:hAnsi="Arial"/>
          <w:sz w:val="15"/>
          <w:szCs w:val="15"/>
          <w:color w:val="auto"/>
        </w:rPr>
        <w:t>o Pre-commencement communications pursuant to Rule 14d-2(b) under the Exchange Act (17 CFR 240.14d-2(b))</w:t>
      </w:r>
    </w:p>
    <w:p>
      <w:pPr>
        <w:spacing w:after="0" w:line="207" w:lineRule="exact"/>
        <w:rPr>
          <w:sz w:val="24"/>
          <w:szCs w:val="24"/>
          <w:color w:val="auto"/>
        </w:rPr>
      </w:pPr>
    </w:p>
    <w:p>
      <w:pPr>
        <w:spacing w:after="0"/>
        <w:rPr>
          <w:sz w:val="20"/>
          <w:szCs w:val="20"/>
          <w:color w:val="auto"/>
        </w:rPr>
      </w:pPr>
      <w:r>
        <w:rPr>
          <w:rFonts w:ascii="Arial" w:cs="Arial" w:eastAsia="Arial" w:hAnsi="Arial"/>
          <w:sz w:val="15"/>
          <w:szCs w:val="15"/>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7583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1278" w:right="21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5"/>
          <w:szCs w:val="15"/>
          <w:b w:val="1"/>
          <w:bCs w:val="1"/>
          <w:color w:val="auto"/>
        </w:rPr>
        <w:t>Item 1.01</w:t>
      </w:r>
      <w:r>
        <w:rPr>
          <w:sz w:val="20"/>
          <w:szCs w:val="20"/>
          <w:color w:val="auto"/>
        </w:rPr>
        <w:tab/>
      </w:r>
      <w:r>
        <w:rPr>
          <w:rFonts w:ascii="Arial" w:cs="Arial" w:eastAsia="Arial" w:hAnsi="Arial"/>
          <w:sz w:val="13"/>
          <w:szCs w:val="13"/>
          <w:b w:val="1"/>
          <w:bCs w:val="1"/>
          <w:color w:val="auto"/>
        </w:rPr>
        <w:t>Entry into a Material Definitive Agreement.</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Elpida Purchase and Reorganization Proceedings</w:t>
      </w:r>
    </w:p>
    <w:p>
      <w:pPr>
        <w:spacing w:after="0" w:line="207" w:lineRule="exact"/>
        <w:rPr>
          <w:sz w:val="20"/>
          <w:szCs w:val="20"/>
          <w:color w:val="auto"/>
        </w:rPr>
      </w:pPr>
    </w:p>
    <w:p>
      <w:pPr>
        <w:ind w:right="120" w:firstLine="268"/>
        <w:spacing w:after="0" w:line="256" w:lineRule="auto"/>
        <w:rPr>
          <w:sz w:val="20"/>
          <w:szCs w:val="20"/>
          <w:color w:val="auto"/>
        </w:rPr>
      </w:pPr>
      <w:r>
        <w:rPr>
          <w:rFonts w:ascii="Arial" w:cs="Arial" w:eastAsia="Arial" w:hAnsi="Arial"/>
          <w:sz w:val="15"/>
          <w:szCs w:val="15"/>
          <w:color w:val="auto"/>
        </w:rPr>
        <w:t>On July 2, 2012, Micron Technology, Inc. (“Micron”) entered into an Agreement on Support for Reorganization Companies (the “Sponsor Agreement”) with Nobuaki Kobayashi and Yukio Sakamoto, the trustees of Elpida Memory, Inc. (“Elpida”) and Elpida’s wholly-owned subsidiary, Akita Elpida Memory, Inc. (“Akita”) (Elpida and Akita, collectively, “the Elpida Companies”). The Elpida Companies filed petitions for corporate reorganization proceedings with the Tokyo District Court under the Corporate Reorganization Act of Japan on February 27, 2012.</w:t>
      </w:r>
    </w:p>
    <w:p>
      <w:pPr>
        <w:spacing w:after="0" w:line="180" w:lineRule="exact"/>
        <w:rPr>
          <w:sz w:val="20"/>
          <w:szCs w:val="20"/>
          <w:color w:val="auto"/>
        </w:rPr>
      </w:pPr>
    </w:p>
    <w:p>
      <w:pPr>
        <w:ind w:right="20" w:firstLine="268"/>
        <w:spacing w:after="0" w:line="273" w:lineRule="auto"/>
        <w:rPr>
          <w:sz w:val="20"/>
          <w:szCs w:val="20"/>
          <w:color w:val="auto"/>
        </w:rPr>
      </w:pPr>
      <w:r>
        <w:rPr>
          <w:rFonts w:ascii="Arial" w:cs="Arial" w:eastAsia="Arial" w:hAnsi="Arial"/>
          <w:sz w:val="14"/>
          <w:szCs w:val="14"/>
          <w:color w:val="auto"/>
        </w:rPr>
        <w:t>Under the Sponsor Agreement, Micron commits to support plans of reorganization for the Elpida Companies that would provide for payments to the secured and unsecured creditors of the Elpida Companies in an aggregate amount of 200 billion yen (or approximately $2.5 billion, assuming an ¥80.0 to $1.00 currency exchange rate, which exchange rate is assumed for all Japanese yen to U.S. dollar conversions in this report), less certain expenses of the reorganization proceedings and certain other items. Of such aggregate amount, Micron will fund 60 billion yen (or approximately $750 million) through a cash payment to Elpida at the closing, in exchange for 100% ownership of Elpida. The remaining 140 billion yen (or approximately $1.75 billion) of payments will be made by the Elpida Companies (using cash flow generated from Micron’s payment for foundry services provided by Elpida, as a Micron subsidiary) in six annual installments payable shortly before the last business day of each calendar year, from 2014 through 2019, with payments of 20 billion yen (or approximately $250 million) in each of 2014 through 2017, and payments of 30 billion yen (or approximately $375 million) in each of 2018 and 2019.</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Micron has agreed to provide additional support to the Elpida Companies to facilitate access for the Elpida Companies to continued debtor-in-possession financing of up to 16 billion yen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(or approximately $200 million) from third-party finance sources through the closing of the transaction, including through the provision of a payment guarantee under certain</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circumstances. In addition, Micron has agreed to use reasonable efforts to assist the Elpida Companies in financing up to 64 billion yen (or approximately $800 million) of capital expenditures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through June 30, 2014, including up to 40 billion yen (or approximately $500 million) prior to June 30, 2013, either by supporting their efforts to obtain financing from third parties, including</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through the provision of a payment guarantee under certain circumstances, or providing such financing directly. The capital expenditure financing will be available to support the Elpida</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Companies in making required capital expenditures in furtherance of Elpida’s planned technology roadmap consistent with a pre-defined interim business plan.</w:t>
      </w:r>
    </w:p>
    <w:p>
      <w:pPr>
        <w:spacing w:after="0" w:line="197" w:lineRule="exact"/>
        <w:rPr>
          <w:sz w:val="20"/>
          <w:szCs w:val="20"/>
          <w:color w:val="auto"/>
        </w:rPr>
      </w:pPr>
    </w:p>
    <w:p>
      <w:pPr>
        <w:jc w:val="both"/>
        <w:ind w:right="20" w:firstLine="268"/>
        <w:spacing w:after="0" w:line="259" w:lineRule="auto"/>
        <w:rPr>
          <w:sz w:val="20"/>
          <w:szCs w:val="20"/>
          <w:color w:val="auto"/>
        </w:rPr>
      </w:pPr>
      <w:r>
        <w:rPr>
          <w:rFonts w:ascii="Arial" w:cs="Arial" w:eastAsia="Arial" w:hAnsi="Arial"/>
          <w:sz w:val="15"/>
          <w:szCs w:val="15"/>
          <w:color w:val="auto"/>
        </w:rPr>
        <w:t>Under applicable Japanese law, following the closing of the transaction, because a portion of the payments to creditors will be satisfied through the installment payments described above, the operation of the Elpida Companies’ business will remain subject to the oversight of the court in charge of their reorganization proceedings and of the trustees (including a trustee nominated by Micron upon the closing of the transaction).</w:t>
      </w:r>
    </w:p>
    <w:p>
      <w:pPr>
        <w:spacing w:after="0" w:line="179" w:lineRule="exact"/>
        <w:rPr>
          <w:sz w:val="20"/>
          <w:szCs w:val="20"/>
          <w:color w:val="auto"/>
        </w:rPr>
      </w:pPr>
    </w:p>
    <w:p>
      <w:pPr>
        <w:ind w:right="40" w:firstLine="268"/>
        <w:spacing w:after="0" w:line="256" w:lineRule="auto"/>
        <w:rPr>
          <w:sz w:val="20"/>
          <w:szCs w:val="20"/>
          <w:color w:val="auto"/>
        </w:rPr>
      </w:pPr>
      <w:r>
        <w:rPr>
          <w:rFonts w:ascii="Arial" w:cs="Arial" w:eastAsia="Arial" w:hAnsi="Arial"/>
          <w:sz w:val="15"/>
          <w:szCs w:val="15"/>
          <w:color w:val="auto"/>
        </w:rPr>
        <w:t>The Sponsor Agreement, which is governed by Japanese law, contains certain termination rights, including a right of Micron to terminate the Sponsor Agreement if a material adverse effect has occurred with respect to either the Elpida Companies and their subsidiaries, taken as a whole, or with respect to Rexchip Electronics Corporation, a Taiwanese corporation formed as a manufacturing joint venture by Elpida and Powerchip Technology Corporation, a Taiwanese corporation (“Powerchip”). Elpida currently owns, directly and indirectly through a subsidiary, approximately 65% of Rexchip’s outstanding common stock.</w:t>
      </w:r>
    </w:p>
    <w:p>
      <w:pPr>
        <w:spacing w:after="0" w:line="180" w:lineRule="exact"/>
        <w:rPr>
          <w:sz w:val="20"/>
          <w:szCs w:val="20"/>
          <w:color w:val="auto"/>
        </w:rPr>
      </w:pPr>
    </w:p>
    <w:p>
      <w:pPr>
        <w:ind w:right="180" w:firstLine="268"/>
        <w:spacing w:after="0" w:line="271" w:lineRule="auto"/>
        <w:rPr>
          <w:sz w:val="20"/>
          <w:szCs w:val="20"/>
          <w:color w:val="auto"/>
        </w:rPr>
      </w:pPr>
      <w:r>
        <w:rPr>
          <w:rFonts w:ascii="Arial" w:cs="Arial" w:eastAsia="Arial" w:hAnsi="Arial"/>
          <w:sz w:val="15"/>
          <w:szCs w:val="15"/>
          <w:color w:val="auto"/>
        </w:rPr>
        <w:t>The Elpida Companies are each currently required to submit a plan of reorganization to the court on or before August 21, 2012, which will then be subject to court and creditor approval under applicable Japanese law.</w:t>
      </w:r>
    </w:p>
    <w:p>
      <w:pPr>
        <w:spacing w:after="0" w:line="169" w:lineRule="exact"/>
        <w:rPr>
          <w:sz w:val="20"/>
          <w:szCs w:val="20"/>
          <w:color w:val="auto"/>
        </w:rPr>
      </w:pPr>
    </w:p>
    <w:p>
      <w:pPr>
        <w:jc w:val="both"/>
        <w:ind w:right="300" w:firstLine="268"/>
        <w:spacing w:after="0" w:line="259" w:lineRule="auto"/>
        <w:rPr>
          <w:sz w:val="20"/>
          <w:szCs w:val="20"/>
          <w:color w:val="auto"/>
        </w:rPr>
      </w:pPr>
      <w:r>
        <w:rPr>
          <w:rFonts w:ascii="Arial" w:cs="Arial" w:eastAsia="Arial" w:hAnsi="Arial"/>
          <w:sz w:val="15"/>
          <w:szCs w:val="15"/>
          <w:color w:val="auto"/>
        </w:rPr>
        <w:t>The consummation of the Sponsor Agreement is subject to various closing conditions, including but not limited to approval by the Tokyo District Court and the creditors of the Elpida Companies’ reorganization plans and receipt of regulatory approvals from authorities in the United States, Japan, China, South Korea, Taiwan and the Czech Republic. The transaction is currently anticipated to close in the first half of calendar 2013</w:t>
      </w:r>
      <w:r>
        <w:rPr>
          <w:rFonts w:ascii="Arial" w:cs="Arial" w:eastAsia="Arial" w:hAnsi="Arial"/>
          <w:sz w:val="15"/>
          <w:szCs w:val="15"/>
          <w:b w:val="1"/>
          <w:bCs w:val="1"/>
          <w:i w:val="1"/>
          <w:iCs w:val="1"/>
          <w:color w:val="auto"/>
        </w:rPr>
        <w:t>.</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Share Purchase Agreement with Powerchip</w:t>
      </w:r>
    </w:p>
    <w:p>
      <w:pPr>
        <w:spacing w:after="0" w:line="207" w:lineRule="exact"/>
        <w:rPr>
          <w:sz w:val="20"/>
          <w:szCs w:val="20"/>
          <w:color w:val="auto"/>
        </w:rPr>
      </w:pPr>
    </w:p>
    <w:p>
      <w:pPr>
        <w:ind w:right="20" w:firstLine="342"/>
        <w:spacing w:after="0" w:line="256" w:lineRule="auto"/>
        <w:rPr>
          <w:sz w:val="20"/>
          <w:szCs w:val="20"/>
          <w:color w:val="auto"/>
        </w:rPr>
      </w:pPr>
      <w:r>
        <w:rPr>
          <w:rFonts w:ascii="Arial" w:cs="Arial" w:eastAsia="Arial" w:hAnsi="Arial"/>
          <w:sz w:val="15"/>
          <w:szCs w:val="15"/>
          <w:color w:val="auto"/>
        </w:rPr>
        <w:t>On July 2, 2012, Micron entered into a Share Purchase Agreement with Powerchip, certain entities affiliated with Powerchip, and Frank Huang, the Chairman and and CEO of Powerchip (the “Purchase Agreement”). Under the terms and subject to the conditions of the Purchase Agreement, Micron will purchase 713,627,586 shares of common stock of Rexchip from the sellers, which represents approximately 24% of Rexchip’s outstanding common stock, at a purchase price of NT$14.03 per share (or approximately $0.47 per share, assuming a NT$30.0 to $1.00 currency exchange rate,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7583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650" w:right="219" w:bottom="1440" w:gutter="0" w:footer="0" w:header="0"/>
        </w:sectPr>
      </w:pPr>
    </w:p>
    <w:bookmarkStart w:id="2" w:name="page3"/>
    <w:bookmarkEnd w:id="2"/>
    <w:p>
      <w:pPr>
        <w:ind w:right="220"/>
        <w:spacing w:after="0" w:line="307" w:lineRule="auto"/>
        <w:rPr>
          <w:sz w:val="20"/>
          <w:szCs w:val="20"/>
          <w:color w:val="auto"/>
        </w:rPr>
      </w:pPr>
      <w:r>
        <w:rPr>
          <w:rFonts w:ascii="Arial" w:cs="Arial" w:eastAsia="Arial" w:hAnsi="Arial"/>
          <w:sz w:val="14"/>
          <w:szCs w:val="14"/>
          <w:color w:val="auto"/>
        </w:rPr>
        <w:t>which exchange rate is assumed for all New Taiwan dollar to U.S. dollar conversions in this report) or approximately NT$10.0 billion in the aggregate (or approximately $334 million). The consummation of the Purchase Agreement is subject to various closing conditions, including the closing of the transactions contemplated by the Elpida Sponsor Agreement.</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211" w:lineRule="exact"/>
        <w:rPr>
          <w:sz w:val="20"/>
          <w:szCs w:val="20"/>
          <w:color w:val="auto"/>
        </w:rPr>
      </w:pPr>
    </w:p>
    <w:p>
      <w:pPr>
        <w:ind w:firstLine="417"/>
        <w:spacing w:after="0" w:line="256" w:lineRule="auto"/>
        <w:rPr>
          <w:sz w:val="20"/>
          <w:szCs w:val="20"/>
          <w:color w:val="auto"/>
        </w:rPr>
      </w:pPr>
      <w:r>
        <w:rPr>
          <w:rFonts w:ascii="Arial" w:cs="Arial" w:eastAsia="Arial" w:hAnsi="Arial"/>
          <w:sz w:val="15"/>
          <w:szCs w:val="15"/>
          <w:color w:val="auto"/>
        </w:rPr>
        <w:t>On July 2, 2012, Micron issued a press release announcing its entry into the Sponsor Agreement and the Purchase Agreement. A copy of the text of the press release is attached as Exhibit 99.1 hereto. Item 7.01 of this Current Report on Form 8-K and the information in Exhibit 99.1 shall not be deemed to be “filed” for purposes of Section 18 of the Securities Exchange Act of 1934, as amended, nor shall it be deemed incorporated by reference in any filing under the Securities Act of 1933, as amended, except as may be expressly set forth by specific reference in such filing.</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spacing w:after="0"/>
              <w:rPr>
                <w:sz w:val="20"/>
                <w:szCs w:val="20"/>
                <w:color w:val="auto"/>
              </w:rPr>
            </w:pPr>
            <w:r>
              <w:rPr>
                <w:rFonts w:ascii="Arial" w:cs="Arial" w:eastAsia="Arial" w:hAnsi="Arial"/>
                <w:sz w:val="15"/>
                <w:szCs w:val="15"/>
                <w:b w:val="1"/>
                <w:bCs w:val="1"/>
                <w:color w:val="auto"/>
              </w:rPr>
              <w:t>Item 9.01.</w:t>
            </w:r>
          </w:p>
        </w:tc>
        <w:tc>
          <w:tcPr>
            <w:tcW w:w="10220" w:type="dxa"/>
            <w:vAlign w:val="bottom"/>
            <w:gridSpan w:val="3"/>
          </w:tcPr>
          <w:p>
            <w:pPr>
              <w:ind w:left="260"/>
              <w:spacing w:after="0"/>
              <w:rPr>
                <w:sz w:val="20"/>
                <w:szCs w:val="20"/>
                <w:color w:val="auto"/>
              </w:rPr>
            </w:pPr>
            <w:r>
              <w:rPr>
                <w:rFonts w:ascii="Arial" w:cs="Arial" w:eastAsia="Arial" w:hAnsi="Arial"/>
                <w:sz w:val="15"/>
                <w:szCs w:val="15"/>
                <w:b w:val="1"/>
                <w:bCs w:val="1"/>
                <w:color w:val="auto"/>
              </w:rPr>
              <w:t>Financial Statements and Exhibits.</w:t>
            </w:r>
          </w:p>
        </w:tc>
      </w:tr>
      <w:tr>
        <w:trPr>
          <w:trHeight w:val="357"/>
        </w:trPr>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40" w:type="dxa"/>
            <w:vAlign w:val="bottom"/>
            <w:gridSpan w:val="2"/>
          </w:tcPr>
          <w:p>
            <w:pPr>
              <w:ind w:left="240"/>
              <w:spacing w:after="0"/>
              <w:rPr>
                <w:sz w:val="20"/>
                <w:szCs w:val="20"/>
                <w:color w:val="auto"/>
              </w:rPr>
            </w:pPr>
            <w:r>
              <w:rPr>
                <w:rFonts w:ascii="Arial" w:cs="Arial" w:eastAsia="Arial" w:hAnsi="Arial"/>
                <w:sz w:val="15"/>
                <w:szCs w:val="15"/>
                <w:color w:val="auto"/>
              </w:rPr>
              <w:t>(d) Exhibits.</w:t>
            </w:r>
          </w:p>
        </w:tc>
      </w:tr>
      <w:tr>
        <w:trPr>
          <w:trHeight w:val="539"/>
        </w:trPr>
        <w:tc>
          <w:tcPr>
            <w:tcW w:w="10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 No.</w:t>
            </w:r>
          </w:p>
        </w:tc>
        <w:tc>
          <w:tcPr>
            <w:tcW w:w="3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tcBorders>
              <w:bottom w:val="single" w:sz="8" w:color="auto"/>
            </w:tcBorders>
          </w:tcPr>
          <w:p>
            <w:pPr>
              <w:ind w:left="4360"/>
              <w:spacing w:after="0"/>
              <w:rPr>
                <w:sz w:val="20"/>
                <w:szCs w:val="20"/>
                <w:color w:val="auto"/>
              </w:rPr>
            </w:pPr>
            <w:r>
              <w:rPr>
                <w:rFonts w:ascii="Arial" w:cs="Arial" w:eastAsia="Arial" w:hAnsi="Arial"/>
                <w:sz w:val="15"/>
                <w:szCs w:val="15"/>
                <w:b w:val="1"/>
                <w:bCs w:val="1"/>
                <w:color w:val="auto"/>
              </w:rPr>
              <w:t>Description</w:t>
            </w:r>
          </w:p>
        </w:tc>
      </w:tr>
      <w:tr>
        <w:trPr>
          <w:trHeight w:val="189"/>
        </w:trPr>
        <w:tc>
          <w:tcPr>
            <w:tcW w:w="1020" w:type="dxa"/>
            <w:vAlign w:val="bottom"/>
          </w:tcPr>
          <w:p>
            <w:pPr>
              <w:jc w:val="right"/>
              <w:ind w:right="166"/>
              <w:spacing w:after="0"/>
              <w:rPr>
                <w:sz w:val="20"/>
                <w:szCs w:val="20"/>
                <w:color w:val="auto"/>
              </w:rPr>
            </w:pPr>
            <w:r>
              <w:rPr>
                <w:rFonts w:ascii="Arial" w:cs="Arial" w:eastAsia="Arial" w:hAnsi="Arial"/>
                <w:sz w:val="15"/>
                <w:szCs w:val="15"/>
                <w:color w:val="auto"/>
              </w:rPr>
              <w:t>99.1</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80" w:type="dxa"/>
            <w:vAlign w:val="bottom"/>
          </w:tcPr>
          <w:p>
            <w:pPr>
              <w:spacing w:after="0"/>
              <w:rPr>
                <w:sz w:val="20"/>
                <w:szCs w:val="20"/>
                <w:color w:val="auto"/>
              </w:rPr>
            </w:pPr>
            <w:r>
              <w:rPr>
                <w:rFonts w:ascii="Arial" w:cs="Arial" w:eastAsia="Arial" w:hAnsi="Arial"/>
                <w:sz w:val="15"/>
                <w:szCs w:val="15"/>
                <w:color w:val="auto"/>
              </w:rPr>
              <w:t>Press Release issued on July 2, 2012</w:t>
            </w:r>
          </w:p>
        </w:tc>
      </w:tr>
    </w:tbl>
    <w:p>
      <w:pPr>
        <w:spacing w:after="0" w:line="3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 Looking Statements</w:t>
      </w: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This report (including the press release furnished herewith) contains forward-looking statements regarding future events that involve risks and uncertainties. For example, statements related to the strategic rationale for and expected benefits from the transactions, the financial and operational performance of the combined business, the expected scale and synergies to be realized, the customer base, product offerings and position of the combined business in the memory industry, the expected timing of key milestones, are all forward-looking statements. Various factors could cause actual events or results to differ materially from those anticipated by the forward-looking statements. These factors include the possibility that the transactions do not close when expected or at all, or that we may be required to modify aspects of the transactions to achieve regulatory approval; that we are unable to successfully hedge against foreign currency rate fluctuations associated with transaction payments, or that such fluctuations adversely impact our consolidated results of operations; that we are unable to maintain customers, successfully execute our integration strategies, or achieve planned synergies; that we are unable to accurately forecast the anticipated financial results of the combined business; that our consolidated financial condition may be adversely impacted by the increased leverage resulting from the transactions; that future payment obligations arising out of the transactions will not be met; that the combined business is unable to compete successfully in the highly competitive and rapidly changing memory market; that we are unable to retain employees that are key to the operations of the combined business; that we are unable to identify and realize future consolidation and growth opportunities; and other factors that are disclosed in our most recent Form 10-K and Form 10-Q, including in the Risk Factors section under the headings “Debt obligations could adversely affect our financial condition” and “We may make future acquisitions and/or alliances, which involve numerous risks.” These documents contain and identify important factors that could cause the actual results for Micron on a consolidated basis to differ materially from those contained in our forward-looking statements. Although we believe that the expectations reflected in the forward-looking statements are reasonable, we cannot guarantee future results, levels of activity, performance or achievements.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7583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430"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SIGNATURE</w:t>
      </w:r>
    </w:p>
    <w:p>
      <w:pPr>
        <w:spacing w:after="0" w:line="200" w:lineRule="exact"/>
        <w:rPr>
          <w:sz w:val="20"/>
          <w:szCs w:val="20"/>
          <w:color w:val="auto"/>
        </w:rPr>
      </w:pPr>
    </w:p>
    <w:p>
      <w:pPr>
        <w:spacing w:after="0" w:line="21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20" w:type="dxa"/>
            <w:vAlign w:val="bottom"/>
          </w:tcPr>
          <w:p>
            <w:pPr>
              <w:spacing w:after="0"/>
              <w:rPr>
                <w:sz w:val="16"/>
                <w:szCs w:val="16"/>
                <w:color w:val="auto"/>
              </w:rPr>
            </w:pPr>
          </w:p>
        </w:tc>
        <w:tc>
          <w:tcPr>
            <w:tcW w:w="7940" w:type="dxa"/>
            <w:vAlign w:val="bottom"/>
            <w:gridSpan w:val="2"/>
          </w:tcPr>
          <w:p>
            <w:pPr>
              <w:ind w:left="3420"/>
              <w:spacing w:after="0"/>
              <w:rPr>
                <w:sz w:val="20"/>
                <w:szCs w:val="20"/>
                <w:color w:val="auto"/>
              </w:rPr>
            </w:pPr>
            <w:r>
              <w:rPr>
                <w:rFonts w:ascii="Arial" w:cs="Arial" w:eastAsia="Arial" w:hAnsi="Arial"/>
                <w:sz w:val="15"/>
                <w:szCs w:val="15"/>
                <w:b w:val="1"/>
                <w:bCs w:val="1"/>
                <w:color w:val="auto"/>
              </w:rPr>
              <w:t>MICRON TECHNOLOGY, INC.</w:t>
            </w:r>
          </w:p>
        </w:tc>
      </w:tr>
      <w:tr>
        <w:trPr>
          <w:trHeight w:val="539"/>
        </w:trPr>
        <w:tc>
          <w:tcPr>
            <w:tcW w:w="3520" w:type="dxa"/>
            <w:vAlign w:val="bottom"/>
          </w:tcPr>
          <w:p>
            <w:pPr>
              <w:spacing w:after="0"/>
              <w:rPr>
                <w:sz w:val="20"/>
                <w:szCs w:val="20"/>
                <w:color w:val="auto"/>
              </w:rPr>
            </w:pPr>
            <w:r>
              <w:rPr>
                <w:rFonts w:ascii="Arial" w:cs="Arial" w:eastAsia="Arial" w:hAnsi="Arial"/>
                <w:sz w:val="15"/>
                <w:szCs w:val="15"/>
                <w:color w:val="auto"/>
                <w:w w:val="88"/>
              </w:rPr>
              <w:t>Date:July 2, 2012</w:t>
            </w:r>
          </w:p>
        </w:tc>
        <w:tc>
          <w:tcPr>
            <w:tcW w:w="4160" w:type="dxa"/>
            <w:vAlign w:val="bottom"/>
          </w:tcPr>
          <w:p>
            <w:pPr>
              <w:ind w:left="3420"/>
              <w:spacing w:after="0"/>
              <w:rPr>
                <w:sz w:val="20"/>
                <w:szCs w:val="20"/>
                <w:color w:val="auto"/>
              </w:rPr>
            </w:pPr>
            <w:r>
              <w:rPr>
                <w:rFonts w:ascii="Arial" w:cs="Arial" w:eastAsia="Arial" w:hAnsi="Arial"/>
                <w:sz w:val="15"/>
                <w:szCs w:val="15"/>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/s/ Ronald C. Foster</w:t>
            </w:r>
          </w:p>
        </w:tc>
      </w:tr>
      <w:tr>
        <w:trPr>
          <w:trHeight w:val="168"/>
        </w:trPr>
        <w:tc>
          <w:tcPr>
            <w:tcW w:w="3520" w:type="dxa"/>
            <w:vAlign w:val="bottom"/>
          </w:tcPr>
          <w:p>
            <w:pPr>
              <w:spacing w:after="0"/>
              <w:rPr>
                <w:sz w:val="14"/>
                <w:szCs w:val="14"/>
                <w:color w:val="auto"/>
              </w:rPr>
            </w:pPr>
          </w:p>
        </w:tc>
        <w:tc>
          <w:tcPr>
            <w:tcW w:w="4160" w:type="dxa"/>
            <w:vAlign w:val="bottom"/>
          </w:tcPr>
          <w:p>
            <w:pPr>
              <w:ind w:left="3420"/>
              <w:spacing w:after="0" w:line="168" w:lineRule="exact"/>
              <w:rPr>
                <w:sz w:val="20"/>
                <w:szCs w:val="20"/>
                <w:color w:val="auto"/>
              </w:rPr>
            </w:pPr>
            <w:r>
              <w:rPr>
                <w:rFonts w:ascii="Arial" w:cs="Arial" w:eastAsia="Arial" w:hAnsi="Arial"/>
                <w:sz w:val="15"/>
                <w:szCs w:val="15"/>
                <w:color w:val="auto"/>
              </w:rPr>
              <w:t>Name:</w:t>
            </w:r>
          </w:p>
        </w:tc>
        <w:tc>
          <w:tcPr>
            <w:tcW w:w="3780" w:type="dxa"/>
            <w:vAlign w:val="bottom"/>
          </w:tcPr>
          <w:p>
            <w:pPr>
              <w:spacing w:after="0" w:line="168" w:lineRule="exact"/>
              <w:rPr>
                <w:sz w:val="20"/>
                <w:szCs w:val="20"/>
                <w:color w:val="auto"/>
              </w:rPr>
            </w:pPr>
            <w:r>
              <w:rPr>
                <w:rFonts w:ascii="Arial" w:cs="Arial" w:eastAsia="Arial" w:hAnsi="Arial"/>
                <w:sz w:val="15"/>
                <w:szCs w:val="15"/>
                <w:color w:val="auto"/>
              </w:rPr>
              <w:t>Ronald C. Foster</w:t>
            </w:r>
          </w:p>
        </w:tc>
      </w:tr>
      <w:tr>
        <w:trPr>
          <w:trHeight w:val="179"/>
        </w:trPr>
        <w:tc>
          <w:tcPr>
            <w:tcW w:w="3520" w:type="dxa"/>
            <w:vAlign w:val="bottom"/>
          </w:tcPr>
          <w:p>
            <w:pPr>
              <w:spacing w:after="0"/>
              <w:rPr>
                <w:sz w:val="15"/>
                <w:szCs w:val="15"/>
                <w:color w:val="auto"/>
              </w:rPr>
            </w:pPr>
          </w:p>
        </w:tc>
        <w:tc>
          <w:tcPr>
            <w:tcW w:w="4160" w:type="dxa"/>
            <w:vAlign w:val="bottom"/>
          </w:tcPr>
          <w:p>
            <w:pPr>
              <w:ind w:left="3420"/>
              <w:spacing w:after="0"/>
              <w:rPr>
                <w:sz w:val="20"/>
                <w:szCs w:val="20"/>
                <w:color w:val="auto"/>
              </w:rPr>
            </w:pPr>
            <w:r>
              <w:rPr>
                <w:rFonts w:ascii="Arial" w:cs="Arial" w:eastAsia="Arial" w:hAnsi="Arial"/>
                <w:sz w:val="15"/>
                <w:szCs w:val="15"/>
                <w:color w:val="auto"/>
              </w:rPr>
              <w:t>Title:</w:t>
            </w:r>
          </w:p>
        </w:tc>
        <w:tc>
          <w:tcPr>
            <w:tcW w:w="3780" w:type="dxa"/>
            <w:vAlign w:val="bottom"/>
          </w:tcPr>
          <w:p>
            <w:pPr>
              <w:spacing w:after="0"/>
              <w:rPr>
                <w:sz w:val="20"/>
                <w:szCs w:val="20"/>
                <w:color w:val="auto"/>
              </w:rPr>
            </w:pPr>
            <w:r>
              <w:rPr>
                <w:rFonts w:ascii="Arial" w:cs="Arial" w:eastAsia="Arial" w:hAnsi="Arial"/>
                <w:sz w:val="15"/>
                <w:szCs w:val="15"/>
                <w:color w:val="auto"/>
              </w:rPr>
              <w:t>Chief Financial Officer and</w:t>
            </w:r>
          </w:p>
        </w:tc>
      </w:tr>
      <w:tr>
        <w:trPr>
          <w:trHeight w:val="189"/>
        </w:trPr>
        <w:tc>
          <w:tcPr>
            <w:tcW w:w="3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Vice President of Finance</w:t>
            </w:r>
          </w:p>
        </w:tc>
      </w:tr>
      <w:tr>
        <w:trPr>
          <w:trHeight w:val="905"/>
        </w:trPr>
        <w:tc>
          <w:tcPr>
            <w:tcW w:w="3520" w:type="dxa"/>
            <w:vAlign w:val="bottom"/>
          </w:tcPr>
          <w:p>
            <w:pPr>
              <w:spacing w:after="0"/>
              <w:rPr>
                <w:sz w:val="24"/>
                <w:szCs w:val="24"/>
                <w:color w:val="auto"/>
              </w:rPr>
            </w:pPr>
          </w:p>
        </w:tc>
        <w:tc>
          <w:tcPr>
            <w:tcW w:w="4160" w:type="dxa"/>
            <w:vAlign w:val="bottom"/>
          </w:tcPr>
          <w:p>
            <w:pPr>
              <w:ind w:left="2180"/>
              <w:spacing w:after="0"/>
              <w:rPr>
                <w:sz w:val="20"/>
                <w:szCs w:val="20"/>
                <w:color w:val="auto"/>
              </w:rPr>
            </w:pPr>
            <w:r>
              <w:rPr>
                <w:rFonts w:ascii="Arial" w:cs="Arial" w:eastAsia="Arial" w:hAnsi="Arial"/>
                <w:sz w:val="15"/>
                <w:szCs w:val="15"/>
                <w:color w:val="auto"/>
              </w:rPr>
              <w:t>3</w:t>
            </w:r>
          </w:p>
        </w:tc>
        <w:tc>
          <w:tcPr>
            <w:tcW w:w="3780" w:type="dxa"/>
            <w:vAlign w:val="bottom"/>
          </w:tcPr>
          <w:p>
            <w:pPr>
              <w:spacing w:after="0"/>
              <w:rPr>
                <w:sz w:val="24"/>
                <w:szCs w:val="24"/>
                <w:color w:val="auto"/>
              </w:rPr>
            </w:pPr>
          </w:p>
        </w:tc>
      </w:tr>
      <w:tr>
        <w:trPr>
          <w:trHeight w:val="97"/>
        </w:trPr>
        <w:tc>
          <w:tcPr>
            <w:tcW w:w="3520" w:type="dxa"/>
            <w:vAlign w:val="bottom"/>
            <w:tcBorders>
              <w:bottom w:val="single" w:sz="8" w:color="808080"/>
            </w:tcBorders>
          </w:tcPr>
          <w:p>
            <w:pPr>
              <w:spacing w:after="0"/>
              <w:rPr>
                <w:sz w:val="8"/>
                <w:szCs w:val="8"/>
                <w:color w:val="auto"/>
              </w:rPr>
            </w:pPr>
          </w:p>
        </w:tc>
        <w:tc>
          <w:tcPr>
            <w:tcW w:w="416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49"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3"/>
        </w:trPr>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20" w:type="dxa"/>
            <w:vAlign w:val="bottom"/>
          </w:tcPr>
          <w:p>
            <w:pPr>
              <w:jc w:val="center"/>
              <w:ind w:right="1246"/>
              <w:spacing w:after="0"/>
              <w:rPr>
                <w:sz w:val="20"/>
                <w:szCs w:val="20"/>
                <w:color w:val="auto"/>
              </w:rPr>
            </w:pPr>
            <w:r>
              <w:rPr>
                <w:rFonts w:ascii="Arial" w:cs="Arial" w:eastAsia="Arial" w:hAnsi="Arial"/>
                <w:sz w:val="15"/>
                <w:szCs w:val="15"/>
                <w:b w:val="1"/>
                <w:bCs w:val="1"/>
                <w:color w:val="auto"/>
              </w:rPr>
              <w:t>INDEX TO EXHIBITS FILED WITH</w:t>
            </w:r>
          </w:p>
        </w:tc>
      </w:tr>
      <w:tr>
        <w:trPr>
          <w:trHeight w:val="380"/>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20" w:type="dxa"/>
            <w:vAlign w:val="bottom"/>
          </w:tcPr>
          <w:p>
            <w:pPr>
              <w:jc w:val="center"/>
              <w:ind w:right="1266"/>
              <w:spacing w:after="0"/>
              <w:rPr>
                <w:sz w:val="20"/>
                <w:szCs w:val="20"/>
                <w:color w:val="auto"/>
              </w:rPr>
            </w:pPr>
            <w:r>
              <w:rPr>
                <w:rFonts w:ascii="Arial" w:cs="Arial" w:eastAsia="Arial" w:hAnsi="Arial"/>
                <w:sz w:val="15"/>
                <w:szCs w:val="15"/>
                <w:b w:val="1"/>
                <w:bCs w:val="1"/>
                <w:color w:val="auto"/>
                <w:w w:val="98"/>
              </w:rPr>
              <w:t>THE CURRENT REPORT ON FORM 8-K DATED JULY 2 2012</w:t>
            </w:r>
          </w:p>
        </w:tc>
      </w:tr>
      <w:tr>
        <w:trPr>
          <w:trHeight w:val="383"/>
        </w:trPr>
        <w:tc>
          <w:tcPr>
            <w:tcW w:w="104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w w:val="91"/>
              </w:rPr>
              <w:t>Exhibit No.</w:t>
            </w:r>
          </w:p>
        </w:tc>
        <w:tc>
          <w:tcPr>
            <w:tcW w:w="300" w:type="dxa"/>
            <w:vAlign w:val="bottom"/>
          </w:tcPr>
          <w:p>
            <w:pPr>
              <w:spacing w:after="0"/>
              <w:rPr>
                <w:sz w:val="24"/>
                <w:szCs w:val="24"/>
                <w:color w:val="auto"/>
              </w:rPr>
            </w:pPr>
          </w:p>
        </w:tc>
        <w:tc>
          <w:tcPr>
            <w:tcW w:w="10120" w:type="dxa"/>
            <w:vAlign w:val="bottom"/>
            <w:tcBorders>
              <w:bottom w:val="single" w:sz="8" w:color="auto"/>
            </w:tcBorders>
          </w:tcPr>
          <w:p>
            <w:pPr>
              <w:ind w:left="4700"/>
              <w:spacing w:after="0"/>
              <w:rPr>
                <w:sz w:val="20"/>
                <w:szCs w:val="20"/>
                <w:color w:val="auto"/>
              </w:rPr>
            </w:pPr>
            <w:r>
              <w:rPr>
                <w:rFonts w:ascii="Arial" w:cs="Arial" w:eastAsia="Arial" w:hAnsi="Arial"/>
                <w:sz w:val="15"/>
                <w:szCs w:val="15"/>
                <w:b w:val="1"/>
                <w:bCs w:val="1"/>
                <w:color w:val="auto"/>
              </w:rPr>
              <w:t>Description</w:t>
            </w:r>
          </w:p>
        </w:tc>
      </w:tr>
      <w:tr>
        <w:trPr>
          <w:trHeight w:val="189"/>
        </w:trPr>
        <w:tc>
          <w:tcPr>
            <w:tcW w:w="1040" w:type="dxa"/>
            <w:vAlign w:val="bottom"/>
          </w:tcPr>
          <w:p>
            <w:pPr>
              <w:jc w:val="right"/>
              <w:ind w:right="326"/>
              <w:spacing w:after="0"/>
              <w:rPr>
                <w:sz w:val="20"/>
                <w:szCs w:val="20"/>
                <w:color w:val="auto"/>
              </w:rPr>
            </w:pPr>
            <w:r>
              <w:rPr>
                <w:rFonts w:ascii="Arial" w:cs="Arial" w:eastAsia="Arial" w:hAnsi="Arial"/>
                <w:sz w:val="15"/>
                <w:szCs w:val="15"/>
                <w:color w:val="auto"/>
              </w:rPr>
              <w:t>99.1</w:t>
            </w:r>
          </w:p>
        </w:tc>
        <w:tc>
          <w:tcPr>
            <w:tcW w:w="300" w:type="dxa"/>
            <w:vAlign w:val="bottom"/>
          </w:tcPr>
          <w:p>
            <w:pPr>
              <w:spacing w:after="0"/>
              <w:rPr>
                <w:sz w:val="16"/>
                <w:szCs w:val="16"/>
                <w:color w:val="auto"/>
              </w:rPr>
            </w:pPr>
          </w:p>
        </w:tc>
        <w:tc>
          <w:tcPr>
            <w:tcW w:w="10120" w:type="dxa"/>
            <w:vAlign w:val="bottom"/>
          </w:tcPr>
          <w:p>
            <w:pPr>
              <w:spacing w:after="0"/>
              <w:rPr>
                <w:sz w:val="20"/>
                <w:szCs w:val="20"/>
                <w:color w:val="auto"/>
              </w:rPr>
            </w:pPr>
            <w:r>
              <w:rPr>
                <w:rFonts w:ascii="Arial" w:cs="Arial" w:eastAsia="Arial" w:hAnsi="Arial"/>
                <w:sz w:val="15"/>
                <w:szCs w:val="15"/>
                <w:color w:val="auto"/>
              </w:rPr>
              <w:t>Press Release issued on July 2, 2012</w:t>
            </w:r>
          </w:p>
        </w:tc>
      </w:tr>
      <w:tr>
        <w:trPr>
          <w:trHeight w:val="570"/>
        </w:trPr>
        <w:tc>
          <w:tcPr>
            <w:tcW w:w="1040" w:type="dxa"/>
            <w:vAlign w:val="bottom"/>
          </w:tcPr>
          <w:p>
            <w:pPr>
              <w:spacing w:after="0"/>
              <w:rPr>
                <w:sz w:val="24"/>
                <w:szCs w:val="24"/>
                <w:color w:val="auto"/>
              </w:rPr>
            </w:pPr>
          </w:p>
        </w:tc>
        <w:tc>
          <w:tcPr>
            <w:tcW w:w="10420" w:type="dxa"/>
            <w:vAlign w:val="bottom"/>
            <w:gridSpan w:val="2"/>
          </w:tcPr>
          <w:p>
            <w:pPr>
              <w:jc w:val="center"/>
              <w:ind w:right="946"/>
              <w:spacing w:after="0"/>
              <w:rPr>
                <w:sz w:val="20"/>
                <w:szCs w:val="20"/>
                <w:color w:val="auto"/>
              </w:rPr>
            </w:pPr>
            <w:r>
              <w:rPr>
                <w:rFonts w:ascii="Arial" w:cs="Arial" w:eastAsia="Arial" w:hAnsi="Arial"/>
                <w:sz w:val="15"/>
                <w:szCs w:val="15"/>
                <w:color w:val="auto"/>
                <w:w w:val="95"/>
              </w:rPr>
              <w:t>4</w:t>
            </w:r>
          </w:p>
        </w:tc>
      </w:tr>
      <w:tr>
        <w:trPr>
          <w:trHeight w:val="298"/>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20" w:type="dxa"/>
            <w:vAlign w:val="bottom"/>
          </w:tcPr>
          <w:p>
            <w:pPr>
              <w:spacing w:after="0"/>
              <w:rPr>
                <w:sz w:val="24"/>
                <w:szCs w:val="24"/>
                <w:color w:val="auto"/>
              </w:rPr>
            </w:pPr>
          </w:p>
        </w:tc>
      </w:tr>
      <w:tr>
        <w:trPr>
          <w:trHeight w:val="60"/>
        </w:trPr>
        <w:tc>
          <w:tcPr>
            <w:tcW w:w="10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1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8962390</wp:posOffset>
            </wp:positionV>
            <wp:extent cx="7275830"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5830" cy="27940"/>
                    </a:xfrm>
                    <a:prstGeom prst="rect">
                      <a:avLst/>
                    </a:prstGeom>
                    <a:noFill/>
                  </pic:spPr>
                </pic:pic>
              </a:graphicData>
            </a:graphic>
          </wp:anchor>
        </w:drawing>
      </w:r>
    </w:p>
    <w:p>
      <w:pPr>
        <w:sectPr>
          <w:pgSz w:w="11900" w:h="16838" w:orient="portrait"/>
          <w:cols w:equalWidth="0" w:num="1">
            <w:col w:w="11460"/>
          </w:cols>
          <w:pgMar w:left="220" w:top="449" w:right="219" w:bottom="1440" w:gutter="0" w:footer="0" w:header="0"/>
        </w:sectPr>
      </w:pPr>
    </w:p>
    <w:bookmarkStart w:id="5" w:name="page6"/>
    <w:bookmarkEnd w:id="5"/>
    <w:p>
      <w:pPr>
        <w:jc w:val="right"/>
        <w:spacing w:after="0"/>
        <w:rPr>
          <w:sz w:val="20"/>
          <w:szCs w:val="20"/>
          <w:color w:val="auto"/>
        </w:rPr>
      </w:pPr>
      <w:r>
        <w:rPr>
          <w:rFonts w:ascii="Arial" w:cs="Arial" w:eastAsia="Arial" w:hAnsi="Arial"/>
          <w:sz w:val="15"/>
          <w:szCs w:val="15"/>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IMMEDIATE RELEASE</w:t>
      </w:r>
    </w:p>
    <w:p>
      <w:pPr>
        <w:sectPr>
          <w:pgSz w:w="11900" w:h="16838" w:orient="portrait"/>
          <w:cols w:equalWidth="0" w:num="1">
            <w:col w:w="11460"/>
          </w:cols>
          <w:pgMar w:left="220" w:top="527" w:right="21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Contacts:</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color w:val="auto"/>
        </w:rPr>
        <w:t>Kipp A Bedard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1-208-368-4465</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kbedard@micron.com</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color w:val="auto"/>
        </w:rPr>
        <w:t>Daniel Francisco</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Micron Technology, Inc.</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1-208-368-5584</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dfrancisco@micron.com</w:t>
      </w:r>
    </w:p>
    <w:p>
      <w:pPr>
        <w:spacing w:after="0" w:line="200" w:lineRule="exact"/>
        <w:rPr>
          <w:sz w:val="20"/>
          <w:szCs w:val="20"/>
          <w:color w:val="auto"/>
        </w:rPr>
      </w:pPr>
    </w:p>
    <w:p>
      <w:pPr>
        <w:sectPr>
          <w:pgSz w:w="11900" w:h="16838" w:orient="portrait"/>
          <w:cols w:equalWidth="0" w:num="3">
            <w:col w:w="1780" w:space="720"/>
            <w:col w:w="3760" w:space="720"/>
            <w:col w:w="4480"/>
          </w:cols>
          <w:pgMar w:left="220" w:top="527" w:right="219" w:bottom="1440" w:gutter="0" w:footer="0" w:header="0"/>
          <w:type w:val="continuous"/>
        </w:sectPr>
      </w:pPr>
    </w:p>
    <w:p>
      <w:pPr>
        <w:spacing w:after="0" w:line="221"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Yukio Sakamoto, Elpida Trustee</w:t>
      </w:r>
    </w:p>
    <w:p>
      <w:pPr>
        <w:spacing w:after="0" w:line="16"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Nobuaki Kobayashi, Elpida Trustee, Attorney-at-Law</w:t>
      </w:r>
    </w:p>
    <w:p>
      <w:pPr>
        <w:spacing w:after="0" w:line="6" w:lineRule="exact"/>
        <w:rPr>
          <w:sz w:val="20"/>
          <w:szCs w:val="20"/>
          <w:color w:val="auto"/>
        </w:rPr>
      </w:pPr>
    </w:p>
    <w:p>
      <w:pPr>
        <w:ind w:left="2540"/>
        <w:spacing w:after="0"/>
        <w:rPr>
          <w:sz w:val="20"/>
          <w:szCs w:val="20"/>
          <w:color w:val="auto"/>
        </w:rPr>
      </w:pPr>
      <w:r>
        <w:rPr>
          <w:rFonts w:ascii="Arial" w:cs="Arial" w:eastAsia="Arial" w:hAnsi="Arial"/>
          <w:sz w:val="13"/>
          <w:szCs w:val="13"/>
          <w:color w:val="auto"/>
        </w:rPr>
        <w:t>Takao Adachi, Director and Executive Officer, Elpida Public Relations</w:t>
      </w:r>
    </w:p>
    <w:p>
      <w:pPr>
        <w:spacing w:after="0" w:line="29"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+81-3-3281-1500</w:t>
      </w:r>
    </w:p>
    <w:p>
      <w:pPr>
        <w:sectPr>
          <w:pgSz w:w="11900" w:h="16838" w:orient="portrait"/>
          <w:cols w:equalWidth="0" w:num="1">
            <w:col w:w="11460"/>
          </w:cols>
          <w:pgMar w:left="220" w:top="527" w:right="219" w:bottom="1440" w:gutter="0" w:footer="0" w:header="0"/>
          <w:type w:val="continuous"/>
        </w:sectPr>
      </w:pPr>
    </w:p>
    <w:p>
      <w:pPr>
        <w:spacing w:after="0" w:line="350" w:lineRule="exact"/>
        <w:rPr>
          <w:sz w:val="20"/>
          <w:szCs w:val="20"/>
          <w:color w:val="auto"/>
        </w:rPr>
      </w:pPr>
    </w:p>
    <w:p>
      <w:pPr>
        <w:ind w:left="3880"/>
        <w:spacing w:after="0"/>
        <w:rPr>
          <w:sz w:val="20"/>
          <w:szCs w:val="20"/>
          <w:color w:val="auto"/>
        </w:rPr>
      </w:pPr>
      <w:r>
        <w:rPr>
          <w:rFonts w:ascii="Arial" w:cs="Arial" w:eastAsia="Arial" w:hAnsi="Arial"/>
          <w:sz w:val="15"/>
          <w:szCs w:val="15"/>
          <w:b w:val="1"/>
          <w:bCs w:val="1"/>
          <w:color w:val="auto"/>
        </w:rPr>
        <w:t>MICRON AND ELPIDA ANNOUNCE SPONSOR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Micron Increases Global Scale and Enhances Mobile Portfolio with Elpida’s Technology,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Micron Also to Acquire Rexchip Shares from Powerchip</w:t>
      </w:r>
    </w:p>
    <w:p>
      <w:pPr>
        <w:spacing w:after="0" w:line="193" w:lineRule="exact"/>
        <w:rPr>
          <w:sz w:val="20"/>
          <w:szCs w:val="20"/>
          <w:color w:val="auto"/>
        </w:rPr>
      </w:pPr>
    </w:p>
    <w:p>
      <w:pPr>
        <w:ind w:right="400"/>
        <w:spacing w:after="0" w:line="262" w:lineRule="auto"/>
        <w:rPr>
          <w:sz w:val="20"/>
          <w:szCs w:val="20"/>
          <w:color w:val="auto"/>
        </w:rPr>
      </w:pPr>
      <w:r>
        <w:rPr>
          <w:rFonts w:ascii="Arial" w:cs="Arial" w:eastAsia="Arial" w:hAnsi="Arial"/>
          <w:sz w:val="15"/>
          <w:szCs w:val="15"/>
          <w:b w:val="1"/>
          <w:bCs w:val="1"/>
          <w:color w:val="auto"/>
        </w:rPr>
        <w:t xml:space="preserve">BOISE, Idaho and TOKYO, July 2, 2012 </w:t>
      </w:r>
      <w:r>
        <w:rPr>
          <w:rFonts w:ascii="Arial" w:cs="Arial" w:eastAsia="Arial" w:hAnsi="Arial"/>
          <w:sz w:val="15"/>
          <w:szCs w:val="15"/>
          <w:color w:val="auto"/>
        </w:rPr>
        <w:t>– Micron Technology, Inc. (NASDAQ: MU) (“Micron”) and Elpida Memory, Inc.’s (“Elpida”) trustees announced today that the parties have</w:t>
      </w:r>
      <w:r>
        <w:rPr>
          <w:rFonts w:ascii="Arial" w:cs="Arial" w:eastAsia="Arial" w:hAnsi="Arial"/>
          <w:sz w:val="15"/>
          <w:szCs w:val="15"/>
          <w:b w:val="1"/>
          <w:bCs w:val="1"/>
          <w:color w:val="auto"/>
        </w:rPr>
        <w:t xml:space="preserve"> </w:t>
      </w:r>
      <w:r>
        <w:rPr>
          <w:rFonts w:ascii="Arial" w:cs="Arial" w:eastAsia="Arial" w:hAnsi="Arial"/>
          <w:sz w:val="15"/>
          <w:szCs w:val="15"/>
          <w:color w:val="auto"/>
        </w:rPr>
        <w:t>signed a definitive sponsor agreement for Micron to acquire and support Elpida. The agreement has been entered into in connection with Elpida’s corporate reorganization proceedings conducted under the jurisdiction of the Tokyo District Court.</w:t>
      </w:r>
    </w:p>
    <w:p>
      <w:pPr>
        <w:spacing w:after="0" w:line="176"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color w:val="auto"/>
        </w:rPr>
        <w:t>Under the agreement, 200 billion Yen (approximately USD $2.5 billion assuming 80 Yen/USD) total consideration, less certain reorganization proceeding expenses, will be used to satisfy the reorganization claims of Elpida’s secured and unsecured creditors. Micron will acquire 100 percent of the equity of Elpida for 60 billion Yen (approximately USD $750 million) to be paid in cash at closing. In addition, 140 billion Yen (approximately USD $1.75 billion) in future annual installment payments through 2019 will be paid from cash flow generated from Micron’s payment for foundry services provided by Elpida, as a Micron subsidiary. As a result of these payments, all pre-petition debt obligations of Elpida will be fully discharged under the corporate reorganization proceedings. The agreement also calls for Micron to provide certain financing support for Elpida capital expenditures, subject to specified conditions, and to maintain Elpida’s operations and employees.</w:t>
      </w:r>
    </w:p>
    <w:p>
      <w:pPr>
        <w:spacing w:after="0" w:line="182" w:lineRule="exact"/>
        <w:rPr>
          <w:sz w:val="20"/>
          <w:szCs w:val="20"/>
          <w:color w:val="auto"/>
        </w:rPr>
      </w:pPr>
    </w:p>
    <w:p>
      <w:pPr>
        <w:ind w:right="500"/>
        <w:spacing w:after="0" w:line="307" w:lineRule="auto"/>
        <w:rPr>
          <w:sz w:val="20"/>
          <w:szCs w:val="20"/>
          <w:color w:val="auto"/>
        </w:rPr>
      </w:pPr>
      <w:r>
        <w:rPr>
          <w:rFonts w:ascii="Arial" w:cs="Arial" w:eastAsia="Arial" w:hAnsi="Arial"/>
          <w:sz w:val="14"/>
          <w:szCs w:val="14"/>
          <w:color w:val="auto"/>
        </w:rPr>
        <w:t>In a related transaction, Micron also announced today a separate agreement with Powerchip Technology Corporation, a Taiwanese corporation, and certain of its affiliates to acquire the Powerchip group’s 24 percent share of Rexchip Electronics Corporation for approximately 10 billion NTD (approximately USD $334 million assuming 30 NTD/USD).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727583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type w:val="continuous"/>
        </w:sectPr>
      </w:pPr>
    </w:p>
    <w:bookmarkStart w:id="6" w:name="page7"/>
    <w:bookmarkEnd w:id="6"/>
    <w:p>
      <w:pPr>
        <w:spacing w:after="0" w:line="256" w:lineRule="auto"/>
        <w:rPr>
          <w:sz w:val="20"/>
          <w:szCs w:val="20"/>
          <w:color w:val="auto"/>
        </w:rPr>
      </w:pPr>
      <w:r>
        <w:rPr>
          <w:rFonts w:ascii="Arial" w:cs="Arial" w:eastAsia="Arial" w:hAnsi="Arial"/>
          <w:sz w:val="15"/>
          <w:szCs w:val="15"/>
          <w:color w:val="auto"/>
        </w:rPr>
        <w:t>Elpida’s assets include a 300 millimeter (mm) DRAM fabrication facility located in Hiroshima, Japan; an approximate 65 percent ownership interest in Rexchip, whose assets include a 300mm DRAM fabrication facility located in Taiwan; and an assembly and test facility located in Akita, Japan. Together with the Rexchip shares acquired from Powerchip, Micron will control approximately 89 percent of Rexchip’s outstanding shares. The fab assets of Elpida and Rexchip together can produce more than 200,000 300mm wafers per month, which would represent an approximate 50 percent increase in Micron’s current manufacturing capacity.</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5"/>
          <w:szCs w:val="15"/>
          <w:color w:val="auto"/>
        </w:rPr>
        <w:t>Using its advanced technologies, Elpida has built a strong presence in Mobile DRAM, targeting mobile phones and tablets. Micron is a leader in delivering enterprise DRAM solutions for networking and servers as well as offering a wide product portfolio in NAND and NOR. Combining the two complementary product portfolios will further strengthen Micron’s position in the memory market and enable it to provide customers with an even more complete set of high-quality solutions.</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“We are creating the industry-leading pure-play memory company,” said Micron CEO Mark Durcan. “Today’s transactions will help strengthen the combined companies’ market position in the memory industry through increased research and development and manufacturing scale; improved access to core memory market segments; and additional wafer capacity to balance among DRAM, NAND and NOR memory solutions for the ultimate benefit of Micron and Elpida customers.”</w:t>
      </w:r>
    </w:p>
    <w:p>
      <w:pPr>
        <w:spacing w:after="0" w:line="179" w:lineRule="exact"/>
        <w:rPr>
          <w:sz w:val="20"/>
          <w:szCs w:val="20"/>
          <w:color w:val="auto"/>
        </w:rPr>
      </w:pPr>
    </w:p>
    <w:p>
      <w:pPr>
        <w:jc w:val="both"/>
        <w:ind w:right="60"/>
        <w:spacing w:after="0" w:line="318" w:lineRule="auto"/>
        <w:rPr>
          <w:sz w:val="20"/>
          <w:szCs w:val="20"/>
          <w:color w:val="auto"/>
        </w:rPr>
      </w:pPr>
      <w:r>
        <w:rPr>
          <w:rFonts w:ascii="Arial" w:cs="Arial" w:eastAsia="Arial" w:hAnsi="Arial"/>
          <w:sz w:val="13"/>
          <w:szCs w:val="13"/>
          <w:color w:val="auto"/>
        </w:rPr>
        <w:t>“Micron’s sponsorship of Elpida will enable stable payment of creditor claims and help to streamline approval of the reorganization plan by the creditors and the Tokyo District Court. Joining with Micron also delivers a clear advantage for Elpida’s customers, suppliers and employees,” said Yukio Sakamoto, co-trustee of Elpida. “The transaction is a strong testament to the value of Elpida’s technologies, products and people, and it will result in a combined organization that can best serve customers with broader memory solutions, strength and scale.”</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color w:val="auto"/>
        </w:rPr>
        <w:t>The transactions are subject to certain conditions, including approval by Elpida creditors, the Tokyo District Court, and other customary antitrust approvals. Elpida’s reorganization plan is currently anticipated to be submitted to the Tokyo District Court for approval in August 2012. The transactions are expected to close in the first half of calendar 2013. Micron’s purchase of the Powerchip group’s Rexchip shares will occur upon close of the Elpida transaction.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Elpida filed a petition for commencement of Corporate Reorganization Proceedings with the Tokyo District Court under the Corporate Reorganization Act of Japan on Feb.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7583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color w:val="auto"/>
        </w:rPr>
        <w:t>Conference Call Details</w:t>
      </w:r>
    </w:p>
    <w:p>
      <w:pPr>
        <w:spacing w:after="0" w:line="20" w:lineRule="exact"/>
        <w:rPr>
          <w:sz w:val="20"/>
          <w:szCs w:val="20"/>
          <w:color w:val="auto"/>
        </w:rPr>
      </w:pPr>
    </w:p>
    <w:p>
      <w:pPr>
        <w:ind w:right="160"/>
        <w:spacing w:after="0" w:line="253" w:lineRule="auto"/>
        <w:rPr>
          <w:sz w:val="20"/>
          <w:szCs w:val="20"/>
          <w:color w:val="auto"/>
        </w:rPr>
      </w:pPr>
      <w:r>
        <w:rPr>
          <w:rFonts w:ascii="Arial" w:cs="Arial" w:eastAsia="Arial" w:hAnsi="Arial"/>
          <w:sz w:val="15"/>
          <w:szCs w:val="15"/>
          <w:color w:val="auto"/>
        </w:rPr>
        <w:t xml:space="preserve">Micron will host a conference call today at 6:00 a.m. MDT to discuss the transaction. The call, audio and slides will be available online at </w:t>
      </w:r>
      <w:r>
        <w:rPr>
          <w:rFonts w:ascii="Arial" w:cs="Arial" w:eastAsia="Arial" w:hAnsi="Arial"/>
          <w:sz w:val="15"/>
          <w:szCs w:val="15"/>
          <w:u w:val="single" w:color="auto"/>
          <w:color w:val="auto"/>
        </w:rPr>
        <w:t>http://investors.micron.com/events.cfm</w:t>
      </w:r>
      <w:r>
        <w:rPr>
          <w:rFonts w:ascii="Arial" w:cs="Arial" w:eastAsia="Arial" w:hAnsi="Arial"/>
          <w:sz w:val="15"/>
          <w:szCs w:val="15"/>
          <w:color w:val="auto"/>
        </w:rPr>
        <w:t>. A webcast replay will be available on the company’s web site until July 9, 2013. Information regarding the taped audio replay of the conference call will also be available on www.micron.com beginning at 9:00 a.m. MDT.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Elpida</w:t>
      </w:r>
    </w:p>
    <w:p>
      <w:pPr>
        <w:spacing w:after="0" w:line="20"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Elpida Memory, Inc. is a leading manufacturer of Dynamic Random Access Memory (DRAM) integrated circuits. The company's design, manufacturing and sales operations are backed by worl technological expertise. Its 300mm manufacturing facilities, consisting of its Hiroshima Plant and a Taiwan-based joint venture, Rexchip Electronics, utilize the most advanced manufacturing technologies available. Elpida's portfolio features such characteristics as high-density, high-speed, low power and small packaging profiles. The company provides DRAM solutions across a wid of applications, including personal computers, servers, mobile devices and digital consumer electronics. More information can be found at http://www.elpida.com.</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Micron</w:t>
      </w:r>
    </w:p>
    <w:p>
      <w:pPr>
        <w:spacing w:after="0" w:line="20" w:lineRule="exact"/>
        <w:rPr>
          <w:sz w:val="20"/>
          <w:szCs w:val="20"/>
          <w:color w:val="auto"/>
        </w:rPr>
      </w:pPr>
    </w:p>
    <w:p>
      <w:pPr>
        <w:ind w:right="180"/>
        <w:spacing w:after="0" w:line="286" w:lineRule="auto"/>
        <w:rPr>
          <w:sz w:val="20"/>
          <w:szCs w:val="20"/>
          <w:color w:val="auto"/>
        </w:rPr>
      </w:pPr>
      <w:r>
        <w:rPr>
          <w:rFonts w:ascii="Arial" w:cs="Arial" w:eastAsia="Arial" w:hAnsi="Arial"/>
          <w:sz w:val="13"/>
          <w:szCs w:val="13"/>
          <w:color w:val="auto"/>
        </w:rPr>
        <w:t xml:space="preserve">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13"/>
          <w:szCs w:val="13"/>
          <w:u w:val="single" w:color="auto"/>
          <w:color w:val="auto"/>
        </w:rPr>
        <w:t>www.micron.com</w:t>
      </w:r>
      <w:r>
        <w:rPr>
          <w:rFonts w:ascii="Arial" w:cs="Arial" w:eastAsia="Arial" w:hAnsi="Arial"/>
          <w:sz w:val="13"/>
          <w:szCs w:val="13"/>
          <w:color w:val="auto"/>
        </w:rPr>
        <w:t>.</w:t>
      </w:r>
    </w:p>
    <w:p>
      <w:pPr>
        <w:spacing w:after="0" w:line="2"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Micron and the Micron orbit logo are trademarks of Micron Technology, Inc. All other trademarks are the property of their respective owners.</w:t>
      </w:r>
    </w:p>
    <w:p>
      <w:pPr>
        <w:spacing w:after="0" w:line="207" w:lineRule="exact"/>
        <w:rPr>
          <w:sz w:val="20"/>
          <w:szCs w:val="20"/>
          <w:color w:val="auto"/>
        </w:rPr>
      </w:pPr>
    </w:p>
    <w:p>
      <w:pPr>
        <w:ind w:right="140"/>
        <w:spacing w:after="0" w:line="295" w:lineRule="auto"/>
        <w:rPr>
          <w:sz w:val="20"/>
          <w:szCs w:val="20"/>
          <w:color w:val="auto"/>
        </w:rPr>
      </w:pPr>
      <w:r>
        <w:rPr>
          <w:rFonts w:ascii="Arial" w:cs="Arial" w:eastAsia="Arial" w:hAnsi="Arial"/>
          <w:sz w:val="13"/>
          <w:szCs w:val="13"/>
          <w:i w:val="1"/>
          <w:iCs w:val="1"/>
          <w:color w:val="auto"/>
        </w:rPr>
        <w:t>This press release contains forward-looking statements regarding future events that involve risks and uncertainties. For example, statements related to the strategic rationale for and expected benefits from the transactions, the financial and operational performance of the combined business, the expected scale and synergies to be realized, the customer base, product offerings and position of the combined business in the memory industry, and the expected timing of key milestones, are all forward-looking statements. Various factors could cause actual events or results to differ materially from those anticipated by the forward-looking statements. These factors include the possibility that the transactions do not close when expected or at all, or that we may be required to modify aspects of the transactions to achieve regulatory approval; that we are unable to successfully hedge against foreign currency rate fluctuations associated with transaction payments, or that such fluctuations adversely impact our consolidated results of operations; that we are unable to maintain customers, successfully execute our integration strategies, or achieve planned synergies; that we are unable to accurately forecast the anticipated financial results of the combined business; that our consolidated financial condition may be adversely impacted by the increased leverage resulting from the transactions; that future payment obligations arising out of the transactions will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304800</wp:posOffset>
            </wp:positionV>
            <wp:extent cx="727583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540"/>
          </w:cols>
          <w:pgMar w:left="220" w:top="248" w:right="139" w:bottom="1440" w:gutter="0" w:footer="0" w:header="0"/>
        </w:sectPr>
      </w:pPr>
    </w:p>
    <w:bookmarkStart w:id="8" w:name="page9"/>
    <w:bookmarkEnd w:id="8"/>
    <w:p>
      <w:pPr>
        <w:spacing w:after="0" w:line="253" w:lineRule="auto"/>
        <w:rPr>
          <w:sz w:val="20"/>
          <w:szCs w:val="20"/>
          <w:color w:val="auto"/>
        </w:rPr>
      </w:pPr>
      <w:r>
        <w:rPr>
          <w:rFonts w:ascii="Arial" w:cs="Arial" w:eastAsia="Arial" w:hAnsi="Arial"/>
          <w:sz w:val="15"/>
          <w:szCs w:val="15"/>
          <w:i w:val="1"/>
          <w:iCs w:val="1"/>
          <w:color w:val="auto"/>
        </w:rPr>
        <w:t>met; that the combined business is unable to compete successfully in the highly competitive and rapidly changing memory market; that we are unable to retain employees that are key to the operations of the combined business; that we are unable to identify and realize future consolidation and growth opportunities; and other factors that are disclosed in our most recent Form 10-K and Form 10-Q including in the Risk Factors section under the headings “Debt obligations could adversely affect our financial condition” and “We may make future acquisitions and/or alliances, which involve numerous risks.” These documents contain and identify important factors that could cause the actual results for Micron on a consolidated basis to differ materially from those contained in our forward-looking statements. Although we believe that the expectations reflected in the forward-looking statements are reasonable, we cannot guarantee future results, levels of activity, performance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727583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5830" cy="38100"/>
                    </a:xfrm>
                    <a:prstGeom prst="rect">
                      <a:avLst/>
                    </a:prstGeom>
                    <a:noFill/>
                  </pic:spPr>
                </pic:pic>
              </a:graphicData>
            </a:graphic>
          </wp:anchor>
        </w:drawing>
      </w:r>
    </w:p>
    <w:sectPr>
      <w:pgSz w:w="11900" w:h="16838" w:orient="portrait"/>
      <w:cols w:equalWidth="0" w:num="1">
        <w:col w:w="11400"/>
      </w:cols>
      <w:pgMar w:left="220" w:top="43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2019-12-09T07:43:31Z</dcterms:created>
  <dcterms:modified xsi:type="dcterms:W3CDTF">2019-12-09T07:43:31Z</dcterms:modified>
</cp:coreProperties>
</file>