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Washington, D.C. 20594</w:t>
      </w:r>
    </w:p>
    <w:p>
      <w:pPr>
        <w:spacing w:after="0" w:line="372"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595112103</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right="2739"/>
        <w:spacing w:after="0" w:line="260"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93" w:lineRule="exact"/>
        <w:rPr>
          <w:sz w:val="24"/>
          <w:szCs w:val="24"/>
          <w:color w:val="auto"/>
        </w:rPr>
      </w:pPr>
    </w:p>
    <w:p>
      <w:pPr>
        <w:jc w:val="both"/>
        <w:ind w:right="2839"/>
        <w:spacing w:after="0" w:line="31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2" w:lineRule="exact"/>
        <w:rPr>
          <w:sz w:val="24"/>
          <w:szCs w:val="24"/>
          <w:color w:val="auto"/>
        </w:rPr>
      </w:pPr>
    </w:p>
    <w:p>
      <w:pPr>
        <w:ind w:right="273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420" w:right="1440" w:bottom="1440" w:gutter="0" w:footer="0" w:header="0"/>
        </w:sectPr>
      </w:pPr>
    </w:p>
    <w:bookmarkStart w:id="1" w:name="page2"/>
    <w:bookmarkEnd w:id="1"/>
    <w:p>
      <w:pPr>
        <w:ind w:left="540" w:hanging="427"/>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540" w:right="4519"/>
        <w:spacing w:after="0" w:line="27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Capital Research and Management Company 95-1411037</w:t>
      </w:r>
    </w:p>
    <w:p>
      <w:pPr>
        <w:spacing w:after="0" w:line="82" w:lineRule="exact"/>
        <w:rPr>
          <w:sz w:val="20"/>
          <w:szCs w:val="20"/>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spacing w:after="0" w:line="31"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(a)</w:t>
      </w:r>
    </w:p>
    <w:p>
      <w:pPr>
        <w:spacing w:after="0" w:line="169"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0" w:right="5899" w:hanging="427"/>
        <w:spacing w:after="0" w:line="58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9" w:lineRule="exact"/>
        <w:rPr>
          <w:sz w:val="20"/>
          <w:szCs w:val="20"/>
          <w:color w:val="auto"/>
        </w:rPr>
      </w:pPr>
    </w:p>
    <w:p>
      <w:pPr>
        <w:ind w:left="1900" w:right="6519" w:hanging="417"/>
        <w:spacing w:after="0" w:line="585" w:lineRule="auto"/>
        <w:tabs>
          <w:tab w:leader="none" w:pos="1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NONE</w:t>
      </w:r>
    </w:p>
    <w:p>
      <w:pPr>
        <w:spacing w:after="0" w:line="19" w:lineRule="exact"/>
        <w:rPr>
          <w:sz w:val="20"/>
          <w:szCs w:val="20"/>
          <w:color w:val="auto"/>
        </w:rPr>
      </w:pPr>
    </w:p>
    <w:p>
      <w:pPr>
        <w:ind w:left="1480"/>
        <w:spacing w:after="0"/>
        <w:tabs>
          <w:tab w:leader="none" w:pos="18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NUMBER OF</w:t>
      </w:r>
    </w:p>
    <w:p>
      <w:pPr>
        <w:ind w:left="320"/>
        <w:spacing w:after="0" w:line="238" w:lineRule="auto"/>
        <w:rPr>
          <w:sz w:val="20"/>
          <w:szCs w:val="20"/>
          <w:color w:val="auto"/>
        </w:rPr>
      </w:pPr>
      <w:r>
        <w:rPr>
          <w:rFonts w:ascii="Courier New" w:cs="Courier New" w:eastAsia="Courier New" w:hAnsi="Courier New"/>
          <w:sz w:val="18"/>
          <w:szCs w:val="18"/>
          <w:color w:val="auto"/>
        </w:rPr>
        <w:t>SHARES</w:t>
      </w:r>
    </w:p>
    <w:p>
      <w:pPr>
        <w:ind w:left="1900"/>
        <w:spacing w:after="0"/>
        <w:rPr>
          <w:sz w:val="20"/>
          <w:szCs w:val="20"/>
          <w:color w:val="auto"/>
        </w:rPr>
      </w:pPr>
      <w:r>
        <w:rPr>
          <w:rFonts w:ascii="Courier New" w:cs="Courier New" w:eastAsia="Courier New" w:hAnsi="Courier New"/>
          <w:sz w:val="18"/>
          <w:szCs w:val="18"/>
          <w:color w:val="auto"/>
        </w:rPr>
        <w:t>NONE</w:t>
      </w:r>
    </w:p>
    <w:p>
      <w:pPr>
        <w:jc w:val="right"/>
        <w:ind w:right="9059"/>
        <w:spacing w:after="0"/>
        <w:rPr>
          <w:sz w:val="20"/>
          <w:szCs w:val="20"/>
          <w:color w:val="auto"/>
        </w:rPr>
      </w:pPr>
      <w:r>
        <w:rPr>
          <w:rFonts w:ascii="Courier New" w:cs="Courier New" w:eastAsia="Courier New" w:hAnsi="Courier New"/>
          <w:sz w:val="16"/>
          <w:szCs w:val="16"/>
          <w:color w:val="auto"/>
        </w:rPr>
        <w:t>BENEFICIALL</w:t>
      </w:r>
    </w:p>
    <w:p>
      <w:pPr>
        <w:spacing w:after="0" w:line="20"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8"/>
          <w:szCs w:val="18"/>
          <w:color w:val="auto"/>
        </w:rPr>
        <w:t>Y OWNED BY</w:t>
      </w:r>
    </w:p>
    <w:p>
      <w:pPr>
        <w:ind w:left="148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20"/>
        <w:spacing w:after="0" w:line="238" w:lineRule="auto"/>
        <w:rPr>
          <w:sz w:val="20"/>
          <w:szCs w:val="20"/>
          <w:color w:val="auto"/>
        </w:rPr>
      </w:pPr>
      <w:r>
        <w:rPr>
          <w:rFonts w:ascii="Courier New" w:cs="Courier New" w:eastAsia="Courier New" w:hAnsi="Courier New"/>
          <w:sz w:val="18"/>
          <w:szCs w:val="18"/>
          <w:color w:val="auto"/>
        </w:rPr>
        <w:t>REPORTING</w:t>
      </w:r>
    </w:p>
    <w:p>
      <w:pPr>
        <w:ind w:left="1900"/>
        <w:spacing w:after="0"/>
        <w:rPr>
          <w:sz w:val="20"/>
          <w:szCs w:val="20"/>
          <w:color w:val="auto"/>
        </w:rPr>
      </w:pPr>
      <w:r>
        <w:rPr>
          <w:rFonts w:ascii="Courier New" w:cs="Courier New" w:eastAsia="Courier New" w:hAnsi="Courier New"/>
          <w:sz w:val="18"/>
          <w:szCs w:val="18"/>
          <w:color w:val="auto"/>
        </w:rPr>
        <w:t>27,156,540</w:t>
      </w:r>
    </w:p>
    <w:p>
      <w:pPr>
        <w:spacing w:after="0"/>
        <w:rPr>
          <w:sz w:val="20"/>
          <w:szCs w:val="20"/>
          <w:color w:val="auto"/>
        </w:rPr>
      </w:pPr>
      <w:r>
        <w:rPr>
          <w:rFonts w:ascii="Courier New" w:cs="Courier New" w:eastAsia="Courier New" w:hAnsi="Courier New"/>
          <w:sz w:val="18"/>
          <w:szCs w:val="18"/>
          <w:color w:val="auto"/>
        </w:rPr>
        <w:t>PERSON WITH</w:t>
      </w:r>
    </w:p>
    <w:p>
      <w:pPr>
        <w:spacing w:after="0" w:line="372" w:lineRule="exact"/>
        <w:rPr>
          <w:sz w:val="20"/>
          <w:szCs w:val="20"/>
          <w:color w:val="auto"/>
        </w:rPr>
      </w:pPr>
    </w:p>
    <w:p>
      <w:pPr>
        <w:ind w:left="1900" w:right="5779" w:hanging="417"/>
        <w:spacing w:after="0" w:line="585" w:lineRule="auto"/>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9" w:lineRule="exact"/>
        <w:rPr>
          <w:sz w:val="20"/>
          <w:szCs w:val="20"/>
          <w:color w:val="auto"/>
        </w:rPr>
      </w:pPr>
    </w:p>
    <w:p>
      <w:pPr>
        <w:ind w:left="540" w:right="2619" w:hanging="427"/>
        <w:spacing w:after="0" w:line="585"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27,156,540 Beneficial ownership disclaimed pursuant to Rule 13d-4</w:t>
      </w:r>
    </w:p>
    <w:p>
      <w:pPr>
        <w:spacing w:after="0" w:line="19" w:lineRule="exact"/>
        <w:rPr>
          <w:sz w:val="20"/>
          <w:szCs w:val="20"/>
          <w:color w:val="auto"/>
        </w:rPr>
      </w:pPr>
    </w:p>
    <w:p>
      <w:pPr>
        <w:ind w:left="540" w:hanging="427"/>
        <w:spacing w:after="0"/>
        <w:tabs>
          <w:tab w:leader="none" w:pos="5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540" w:right="4739" w:hanging="427"/>
        <w:spacing w:after="0" w:line="585"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12.8%</w:t>
      </w:r>
    </w:p>
    <w:p>
      <w:pPr>
        <w:spacing w:after="0" w:line="18" w:lineRule="exact"/>
        <w:rPr>
          <w:rFonts w:ascii="Courier New" w:cs="Courier New" w:eastAsia="Courier New" w:hAnsi="Courier New"/>
          <w:sz w:val="18"/>
          <w:szCs w:val="18"/>
          <w:color w:val="auto"/>
        </w:rPr>
      </w:pPr>
    </w:p>
    <w:p>
      <w:pPr>
        <w:ind w:left="540" w:right="7059" w:hanging="427"/>
        <w:spacing w:after="0" w:line="585"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18" w:lineRule="exact"/>
        <w:rPr>
          <w:rFonts w:ascii="Courier New" w:cs="Courier New" w:eastAsia="Courier New" w:hAnsi="Courier New"/>
          <w:sz w:val="18"/>
          <w:szCs w:val="18"/>
          <w:color w:val="auto"/>
        </w:rPr>
      </w:pPr>
    </w:p>
    <w:p>
      <w:pPr>
        <w:ind w:left="1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 BEFORE FILLING OUT!</w:t>
      </w:r>
    </w:p>
    <w:p>
      <w:pPr>
        <w:sectPr>
          <w:pgSz w:w="11900" w:h="16838" w:orient="portrait"/>
          <w:cols w:equalWidth="0" w:num="1">
            <w:col w:w="10219"/>
          </w:cols>
          <w:pgMar w:left="240" w:top="893" w:right="1440" w:bottom="1440" w:gutter="0" w:footer="0" w:header="0"/>
        </w:sectPr>
      </w:pPr>
    </w:p>
    <w:bookmarkStart w:id="2" w:name="page3"/>
    <w:bookmarkEnd w:id="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spacing w:after="0" w:line="31"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3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Micron Technology,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8000 S. Federal Way</w:t>
      </w:r>
    </w:p>
    <w:p>
      <w:pPr>
        <w:ind w:left="740"/>
        <w:spacing w:after="0" w:line="238" w:lineRule="auto"/>
        <w:rPr>
          <w:sz w:val="20"/>
          <w:szCs w:val="20"/>
          <w:color w:val="auto"/>
        </w:rPr>
      </w:pPr>
      <w:r>
        <w:rPr>
          <w:rFonts w:ascii="Courier New" w:cs="Courier New" w:eastAsia="Courier New" w:hAnsi="Courier New"/>
          <w:sz w:val="18"/>
          <w:szCs w:val="18"/>
          <w:color w:val="auto"/>
        </w:rPr>
        <w:t>P.O. Box 6</w:t>
      </w:r>
    </w:p>
    <w:p>
      <w:pPr>
        <w:ind w:left="740"/>
        <w:spacing w:after="0"/>
        <w:tabs>
          <w:tab w:leader="none" w:pos="1880" w:val="left"/>
        </w:tabs>
        <w:rPr>
          <w:sz w:val="20"/>
          <w:szCs w:val="20"/>
          <w:color w:val="auto"/>
        </w:rPr>
      </w:pPr>
      <w:r>
        <w:rPr>
          <w:rFonts w:ascii="Courier New" w:cs="Courier New" w:eastAsia="Courier New" w:hAnsi="Courier New"/>
          <w:sz w:val="18"/>
          <w:szCs w:val="18"/>
          <w:color w:val="auto"/>
        </w:rPr>
        <w:t>Boise, ID</w:t>
      </w:r>
      <w:r>
        <w:rPr>
          <w:sz w:val="20"/>
          <w:szCs w:val="20"/>
          <w:color w:val="auto"/>
        </w:rPr>
        <w:tab/>
      </w:r>
      <w:r>
        <w:rPr>
          <w:rFonts w:ascii="Courier New" w:cs="Courier New" w:eastAsia="Courier New" w:hAnsi="Courier New"/>
          <w:sz w:val="16"/>
          <w:szCs w:val="16"/>
          <w:color w:val="auto"/>
        </w:rPr>
        <w:t>83707-0006</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3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Capital Research and Management Company</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169" w:lineRule="exact"/>
        <w:rPr>
          <w:sz w:val="20"/>
          <w:szCs w:val="20"/>
          <w:color w:val="auto"/>
        </w:rPr>
      </w:pPr>
    </w:p>
    <w:p>
      <w:pPr>
        <w:spacing w:after="0"/>
        <w:tabs>
          <w:tab w:leader="none" w:pos="1260" w:val="left"/>
          <w:tab w:leader="none" w:pos="28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3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Common Stock</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3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595112103</w:t>
      </w:r>
    </w:p>
    <w:p>
      <w:pPr>
        <w:spacing w:after="0" w:line="16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person(s) filing is(are):</w:t>
      </w:r>
    </w:p>
    <w:p>
      <w:pPr>
        <w:spacing w:after="0" w:line="201" w:lineRule="exact"/>
        <w:rPr>
          <w:sz w:val="20"/>
          <w:szCs w:val="20"/>
          <w:color w:val="auto"/>
        </w:rPr>
      </w:pPr>
    </w:p>
    <w:p>
      <w:pPr>
        <w:ind w:left="1280" w:right="2839" w:hanging="535"/>
        <w:spacing w:after="0" w:line="347" w:lineRule="auto"/>
        <w:tabs>
          <w:tab w:leader="none" w:pos="149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1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740" w:right="2619"/>
        <w:spacing w:after="0" w:line="256" w:lineRule="auto"/>
        <w:rPr>
          <w:sz w:val="20"/>
          <w:szCs w:val="20"/>
          <w:color w:val="auto"/>
        </w:rPr>
      </w:pPr>
      <w:r>
        <w:rPr>
          <w:rFonts w:ascii="Courier New" w:cs="Courier New" w:eastAsia="Courier New" w:hAnsi="Courier New"/>
          <w:sz w:val="18"/>
          <w:szCs w:val="18"/>
          <w:color w:val="auto"/>
        </w:rPr>
        <w:t>Capital Research and Management Company, an investment adviser registered under Section 203 of the Investment Advisers Act of 1940 is deemed to be the beneficial owner of 27,156,540 shares or 12.8% of the 211,348,000 shares of Common Stock believed to be outstanding as a result of acting as investment adviser to various investment companies registered under Section 8 of the Investment Company Act of 1940.</w:t>
      </w:r>
    </w:p>
    <w:p>
      <w:pPr>
        <w:spacing w:after="0" w:line="98" w:lineRule="exact"/>
        <w:rPr>
          <w:sz w:val="20"/>
          <w:szCs w:val="20"/>
          <w:color w:val="auto"/>
        </w:rPr>
      </w:pPr>
    </w:p>
    <w:p>
      <w:pPr>
        <w:ind w:left="740" w:right="2839"/>
        <w:spacing w:after="0" w:line="274" w:lineRule="auto"/>
        <w:rPr>
          <w:sz w:val="20"/>
          <w:szCs w:val="20"/>
          <w:color w:val="auto"/>
        </w:rPr>
      </w:pPr>
      <w:r>
        <w:rPr>
          <w:rFonts w:ascii="Courier New" w:cs="Courier New" w:eastAsia="Courier New" w:hAnsi="Courier New"/>
          <w:sz w:val="18"/>
          <w:szCs w:val="18"/>
          <w:color w:val="auto"/>
        </w:rPr>
        <w:t>Shares reported by Capital Research and Management Company includes 1,112,040 shares resulting from the assumed conversion of $75,000,000 principal amount of the 7.00% Convertible Note, due 2004.</w:t>
      </w:r>
    </w:p>
    <w:p>
      <w:pPr>
        <w:spacing w:after="0" w:line="28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or Less of a Class: [ ]</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on Behalf of Another Person: N/A</w:t>
      </w:r>
    </w:p>
    <w:p>
      <w:pPr>
        <w:spacing w:after="0" w:line="201" w:lineRule="exact"/>
        <w:rPr>
          <w:sz w:val="20"/>
          <w:szCs w:val="20"/>
          <w:color w:val="auto"/>
        </w:rPr>
      </w:pPr>
    </w:p>
    <w:p>
      <w:pPr>
        <w:ind w:left="740" w:right="3039" w:hanging="736"/>
        <w:spacing w:after="0" w:line="292"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N/A</w:t>
      </w:r>
    </w:p>
    <w:p>
      <w:pPr>
        <w:sectPr>
          <w:pgSz w:w="11900" w:h="16838" w:orient="portrait"/>
          <w:cols w:equalWidth="0" w:num="1">
            <w:col w:w="10219"/>
          </w:cols>
          <w:pgMar w:left="240" w:top="691" w:right="1440" w:bottom="1440" w:gutter="0" w:footer="0" w:header="0"/>
        </w:sectPr>
      </w:pPr>
    </w:p>
    <w:bookmarkStart w:id="4" w:name="page5"/>
    <w:bookmarkEnd w:id="4"/>
    <w:p>
      <w:pPr>
        <w:spacing w:after="0" w:line="292" w:lineRule="auto"/>
        <w:tabs>
          <w:tab w:leader="none" w:pos="720" w:val="left"/>
        </w:tabs>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spacing w:after="0"/>
        <w:tabs>
          <w:tab w:leader="none" w:pos="940" w:val="left"/>
          <w:tab w:leader="none" w:pos="48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740" w:right="2619"/>
        <w:spacing w:after="0" w:line="25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98"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740" w:right="315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691" w:right="1440" w:bottom="1440" w:gutter="0" w:footer="0" w:header="0"/>
        </w:sectPr>
      </w:pPr>
    </w:p>
    <w:p>
      <w:pPr>
        <w:spacing w:after="0" w:line="200" w:lineRule="exact"/>
        <w:rPr>
          <w:sz w:val="20"/>
          <w:szCs w:val="20"/>
          <w:color w:val="auto"/>
        </w:rPr>
      </w:pPr>
    </w:p>
    <w:p>
      <w:pPr>
        <w:spacing w:after="0" w:line="27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9, 1998 (For the period ended</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31, 1997)</w:t>
      </w:r>
    </w:p>
    <w:p>
      <w:pPr>
        <w:spacing w:after="0" w:line="200" w:lineRule="exact"/>
        <w:rPr>
          <w:sz w:val="20"/>
          <w:szCs w:val="20"/>
          <w:color w:val="auto"/>
        </w:rPr>
      </w:pPr>
    </w:p>
    <w:p>
      <w:pPr>
        <w:sectPr>
          <w:pgSz w:w="11900" w:h="16838" w:orient="portrait"/>
          <w:cols w:equalWidth="0" w:num="2">
            <w:col w:w="1720" w:space="720"/>
            <w:col w:w="7779"/>
          </w:cols>
          <w:pgMar w:left="240" w:top="691" w:right="1440" w:bottom="1440" w:gutter="0" w:footer="0" w:header="0"/>
          <w:type w:val="continuous"/>
        </w:sectPr>
      </w:pPr>
    </w:p>
    <w:p>
      <w:pPr>
        <w:spacing w:after="0" w:line="172"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*Paul G. Haaga, Jr.</w:t>
      </w:r>
    </w:p>
    <w:p>
      <w:pPr>
        <w:spacing w:after="0" w:line="201"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Paul G. Haaga, Jr., Executive Vice</w:t>
      </w:r>
    </w:p>
    <w:p>
      <w:pPr>
        <w:spacing w:after="0" w:line="3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President</w:t>
      </w:r>
    </w:p>
    <w:p>
      <w:pPr>
        <w:spacing w:after="0" w:line="169"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Capital Research and Management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James P. Ryan</w:t>
      </w:r>
    </w:p>
    <w:p>
      <w:pPr>
        <w:spacing w:after="0" w:line="3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169" w:lineRule="exact"/>
        <w:rPr>
          <w:sz w:val="20"/>
          <w:szCs w:val="20"/>
          <w:color w:val="auto"/>
        </w:rPr>
      </w:pPr>
    </w:p>
    <w:p>
      <w:pPr>
        <w:ind w:left="1580" w:right="2939"/>
        <w:spacing w:after="0" w:line="265" w:lineRule="auto"/>
        <w:rPr>
          <w:sz w:val="20"/>
          <w:szCs w:val="20"/>
          <w:color w:val="auto"/>
        </w:rPr>
      </w:pPr>
      <w:r>
        <w:rPr>
          <w:rFonts w:ascii="Courier New" w:cs="Courier New" w:eastAsia="Courier New" w:hAnsi="Courier New"/>
          <w:sz w:val="18"/>
          <w:szCs w:val="18"/>
          <w:color w:val="auto"/>
        </w:rPr>
        <w:t>Signed pursuant to a Power of Attorney dated June 17, 1998 included as an Exhibit to Schedule 13G filed with the Securities and Exchange Commission by Capital Research and Management Company on July 9, 1998 with respect to ABR Information Services, Inc.</w:t>
      </w:r>
    </w:p>
    <w:sectPr>
      <w:pgSz w:w="11900" w:h="16838" w:orient="portrait"/>
      <w:cols w:equalWidth="0" w:num="1">
        <w:col w:w="10219"/>
      </w:cols>
      <w:pgMar w:left="240" w:top="69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4"/>
      <w:numFmt w:val="bullet"/>
      <w:start w:val="1"/>
    </w:lvl>
  </w:abstractNum>
  <w:abstractNum w:abstractNumId="3">
    <w:nsid w:val="507ED7AB"/>
    <w:multiLevelType w:val="hybridMultilevel"/>
    <w:lvl w:ilvl="0">
      <w:lvlJc w:val="left"/>
      <w:lvlText w:val="5"/>
      <w:numFmt w:val="bullet"/>
      <w:start w:val="1"/>
    </w:lvl>
  </w:abstractNum>
  <w:abstractNum w:abstractNumId="4">
    <w:nsid w:val="2EB141F2"/>
    <w:multiLevelType w:val="hybridMultilevel"/>
    <w:lvl w:ilvl="0">
      <w:lvlJc w:val="left"/>
      <w:lvlText w:val="8"/>
      <w:numFmt w:val="bullet"/>
      <w:start w:val="1"/>
    </w:lvl>
  </w:abstractNum>
  <w:abstractNum w:abstractNumId="5">
    <w:nsid w:val="41B71EFB"/>
    <w:multiLevelType w:val="hybridMultilevel"/>
    <w:lvl w:ilvl="0">
      <w:lvlJc w:val="left"/>
      <w:lvlText w:val="9"/>
      <w:numFmt w:val="bullet"/>
      <w:start w:val="1"/>
    </w:lvl>
  </w:abstractNum>
  <w:abstractNum w:abstractNumId="6">
    <w:nsid w:val="79E2A9E3"/>
    <w:multiLevelType w:val="hybridMultilevel"/>
    <w:lvl w:ilvl="0">
      <w:lvlJc w:val="left"/>
      <w:lvlText w:val="%1"/>
      <w:numFmt w:val="decimal"/>
      <w:start w:val="10"/>
    </w:lvl>
    <w:lvl w:ilvl="1">
      <w:lvlJc w:val="left"/>
      <w:lvlText w:val="*"/>
      <w:numFmt w:val="bullet"/>
      <w:start w:val="1"/>
    </w:lvl>
  </w:abstractNum>
  <w:abstractNum w:abstractNumId="7">
    <w:nsid w:val="7545E146"/>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2019-12-13T13:14:44Z</dcterms:created>
  <dcterms:modified xsi:type="dcterms:W3CDTF">2019-12-13T13:14:44Z</dcterms:modified>
</cp:coreProperties>
</file>