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ind w:left="38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-242570</wp:posOffset>
            </wp:positionV>
            <wp:extent cx="135890" cy="1358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890" cy="135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540" w:type="dxa"/>
            <w:vAlign w:val="bottom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9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5469890</wp:posOffset>
            </wp:positionH>
            <wp:positionV relativeFrom="paragraph">
              <wp:posOffset>-648335</wp:posOffset>
            </wp:positionV>
            <wp:extent cx="59055" cy="66167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16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4137660</wp:posOffset>
            </wp:positionH>
            <wp:positionV relativeFrom="paragraph">
              <wp:posOffset>-648335</wp:posOffset>
            </wp:positionV>
            <wp:extent cx="59055" cy="66167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16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-1709420</wp:posOffset>
            </wp:positionH>
            <wp:positionV relativeFrom="paragraph">
              <wp:posOffset>20320</wp:posOffset>
            </wp:positionV>
            <wp:extent cx="7323455" cy="51263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1263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40" w:space="340"/>
            <w:col w:w="884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ARNZEN APRIL S</w:t>
        </w:r>
      </w:hyperlink>
    </w:p>
    <w:p>
      <w:pPr>
        <w:spacing w:after="0" w:line="323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8000 S. FEDERAL WAY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MS 1-557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MICRON TECHNOLOGY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MU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12/23/2019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7" w:right="660" w:hanging="7"/>
        <w:spacing w:after="0" w:line="254" w:lineRule="auto"/>
        <w:tabs>
          <w:tab w:leader="none" w:pos="156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7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807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SVP, Human Resources</w:t>
      </w:r>
    </w:p>
    <w:p>
      <w:pPr>
        <w:spacing w:after="0" w:line="4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60" w:space="613"/>
            <w:col w:w="3467"/>
          </w:cols>
          <w:pgMar w:left="240" w:top="225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40" w:type="dxa"/>
            <w:vAlign w:val="bottom"/>
            <w:gridSpan w:val="7"/>
          </w:tcPr>
          <w:p>
            <w:pPr>
              <w:jc w:val="center"/>
              <w:ind w:right="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60" w:type="dxa"/>
            <w:vAlign w:val="bottom"/>
            <w:gridSpan w:val="9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60" w:type="dxa"/>
            <w:vAlign w:val="bottom"/>
            <w:gridSpan w:val="9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BOISE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83716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740" w:type="dxa"/>
            <w:vAlign w:val="bottom"/>
            <w:gridSpan w:val="2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6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5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8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ind w:left="8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80" w:type="dxa"/>
            <w:vAlign w:val="bottom"/>
            <w:gridSpan w:val="4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ind w:left="8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2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9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12/24/2019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4,400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55.45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88,280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52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jc w:val="center"/>
              <w:ind w:right="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80" w:type="dxa"/>
            <w:vAlign w:val="bottom"/>
            <w:gridSpan w:val="11"/>
          </w:tcPr>
          <w:p>
            <w:pPr>
              <w:jc w:val="center"/>
              <w:ind w:left="4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2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28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ind w:left="2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9"/>
              </w:rPr>
              <w:t>Performance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99"/>
                <w:vertAlign w:val="subscript"/>
              </w:rPr>
              <w:t>402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99"/>
              </w:rPr>
              <w:t>(1)</w:t>
            </w: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402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2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12/23/2019</w:t>
            </w: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22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13,992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 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40" w:right="240" w:firstLine="7"/>
        <w:spacing w:after="0" w:line="270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Performance-based restricted stock units withheld for employment tax (and related income tax) obligations upon a portion of the grant being earned by (but not yet payable to) the reporting person. Additional shares remain unvested.</w:t>
      </w:r>
    </w:p>
    <w:p>
      <w:pPr>
        <w:spacing w:after="0" w:line="1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280" w:firstLine="7"/>
        <w:spacing w:after="0" w:line="253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Each performance-based restricted stock unit represents the right to receive, following vesting, between 0% and 200% of one share of common stock based upon the achievement of pre-established performance metrics related to new technology ramp and Company performance over a 3-year period beginning August 30, 2018 and ending on September 2, 2021, and certification of such performance by the Compensation Committee following the conclusion of the performance period.</w:t>
      </w:r>
    </w:p>
    <w:p>
      <w:pPr>
        <w:spacing w:after="0" w:line="2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sale reported on this Form 4 was effected pursuant to a Rule 10b5-1 trading plan adopted by the reporting person on April 9, 2019.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16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1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Rachel Southorn, Attorney-in-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12/24/2019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28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2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4"/>
        </w:trPr>
        <w:tc>
          <w:tcPr>
            <w:tcW w:w="22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both"/>
        <w:ind w:left="40" w:right="376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632063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2019-12-26T09:45:34Z</dcterms:created>
  <dcterms:modified xsi:type="dcterms:W3CDTF">2019-12-26T09:45:34Z</dcterms:modified>
</cp:coreProperties>
</file>