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12,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Fiscal 2022 Annual Meeting of Shareholders (the “Annual Meeting”) of Micron Technology, Inc. (the “Company”) was held 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January 12, 2023. At the Annual Meeting, the following proposals were submitted to a vote of the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duly elected and qualified.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60" w:type="dxa"/>
            <w:vAlign w:val="bottom"/>
            <w:tcBorders>
              <w:bottom w:val="single" w:sz="8" w:color="0094FF"/>
            </w:tcBorders>
          </w:tcPr>
          <w:p>
            <w:pPr>
              <w:ind w:left="20"/>
              <w:spacing w:after="0"/>
              <w:rPr>
                <w:sz w:val="20"/>
                <w:szCs w:val="20"/>
                <w:color w:val="auto"/>
              </w:rPr>
            </w:pPr>
            <w:r>
              <w:rPr>
                <w:rFonts w:ascii="Arial" w:cs="Arial" w:eastAsia="Arial" w:hAnsi="Arial"/>
                <w:sz w:val="18"/>
                <w:szCs w:val="18"/>
                <w:b w:val="1"/>
                <w:bCs w:val="1"/>
                <w:color w:val="auto"/>
              </w:rPr>
              <w:t>Name of Nominee</w:t>
            </w:r>
          </w:p>
        </w:tc>
        <w:tc>
          <w:tcPr>
            <w:tcW w:w="2980" w:type="dxa"/>
            <w:vAlign w:val="bottom"/>
            <w:tcBorders>
              <w:bottom w:val="single" w:sz="8" w:color="0094FF"/>
            </w:tcBorders>
          </w:tcPr>
          <w:p>
            <w:pPr>
              <w:jc w:val="right"/>
              <w:ind w:right="830"/>
              <w:spacing w:after="0"/>
              <w:rPr>
                <w:sz w:val="20"/>
                <w:szCs w:val="20"/>
                <w:color w:val="auto"/>
              </w:rPr>
            </w:pPr>
            <w:r>
              <w:rPr>
                <w:rFonts w:ascii="Arial" w:cs="Arial" w:eastAsia="Arial" w:hAnsi="Arial"/>
                <w:sz w:val="18"/>
                <w:szCs w:val="18"/>
                <w:b w:val="1"/>
                <w:bCs w:val="1"/>
                <w:color w:val="auto"/>
              </w:rPr>
              <w:t>For</w:t>
            </w:r>
          </w:p>
        </w:tc>
        <w:tc>
          <w:tcPr>
            <w:tcW w:w="1640" w:type="dxa"/>
            <w:vAlign w:val="bottom"/>
            <w:tcBorders>
              <w:bottom w:val="single" w:sz="8" w:color="0094FF"/>
            </w:tcBorders>
          </w:tcPr>
          <w:p>
            <w:pPr>
              <w:jc w:val="right"/>
              <w:ind w:right="630"/>
              <w:spacing w:after="0"/>
              <w:rPr>
                <w:sz w:val="20"/>
                <w:szCs w:val="20"/>
                <w:color w:val="auto"/>
              </w:rPr>
            </w:pPr>
            <w:r>
              <w:rPr>
                <w:rFonts w:ascii="Arial" w:cs="Arial" w:eastAsia="Arial" w:hAnsi="Arial"/>
                <w:sz w:val="18"/>
                <w:szCs w:val="18"/>
                <w:b w:val="1"/>
                <w:bCs w:val="1"/>
                <w:color w:val="auto"/>
              </w:rPr>
              <w:t>Against</w:t>
            </w:r>
          </w:p>
        </w:tc>
        <w:tc>
          <w:tcPr>
            <w:tcW w:w="1440" w:type="dxa"/>
            <w:vAlign w:val="bottom"/>
            <w:tcBorders>
              <w:bottom w:val="single" w:sz="8" w:color="0094FF"/>
            </w:tcBorders>
          </w:tcPr>
          <w:p>
            <w:pPr>
              <w:jc w:val="right"/>
              <w:ind w:right="430"/>
              <w:spacing w:after="0"/>
              <w:rPr>
                <w:sz w:val="20"/>
                <w:szCs w:val="20"/>
                <w:color w:val="auto"/>
              </w:rPr>
            </w:pPr>
            <w:r>
              <w:rPr>
                <w:rFonts w:ascii="Arial" w:cs="Arial" w:eastAsia="Arial" w:hAnsi="Arial"/>
                <w:sz w:val="18"/>
                <w:szCs w:val="18"/>
                <w:b w:val="1"/>
                <w:bCs w:val="1"/>
                <w:color w:val="auto"/>
              </w:rPr>
              <w:t>Abstain</w:t>
            </w:r>
          </w:p>
        </w:tc>
        <w:tc>
          <w:tcPr>
            <w:tcW w:w="1620" w:type="dxa"/>
            <w:vAlign w:val="bottom"/>
            <w:tcBorders>
              <w:bottom w:val="single" w:sz="8" w:color="0094FF"/>
            </w:tcBorders>
          </w:tcPr>
          <w:p>
            <w:pPr>
              <w:jc w:val="right"/>
              <w:spacing w:after="0"/>
              <w:rPr>
                <w:sz w:val="20"/>
                <w:szCs w:val="20"/>
                <w:color w:val="auto"/>
              </w:rPr>
            </w:pPr>
            <w:r>
              <w:rPr>
                <w:rFonts w:ascii="Arial" w:cs="Arial" w:eastAsia="Arial" w:hAnsi="Arial"/>
                <w:sz w:val="18"/>
                <w:szCs w:val="18"/>
                <w:b w:val="1"/>
                <w:bCs w:val="1"/>
                <w:color w:val="auto"/>
              </w:rPr>
              <w:t>Broker Non-Votes</w:t>
            </w:r>
          </w:p>
        </w:tc>
      </w:tr>
      <w:tr>
        <w:trPr>
          <w:trHeight w:val="34"/>
        </w:trPr>
        <w:tc>
          <w:tcPr>
            <w:tcW w:w="35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6"/>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Richard M. Beyer</w:t>
            </w:r>
          </w:p>
        </w:tc>
        <w:tc>
          <w:tcPr>
            <w:tcW w:w="29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787,722,672</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23,192,155</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647,045</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99,486,139</w:t>
            </w:r>
          </w:p>
        </w:tc>
      </w:tr>
      <w:tr>
        <w:trPr>
          <w:trHeight w:val="257"/>
        </w:trPr>
        <w:tc>
          <w:tcPr>
            <w:tcW w:w="3560" w:type="dxa"/>
            <w:vAlign w:val="bottom"/>
          </w:tcPr>
          <w:p>
            <w:pPr>
              <w:ind w:left="20"/>
              <w:spacing w:after="0"/>
              <w:rPr>
                <w:sz w:val="20"/>
                <w:szCs w:val="20"/>
                <w:color w:val="auto"/>
              </w:rPr>
            </w:pPr>
            <w:r>
              <w:rPr>
                <w:rFonts w:ascii="Arial" w:cs="Arial" w:eastAsia="Arial" w:hAnsi="Arial"/>
                <w:sz w:val="18"/>
                <w:szCs w:val="18"/>
                <w:color w:val="auto"/>
              </w:rPr>
              <w:t>Lynn A. Dugle</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804,472,073</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6,507,102</w:t>
            </w:r>
          </w:p>
        </w:tc>
        <w:tc>
          <w:tcPr>
            <w:tcW w:w="1440" w:type="dxa"/>
            <w:vAlign w:val="bottom"/>
          </w:tcPr>
          <w:p>
            <w:pPr>
              <w:jc w:val="right"/>
              <w:spacing w:after="0"/>
              <w:rPr>
                <w:sz w:val="20"/>
                <w:szCs w:val="20"/>
                <w:color w:val="auto"/>
              </w:rPr>
            </w:pPr>
            <w:r>
              <w:rPr>
                <w:rFonts w:ascii="Arial" w:cs="Arial" w:eastAsia="Arial" w:hAnsi="Arial"/>
                <w:sz w:val="18"/>
                <w:szCs w:val="18"/>
                <w:color w:val="auto"/>
              </w:rPr>
              <w:t>582,697</w:t>
            </w:r>
          </w:p>
        </w:tc>
        <w:tc>
          <w:tcPr>
            <w:tcW w:w="1620" w:type="dxa"/>
            <w:vAlign w:val="bottom"/>
          </w:tcPr>
          <w:p>
            <w:pPr>
              <w:jc w:val="right"/>
              <w:spacing w:after="0"/>
              <w:rPr>
                <w:sz w:val="20"/>
                <w:szCs w:val="20"/>
                <w:color w:val="auto"/>
              </w:rPr>
            </w:pPr>
            <w:r>
              <w:rPr>
                <w:rFonts w:ascii="Arial" w:cs="Arial" w:eastAsia="Arial" w:hAnsi="Arial"/>
                <w:sz w:val="18"/>
                <w:szCs w:val="18"/>
                <w:color w:val="auto"/>
              </w:rPr>
              <w:t>99,486,139</w:t>
            </w:r>
          </w:p>
        </w:tc>
      </w:tr>
      <w:tr>
        <w:trPr>
          <w:trHeight w:val="257"/>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Steven J. Gomo</w:t>
            </w:r>
          </w:p>
        </w:tc>
        <w:tc>
          <w:tcPr>
            <w:tcW w:w="29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793,578,591</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16,980,076</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1,003,205</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99,486,139</w:t>
            </w:r>
          </w:p>
        </w:tc>
      </w:tr>
      <w:tr>
        <w:trPr>
          <w:trHeight w:val="257"/>
        </w:trPr>
        <w:tc>
          <w:tcPr>
            <w:tcW w:w="3560" w:type="dxa"/>
            <w:vAlign w:val="bottom"/>
          </w:tcPr>
          <w:p>
            <w:pPr>
              <w:ind w:left="20"/>
              <w:spacing w:after="0"/>
              <w:rPr>
                <w:sz w:val="20"/>
                <w:szCs w:val="20"/>
                <w:color w:val="auto"/>
              </w:rPr>
            </w:pPr>
            <w:r>
              <w:rPr>
                <w:rFonts w:ascii="Arial" w:cs="Arial" w:eastAsia="Arial" w:hAnsi="Arial"/>
                <w:sz w:val="18"/>
                <w:szCs w:val="18"/>
                <w:color w:val="auto"/>
              </w:rPr>
              <w:t>Linnie M. Haynesworth</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803,725,157</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6,894,601</w:t>
            </w:r>
          </w:p>
        </w:tc>
        <w:tc>
          <w:tcPr>
            <w:tcW w:w="1440" w:type="dxa"/>
            <w:vAlign w:val="bottom"/>
          </w:tcPr>
          <w:p>
            <w:pPr>
              <w:jc w:val="right"/>
              <w:spacing w:after="0"/>
              <w:rPr>
                <w:sz w:val="20"/>
                <w:szCs w:val="20"/>
                <w:color w:val="auto"/>
              </w:rPr>
            </w:pPr>
            <w:r>
              <w:rPr>
                <w:rFonts w:ascii="Arial" w:cs="Arial" w:eastAsia="Arial" w:hAnsi="Arial"/>
                <w:sz w:val="18"/>
                <w:szCs w:val="18"/>
                <w:color w:val="auto"/>
              </w:rPr>
              <w:t>942,114</w:t>
            </w:r>
          </w:p>
        </w:tc>
        <w:tc>
          <w:tcPr>
            <w:tcW w:w="1620" w:type="dxa"/>
            <w:vAlign w:val="bottom"/>
          </w:tcPr>
          <w:p>
            <w:pPr>
              <w:jc w:val="right"/>
              <w:spacing w:after="0"/>
              <w:rPr>
                <w:sz w:val="20"/>
                <w:szCs w:val="20"/>
                <w:color w:val="auto"/>
              </w:rPr>
            </w:pPr>
            <w:r>
              <w:rPr>
                <w:rFonts w:ascii="Arial" w:cs="Arial" w:eastAsia="Arial" w:hAnsi="Arial"/>
                <w:sz w:val="18"/>
                <w:szCs w:val="18"/>
                <w:color w:val="auto"/>
              </w:rPr>
              <w:t>99,486,139</w:t>
            </w:r>
          </w:p>
        </w:tc>
      </w:tr>
      <w:tr>
        <w:trPr>
          <w:trHeight w:val="257"/>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Mary Pat McCarthy</w:t>
            </w:r>
          </w:p>
        </w:tc>
        <w:tc>
          <w:tcPr>
            <w:tcW w:w="29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804,966,119</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6,011,467</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584,286</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99,486,139</w:t>
            </w:r>
          </w:p>
        </w:tc>
      </w:tr>
      <w:tr>
        <w:trPr>
          <w:trHeight w:val="256"/>
        </w:trPr>
        <w:tc>
          <w:tcPr>
            <w:tcW w:w="3560" w:type="dxa"/>
            <w:vAlign w:val="bottom"/>
          </w:tcPr>
          <w:p>
            <w:pPr>
              <w:ind w:left="20"/>
              <w:spacing w:after="0"/>
              <w:rPr>
                <w:sz w:val="20"/>
                <w:szCs w:val="20"/>
                <w:color w:val="auto"/>
              </w:rPr>
            </w:pPr>
            <w:r>
              <w:rPr>
                <w:rFonts w:ascii="Arial" w:cs="Arial" w:eastAsia="Arial" w:hAnsi="Arial"/>
                <w:sz w:val="18"/>
                <w:szCs w:val="18"/>
                <w:color w:val="auto"/>
              </w:rPr>
              <w:t>Sanjay Mehrotra</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804,838,310</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6,134,398</w:t>
            </w:r>
          </w:p>
        </w:tc>
        <w:tc>
          <w:tcPr>
            <w:tcW w:w="1440" w:type="dxa"/>
            <w:vAlign w:val="bottom"/>
          </w:tcPr>
          <w:p>
            <w:pPr>
              <w:jc w:val="right"/>
              <w:spacing w:after="0"/>
              <w:rPr>
                <w:sz w:val="20"/>
                <w:szCs w:val="20"/>
                <w:color w:val="auto"/>
              </w:rPr>
            </w:pPr>
            <w:r>
              <w:rPr>
                <w:rFonts w:ascii="Arial" w:cs="Arial" w:eastAsia="Arial" w:hAnsi="Arial"/>
                <w:sz w:val="18"/>
                <w:szCs w:val="18"/>
                <w:color w:val="auto"/>
              </w:rPr>
              <w:t>589,164</w:t>
            </w:r>
          </w:p>
        </w:tc>
        <w:tc>
          <w:tcPr>
            <w:tcW w:w="1620" w:type="dxa"/>
            <w:vAlign w:val="bottom"/>
          </w:tcPr>
          <w:p>
            <w:pPr>
              <w:jc w:val="right"/>
              <w:spacing w:after="0"/>
              <w:rPr>
                <w:sz w:val="20"/>
                <w:szCs w:val="20"/>
                <w:color w:val="auto"/>
              </w:rPr>
            </w:pPr>
            <w:r>
              <w:rPr>
                <w:rFonts w:ascii="Arial" w:cs="Arial" w:eastAsia="Arial" w:hAnsi="Arial"/>
                <w:sz w:val="18"/>
                <w:szCs w:val="18"/>
                <w:color w:val="auto"/>
              </w:rPr>
              <w:t>99,486,139</w:t>
            </w:r>
          </w:p>
        </w:tc>
      </w:tr>
      <w:tr>
        <w:trPr>
          <w:trHeight w:val="257"/>
        </w:trPr>
        <w:tc>
          <w:tcPr>
            <w:tcW w:w="3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Robert E. Switz</w:t>
            </w:r>
          </w:p>
        </w:tc>
        <w:tc>
          <w:tcPr>
            <w:tcW w:w="29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770,286,906</w:t>
            </w:r>
          </w:p>
        </w:tc>
        <w:tc>
          <w:tcPr>
            <w:tcW w:w="16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40,624,042</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650,924</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99,486,139</w:t>
            </w:r>
          </w:p>
        </w:tc>
      </w:tr>
      <w:tr>
        <w:trPr>
          <w:trHeight w:val="261"/>
        </w:trPr>
        <w:tc>
          <w:tcPr>
            <w:tcW w:w="3560" w:type="dxa"/>
            <w:vAlign w:val="bottom"/>
          </w:tcPr>
          <w:p>
            <w:pPr>
              <w:ind w:left="20"/>
              <w:spacing w:after="0"/>
              <w:rPr>
                <w:sz w:val="20"/>
                <w:szCs w:val="20"/>
                <w:color w:val="auto"/>
              </w:rPr>
            </w:pPr>
            <w:r>
              <w:rPr>
                <w:rFonts w:ascii="Arial" w:cs="Arial" w:eastAsia="Arial" w:hAnsi="Arial"/>
                <w:sz w:val="18"/>
                <w:szCs w:val="18"/>
                <w:color w:val="auto"/>
              </w:rPr>
              <w:t>MaryAnn Wright</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788,158,822</w:t>
            </w:r>
          </w:p>
        </w:tc>
        <w:tc>
          <w:tcPr>
            <w:tcW w:w="1640" w:type="dxa"/>
            <w:vAlign w:val="bottom"/>
          </w:tcPr>
          <w:p>
            <w:pPr>
              <w:jc w:val="right"/>
              <w:ind w:right="170"/>
              <w:spacing w:after="0"/>
              <w:rPr>
                <w:sz w:val="20"/>
                <w:szCs w:val="20"/>
                <w:color w:val="auto"/>
              </w:rPr>
            </w:pPr>
            <w:r>
              <w:rPr>
                <w:rFonts w:ascii="Arial" w:cs="Arial" w:eastAsia="Arial" w:hAnsi="Arial"/>
                <w:sz w:val="18"/>
                <w:szCs w:val="18"/>
                <w:color w:val="auto"/>
              </w:rPr>
              <w:t>22,819,465</w:t>
            </w:r>
          </w:p>
        </w:tc>
        <w:tc>
          <w:tcPr>
            <w:tcW w:w="1440" w:type="dxa"/>
            <w:vAlign w:val="bottom"/>
          </w:tcPr>
          <w:p>
            <w:pPr>
              <w:jc w:val="right"/>
              <w:spacing w:after="0"/>
              <w:rPr>
                <w:sz w:val="20"/>
                <w:szCs w:val="20"/>
                <w:color w:val="auto"/>
              </w:rPr>
            </w:pPr>
            <w:r>
              <w:rPr>
                <w:rFonts w:ascii="Arial" w:cs="Arial" w:eastAsia="Arial" w:hAnsi="Arial"/>
                <w:sz w:val="18"/>
                <w:szCs w:val="18"/>
                <w:color w:val="auto"/>
              </w:rPr>
              <w:t>583,585</w:t>
            </w:r>
          </w:p>
        </w:tc>
        <w:tc>
          <w:tcPr>
            <w:tcW w:w="1620" w:type="dxa"/>
            <w:vAlign w:val="bottom"/>
          </w:tcPr>
          <w:p>
            <w:pPr>
              <w:jc w:val="right"/>
              <w:spacing w:after="0"/>
              <w:rPr>
                <w:sz w:val="20"/>
                <w:szCs w:val="20"/>
                <w:color w:val="auto"/>
              </w:rPr>
            </w:pPr>
            <w:r>
              <w:rPr>
                <w:rFonts w:ascii="Arial" w:cs="Arial" w:eastAsia="Arial" w:hAnsi="Arial"/>
                <w:sz w:val="18"/>
                <w:szCs w:val="18"/>
                <w:color w:val="auto"/>
              </w:rPr>
              <w:t>99,486,139</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39" w:lineRule="exact"/>
        <w:rPr>
          <w:sz w:val="20"/>
          <w:szCs w:val="20"/>
          <w:color w:val="auto"/>
        </w:rPr>
      </w:pPr>
    </w:p>
    <w:p>
      <w:pPr>
        <w:ind w:right="780"/>
        <w:spacing w:after="0" w:line="253" w:lineRule="auto"/>
        <w:rPr>
          <w:sz w:val="20"/>
          <w:szCs w:val="20"/>
          <w:color w:val="auto"/>
        </w:rPr>
      </w:pPr>
      <w:r>
        <w:rPr>
          <w:rFonts w:ascii="Arial" w:cs="Arial" w:eastAsia="Arial" w:hAnsi="Arial"/>
          <w:sz w:val="18"/>
          <w:szCs w:val="18"/>
          <w:color w:val="auto"/>
        </w:rPr>
        <w:t>The proposal by the Company to approve a non-binding resolution to approve the compensation of its Named Executive Officers as described in the Company’s proxy statement was approved with 577,338,369 votes in favor, 232,782,611 votes against, 1,440,892 abstentions, and 99,486,139 broker non-votes.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proposal by the Company to approve its amended and restated 2007 Equity Incentive Plan to increase the shares reserved for issuance thereunder by 50 million as described in the Company’s proxy statement was approved with 775,564,559 votes in favor, 34,828,200 votes against, 1,169,113 abstentions, and 99,486,139 broker non-votes.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spacing w:after="0" w:line="239"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August 31, 2023, was approved with 841,187,769 votes in favor, 69,058,262 votes against, 801,980 abstentions, and no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6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660" w:type="dxa"/>
            <w:vAlign w:val="bottom"/>
          </w:tcPr>
          <w:p>
            <w:pPr>
              <w:spacing w:after="0"/>
              <w:rPr>
                <w:sz w:val="20"/>
                <w:szCs w:val="20"/>
                <w:color w:val="auto"/>
              </w:rPr>
            </w:pPr>
            <w:r>
              <w:rPr>
                <w:rFonts w:ascii="Arial" w:cs="Arial" w:eastAsia="Arial" w:hAnsi="Arial"/>
                <w:sz w:val="18"/>
                <w:szCs w:val="18"/>
                <w:color w:val="auto"/>
              </w:rPr>
              <w:t>Date:   January 13, 2023</w:t>
            </w:r>
          </w:p>
        </w:tc>
        <w:tc>
          <w:tcPr>
            <w:tcW w:w="2300" w:type="dxa"/>
            <w:vAlign w:val="bottom"/>
          </w:tcPr>
          <w:p>
            <w:pPr>
              <w:ind w:left="15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Rob Beard</w:t>
            </w:r>
          </w:p>
        </w:tc>
      </w:tr>
      <w:tr>
        <w:trPr>
          <w:trHeight w:val="218"/>
        </w:trPr>
        <w:tc>
          <w:tcPr>
            <w:tcW w:w="3660" w:type="dxa"/>
            <w:vAlign w:val="bottom"/>
          </w:tcPr>
          <w:p>
            <w:pPr>
              <w:spacing w:after="0"/>
              <w:rPr>
                <w:sz w:val="18"/>
                <w:szCs w:val="18"/>
                <w:color w:val="auto"/>
              </w:rPr>
            </w:pPr>
          </w:p>
        </w:tc>
        <w:tc>
          <w:tcPr>
            <w:tcW w:w="2300" w:type="dxa"/>
            <w:vAlign w:val="bottom"/>
          </w:tcPr>
          <w:p>
            <w:pPr>
              <w:ind w:left="1540"/>
              <w:spacing w:after="0"/>
              <w:rPr>
                <w:sz w:val="20"/>
                <w:szCs w:val="20"/>
                <w:color w:val="auto"/>
              </w:rPr>
            </w:pPr>
            <w:r>
              <w:rPr>
                <w:rFonts w:ascii="Arial" w:cs="Arial" w:eastAsia="Arial" w:hAnsi="Arial"/>
                <w:sz w:val="18"/>
                <w:szCs w:val="18"/>
                <w:color w:val="auto"/>
              </w:rPr>
              <w:t>Name:</w:t>
            </w:r>
          </w:p>
        </w:tc>
        <w:tc>
          <w:tcPr>
            <w:tcW w:w="5260" w:type="dxa"/>
            <w:vAlign w:val="bottom"/>
          </w:tcPr>
          <w:p>
            <w:pPr>
              <w:ind w:left="20"/>
              <w:spacing w:after="0"/>
              <w:rPr>
                <w:sz w:val="20"/>
                <w:szCs w:val="20"/>
                <w:color w:val="auto"/>
              </w:rPr>
            </w:pPr>
            <w:r>
              <w:rPr>
                <w:rFonts w:ascii="Arial" w:cs="Arial" w:eastAsia="Arial" w:hAnsi="Arial"/>
                <w:sz w:val="18"/>
                <w:szCs w:val="18"/>
                <w:color w:val="auto"/>
              </w:rPr>
              <w:t>Rob Beard</w:t>
            </w:r>
          </w:p>
        </w:tc>
      </w:tr>
      <w:tr>
        <w:trPr>
          <w:trHeight w:val="239"/>
        </w:trPr>
        <w:tc>
          <w:tcPr>
            <w:tcW w:w="3660" w:type="dxa"/>
            <w:vAlign w:val="bottom"/>
          </w:tcPr>
          <w:p>
            <w:pPr>
              <w:spacing w:after="0"/>
              <w:rPr>
                <w:sz w:val="20"/>
                <w:szCs w:val="20"/>
                <w:color w:val="auto"/>
              </w:rPr>
            </w:pPr>
          </w:p>
        </w:tc>
        <w:tc>
          <w:tcPr>
            <w:tcW w:w="2300" w:type="dxa"/>
            <w:vAlign w:val="bottom"/>
          </w:tcPr>
          <w:p>
            <w:pPr>
              <w:ind w:left="1540"/>
              <w:spacing w:after="0"/>
              <w:rPr>
                <w:sz w:val="20"/>
                <w:szCs w:val="20"/>
                <w:color w:val="auto"/>
              </w:rPr>
            </w:pPr>
            <w:r>
              <w:rPr>
                <w:rFonts w:ascii="Arial" w:cs="Arial" w:eastAsia="Arial" w:hAnsi="Arial"/>
                <w:sz w:val="18"/>
                <w:szCs w:val="18"/>
                <w:color w:val="auto"/>
              </w:rPr>
              <w:t>Title:</w:t>
            </w: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bl>
    <w:p>
      <w:pPr>
        <w:spacing w:after="0" w:line="1" w:lineRule="exact"/>
        <w:rPr>
          <w:sz w:val="20"/>
          <w:szCs w:val="20"/>
          <w:color w:val="auto"/>
        </w:rPr>
      </w:pP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2023-01-13T15:28:48Z</dcterms:created>
  <dcterms:modified xsi:type="dcterms:W3CDTF">2023-01-13T15:28:48Z</dcterms:modified>
</cp:coreProperties>
</file>