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80" w:type="dxa"/>
            <w:vAlign w:val="bottom"/>
          </w:tcPr>
          <w:p>
            <w:pPr>
              <w:jc w:val="center"/>
              <w:ind w:right="908"/>
              <w:spacing w:after="0"/>
              <w:rPr>
                <w:sz w:val="20"/>
                <w:szCs w:val="20"/>
                <w:color w:val="auto"/>
              </w:rPr>
            </w:pPr>
            <w:r>
              <w:rPr>
                <w:rFonts w:ascii="Arial" w:cs="Arial" w:eastAsia="Arial" w:hAnsi="Arial"/>
                <w:sz w:val="18"/>
                <w:szCs w:val="18"/>
                <w:b w:val="1"/>
                <w:bCs w:val="1"/>
                <w:color w:val="auto"/>
                <w:w w:val="97"/>
              </w:rPr>
              <w:t>UNITED STATES</w:t>
            </w:r>
          </w:p>
        </w:tc>
        <w:tc>
          <w:tcPr>
            <w:tcW w:w="940" w:type="dxa"/>
            <w:vAlign w:val="bottom"/>
            <w:tcBorders>
              <w:right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460" w:type="dxa"/>
            <w:vAlign w:val="bottom"/>
            <w:tcBorders>
              <w:top w:val="single" w:sz="8" w:color="auto"/>
              <w:bottom w:val="single" w:sz="8" w:color="auto"/>
              <w:right w:val="single" w:sz="8" w:color="auto"/>
            </w:tcBorders>
          </w:tcPr>
          <w:p>
            <w:pPr>
              <w:jc w:val="center"/>
              <w:ind w:right="358"/>
              <w:spacing w:after="0"/>
              <w:rPr>
                <w:sz w:val="20"/>
                <w:szCs w:val="20"/>
                <w:color w:val="auto"/>
              </w:rPr>
            </w:pPr>
            <w:r>
              <w:rPr>
                <w:rFonts w:ascii="Arial" w:cs="Arial" w:eastAsia="Arial" w:hAnsi="Arial"/>
                <w:sz w:val="14"/>
                <w:szCs w:val="14"/>
                <w:color w:val="auto"/>
              </w:rPr>
              <w:t>OMB APPROVAL</w:t>
            </w:r>
          </w:p>
        </w:tc>
        <w:tc>
          <w:tcPr>
            <w:tcW w:w="0" w:type="dxa"/>
            <w:vAlign w:val="bottom"/>
          </w:tcPr>
          <w:p>
            <w:pPr>
              <w:spacing w:after="0"/>
              <w:rPr>
                <w:sz w:val="1"/>
                <w:szCs w:val="1"/>
                <w:color w:val="auto"/>
              </w:rPr>
            </w:pPr>
          </w:p>
        </w:tc>
      </w:tr>
      <w:tr>
        <w:trPr>
          <w:trHeight w:val="177"/>
        </w:trPr>
        <w:tc>
          <w:tcPr>
            <w:tcW w:w="2980" w:type="dxa"/>
            <w:vAlign w:val="bottom"/>
          </w:tcPr>
          <w:p>
            <w:pPr>
              <w:spacing w:after="0"/>
              <w:rPr>
                <w:sz w:val="15"/>
                <w:szCs w:val="15"/>
                <w:color w:val="auto"/>
              </w:rPr>
            </w:pPr>
          </w:p>
        </w:tc>
        <w:tc>
          <w:tcPr>
            <w:tcW w:w="4660" w:type="dxa"/>
            <w:vAlign w:val="bottom"/>
            <w:gridSpan w:val="2"/>
          </w:tcPr>
          <w:p>
            <w:pPr>
              <w:jc w:val="center"/>
              <w:ind w:left="690"/>
              <w:spacing w:after="0" w:line="177" w:lineRule="exact"/>
              <w:rPr>
                <w:sz w:val="20"/>
                <w:szCs w:val="20"/>
                <w:color w:val="auto"/>
              </w:rPr>
            </w:pPr>
            <w:r>
              <w:rPr>
                <w:rFonts w:ascii="Arial" w:cs="Arial" w:eastAsia="Arial" w:hAnsi="Arial"/>
                <w:sz w:val="18"/>
                <w:szCs w:val="18"/>
                <w:b w:val="1"/>
                <w:bCs w:val="1"/>
                <w:color w:val="auto"/>
              </w:rPr>
              <w:t>SECURITIES AND EXCHANGE COMMISSION</w:t>
            </w:r>
          </w:p>
        </w:tc>
        <w:tc>
          <w:tcPr>
            <w:tcW w:w="94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OMB Number: 3235-0058</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880" w:type="dxa"/>
            <w:vAlign w:val="bottom"/>
            <w:vMerge w:val="restart"/>
          </w:tcPr>
          <w:p>
            <w:pPr>
              <w:jc w:val="center"/>
              <w:ind w:right="908"/>
              <w:spacing w:after="0"/>
              <w:rPr>
                <w:sz w:val="20"/>
                <w:szCs w:val="20"/>
                <w:color w:val="auto"/>
              </w:rPr>
            </w:pPr>
            <w:r>
              <w:rPr>
                <w:rFonts w:ascii="Arial" w:cs="Arial" w:eastAsia="Arial" w:hAnsi="Arial"/>
                <w:sz w:val="18"/>
                <w:szCs w:val="18"/>
                <w:b w:val="1"/>
                <w:bCs w:val="1"/>
                <w:color w:val="auto"/>
                <w:w w:val="90"/>
              </w:rPr>
              <w:t>Washington, D.C. 20549</w:t>
            </w:r>
          </w:p>
        </w:tc>
        <w:tc>
          <w:tcPr>
            <w:tcW w:w="94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Expires: April 30, 2009</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880" w:type="dxa"/>
            <w:vAlign w:val="bottom"/>
            <w:vMerge w:val="continue"/>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80" w:type="dxa"/>
            <w:vAlign w:val="bottom"/>
            <w:vMerge w:val="restart"/>
          </w:tcPr>
          <w:p>
            <w:pPr>
              <w:jc w:val="center"/>
              <w:ind w:right="908"/>
              <w:spacing w:after="0" w:line="181" w:lineRule="exact"/>
              <w:rPr>
                <w:sz w:val="20"/>
                <w:szCs w:val="20"/>
                <w:color w:val="auto"/>
              </w:rPr>
            </w:pPr>
            <w:r>
              <w:rPr>
                <w:rFonts w:ascii="Arial" w:cs="Arial" w:eastAsia="Arial" w:hAnsi="Arial"/>
                <w:sz w:val="20"/>
                <w:szCs w:val="20"/>
                <w:b w:val="1"/>
                <w:bCs w:val="1"/>
                <w:color w:val="auto"/>
              </w:rPr>
              <w:t>FORM 12b-25</w:t>
            </w:r>
          </w:p>
        </w:tc>
        <w:tc>
          <w:tcPr>
            <w:tcW w:w="940" w:type="dxa"/>
            <w:vAlign w:val="bottom"/>
            <w:tcBorders>
              <w:right w:val="single" w:sz="8" w:color="auto"/>
            </w:tcBorders>
          </w:tcPr>
          <w:p>
            <w:pPr>
              <w:spacing w:after="0"/>
              <w:rPr>
                <w:sz w:val="14"/>
                <w:szCs w:val="14"/>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hours per response . . . 2.50</w:t>
            </w:r>
          </w:p>
        </w:tc>
        <w:tc>
          <w:tcPr>
            <w:tcW w:w="0" w:type="dxa"/>
            <w:vAlign w:val="bottom"/>
          </w:tcPr>
          <w:p>
            <w:pPr>
              <w:spacing w:after="0"/>
              <w:rPr>
                <w:sz w:val="1"/>
                <w:szCs w:val="1"/>
                <w:color w:val="auto"/>
              </w:rPr>
            </w:pPr>
          </w:p>
        </w:tc>
      </w:tr>
      <w:tr>
        <w:trPr>
          <w:trHeight w:val="14"/>
        </w:trPr>
        <w:tc>
          <w:tcPr>
            <w:tcW w:w="2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80" w:type="dxa"/>
            <w:vAlign w:val="bottom"/>
            <w:vMerge w:val="continue"/>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60" w:type="dxa"/>
            <w:vAlign w:val="bottom"/>
            <w:tcBorders>
              <w:right w:val="single" w:sz="8" w:color="auto"/>
            </w:tcBorders>
            <w:shd w:val="clear" w:color="auto" w:fill="000000"/>
          </w:tcPr>
          <w:p>
            <w:pPr>
              <w:jc w:val="center"/>
              <w:ind w:right="338"/>
              <w:spacing w:after="0"/>
              <w:rPr>
                <w:sz w:val="20"/>
                <w:szCs w:val="20"/>
                <w:color w:val="auto"/>
              </w:rPr>
            </w:pPr>
            <w:r>
              <w:rPr>
                <w:rFonts w:ascii="Arial" w:cs="Arial" w:eastAsia="Arial" w:hAnsi="Arial"/>
                <w:sz w:val="1"/>
                <w:szCs w:val="1"/>
                <w:color w:val="auto"/>
              </w:rPr>
              <w:t>001-10658</w:t>
            </w:r>
          </w:p>
        </w:tc>
        <w:tc>
          <w:tcPr>
            <w:tcW w:w="0" w:type="dxa"/>
            <w:vAlign w:val="bottom"/>
          </w:tcPr>
          <w:p>
            <w:pPr>
              <w:spacing w:after="0" w:line="20" w:lineRule="exact"/>
              <w:rPr>
                <w:sz w:val="1"/>
                <w:szCs w:val="1"/>
                <w:color w:val="auto"/>
              </w:rPr>
            </w:pPr>
          </w:p>
        </w:tc>
      </w:tr>
      <w:tr>
        <w:trPr>
          <w:trHeight w:val="182"/>
        </w:trPr>
        <w:tc>
          <w:tcPr>
            <w:tcW w:w="29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460" w:type="dxa"/>
            <w:vAlign w:val="bottom"/>
            <w:tcBorders>
              <w:right w:val="single" w:sz="8" w:color="auto"/>
            </w:tcBorders>
          </w:tcPr>
          <w:p>
            <w:pPr>
              <w:jc w:val="center"/>
              <w:ind w:right="338"/>
              <w:spacing w:after="0"/>
              <w:rPr>
                <w:sz w:val="20"/>
                <w:szCs w:val="20"/>
                <w:color w:val="auto"/>
              </w:rPr>
            </w:pPr>
            <w:r>
              <w:rPr>
                <w:rFonts w:ascii="Arial" w:cs="Arial" w:eastAsia="Arial" w:hAnsi="Arial"/>
                <w:sz w:val="14"/>
                <w:szCs w:val="14"/>
                <w:color w:val="auto"/>
                <w:w w:val="99"/>
              </w:rPr>
              <w:t>SEC FILE NUMBER</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4660" w:type="dxa"/>
            <w:vAlign w:val="bottom"/>
            <w:gridSpan w:val="2"/>
            <w:vMerge w:val="restart"/>
          </w:tcPr>
          <w:p>
            <w:pPr>
              <w:jc w:val="center"/>
              <w:ind w:left="690"/>
              <w:spacing w:after="0"/>
              <w:rPr>
                <w:sz w:val="20"/>
                <w:szCs w:val="20"/>
                <w:color w:val="auto"/>
              </w:rPr>
            </w:pPr>
            <w:r>
              <w:rPr>
                <w:rFonts w:ascii="Arial" w:cs="Arial" w:eastAsia="Arial" w:hAnsi="Arial"/>
                <w:sz w:val="18"/>
                <w:szCs w:val="18"/>
                <w:b w:val="1"/>
                <w:bCs w:val="1"/>
                <w:color w:val="auto"/>
              </w:rPr>
              <w:t>NOTIFICATION OF LATE FILING</w:t>
            </w:r>
          </w:p>
        </w:tc>
        <w:tc>
          <w:tcPr>
            <w:tcW w:w="9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460" w:type="dxa"/>
            <w:vAlign w:val="bottom"/>
            <w:tcBorders>
              <w:right w:val="single" w:sz="8" w:color="auto"/>
            </w:tcBorders>
          </w:tcPr>
          <w:p>
            <w:pPr>
              <w:jc w:val="center"/>
              <w:ind w:right="338"/>
              <w:spacing w:after="0"/>
              <w:rPr>
                <w:sz w:val="20"/>
                <w:szCs w:val="20"/>
                <w:color w:val="auto"/>
              </w:rPr>
            </w:pPr>
            <w:r>
              <w:rPr>
                <w:rFonts w:ascii="Arial" w:cs="Arial" w:eastAsia="Arial" w:hAnsi="Arial"/>
                <w:sz w:val="14"/>
                <w:szCs w:val="14"/>
                <w:color w:val="auto"/>
                <w:w w:val="98"/>
              </w:rPr>
              <w:t>CUSIP NUMBER</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15"/>
                <w:szCs w:val="15"/>
                <w:color w:val="auto"/>
              </w:rPr>
            </w:pPr>
          </w:p>
        </w:tc>
        <w:tc>
          <w:tcPr>
            <w:tcW w:w="4660" w:type="dxa"/>
            <w:vAlign w:val="bottom"/>
            <w:gridSpan w:val="2"/>
            <w:vMerge w:val="continue"/>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5"/>
        </w:trPr>
        <w:tc>
          <w:tcPr>
            <w:tcW w:w="2980" w:type="dxa"/>
            <w:vAlign w:val="bottom"/>
          </w:tcPr>
          <w:p>
            <w:pPr>
              <w:spacing w:after="0"/>
              <w:rPr>
                <w:sz w:val="20"/>
                <w:szCs w:val="20"/>
                <w:color w:val="auto"/>
              </w:rPr>
            </w:pPr>
            <w:r>
              <w:rPr>
                <w:rFonts w:ascii="Arial" w:cs="Arial" w:eastAsia="Arial" w:hAnsi="Arial"/>
                <w:sz w:val="18"/>
                <w:szCs w:val="18"/>
                <w:i w:val="1"/>
                <w:iCs w:val="1"/>
                <w:color w:val="auto"/>
                <w:w w:val="93"/>
              </w:rPr>
              <w:t>(Check one):</w:t>
            </w:r>
            <w:r>
              <w:rPr>
                <w:rFonts w:ascii="Arial" w:cs="Arial" w:eastAsia="Arial" w:hAnsi="Arial"/>
                <w:sz w:val="18"/>
                <w:szCs w:val="18"/>
                <w:color w:val="auto"/>
                <w:w w:val="93"/>
              </w:rPr>
              <w:t>o Form 10-K</w:t>
            </w:r>
          </w:p>
        </w:tc>
        <w:tc>
          <w:tcPr>
            <w:tcW w:w="1780" w:type="dxa"/>
            <w:vAlign w:val="bottom"/>
          </w:tcPr>
          <w:p>
            <w:pPr>
              <w:ind w:left="360"/>
              <w:spacing w:after="0"/>
              <w:rPr>
                <w:sz w:val="20"/>
                <w:szCs w:val="20"/>
                <w:color w:val="auto"/>
              </w:rPr>
            </w:pPr>
            <w:r>
              <w:rPr>
                <w:rFonts w:ascii="Arial" w:cs="Arial" w:eastAsia="Arial" w:hAnsi="Arial"/>
                <w:sz w:val="18"/>
                <w:szCs w:val="18"/>
                <w:color w:val="auto"/>
              </w:rPr>
              <w:t>o Form 20-F</w:t>
            </w:r>
          </w:p>
        </w:tc>
        <w:tc>
          <w:tcPr>
            <w:tcW w:w="2880" w:type="dxa"/>
            <w:vAlign w:val="bottom"/>
          </w:tcPr>
          <w:p>
            <w:pPr>
              <w:ind w:left="860"/>
              <w:spacing w:after="0"/>
              <w:rPr>
                <w:sz w:val="20"/>
                <w:szCs w:val="20"/>
                <w:color w:val="auto"/>
              </w:rPr>
            </w:pPr>
            <w:r>
              <w:rPr>
                <w:rFonts w:ascii="Arial" w:cs="Arial" w:eastAsia="Arial" w:hAnsi="Arial"/>
                <w:sz w:val="18"/>
                <w:szCs w:val="18"/>
                <w:color w:val="auto"/>
              </w:rPr>
              <w:t>o Form 11-K</w:t>
            </w:r>
          </w:p>
        </w:tc>
        <w:tc>
          <w:tcPr>
            <w:tcW w:w="1320" w:type="dxa"/>
            <w:vAlign w:val="bottom"/>
            <w:gridSpan w:val="2"/>
          </w:tcPr>
          <w:p>
            <w:pPr>
              <w:spacing w:after="0"/>
              <w:rPr>
                <w:sz w:val="20"/>
                <w:szCs w:val="20"/>
                <w:color w:val="auto"/>
              </w:rPr>
            </w:pPr>
            <w:r>
              <w:rPr>
                <w:rFonts w:ascii="Arial" w:cs="Arial" w:eastAsia="Arial" w:hAnsi="Arial"/>
                <w:sz w:val="18"/>
                <w:szCs w:val="18"/>
                <w:color w:val="auto"/>
              </w:rPr>
              <w:t>x Form 10-Q</w:t>
            </w:r>
          </w:p>
        </w:tc>
        <w:tc>
          <w:tcPr>
            <w:tcW w:w="2460" w:type="dxa"/>
            <w:vAlign w:val="bottom"/>
          </w:tcPr>
          <w:p>
            <w:pPr>
              <w:ind w:left="700"/>
              <w:spacing w:after="0"/>
              <w:rPr>
                <w:sz w:val="20"/>
                <w:szCs w:val="20"/>
                <w:color w:val="auto"/>
              </w:rPr>
            </w:pPr>
            <w:r>
              <w:rPr>
                <w:rFonts w:ascii="Arial" w:cs="Arial" w:eastAsia="Arial" w:hAnsi="Arial"/>
                <w:sz w:val="18"/>
                <w:szCs w:val="18"/>
                <w:color w:val="auto"/>
              </w:rPr>
              <w:t>o Form 10-D</w:t>
            </w:r>
          </w:p>
        </w:tc>
        <w:tc>
          <w:tcPr>
            <w:tcW w:w="0" w:type="dxa"/>
            <w:vAlign w:val="bottom"/>
          </w:tcPr>
          <w:p>
            <w:pPr>
              <w:spacing w:after="0"/>
              <w:rPr>
                <w:sz w:val="1"/>
                <w:szCs w:val="1"/>
                <w:color w:val="auto"/>
              </w:rPr>
            </w:pPr>
          </w:p>
        </w:tc>
      </w:tr>
      <w:tr>
        <w:trPr>
          <w:trHeight w:val="230"/>
        </w:trPr>
        <w:tc>
          <w:tcPr>
            <w:tcW w:w="2980" w:type="dxa"/>
            <w:vAlign w:val="bottom"/>
          </w:tcPr>
          <w:p>
            <w:pPr>
              <w:ind w:left="1300"/>
              <w:spacing w:after="0"/>
              <w:rPr>
                <w:sz w:val="20"/>
                <w:szCs w:val="20"/>
                <w:color w:val="auto"/>
              </w:rPr>
            </w:pPr>
            <w:r>
              <w:rPr>
                <w:rFonts w:ascii="Arial" w:cs="Arial" w:eastAsia="Arial" w:hAnsi="Arial"/>
                <w:sz w:val="18"/>
                <w:szCs w:val="18"/>
                <w:color w:val="auto"/>
              </w:rPr>
              <w:t>o Form N-SAR</w:t>
            </w:r>
          </w:p>
        </w:tc>
        <w:tc>
          <w:tcPr>
            <w:tcW w:w="1780" w:type="dxa"/>
            <w:vAlign w:val="bottom"/>
          </w:tcPr>
          <w:p>
            <w:pPr>
              <w:ind w:left="360"/>
              <w:spacing w:after="0"/>
              <w:rPr>
                <w:sz w:val="20"/>
                <w:szCs w:val="20"/>
                <w:color w:val="auto"/>
              </w:rPr>
            </w:pPr>
            <w:r>
              <w:rPr>
                <w:rFonts w:ascii="Arial" w:cs="Arial" w:eastAsia="Arial" w:hAnsi="Arial"/>
                <w:sz w:val="18"/>
                <w:szCs w:val="18"/>
                <w:color w:val="auto"/>
              </w:rPr>
              <w:t>o Form N-CSR</w:t>
            </w:r>
          </w:p>
        </w:tc>
        <w:tc>
          <w:tcPr>
            <w:tcW w:w="2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980" w:type="dxa"/>
            <w:vAlign w:val="bottom"/>
          </w:tcPr>
          <w:p>
            <w:pPr>
              <w:ind w:left="1300"/>
              <w:spacing w:after="0"/>
              <w:rPr>
                <w:sz w:val="20"/>
                <w:szCs w:val="20"/>
                <w:color w:val="auto"/>
              </w:rPr>
            </w:pPr>
            <w:r>
              <w:rPr>
                <w:rFonts w:ascii="Arial" w:cs="Arial" w:eastAsia="Arial" w:hAnsi="Arial"/>
                <w:sz w:val="18"/>
                <w:szCs w:val="18"/>
                <w:color w:val="auto"/>
              </w:rPr>
              <w:t>For Period Ended:</w:t>
            </w:r>
          </w:p>
        </w:tc>
        <w:tc>
          <w:tcPr>
            <w:tcW w:w="1780" w:type="dxa"/>
            <w:vAlign w:val="bottom"/>
          </w:tcPr>
          <w:p>
            <w:pPr>
              <w:ind w:left="360"/>
              <w:spacing w:after="0"/>
              <w:rPr>
                <w:sz w:val="20"/>
                <w:szCs w:val="20"/>
                <w:color w:val="auto"/>
              </w:rPr>
            </w:pPr>
            <w:r>
              <w:rPr>
                <w:rFonts w:ascii="Arial" w:cs="Arial" w:eastAsia="Arial" w:hAnsi="Arial"/>
                <w:sz w:val="18"/>
                <w:szCs w:val="18"/>
                <w:color w:val="auto"/>
                <w:w w:val="88"/>
              </w:rPr>
              <w:t>November 30, 2006</w:t>
            </w:r>
          </w:p>
        </w:tc>
        <w:tc>
          <w:tcPr>
            <w:tcW w:w="2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300"/>
        <w:spacing w:after="0"/>
        <w:rPr>
          <w:sz w:val="20"/>
          <w:szCs w:val="20"/>
          <w:color w:val="auto"/>
        </w:rPr>
      </w:pPr>
      <w:r>
        <w:rPr>
          <w:rFonts w:ascii="Arial" w:cs="Arial" w:eastAsia="Arial" w:hAnsi="Arial"/>
          <w:sz w:val="18"/>
          <w:szCs w:val="18"/>
          <w:color w:val="auto"/>
        </w:rPr>
        <w:t>o Transition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-130810</wp:posOffset>
            </wp:positionV>
            <wp:extent cx="5137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o Transition Report on Form 20-F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 Transition Report on Form 11-K</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 Transition Report on Form 10-Q</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 Transition Report on Form N-SAR</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5715</wp:posOffset>
            </wp:positionV>
            <wp:extent cx="4262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Read Instructions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8000 S. Federal Way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Boise, Idaho 83716-9632</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4"/>
          <w:szCs w:val="24"/>
          <w:color w:val="auto"/>
        </w:rPr>
      </w:pPr>
    </w:p>
    <w:p>
      <w:pPr>
        <w:ind w:left="820" w:hanging="348"/>
        <w:spacing w:after="0"/>
        <w:tabs>
          <w:tab w:leader="none" w:pos="82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23" w:lineRule="exact"/>
        <w:rPr>
          <w:rFonts w:ascii="Arial" w:cs="Arial" w:eastAsia="Arial" w:hAnsi="Arial"/>
          <w:sz w:val="18"/>
          <w:szCs w:val="18"/>
          <w:color w:val="auto"/>
        </w:rPr>
      </w:pPr>
    </w:p>
    <w:p>
      <w:pPr>
        <w:ind w:left="820" w:hanging="348"/>
        <w:spacing w:after="0"/>
        <w:tabs>
          <w:tab w:leader="none" w:pos="82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 or portion</w:t>
      </w:r>
    </w:p>
    <w:p>
      <w:pPr>
        <w:spacing w:after="0" w:line="32" w:lineRule="exact"/>
        <w:rPr>
          <w:rFonts w:ascii="Arial" w:cs="Arial" w:eastAsia="Arial" w:hAnsi="Arial"/>
          <w:sz w:val="16"/>
          <w:szCs w:val="16"/>
          <w:color w:val="auto"/>
        </w:rPr>
      </w:pPr>
    </w:p>
    <w:p>
      <w:pPr>
        <w:ind w:left="820" w:right="20" w:hanging="659"/>
        <w:spacing w:after="0" w:line="250" w:lineRule="auto"/>
        <w:rPr>
          <w:rFonts w:ascii="Arial" w:cs="Arial" w:eastAsia="Arial" w:hAnsi="Arial"/>
          <w:sz w:val="16"/>
          <w:szCs w:val="16"/>
          <w:color w:val="auto"/>
        </w:rPr>
      </w:pPr>
      <w:r>
        <w:rPr>
          <w:rFonts w:ascii="Arial" w:cs="Arial" w:eastAsia="Arial" w:hAnsi="Arial"/>
          <w:sz w:val="36"/>
          <w:szCs w:val="36"/>
          <w:color w:val="auto"/>
          <w:vertAlign w:val="subscript"/>
        </w:rPr>
        <w:t>x</w:t>
      </w:r>
      <w:r>
        <w:rPr>
          <w:rFonts w:ascii="Arial" w:cs="Arial" w:eastAsia="Arial" w:hAnsi="Arial"/>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 w:lineRule="exact"/>
        <w:rPr>
          <w:rFonts w:ascii="Arial" w:cs="Arial" w:eastAsia="Arial" w:hAnsi="Arial"/>
          <w:sz w:val="16"/>
          <w:szCs w:val="16"/>
          <w:color w:val="auto"/>
        </w:rPr>
      </w:pPr>
    </w:p>
    <w:p>
      <w:pPr>
        <w:ind w:left="820" w:hanging="348"/>
        <w:spacing w:after="0"/>
        <w:tabs>
          <w:tab w:leader="none" w:pos="82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-816610</wp:posOffset>
            </wp:positionV>
            <wp:extent cx="8890" cy="823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823595"/>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70"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On January 9, 2007, the Company announced that it had entered into a settlement agreement with a class of direct purchasers of certain DRAM products. The Company is postponing the filing of its Quarterly Report on Form 10-Q for its first quarter of fiscal 2007 ended November 30, 2006, to permit it to reflect this in the financial statements and the corresponding management discussion and analysis.</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 1344 (03-05)</w:t>
            </w:r>
          </w:p>
        </w:tc>
        <w:tc>
          <w:tcPr>
            <w:tcW w:w="9540" w:type="dxa"/>
            <w:vAlign w:val="bottom"/>
          </w:tcPr>
          <w:p>
            <w:pPr>
              <w:ind w:left="320"/>
              <w:spacing w:after="0"/>
              <w:rPr>
                <w:sz w:val="20"/>
                <w:szCs w:val="20"/>
                <w:color w:val="auto"/>
              </w:rPr>
            </w:pPr>
            <w:r>
              <w:rPr>
                <w:rFonts w:ascii="Arial" w:cs="Arial" w:eastAsia="Arial" w:hAnsi="Arial"/>
                <w:sz w:val="18"/>
                <w:szCs w:val="18"/>
                <w:b w:val="1"/>
                <w:bCs w:val="1"/>
                <w:color w:val="auto"/>
                <w:w w:val="88"/>
              </w:rPr>
              <w:t>Persons who are to respond to the collection of information contained in this form are not required to respond unless the</w:t>
            </w:r>
          </w:p>
        </w:tc>
      </w:tr>
      <w:tr>
        <w:trPr>
          <w:trHeight w:val="234"/>
        </w:trPr>
        <w:tc>
          <w:tcPr>
            <w:tcW w:w="1660" w:type="dxa"/>
            <w:vAlign w:val="bottom"/>
          </w:tcPr>
          <w:p>
            <w:pPr>
              <w:spacing w:after="0"/>
              <w:rPr>
                <w:sz w:val="20"/>
                <w:szCs w:val="20"/>
                <w:color w:val="auto"/>
              </w:rPr>
            </w:pPr>
          </w:p>
        </w:tc>
        <w:tc>
          <w:tcPr>
            <w:tcW w:w="9540" w:type="dxa"/>
            <w:vAlign w:val="bottom"/>
          </w:tcPr>
          <w:p>
            <w:pPr>
              <w:ind w:left="320"/>
              <w:spacing w:after="0"/>
              <w:rPr>
                <w:sz w:val="20"/>
                <w:szCs w:val="20"/>
                <w:color w:val="auto"/>
              </w:rPr>
            </w:pPr>
            <w:r>
              <w:rPr>
                <w:rFonts w:ascii="Arial" w:cs="Arial" w:eastAsia="Arial" w:hAnsi="Arial"/>
                <w:sz w:val="18"/>
                <w:szCs w:val="18"/>
                <w:b w:val="1"/>
                <w:bCs w:val="1"/>
                <w:color w:val="auto"/>
              </w:rPr>
              <w:t>form displays a currently valid OMB control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(Attach extra Sheets if Needed)</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ectPr>
          <w:pgSz w:w="11900" w:h="16838" w:orient="portrait"/>
          <w:cols w:equalWidth="0" w:num="1">
            <w:col w:w="11420"/>
          </w:cols>
          <w:pgMar w:left="240" w:top="660" w:right="239" w:bottom="0" w:gutter="0" w:footer="0" w:header="0"/>
        </w:sectPr>
      </w:pPr>
    </w:p>
    <w:bookmarkStart w:id="1" w:name="page2"/>
    <w:bookmarkEnd w:id="1"/>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728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W. G. Stover, Jr.</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(208)</w:t>
            </w:r>
          </w:p>
        </w:tc>
        <w:tc>
          <w:tcPr>
            <w:tcW w:w="420" w:type="dxa"/>
            <w:vAlign w:val="bottom"/>
          </w:tcPr>
          <w:p>
            <w:pPr>
              <w:spacing w:after="0"/>
              <w:rPr>
                <w:sz w:val="18"/>
                <w:szCs w:val="18"/>
                <w:color w:val="auto"/>
              </w:rPr>
            </w:pPr>
          </w:p>
        </w:tc>
        <w:tc>
          <w:tcPr>
            <w:tcW w:w="2060" w:type="dxa"/>
            <w:vAlign w:val="bottom"/>
          </w:tcPr>
          <w:p>
            <w:pPr>
              <w:jc w:val="right"/>
              <w:ind w:right="610"/>
              <w:spacing w:after="0"/>
              <w:rPr>
                <w:sz w:val="20"/>
                <w:szCs w:val="20"/>
                <w:color w:val="auto"/>
              </w:rPr>
            </w:pPr>
            <w:r>
              <w:rPr>
                <w:rFonts w:ascii="Arial" w:cs="Arial" w:eastAsia="Arial" w:hAnsi="Arial"/>
                <w:sz w:val="18"/>
                <w:szCs w:val="18"/>
                <w:color w:val="auto"/>
              </w:rPr>
              <w:t>368-4621</w:t>
            </w:r>
          </w:p>
        </w:tc>
      </w:tr>
      <w:tr>
        <w:trPr>
          <w:trHeight w:val="224"/>
        </w:trPr>
        <w:tc>
          <w:tcPr>
            <w:tcW w:w="6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4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42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(Telephone Number)</w:t>
            </w:r>
          </w:p>
        </w:tc>
      </w:tr>
    </w:tbl>
    <w:p>
      <w:pPr>
        <w:spacing w:after="0" w:line="187" w:lineRule="exact"/>
        <w:rPr>
          <w:sz w:val="20"/>
          <w:szCs w:val="20"/>
          <w:color w:val="auto"/>
        </w:rPr>
      </w:pPr>
    </w:p>
    <w:p>
      <w:pPr>
        <w:ind w:left="420" w:right="40" w:hanging="412"/>
        <w:spacing w:after="0" w:line="264"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 If answer is no, identify report(s).</w:t>
      </w:r>
    </w:p>
    <w:p>
      <w:pPr>
        <w:spacing w:after="0" w:line="181" w:lineRule="exact"/>
        <w:rPr>
          <w:rFonts w:ascii="Arial" w:cs="Arial" w:eastAsia="Arial" w:hAnsi="Arial"/>
          <w:sz w:val="18"/>
          <w:szCs w:val="18"/>
          <w:color w:val="auto"/>
        </w:rPr>
      </w:pPr>
    </w:p>
    <w:p>
      <w:pPr>
        <w:ind w:left="9360"/>
        <w:spacing w:after="0"/>
        <w:rPr>
          <w:rFonts w:ascii="Arial" w:cs="Arial" w:eastAsia="Arial" w:hAnsi="Arial"/>
          <w:sz w:val="18"/>
          <w:szCs w:val="18"/>
          <w:color w:val="auto"/>
        </w:rPr>
      </w:pPr>
      <w:r>
        <w:rPr>
          <w:rFonts w:ascii="Arial" w:cs="Arial" w:eastAsia="Arial" w:hAnsi="Arial"/>
          <w:sz w:val="18"/>
          <w:szCs w:val="18"/>
          <w:color w:val="auto"/>
        </w:rPr>
        <w:t>x Yes  o No</w:t>
      </w:r>
    </w:p>
    <w:p>
      <w:pPr>
        <w:spacing w:after="0" w:line="238" w:lineRule="exact"/>
        <w:rPr>
          <w:rFonts w:ascii="Arial" w:cs="Arial" w:eastAsia="Arial" w:hAnsi="Arial"/>
          <w:sz w:val="18"/>
          <w:szCs w:val="18"/>
          <w:color w:val="auto"/>
        </w:rPr>
      </w:pPr>
    </w:p>
    <w:p>
      <w:pPr>
        <w:ind w:left="420" w:right="20" w:hanging="412"/>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-302260</wp:posOffset>
            </wp:positionV>
            <wp:extent cx="6989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50" w:lineRule="exact"/>
        <w:rPr>
          <w:sz w:val="20"/>
          <w:szCs w:val="20"/>
          <w:color w:val="auto"/>
        </w:rPr>
      </w:pPr>
    </w:p>
    <w:p>
      <w:pPr>
        <w:ind w:left="9360"/>
        <w:spacing w:after="0"/>
        <w:tabs>
          <w:tab w:leader="none" w:pos="9900" w:val="left"/>
        </w:tabs>
        <w:rPr>
          <w:sz w:val="20"/>
          <w:szCs w:val="20"/>
          <w:color w:val="auto"/>
        </w:rPr>
      </w:pPr>
      <w:r>
        <w:rPr>
          <w:rFonts w:ascii="Arial" w:cs="Arial" w:eastAsia="Arial" w:hAnsi="Arial"/>
          <w:sz w:val="18"/>
          <w:szCs w:val="18"/>
          <w:color w:val="auto"/>
        </w:rPr>
        <w:t>o Yes</w:t>
      </w:r>
      <w:r>
        <w:rPr>
          <w:sz w:val="20"/>
          <w:szCs w:val="20"/>
          <w:color w:val="auto"/>
        </w:rPr>
        <w:tab/>
      </w:r>
      <w:r>
        <w:rPr>
          <w:rFonts w:ascii="Arial" w:cs="Arial" w:eastAsia="Arial" w:hAnsi="Arial"/>
          <w:sz w:val="17"/>
          <w:szCs w:val="17"/>
          <w:color w:val="auto"/>
        </w:rPr>
        <w:t>x No</w:t>
      </w:r>
    </w:p>
    <w:p>
      <w:pPr>
        <w:spacing w:after="0" w:line="225"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151765</wp:posOffset>
            </wp:positionV>
            <wp:extent cx="57804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960" w:val="left"/>
          <w:tab w:leader="none" w:pos="4080" w:val="left"/>
          <w:tab w:leader="none" w:pos="4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wp:posOffset>
            </wp:positionV>
            <wp:extent cx="6629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273"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INSTRUCTIONS</w:t>
      </w:r>
    </w:p>
    <w:p>
      <w:pPr>
        <w:spacing w:after="0" w:line="12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form is required by Rule 12b-25 (17 CFR 240.12b-25) of the General Rules and Regulations under the Securities Exchange Act of 1934.</w:t>
      </w:r>
    </w:p>
    <w:p>
      <w:pPr>
        <w:spacing w:after="0" w:line="128" w:lineRule="exact"/>
        <w:rPr>
          <w:rFonts w:ascii="Arial" w:cs="Arial" w:eastAsia="Arial" w:hAnsi="Arial"/>
          <w:sz w:val="17"/>
          <w:szCs w:val="17"/>
          <w:color w:val="auto"/>
        </w:rPr>
      </w:pPr>
    </w:p>
    <w:p>
      <w:pPr>
        <w:ind w:left="340" w:right="40" w:hanging="332"/>
        <w:spacing w:after="0" w:line="264" w:lineRule="auto"/>
        <w:tabs>
          <w:tab w:leader="none" w:pos="353"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signed original and four conformed copies of this form and amendments thereto must be completed and filed with the Securities and Exchange Commission, Washington, D.C. 20549, in accordance with Rule 0-3 of the General Rules and Regulations under the Act. The information contained in or filed with the form will be made a matter of public record in the Commission files.</w:t>
      </w:r>
    </w:p>
    <w:p>
      <w:pPr>
        <w:spacing w:after="0" w:line="73" w:lineRule="exact"/>
        <w:rPr>
          <w:rFonts w:ascii="Arial" w:cs="Arial" w:eastAsia="Arial" w:hAnsi="Arial"/>
          <w:sz w:val="18"/>
          <w:szCs w:val="18"/>
          <w:color w:val="auto"/>
        </w:rPr>
      </w:pPr>
    </w:p>
    <w:p>
      <w:pPr>
        <w:ind w:left="340" w:right="80" w:hanging="332"/>
        <w:spacing w:after="0" w:line="277" w:lineRule="auto"/>
        <w:tabs>
          <w:tab w:leader="none" w:pos="353"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manually signed copy of the form and amendments thereto shall be filed with each national securities exchange on which any class of securities of the registrant is registered.</w:t>
      </w:r>
    </w:p>
    <w:p>
      <w:pPr>
        <w:spacing w:after="0" w:line="62" w:lineRule="exact"/>
        <w:rPr>
          <w:rFonts w:ascii="Arial" w:cs="Arial" w:eastAsia="Arial" w:hAnsi="Arial"/>
          <w:sz w:val="18"/>
          <w:szCs w:val="18"/>
          <w:color w:val="auto"/>
        </w:rPr>
      </w:pPr>
    </w:p>
    <w:p>
      <w:pPr>
        <w:ind w:left="340" w:right="80" w:hanging="332"/>
        <w:spacing w:after="0" w:line="277" w:lineRule="auto"/>
        <w:tabs>
          <w:tab w:leader="none" w:pos="353"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Amendments to the notifications must also be filed on Form 12b-25 but need not restate information that has been correctly furnished. The form shall be clearly identified as an amended notification.</w:t>
      </w:r>
    </w:p>
    <w:p>
      <w:pPr>
        <w:spacing w:after="0" w:line="62" w:lineRule="exact"/>
        <w:rPr>
          <w:rFonts w:ascii="Arial" w:cs="Arial" w:eastAsia="Arial" w:hAnsi="Arial"/>
          <w:sz w:val="18"/>
          <w:szCs w:val="18"/>
          <w:color w:val="auto"/>
        </w:rPr>
      </w:pPr>
    </w:p>
    <w:p>
      <w:pPr>
        <w:ind w:left="340" w:right="20" w:hanging="332"/>
        <w:spacing w:after="0" w:line="312" w:lineRule="auto"/>
        <w:tabs>
          <w:tab w:leader="none" w:pos="353"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Electronic Filers</w:t>
      </w:r>
      <w:r>
        <w:rPr>
          <w:rFonts w:ascii="Arial" w:cs="Arial" w:eastAsia="Arial" w:hAnsi="Arial"/>
          <w:sz w:val="16"/>
          <w:szCs w:val="16"/>
          <w:color w:val="auto"/>
        </w:rPr>
        <w:t>: This form shall not be used by electronic filers unable to timely file a report solely due to electronic difficulties. Filers unable to submit</w:t>
      </w:r>
      <w:r>
        <w:rPr>
          <w:rFonts w:ascii="Arial" w:cs="Arial" w:eastAsia="Arial" w:hAnsi="Arial"/>
          <w:sz w:val="16"/>
          <w:szCs w:val="16"/>
          <w:i w:val="1"/>
          <w:iCs w:val="1"/>
          <w:color w:val="auto"/>
        </w:rPr>
        <w:t xml:space="preserve"> </w:t>
      </w:r>
      <w:r>
        <w:rPr>
          <w:rFonts w:ascii="Arial" w:cs="Arial" w:eastAsia="Arial" w:hAnsi="Arial"/>
          <w:sz w:val="16"/>
          <w:szCs w:val="16"/>
          <w:color w:val="auto"/>
        </w:rPr>
        <w:t>reports within the time period prescribed due to difficulties in electronic filing should comply with either Rule 201 or Rule 202 of Regulation S-T (§232.201 or §232.202 of this chapter) or apply for an adjustment in filing date pursuant to Rule 13(b) of Regulation S-T (§232.13(b) of this chapter).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
    </w:lvl>
    <w:lvl w:ilvl="1">
      <w:lvlJc w:val="left"/>
      <w:lvlText w:val="(%2)"/>
      <w:numFmt w:val="lowerLetter"/>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lvl w:ilvl="1">
      <w:lvlJc w:val="left"/>
      <w:lvlText w:val="%2"/>
      <w:numFmt w:val="lowerRoman"/>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2019-12-13T13:28:39Z</dcterms:created>
  <dcterms:modified xsi:type="dcterms:W3CDTF">2019-12-13T13:28:39Z</dcterms:modified>
</cp:coreProperties>
</file>