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tabs>
          <w:tab w:leader="none" w:pos="5540" w:val="left"/>
          <w:tab w:leader="none" w:pos="10320" w:val="left"/>
        </w:tabs>
        <w:rPr>
          <w:sz w:val="20"/>
          <w:szCs w:val="20"/>
          <w:color w:val="auto"/>
        </w:rPr>
      </w:pPr>
      <w:r>
        <w:rPr>
          <w:rFonts w:ascii="Arial" w:cs="Arial" w:eastAsia="Arial" w:hAnsi="Arial"/>
          <w:sz w:val="18"/>
          <w:szCs w:val="18"/>
          <w:color w:val="auto"/>
        </w:rPr>
        <w:t>CUSIP NO. 595112103</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6"/>
          <w:szCs w:val="16"/>
          <w:color w:val="auto"/>
        </w:rPr>
        <w:t>PAGE 1 OF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SCHEDULE 13G</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(Rule 13d-102)</w:t>
      </w:r>
    </w:p>
    <w:p>
      <w:pPr>
        <w:spacing w:after="0" w:line="252"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INFORMATION TO BE INCLUDED IN STATEMENTS FILED PURSUANT TO RULES 13d-1(b)(c), AND (d) AND</w:t>
      </w:r>
    </w:p>
    <w:p>
      <w:pPr>
        <w:spacing w:after="0" w:line="23"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AMENDMENTS THERETO FILED PURSUANT TO RULE 13d-2(b)</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Micron Technology, Inc.</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Common Stock</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595112103</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December 31, 2013</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jc w:val="both"/>
        <w:ind w:left="500" w:right="9660" w:hanging="6"/>
        <w:spacing w:after="0" w:line="291" w:lineRule="auto"/>
        <w:tabs>
          <w:tab w:leader="none" w:pos="755"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13d-1(b) [ ] Rule 13d-1(c)</w:t>
      </w:r>
    </w:p>
    <w:p>
      <w:pPr>
        <w:ind w:left="500"/>
        <w:spacing w:after="0"/>
        <w:rPr>
          <w:rFonts w:ascii="Arial" w:cs="Arial" w:eastAsia="Arial" w:hAnsi="Arial"/>
          <w:sz w:val="16"/>
          <w:szCs w:val="16"/>
          <w:color w:val="auto"/>
        </w:rPr>
      </w:pPr>
      <w:r>
        <w:rPr>
          <w:rFonts w:ascii="Arial" w:cs="Arial" w:eastAsia="Arial" w:hAnsi="Arial"/>
          <w:sz w:val="18"/>
          <w:szCs w:val="18"/>
          <w:color w:val="auto"/>
        </w:rPr>
        <w:t>[ ] Rule 13d-1(d)</w:t>
      </w:r>
    </w:p>
    <w:p>
      <w:pPr>
        <w:spacing w:after="0" w:line="9" w:lineRule="exact"/>
        <w:rPr>
          <w:rFonts w:ascii="Arial" w:cs="Arial" w:eastAsia="Arial" w:hAnsi="Arial"/>
          <w:sz w:val="16"/>
          <w:szCs w:val="16"/>
          <w:color w:val="auto"/>
        </w:rPr>
      </w:pPr>
    </w:p>
    <w:p>
      <w:pPr>
        <w:ind w:left="500"/>
        <w:spacing w:after="0"/>
        <w:rPr>
          <w:rFonts w:ascii="Arial" w:cs="Arial" w:eastAsia="Arial" w:hAnsi="Arial"/>
          <w:sz w:val="16"/>
          <w:szCs w:val="16"/>
          <w:color w:val="auto"/>
        </w:rPr>
      </w:pPr>
      <w:r>
        <w:rPr>
          <w:rFonts w:ascii="Arial" w:cs="Arial" w:eastAsia="Arial" w:hAnsi="Arial"/>
          <w:sz w:val="18"/>
          <w:szCs w:val="18"/>
          <w:color w:val="auto"/>
        </w:rPr>
        <w:t>______________</w:t>
      </w:r>
    </w:p>
    <w:p>
      <w:pPr>
        <w:spacing w:after="0" w:line="9" w:lineRule="exact"/>
        <w:rPr>
          <w:rFonts w:ascii="Arial" w:cs="Arial" w:eastAsia="Arial" w:hAnsi="Arial"/>
          <w:sz w:val="16"/>
          <w:szCs w:val="16"/>
          <w:color w:val="auto"/>
        </w:rPr>
      </w:pPr>
    </w:p>
    <w:p>
      <w:pPr>
        <w:ind w:left="500"/>
        <w:spacing w:after="0"/>
        <w:rPr>
          <w:rFonts w:ascii="Arial" w:cs="Arial" w:eastAsia="Arial" w:hAnsi="Arial"/>
          <w:sz w:val="16"/>
          <w:szCs w:val="16"/>
          <w:color w:val="auto"/>
        </w:rPr>
      </w:pPr>
      <w:r>
        <w:rPr>
          <w:rFonts w:ascii="Arial" w:cs="Arial" w:eastAsia="Arial" w:hAnsi="Arial"/>
          <w:sz w:val="16"/>
          <w:szCs w:val="16"/>
          <w:color w:val="auto"/>
        </w:rPr>
        <w:t>* The remainder of this cover page shall be filled out for a reporting person's initial filing on this form with respect to the subject class of securities,</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and for any subsequent amendment containing information which would alter the disclosures provided in a prior cover page.</w:t>
      </w:r>
    </w:p>
    <w:p>
      <w:pPr>
        <w:spacing w:after="0" w:line="238" w:lineRule="exact"/>
        <w:rPr>
          <w:sz w:val="24"/>
          <w:szCs w:val="24"/>
          <w:color w:val="auto"/>
        </w:rPr>
      </w:pPr>
    </w:p>
    <w:p>
      <w:pPr>
        <w:ind w:firstLine="486"/>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360045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19" w:right="239" w:bottom="1440" w:gutter="0" w:footer="0" w:header="0"/>
        </w:sectPr>
      </w:pPr>
    </w:p>
    <w:bookmarkStart w:id="1" w:name="page2"/>
    <w:bookmarkEnd w:id="1"/>
    <w:p>
      <w:pPr>
        <w:spacing w:after="0"/>
        <w:tabs>
          <w:tab w:leader="none" w:pos="5540" w:val="left"/>
          <w:tab w:leader="none" w:pos="10320" w:val="left"/>
        </w:tabs>
        <w:rPr>
          <w:sz w:val="20"/>
          <w:szCs w:val="20"/>
          <w:color w:val="auto"/>
        </w:rPr>
      </w:pPr>
      <w:r>
        <w:rPr>
          <w:rFonts w:ascii="Arial" w:cs="Arial" w:eastAsia="Arial" w:hAnsi="Arial"/>
          <w:sz w:val="18"/>
          <w:szCs w:val="18"/>
          <w:color w:val="auto"/>
        </w:rPr>
        <w:t>CUSIP NO. 595112103</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6"/>
          <w:szCs w:val="16"/>
          <w:color w:val="auto"/>
        </w:rPr>
        <w:t>PAGE 2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9" w:lineRule="exact"/>
        <w:rPr>
          <w:sz w:val="20"/>
          <w:szCs w:val="20"/>
          <w:color w:val="auto"/>
        </w:rPr>
      </w:pPr>
    </w:p>
    <w:p>
      <w:pPr>
        <w:ind w:left="500" w:right="3760" w:hanging="492"/>
        <w:spacing w:after="0" w:line="532" w:lineRule="auto"/>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 S.S. OR I.R.S. IDENTIFICATION NO.OF ABOVE PERSON The Baupost Group, L.L.C., 04-3402144</w:t>
      </w:r>
    </w:p>
    <w:p>
      <w:pPr>
        <w:ind w:left="500" w:hanging="492"/>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52" w:lineRule="exact"/>
        <w:rPr>
          <w:rFonts w:ascii="Arial" w:cs="Arial" w:eastAsia="Arial" w:hAnsi="Arial"/>
          <w:sz w:val="18"/>
          <w:szCs w:val="18"/>
          <w:color w:val="auto"/>
        </w:rPr>
      </w:pPr>
    </w:p>
    <w:p>
      <w:pPr>
        <w:spacing w:after="0"/>
        <w:tabs>
          <w:tab w:leader="none" w:pos="0" w:val="left"/>
        </w:tabs>
        <w:numPr>
          <w:ilvl w:val="1"/>
          <w:numId w:val="2"/>
        </w:numPr>
        <w:rPr>
          <w:rFonts w:ascii="Arial" w:cs="Arial" w:eastAsia="Arial" w:hAnsi="Arial"/>
          <w:sz w:val="18"/>
          <w:szCs w:val="18"/>
          <w:color w:val="auto"/>
        </w:rPr>
      </w:pPr>
    </w:p>
    <w:p>
      <w:pPr>
        <w:spacing w:after="0" w:line="23" w:lineRule="exact"/>
        <w:rPr>
          <w:rFonts w:ascii="Arial" w:cs="Arial" w:eastAsia="Arial" w:hAnsi="Arial"/>
          <w:sz w:val="18"/>
          <w:szCs w:val="18"/>
          <w:color w:val="auto"/>
        </w:rPr>
      </w:pPr>
    </w:p>
    <w:p>
      <w:pPr>
        <w:ind w:left="740" w:hanging="246"/>
        <w:spacing w:after="0"/>
        <w:tabs>
          <w:tab w:leader="none" w:pos="740" w:val="left"/>
        </w:tabs>
        <w:numPr>
          <w:ilvl w:val="1"/>
          <w:numId w:val="2"/>
        </w:numPr>
        <w:rPr>
          <w:rFonts w:ascii="Arial" w:cs="Arial" w:eastAsia="Arial" w:hAnsi="Arial"/>
          <w:sz w:val="18"/>
          <w:szCs w:val="18"/>
          <w:color w:val="auto"/>
        </w:rPr>
      </w:pPr>
      <w:r>
        <w:rPr>
          <w:rFonts w:ascii="Arial" w:cs="Arial" w:eastAsia="Arial" w:hAnsi="Arial"/>
          <w:sz w:val="18"/>
          <w:szCs w:val="18"/>
          <w:color w:val="auto"/>
        </w:rPr>
        <w:t>X</w:t>
      </w:r>
    </w:p>
    <w:p>
      <w:pPr>
        <w:spacing w:after="0" w:line="237" w:lineRule="exact"/>
        <w:rPr>
          <w:rFonts w:ascii="Arial" w:cs="Arial" w:eastAsia="Arial" w:hAnsi="Arial"/>
          <w:sz w:val="18"/>
          <w:szCs w:val="18"/>
          <w:color w:val="auto"/>
        </w:rPr>
      </w:pPr>
    </w:p>
    <w:p>
      <w:pPr>
        <w:ind w:left="500" w:hanging="492"/>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500" w:right="7260" w:hanging="492"/>
        <w:spacing w:after="0" w:line="563" w:lineRule="auto"/>
        <w:tabs>
          <w:tab w:leader="none" w:pos="500" w:val="left"/>
        </w:tabs>
        <w:numPr>
          <w:ilvl w:val="0"/>
          <w:numId w:val="2"/>
        </w:numPr>
        <w:rPr>
          <w:rFonts w:ascii="Arial" w:cs="Arial" w:eastAsia="Arial" w:hAnsi="Arial"/>
          <w:sz w:val="17"/>
          <w:szCs w:val="17"/>
          <w:color w:val="auto"/>
        </w:rPr>
      </w:pPr>
      <w:r>
        <w:rPr>
          <w:rFonts w:ascii="Arial" w:cs="Arial" w:eastAsia="Arial" w:hAnsi="Arial"/>
          <w:sz w:val="17"/>
          <w:szCs w:val="17"/>
          <w:color w:val="auto"/>
        </w:rPr>
        <w:t>CITIZENSHIP OR PLACE OF ORGANIZATION The Commonwealth of Massachusetts</w:t>
      </w:r>
    </w:p>
    <w:p>
      <w:pPr>
        <w:spacing w:after="0" w:line="1" w:lineRule="exact"/>
        <w:rPr>
          <w:rFonts w:ascii="Arial" w:cs="Arial" w:eastAsia="Arial" w:hAnsi="Arial"/>
          <w:sz w:val="17"/>
          <w:szCs w:val="17"/>
          <w:color w:val="auto"/>
        </w:rPr>
      </w:pPr>
    </w:p>
    <w:p>
      <w:pPr>
        <w:ind w:left="500"/>
        <w:spacing w:after="0"/>
        <w:rPr>
          <w:rFonts w:ascii="Arial" w:cs="Arial" w:eastAsia="Arial" w:hAnsi="Arial"/>
          <w:sz w:val="17"/>
          <w:szCs w:val="17"/>
          <w:color w:val="auto"/>
        </w:rPr>
      </w:pPr>
      <w:r>
        <w:rPr>
          <w:rFonts w:ascii="Arial" w:cs="Arial" w:eastAsia="Arial" w:hAnsi="Arial"/>
          <w:sz w:val="18"/>
          <w:szCs w:val="18"/>
          <w:color w:val="auto"/>
        </w:rPr>
        <w:t>NUMBER OF SHARES BENEFICIALLY OWNED BY EACH REPORTING PERSON:</w:t>
      </w:r>
    </w:p>
    <w:p>
      <w:pPr>
        <w:spacing w:after="0" w:line="252" w:lineRule="exact"/>
        <w:rPr>
          <w:rFonts w:ascii="Arial" w:cs="Arial" w:eastAsia="Arial" w:hAnsi="Arial"/>
          <w:sz w:val="17"/>
          <w:szCs w:val="17"/>
          <w:color w:val="auto"/>
        </w:rPr>
      </w:pPr>
    </w:p>
    <w:p>
      <w:pPr>
        <w:ind w:left="500" w:right="8560" w:hanging="492"/>
        <w:spacing w:after="0" w:line="532" w:lineRule="auto"/>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WITH SOLE VOTING POWER 0</w:t>
      </w:r>
    </w:p>
    <w:p>
      <w:pPr>
        <w:ind w:left="500" w:right="8280" w:hanging="492"/>
        <w:spacing w:after="0" w:line="532" w:lineRule="auto"/>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WITH SHARED VOTING POWER 61,655,434</w:t>
      </w:r>
    </w:p>
    <w:p>
      <w:pPr>
        <w:ind w:left="500" w:right="8160" w:hanging="492"/>
        <w:spacing w:after="0" w:line="532" w:lineRule="auto"/>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WITH SOLE DISPOSITIVE POWER 0</w:t>
      </w:r>
    </w:p>
    <w:p>
      <w:pPr>
        <w:ind w:left="500" w:right="7880" w:hanging="492"/>
        <w:spacing w:after="0" w:line="532" w:lineRule="auto"/>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WITH SHARED DISPOSITIVE POWER 61,655,434</w:t>
      </w:r>
    </w:p>
    <w:p>
      <w:pPr>
        <w:ind w:left="500" w:right="4360" w:hanging="492"/>
        <w:spacing w:after="0" w:line="532" w:lineRule="auto"/>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61,655,434</w:t>
      </w:r>
    </w:p>
    <w:p>
      <w:pPr>
        <w:ind w:left="500" w:hanging="492"/>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w:t>
      </w:r>
    </w:p>
    <w:p>
      <w:pPr>
        <w:spacing w:after="0" w:line="252" w:lineRule="exact"/>
        <w:rPr>
          <w:rFonts w:ascii="Arial" w:cs="Arial" w:eastAsia="Arial" w:hAnsi="Arial"/>
          <w:sz w:val="18"/>
          <w:szCs w:val="18"/>
          <w:color w:val="auto"/>
        </w:rPr>
      </w:pPr>
    </w:p>
    <w:p>
      <w:pPr>
        <w:ind w:left="500" w:right="5860" w:hanging="492"/>
        <w:spacing w:after="0" w:line="532" w:lineRule="auto"/>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PERCENT OF CLASS REPRESENTED BY AMOUNT IN ROW (9) 5.83%</w:t>
      </w:r>
    </w:p>
    <w:p>
      <w:pPr>
        <w:ind w:left="500" w:right="8420" w:hanging="492"/>
        <w:spacing w:after="0" w:line="559" w:lineRule="auto"/>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234950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2" w:name="page3"/>
    <w:bookmarkEnd w:id="2"/>
    <w:p>
      <w:pPr>
        <w:spacing w:after="0"/>
        <w:tabs>
          <w:tab w:leader="none" w:pos="5540" w:val="left"/>
          <w:tab w:leader="none" w:pos="10320" w:val="left"/>
        </w:tabs>
        <w:rPr>
          <w:sz w:val="20"/>
          <w:szCs w:val="20"/>
          <w:color w:val="auto"/>
        </w:rPr>
      </w:pPr>
      <w:r>
        <w:rPr>
          <w:rFonts w:ascii="Arial" w:cs="Arial" w:eastAsia="Arial" w:hAnsi="Arial"/>
          <w:sz w:val="18"/>
          <w:szCs w:val="18"/>
          <w:color w:val="auto"/>
        </w:rPr>
        <w:t>CUSIP NO. 595112103</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6"/>
          <w:szCs w:val="16"/>
          <w:color w:val="auto"/>
        </w:rPr>
        <w:t>PAGE 3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9" w:lineRule="exact"/>
        <w:rPr>
          <w:sz w:val="20"/>
          <w:szCs w:val="20"/>
          <w:color w:val="auto"/>
        </w:rPr>
      </w:pPr>
    </w:p>
    <w:p>
      <w:pPr>
        <w:ind w:left="500" w:right="3760" w:hanging="492"/>
        <w:spacing w:after="0" w:line="532"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 OF REPORTING PERSON, S.S. OR I.R.S. IDENTIFICATION NO.OF ABOVE PERSON SAK Corporation, 04-3334541</w:t>
      </w:r>
    </w:p>
    <w:p>
      <w:pPr>
        <w:ind w:left="500" w:hanging="49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52" w:lineRule="exact"/>
        <w:rPr>
          <w:rFonts w:ascii="Arial" w:cs="Arial" w:eastAsia="Arial" w:hAnsi="Arial"/>
          <w:sz w:val="18"/>
          <w:szCs w:val="18"/>
          <w:color w:val="auto"/>
        </w:rPr>
      </w:pPr>
    </w:p>
    <w:p>
      <w:pPr>
        <w:spacing w:after="0"/>
        <w:tabs>
          <w:tab w:leader="none" w:pos="0" w:val="left"/>
        </w:tabs>
        <w:numPr>
          <w:ilvl w:val="1"/>
          <w:numId w:val="3"/>
        </w:numPr>
        <w:rPr>
          <w:rFonts w:ascii="Arial" w:cs="Arial" w:eastAsia="Arial" w:hAnsi="Arial"/>
          <w:sz w:val="18"/>
          <w:szCs w:val="18"/>
          <w:color w:val="auto"/>
        </w:rPr>
      </w:pPr>
    </w:p>
    <w:p>
      <w:pPr>
        <w:spacing w:after="0" w:line="23" w:lineRule="exact"/>
        <w:rPr>
          <w:rFonts w:ascii="Arial" w:cs="Arial" w:eastAsia="Arial" w:hAnsi="Arial"/>
          <w:sz w:val="18"/>
          <w:szCs w:val="18"/>
          <w:color w:val="auto"/>
        </w:rPr>
      </w:pPr>
    </w:p>
    <w:p>
      <w:pPr>
        <w:ind w:left="740" w:hanging="246"/>
        <w:spacing w:after="0"/>
        <w:tabs>
          <w:tab w:leader="none" w:pos="740" w:val="left"/>
        </w:tabs>
        <w:numPr>
          <w:ilvl w:val="1"/>
          <w:numId w:val="3"/>
        </w:numPr>
        <w:rPr>
          <w:rFonts w:ascii="Arial" w:cs="Arial" w:eastAsia="Arial" w:hAnsi="Arial"/>
          <w:sz w:val="18"/>
          <w:szCs w:val="18"/>
          <w:color w:val="auto"/>
        </w:rPr>
      </w:pPr>
      <w:r>
        <w:rPr>
          <w:rFonts w:ascii="Arial" w:cs="Arial" w:eastAsia="Arial" w:hAnsi="Arial"/>
          <w:sz w:val="18"/>
          <w:szCs w:val="18"/>
          <w:color w:val="auto"/>
        </w:rPr>
        <w:t>X</w:t>
      </w:r>
    </w:p>
    <w:p>
      <w:pPr>
        <w:spacing w:after="0" w:line="237" w:lineRule="exact"/>
        <w:rPr>
          <w:rFonts w:ascii="Arial" w:cs="Arial" w:eastAsia="Arial" w:hAnsi="Arial"/>
          <w:sz w:val="18"/>
          <w:szCs w:val="18"/>
          <w:color w:val="auto"/>
        </w:rPr>
      </w:pPr>
    </w:p>
    <w:p>
      <w:pPr>
        <w:ind w:left="500" w:hanging="49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500" w:right="7260" w:hanging="492"/>
        <w:spacing w:after="0" w:line="563" w:lineRule="auto"/>
        <w:tabs>
          <w:tab w:leader="none" w:pos="500" w:val="left"/>
        </w:tabs>
        <w:numPr>
          <w:ilvl w:val="0"/>
          <w:numId w:val="3"/>
        </w:numPr>
        <w:rPr>
          <w:rFonts w:ascii="Arial" w:cs="Arial" w:eastAsia="Arial" w:hAnsi="Arial"/>
          <w:sz w:val="17"/>
          <w:szCs w:val="17"/>
          <w:color w:val="auto"/>
        </w:rPr>
      </w:pPr>
      <w:r>
        <w:rPr>
          <w:rFonts w:ascii="Arial" w:cs="Arial" w:eastAsia="Arial" w:hAnsi="Arial"/>
          <w:sz w:val="17"/>
          <w:szCs w:val="17"/>
          <w:color w:val="auto"/>
        </w:rPr>
        <w:t>CITIZENSHIP OR PLACE OF ORGANIZATION The Commonwealth of Massachusetts</w:t>
      </w:r>
    </w:p>
    <w:p>
      <w:pPr>
        <w:spacing w:after="0" w:line="1" w:lineRule="exact"/>
        <w:rPr>
          <w:rFonts w:ascii="Arial" w:cs="Arial" w:eastAsia="Arial" w:hAnsi="Arial"/>
          <w:sz w:val="17"/>
          <w:szCs w:val="17"/>
          <w:color w:val="auto"/>
        </w:rPr>
      </w:pPr>
    </w:p>
    <w:p>
      <w:pPr>
        <w:ind w:left="500"/>
        <w:spacing w:after="0"/>
        <w:rPr>
          <w:rFonts w:ascii="Arial" w:cs="Arial" w:eastAsia="Arial" w:hAnsi="Arial"/>
          <w:sz w:val="17"/>
          <w:szCs w:val="17"/>
          <w:color w:val="auto"/>
        </w:rPr>
      </w:pPr>
      <w:r>
        <w:rPr>
          <w:rFonts w:ascii="Arial" w:cs="Arial" w:eastAsia="Arial" w:hAnsi="Arial"/>
          <w:sz w:val="18"/>
          <w:szCs w:val="18"/>
          <w:color w:val="auto"/>
        </w:rPr>
        <w:t>NUMBER OF SHARES BENEFICIALLY OWNED BY EACH REPORTING PERSON:</w:t>
      </w:r>
    </w:p>
    <w:p>
      <w:pPr>
        <w:spacing w:after="0" w:line="252" w:lineRule="exact"/>
        <w:rPr>
          <w:rFonts w:ascii="Arial" w:cs="Arial" w:eastAsia="Arial" w:hAnsi="Arial"/>
          <w:sz w:val="17"/>
          <w:szCs w:val="17"/>
          <w:color w:val="auto"/>
        </w:rPr>
      </w:pPr>
    </w:p>
    <w:p>
      <w:pPr>
        <w:ind w:left="500" w:right="8560" w:hanging="492"/>
        <w:spacing w:after="0" w:line="532"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WITH SOLE VOTING POWER 0</w:t>
      </w:r>
    </w:p>
    <w:p>
      <w:pPr>
        <w:ind w:left="500" w:right="8280" w:hanging="492"/>
        <w:spacing w:after="0" w:line="532"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WITH SHARED VOTING POWER 61,655,434</w:t>
      </w:r>
    </w:p>
    <w:p>
      <w:pPr>
        <w:ind w:left="500" w:right="8160" w:hanging="492"/>
        <w:spacing w:after="0" w:line="532"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WITH SOLE DISPOSITIVE POWER 0</w:t>
      </w:r>
    </w:p>
    <w:p>
      <w:pPr>
        <w:ind w:left="500" w:right="7880" w:hanging="492"/>
        <w:spacing w:after="0" w:line="532"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WITH SHARED DISPOSITIVE POWER 61,655,434</w:t>
      </w:r>
    </w:p>
    <w:p>
      <w:pPr>
        <w:ind w:left="500" w:right="4360" w:hanging="492"/>
        <w:spacing w:after="0" w:line="532"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61,655,434</w:t>
      </w:r>
    </w:p>
    <w:p>
      <w:pPr>
        <w:ind w:left="500" w:hanging="49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w:t>
      </w:r>
    </w:p>
    <w:p>
      <w:pPr>
        <w:spacing w:after="0" w:line="252" w:lineRule="exact"/>
        <w:rPr>
          <w:rFonts w:ascii="Arial" w:cs="Arial" w:eastAsia="Arial" w:hAnsi="Arial"/>
          <w:sz w:val="18"/>
          <w:szCs w:val="18"/>
          <w:color w:val="auto"/>
        </w:rPr>
      </w:pPr>
    </w:p>
    <w:p>
      <w:pPr>
        <w:ind w:left="500" w:right="5860" w:hanging="492"/>
        <w:spacing w:after="0" w:line="532"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PERCENT OF CLASS REPRESENTED BY AMOUNT IN ROW (9) 5.83%</w:t>
      </w:r>
    </w:p>
    <w:p>
      <w:pPr>
        <w:ind w:left="500" w:right="8420" w:hanging="492"/>
        <w:spacing w:after="0" w:line="559"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TYPE OF REPORTING PERSON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234950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3" w:name="page4"/>
    <w:bookmarkEnd w:id="3"/>
    <w:p>
      <w:pPr>
        <w:spacing w:after="0"/>
        <w:tabs>
          <w:tab w:leader="none" w:pos="5540" w:val="left"/>
          <w:tab w:leader="none" w:pos="10320" w:val="left"/>
        </w:tabs>
        <w:rPr>
          <w:sz w:val="20"/>
          <w:szCs w:val="20"/>
          <w:color w:val="auto"/>
        </w:rPr>
      </w:pPr>
      <w:r>
        <w:rPr>
          <w:rFonts w:ascii="Arial" w:cs="Arial" w:eastAsia="Arial" w:hAnsi="Arial"/>
          <w:sz w:val="18"/>
          <w:szCs w:val="18"/>
          <w:color w:val="auto"/>
        </w:rPr>
        <w:t>CUSIP NO. 595112103</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6"/>
          <w:szCs w:val="16"/>
          <w:color w:val="auto"/>
        </w:rPr>
        <w:t>PAGE 4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9" w:lineRule="exact"/>
        <w:rPr>
          <w:sz w:val="20"/>
          <w:szCs w:val="20"/>
          <w:color w:val="auto"/>
        </w:rPr>
      </w:pPr>
    </w:p>
    <w:p>
      <w:pPr>
        <w:ind w:left="500" w:right="3800" w:hanging="492"/>
        <w:spacing w:after="0" w:line="532"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 OF REPORTING PERSON, S.S.OR I.R.S. IDENTIFICATION NO.OF ABOVE PERSON Seth A. Klarman</w:t>
      </w:r>
    </w:p>
    <w:p>
      <w:pPr>
        <w:ind w:left="500" w:hanging="492"/>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52" w:lineRule="exact"/>
        <w:rPr>
          <w:rFonts w:ascii="Arial" w:cs="Arial" w:eastAsia="Arial" w:hAnsi="Arial"/>
          <w:sz w:val="18"/>
          <w:szCs w:val="18"/>
          <w:color w:val="auto"/>
        </w:rPr>
      </w:pPr>
    </w:p>
    <w:p>
      <w:pPr>
        <w:spacing w:after="0"/>
        <w:tabs>
          <w:tab w:leader="none" w:pos="0" w:val="left"/>
        </w:tabs>
        <w:numPr>
          <w:ilvl w:val="1"/>
          <w:numId w:val="4"/>
        </w:numPr>
        <w:rPr>
          <w:rFonts w:ascii="Arial" w:cs="Arial" w:eastAsia="Arial" w:hAnsi="Arial"/>
          <w:sz w:val="18"/>
          <w:szCs w:val="18"/>
          <w:color w:val="auto"/>
        </w:rPr>
      </w:pPr>
    </w:p>
    <w:p>
      <w:pPr>
        <w:spacing w:after="0" w:line="23" w:lineRule="exact"/>
        <w:rPr>
          <w:rFonts w:ascii="Arial" w:cs="Arial" w:eastAsia="Arial" w:hAnsi="Arial"/>
          <w:sz w:val="18"/>
          <w:szCs w:val="18"/>
          <w:color w:val="auto"/>
        </w:rPr>
      </w:pPr>
    </w:p>
    <w:p>
      <w:pPr>
        <w:ind w:left="740" w:hanging="246"/>
        <w:spacing w:after="0"/>
        <w:tabs>
          <w:tab w:leader="none" w:pos="740" w:val="left"/>
        </w:tabs>
        <w:numPr>
          <w:ilvl w:val="1"/>
          <w:numId w:val="4"/>
        </w:numPr>
        <w:rPr>
          <w:rFonts w:ascii="Arial" w:cs="Arial" w:eastAsia="Arial" w:hAnsi="Arial"/>
          <w:sz w:val="18"/>
          <w:szCs w:val="18"/>
          <w:color w:val="auto"/>
        </w:rPr>
      </w:pPr>
      <w:r>
        <w:rPr>
          <w:rFonts w:ascii="Arial" w:cs="Arial" w:eastAsia="Arial" w:hAnsi="Arial"/>
          <w:sz w:val="18"/>
          <w:szCs w:val="18"/>
          <w:color w:val="auto"/>
        </w:rPr>
        <w:t>X</w:t>
      </w:r>
    </w:p>
    <w:p>
      <w:pPr>
        <w:spacing w:after="0" w:line="237" w:lineRule="exact"/>
        <w:rPr>
          <w:rFonts w:ascii="Arial" w:cs="Arial" w:eastAsia="Arial" w:hAnsi="Arial"/>
          <w:sz w:val="18"/>
          <w:szCs w:val="18"/>
          <w:color w:val="auto"/>
        </w:rPr>
      </w:pPr>
    </w:p>
    <w:p>
      <w:pPr>
        <w:ind w:left="500" w:hanging="492"/>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500" w:right="7260" w:hanging="492"/>
        <w:spacing w:after="0" w:line="563" w:lineRule="auto"/>
        <w:tabs>
          <w:tab w:leader="none" w:pos="500"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OR PLACE OF ORGANIZATION The United States of America</w:t>
      </w:r>
    </w:p>
    <w:p>
      <w:pPr>
        <w:spacing w:after="0" w:line="1" w:lineRule="exact"/>
        <w:rPr>
          <w:rFonts w:ascii="Arial" w:cs="Arial" w:eastAsia="Arial" w:hAnsi="Arial"/>
          <w:sz w:val="17"/>
          <w:szCs w:val="17"/>
          <w:color w:val="auto"/>
        </w:rPr>
      </w:pPr>
    </w:p>
    <w:p>
      <w:pPr>
        <w:ind w:left="500"/>
        <w:spacing w:after="0"/>
        <w:rPr>
          <w:rFonts w:ascii="Arial" w:cs="Arial" w:eastAsia="Arial" w:hAnsi="Arial"/>
          <w:sz w:val="17"/>
          <w:szCs w:val="17"/>
          <w:color w:val="auto"/>
        </w:rPr>
      </w:pPr>
      <w:r>
        <w:rPr>
          <w:rFonts w:ascii="Arial" w:cs="Arial" w:eastAsia="Arial" w:hAnsi="Arial"/>
          <w:sz w:val="18"/>
          <w:szCs w:val="18"/>
          <w:color w:val="auto"/>
        </w:rPr>
        <w:t>NUMBER OF SHARES BENEFICIALLY OWNED BY EACH REPORTING PERSON:</w:t>
      </w:r>
    </w:p>
    <w:p>
      <w:pPr>
        <w:spacing w:after="0" w:line="252" w:lineRule="exact"/>
        <w:rPr>
          <w:rFonts w:ascii="Arial" w:cs="Arial" w:eastAsia="Arial" w:hAnsi="Arial"/>
          <w:sz w:val="17"/>
          <w:szCs w:val="17"/>
          <w:color w:val="auto"/>
        </w:rPr>
      </w:pPr>
    </w:p>
    <w:p>
      <w:pPr>
        <w:ind w:left="500" w:right="8560" w:hanging="492"/>
        <w:spacing w:after="0" w:line="532"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WITH SOLE VOTING POWER 0</w:t>
      </w:r>
    </w:p>
    <w:p>
      <w:pPr>
        <w:ind w:left="500" w:right="8280" w:hanging="492"/>
        <w:spacing w:after="0" w:line="532"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WITH SHARED VOTING POWER 61,655,434</w:t>
      </w:r>
    </w:p>
    <w:p>
      <w:pPr>
        <w:ind w:left="500" w:right="8160" w:hanging="492"/>
        <w:spacing w:after="0" w:line="532"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WITH SOLE DISPOSITIVE POWER 0</w:t>
      </w:r>
    </w:p>
    <w:p>
      <w:pPr>
        <w:ind w:left="500" w:right="7880" w:hanging="492"/>
        <w:spacing w:after="0" w:line="532"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WITH SHARED DISPOSITIVE POWER 61,655,434</w:t>
      </w:r>
    </w:p>
    <w:p>
      <w:pPr>
        <w:ind w:left="500" w:right="4360" w:hanging="492"/>
        <w:spacing w:after="0" w:line="532"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61,655,434</w:t>
      </w:r>
    </w:p>
    <w:p>
      <w:pPr>
        <w:ind w:left="500" w:hanging="492"/>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w:t>
      </w:r>
    </w:p>
    <w:p>
      <w:pPr>
        <w:spacing w:after="0" w:line="252" w:lineRule="exact"/>
        <w:rPr>
          <w:rFonts w:ascii="Arial" w:cs="Arial" w:eastAsia="Arial" w:hAnsi="Arial"/>
          <w:sz w:val="18"/>
          <w:szCs w:val="18"/>
          <w:color w:val="auto"/>
        </w:rPr>
      </w:pPr>
    </w:p>
    <w:p>
      <w:pPr>
        <w:ind w:left="500" w:right="5860" w:hanging="492"/>
        <w:spacing w:after="0" w:line="532"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(9) 5.83%</w:t>
      </w:r>
    </w:p>
    <w:p>
      <w:pPr>
        <w:ind w:left="500" w:right="8420" w:hanging="492"/>
        <w:spacing w:after="0" w:line="559"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TYPE OF REPORTING PERSON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234950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4" w:name="page5"/>
    <w:bookmarkEnd w:id="4"/>
    <w:p>
      <w:pPr>
        <w:spacing w:after="0"/>
        <w:tabs>
          <w:tab w:leader="none" w:pos="5540" w:val="left"/>
          <w:tab w:leader="none" w:pos="10320" w:val="left"/>
        </w:tabs>
        <w:rPr>
          <w:sz w:val="20"/>
          <w:szCs w:val="20"/>
          <w:color w:val="auto"/>
        </w:rPr>
      </w:pPr>
      <w:r>
        <w:rPr>
          <w:rFonts w:ascii="Arial" w:cs="Arial" w:eastAsia="Arial" w:hAnsi="Arial"/>
          <w:sz w:val="18"/>
          <w:szCs w:val="18"/>
          <w:color w:val="auto"/>
        </w:rPr>
        <w:t>CUSIP NO. 595112103</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6"/>
          <w:szCs w:val="16"/>
          <w:color w:val="auto"/>
        </w:rPr>
        <w:t>PAGE 5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Item 1 (a) Name of Issuer:</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Micron Technology, Inc.</w:t>
      </w:r>
    </w:p>
    <w:p>
      <w:pPr>
        <w:spacing w:after="0" w:line="252" w:lineRule="exact"/>
        <w:rPr>
          <w:sz w:val="20"/>
          <w:szCs w:val="20"/>
          <w:color w:val="auto"/>
        </w:rPr>
      </w:pPr>
    </w:p>
    <w:p>
      <w:pPr>
        <w:ind w:left="60"/>
        <w:spacing w:after="0"/>
        <w:rPr>
          <w:sz w:val="20"/>
          <w:szCs w:val="20"/>
          <w:color w:val="auto"/>
        </w:rPr>
      </w:pPr>
      <w:r>
        <w:rPr>
          <w:rFonts w:ascii="Arial" w:cs="Arial" w:eastAsia="Arial" w:hAnsi="Arial"/>
          <w:sz w:val="18"/>
          <w:szCs w:val="18"/>
          <w:color w:val="auto"/>
        </w:rPr>
        <w:t>1(b) Address of Issuer's Principal Executive Offices:</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8000 S. Federal Way, Boise, Idaho 83716-9632</w:t>
      </w:r>
    </w:p>
    <w:p>
      <w:pPr>
        <w:spacing w:after="0" w:line="252" w:lineRule="exact"/>
        <w:rPr>
          <w:sz w:val="20"/>
          <w:szCs w:val="20"/>
          <w:color w:val="auto"/>
        </w:rPr>
      </w:pPr>
    </w:p>
    <w:p>
      <w:pPr>
        <w:ind w:left="60"/>
        <w:spacing w:after="0"/>
        <w:rPr>
          <w:sz w:val="20"/>
          <w:szCs w:val="20"/>
          <w:color w:val="auto"/>
        </w:rPr>
      </w:pPr>
      <w:r>
        <w:rPr>
          <w:rFonts w:ascii="Arial" w:cs="Arial" w:eastAsia="Arial" w:hAnsi="Arial"/>
          <w:sz w:val="18"/>
          <w:szCs w:val="18"/>
          <w:color w:val="auto"/>
        </w:rPr>
        <w:t>Item 2 (a) Name of Person Filing:</w:t>
      </w:r>
    </w:p>
    <w:p>
      <w:pPr>
        <w:spacing w:after="0" w:line="252" w:lineRule="exact"/>
        <w:rPr>
          <w:sz w:val="20"/>
          <w:szCs w:val="20"/>
          <w:color w:val="auto"/>
        </w:rPr>
      </w:pPr>
    </w:p>
    <w:p>
      <w:pPr>
        <w:ind w:left="500" w:hanging="492"/>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Baupost Group, L.L.C.</w:t>
      </w:r>
    </w:p>
    <w:p>
      <w:pPr>
        <w:spacing w:after="0" w:line="23" w:lineRule="exact"/>
        <w:rPr>
          <w:rFonts w:ascii="Arial" w:cs="Arial" w:eastAsia="Arial" w:hAnsi="Arial"/>
          <w:sz w:val="18"/>
          <w:szCs w:val="18"/>
          <w:color w:val="auto"/>
        </w:rPr>
      </w:pPr>
    </w:p>
    <w:p>
      <w:pPr>
        <w:ind w:left="500" w:hanging="492"/>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SAK Corporation</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Seth A. Klarman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2(b) Address of Principal Business Offices or, if none, Residence:</w:t>
      </w:r>
    </w:p>
    <w:p>
      <w:pPr>
        <w:spacing w:after="0" w:line="252" w:lineRule="exact"/>
        <w:rPr>
          <w:sz w:val="20"/>
          <w:szCs w:val="20"/>
          <w:color w:val="auto"/>
        </w:rPr>
      </w:pPr>
    </w:p>
    <w:p>
      <w:pPr>
        <w:ind w:left="500" w:hanging="492"/>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Baupost Group, L.L.C.</w:t>
      </w:r>
    </w:p>
    <w:p>
      <w:pPr>
        <w:spacing w:after="0" w:line="23" w:lineRule="exact"/>
        <w:rPr>
          <w:rFonts w:ascii="Arial" w:cs="Arial" w:eastAsia="Arial" w:hAnsi="Arial"/>
          <w:sz w:val="18"/>
          <w:szCs w:val="18"/>
          <w:color w:val="auto"/>
        </w:rPr>
      </w:pPr>
    </w:p>
    <w:p>
      <w:pPr>
        <w:ind w:left="500" w:right="8560"/>
        <w:spacing w:after="0" w:line="361" w:lineRule="auto"/>
        <w:rPr>
          <w:rFonts w:ascii="Arial" w:cs="Arial" w:eastAsia="Arial" w:hAnsi="Arial"/>
          <w:sz w:val="18"/>
          <w:szCs w:val="18"/>
          <w:color w:val="auto"/>
        </w:rPr>
      </w:pPr>
      <w:r>
        <w:rPr>
          <w:rFonts w:ascii="Arial" w:cs="Arial" w:eastAsia="Arial" w:hAnsi="Arial"/>
          <w:sz w:val="15"/>
          <w:szCs w:val="15"/>
          <w:color w:val="auto"/>
        </w:rPr>
        <w:t>10 St. James Avenue, Suite 1700 Boston, Massachusetts 02116</w:t>
      </w:r>
    </w:p>
    <w:p>
      <w:pPr>
        <w:spacing w:after="0" w:line="115" w:lineRule="exact"/>
        <w:rPr>
          <w:rFonts w:ascii="Arial" w:cs="Arial" w:eastAsia="Arial" w:hAnsi="Arial"/>
          <w:sz w:val="18"/>
          <w:szCs w:val="18"/>
          <w:color w:val="auto"/>
        </w:rPr>
      </w:pPr>
    </w:p>
    <w:p>
      <w:pPr>
        <w:ind w:left="500" w:hanging="492"/>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SAK Corporation</w:t>
      </w:r>
    </w:p>
    <w:p>
      <w:pPr>
        <w:spacing w:after="0" w:line="23" w:lineRule="exact"/>
        <w:rPr>
          <w:rFonts w:ascii="Arial" w:cs="Arial" w:eastAsia="Arial" w:hAnsi="Arial"/>
          <w:sz w:val="18"/>
          <w:szCs w:val="18"/>
          <w:color w:val="auto"/>
        </w:rPr>
      </w:pPr>
    </w:p>
    <w:p>
      <w:pPr>
        <w:ind w:left="500" w:right="8560"/>
        <w:spacing w:after="0" w:line="361" w:lineRule="auto"/>
        <w:rPr>
          <w:rFonts w:ascii="Arial" w:cs="Arial" w:eastAsia="Arial" w:hAnsi="Arial"/>
          <w:sz w:val="18"/>
          <w:szCs w:val="18"/>
          <w:color w:val="auto"/>
        </w:rPr>
      </w:pPr>
      <w:r>
        <w:rPr>
          <w:rFonts w:ascii="Arial" w:cs="Arial" w:eastAsia="Arial" w:hAnsi="Arial"/>
          <w:sz w:val="15"/>
          <w:szCs w:val="15"/>
          <w:color w:val="auto"/>
        </w:rPr>
        <w:t>10 St. James Avenue, Suite 1700 Boston, Massachusetts 02116</w:t>
      </w:r>
    </w:p>
    <w:p>
      <w:pPr>
        <w:spacing w:after="0" w:line="115" w:lineRule="exact"/>
        <w:rPr>
          <w:rFonts w:ascii="Arial" w:cs="Arial" w:eastAsia="Arial" w:hAnsi="Arial"/>
          <w:sz w:val="18"/>
          <w:szCs w:val="18"/>
          <w:color w:val="auto"/>
        </w:rPr>
      </w:pPr>
    </w:p>
    <w:p>
      <w:pPr>
        <w:ind w:left="500" w:hanging="492"/>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Seth A. Klarman</w:t>
      </w:r>
    </w:p>
    <w:p>
      <w:pPr>
        <w:spacing w:after="0" w:line="23" w:lineRule="exact"/>
        <w:rPr>
          <w:rFonts w:ascii="Arial" w:cs="Arial" w:eastAsia="Arial" w:hAnsi="Arial"/>
          <w:sz w:val="18"/>
          <w:szCs w:val="18"/>
          <w:color w:val="auto"/>
        </w:rPr>
      </w:pPr>
    </w:p>
    <w:p>
      <w:pPr>
        <w:ind w:left="500" w:right="8560"/>
        <w:spacing w:after="0" w:line="361" w:lineRule="auto"/>
        <w:rPr>
          <w:rFonts w:ascii="Arial" w:cs="Arial" w:eastAsia="Arial" w:hAnsi="Arial"/>
          <w:sz w:val="18"/>
          <w:szCs w:val="18"/>
          <w:color w:val="auto"/>
        </w:rPr>
      </w:pPr>
      <w:r>
        <w:rPr>
          <w:rFonts w:ascii="Arial" w:cs="Arial" w:eastAsia="Arial" w:hAnsi="Arial"/>
          <w:sz w:val="15"/>
          <w:szCs w:val="15"/>
          <w:color w:val="auto"/>
        </w:rPr>
        <w:t>10 St. James Avenue, Suite 1700 Boston, Massachusetts 02116</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color w:val="auto"/>
        </w:rPr>
        <w:t>2(c) Citizenship:</w:t>
      </w:r>
    </w:p>
    <w:p>
      <w:pPr>
        <w:spacing w:after="0" w:line="252" w:lineRule="exact"/>
        <w:rPr>
          <w:sz w:val="20"/>
          <w:szCs w:val="20"/>
          <w:color w:val="auto"/>
        </w:rPr>
      </w:pPr>
    </w:p>
    <w:p>
      <w:pPr>
        <w:ind w:left="500" w:hanging="492"/>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Commonwealth of Massachusetts</w:t>
      </w:r>
    </w:p>
    <w:p>
      <w:pPr>
        <w:spacing w:after="0" w:line="23" w:lineRule="exact"/>
        <w:rPr>
          <w:rFonts w:ascii="Arial" w:cs="Arial" w:eastAsia="Arial" w:hAnsi="Arial"/>
          <w:sz w:val="18"/>
          <w:szCs w:val="18"/>
          <w:color w:val="auto"/>
        </w:rPr>
      </w:pPr>
    </w:p>
    <w:p>
      <w:pPr>
        <w:ind w:left="520" w:hanging="512"/>
        <w:spacing w:after="0"/>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Commonwealth of Massachusetts</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United States of America</w:t>
      </w:r>
    </w:p>
    <w:p>
      <w:pPr>
        <w:spacing w:after="0" w:line="238" w:lineRule="exact"/>
        <w:rPr>
          <w:sz w:val="20"/>
          <w:szCs w:val="20"/>
          <w:color w:val="auto"/>
        </w:rPr>
      </w:pPr>
    </w:p>
    <w:p>
      <w:pPr>
        <w:ind w:left="60"/>
        <w:spacing w:after="0"/>
        <w:rPr>
          <w:sz w:val="20"/>
          <w:szCs w:val="20"/>
          <w:color w:val="auto"/>
        </w:rPr>
      </w:pPr>
      <w:r>
        <w:rPr>
          <w:rFonts w:ascii="Arial" w:cs="Arial" w:eastAsia="Arial" w:hAnsi="Arial"/>
          <w:sz w:val="18"/>
          <w:szCs w:val="18"/>
          <w:color w:val="auto"/>
        </w:rPr>
        <w:t>2(d) Title of Class of Securities:</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Common Stock</w:t>
      </w:r>
    </w:p>
    <w:p>
      <w:pPr>
        <w:spacing w:after="0" w:line="252" w:lineRule="exact"/>
        <w:rPr>
          <w:sz w:val="20"/>
          <w:szCs w:val="20"/>
          <w:color w:val="auto"/>
        </w:rPr>
      </w:pPr>
    </w:p>
    <w:p>
      <w:pPr>
        <w:ind w:left="60"/>
        <w:spacing w:after="0"/>
        <w:rPr>
          <w:sz w:val="20"/>
          <w:szCs w:val="20"/>
          <w:color w:val="auto"/>
        </w:rPr>
      </w:pPr>
      <w:r>
        <w:rPr>
          <w:rFonts w:ascii="Arial" w:cs="Arial" w:eastAsia="Arial" w:hAnsi="Arial"/>
          <w:sz w:val="18"/>
          <w:szCs w:val="18"/>
          <w:color w:val="auto"/>
        </w:rPr>
        <w:t>2(e) CUSIP Number:</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595112103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5" w:name="page6"/>
    <w:bookmarkEnd w:id="5"/>
    <w:p>
      <w:pPr>
        <w:spacing w:after="0"/>
        <w:tabs>
          <w:tab w:leader="none" w:pos="5540" w:val="left"/>
          <w:tab w:leader="none" w:pos="10320" w:val="left"/>
        </w:tabs>
        <w:rPr>
          <w:sz w:val="20"/>
          <w:szCs w:val="20"/>
          <w:color w:val="auto"/>
        </w:rPr>
      </w:pPr>
      <w:r>
        <w:rPr>
          <w:rFonts w:ascii="Arial" w:cs="Arial" w:eastAsia="Arial" w:hAnsi="Arial"/>
          <w:sz w:val="18"/>
          <w:szCs w:val="18"/>
          <w:color w:val="auto"/>
        </w:rPr>
        <w:t>CUSIP NO. 595112103</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6"/>
          <w:szCs w:val="16"/>
          <w:color w:val="auto"/>
        </w:rPr>
        <w:t>PAGE 6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Item 3 If this statement is filed pursuant to SS240.13d-1(b) or 240.13d-2(b) or (c), check whether the person filing is a:</w:t>
      </w:r>
    </w:p>
    <w:p>
      <w:pPr>
        <w:spacing w:after="0" w:line="252" w:lineRule="exact"/>
        <w:rPr>
          <w:sz w:val="20"/>
          <w:szCs w:val="20"/>
          <w:color w:val="auto"/>
        </w:rPr>
      </w:pPr>
    </w:p>
    <w:p>
      <w:pPr>
        <w:ind w:left="500" w:hanging="492"/>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 ]Broker or Dealer registered under Section 15 of the Act (15 U.S.C. 78o).</w:t>
      </w:r>
    </w:p>
    <w:p>
      <w:pPr>
        <w:spacing w:after="0" w:line="252" w:lineRule="exact"/>
        <w:rPr>
          <w:rFonts w:ascii="Arial" w:cs="Arial" w:eastAsia="Arial" w:hAnsi="Arial"/>
          <w:sz w:val="18"/>
          <w:szCs w:val="18"/>
          <w:color w:val="auto"/>
        </w:rPr>
      </w:pPr>
    </w:p>
    <w:p>
      <w:pPr>
        <w:ind w:left="500" w:hanging="492"/>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 ]Bank as defined in Section 3(a)(6) of the Act (15 U.S.C. 78c).</w:t>
      </w:r>
    </w:p>
    <w:p>
      <w:pPr>
        <w:spacing w:after="0" w:line="252" w:lineRule="exact"/>
        <w:rPr>
          <w:rFonts w:ascii="Arial" w:cs="Arial" w:eastAsia="Arial" w:hAnsi="Arial"/>
          <w:sz w:val="18"/>
          <w:szCs w:val="18"/>
          <w:color w:val="auto"/>
        </w:rPr>
      </w:pPr>
    </w:p>
    <w:p>
      <w:pPr>
        <w:ind w:left="500" w:hanging="492"/>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 ]Insurance Company as defined in Section 3(a)(19) of the Act (15 U.S.C. 78c).</w:t>
      </w:r>
    </w:p>
    <w:p>
      <w:pPr>
        <w:spacing w:after="0" w:line="252" w:lineRule="exact"/>
        <w:rPr>
          <w:rFonts w:ascii="Arial" w:cs="Arial" w:eastAsia="Arial" w:hAnsi="Arial"/>
          <w:sz w:val="18"/>
          <w:szCs w:val="18"/>
          <w:color w:val="auto"/>
        </w:rPr>
      </w:pPr>
    </w:p>
    <w:p>
      <w:pPr>
        <w:ind w:left="500" w:hanging="492"/>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 ]Investment Company registered under Section 8 of the Investment Company Act of 1940 (15 U.S.C. 80a-8).</w:t>
      </w:r>
    </w:p>
    <w:p>
      <w:pPr>
        <w:spacing w:after="0" w:line="252" w:lineRule="exact"/>
        <w:rPr>
          <w:rFonts w:ascii="Arial" w:cs="Arial" w:eastAsia="Arial" w:hAnsi="Arial"/>
          <w:sz w:val="18"/>
          <w:szCs w:val="18"/>
          <w:color w:val="auto"/>
        </w:rPr>
      </w:pPr>
    </w:p>
    <w:p>
      <w:pPr>
        <w:ind w:left="500" w:hanging="492"/>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[X]An investment advisor in accordance with S240.13d-1(b)(1)(ii)(E).</w:t>
      </w:r>
    </w:p>
    <w:p>
      <w:pPr>
        <w:spacing w:after="0" w:line="252" w:lineRule="exact"/>
        <w:rPr>
          <w:rFonts w:ascii="Arial" w:cs="Arial" w:eastAsia="Arial" w:hAnsi="Arial"/>
          <w:sz w:val="18"/>
          <w:szCs w:val="18"/>
          <w:color w:val="auto"/>
        </w:rPr>
      </w:pPr>
    </w:p>
    <w:p>
      <w:pPr>
        <w:ind w:left="500" w:hanging="492"/>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 ]An employee benefit plan or endowment fund in accordance with S240.13d-1(b)(1)(ii)(F).</w:t>
      </w:r>
    </w:p>
    <w:p>
      <w:pPr>
        <w:spacing w:after="0" w:line="252" w:lineRule="exact"/>
        <w:rPr>
          <w:rFonts w:ascii="Arial" w:cs="Arial" w:eastAsia="Arial" w:hAnsi="Arial"/>
          <w:sz w:val="18"/>
          <w:szCs w:val="18"/>
          <w:color w:val="auto"/>
        </w:rPr>
      </w:pPr>
    </w:p>
    <w:p>
      <w:pPr>
        <w:ind w:left="500" w:hanging="492"/>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[X]A parent holding company or control person in accordance with S240.13d-1(b)(ii)(G).</w:t>
      </w:r>
    </w:p>
    <w:p>
      <w:pPr>
        <w:spacing w:after="0" w:line="252" w:lineRule="exact"/>
        <w:rPr>
          <w:rFonts w:ascii="Arial" w:cs="Arial" w:eastAsia="Arial" w:hAnsi="Arial"/>
          <w:sz w:val="18"/>
          <w:szCs w:val="18"/>
          <w:color w:val="auto"/>
        </w:rPr>
      </w:pPr>
    </w:p>
    <w:p>
      <w:pPr>
        <w:ind w:left="500" w:hanging="492"/>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 ]A savings association as defined in Section 3(b) of the Federal Deposit Insurance Act (12 U.S.C. 1813).</w:t>
      </w:r>
    </w:p>
    <w:p>
      <w:pPr>
        <w:spacing w:after="0" w:line="252"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 ] A church plan that is excluded from the definition of an investment company under Section 3(c)(14) of the Investment Company Act of 1940 (15 U. S.C. 80a-3).</w:t>
      </w:r>
    </w:p>
    <w:p>
      <w:pPr>
        <w:spacing w:after="0" w:line="197" w:lineRule="exact"/>
        <w:rPr>
          <w:rFonts w:ascii="Arial" w:cs="Arial" w:eastAsia="Arial" w:hAnsi="Arial"/>
          <w:sz w:val="18"/>
          <w:szCs w:val="18"/>
          <w:color w:val="auto"/>
        </w:rPr>
      </w:pPr>
    </w:p>
    <w:p>
      <w:pPr>
        <w:ind w:left="500" w:right="7100" w:hanging="492"/>
        <w:spacing w:after="0" w:line="532"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 ]Group, in accordance with S240.13d-1(b)(1)(ii)(J). Item 4 Ownership:</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252" w:lineRule="exact"/>
        <w:rPr>
          <w:sz w:val="20"/>
          <w:szCs w:val="20"/>
          <w:color w:val="auto"/>
        </w:rPr>
      </w:pPr>
    </w:p>
    <w:p>
      <w:pPr>
        <w:ind w:left="500" w:hanging="492"/>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Amount Beneficially Owned: (as of December 31, 2013)*</w:t>
      </w:r>
    </w:p>
    <w:p>
      <w:pPr>
        <w:spacing w:after="0" w:line="252" w:lineRule="exact"/>
        <w:rPr>
          <w:rFonts w:ascii="Arial" w:cs="Arial" w:eastAsia="Arial" w:hAnsi="Arial"/>
          <w:sz w:val="18"/>
          <w:szCs w:val="18"/>
          <w:color w:val="auto"/>
        </w:rPr>
      </w:pPr>
    </w:p>
    <w:p>
      <w:pPr>
        <w:ind w:left="980" w:hanging="486"/>
        <w:spacing w:after="0"/>
        <w:tabs>
          <w:tab w:leader="none" w:pos="980"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Baupost Group, L.L.C.: 61,655,434</w:t>
      </w:r>
    </w:p>
    <w:p>
      <w:pPr>
        <w:spacing w:after="0" w:line="23" w:lineRule="exact"/>
        <w:rPr>
          <w:rFonts w:ascii="Arial" w:cs="Arial" w:eastAsia="Arial" w:hAnsi="Arial"/>
          <w:sz w:val="18"/>
          <w:szCs w:val="18"/>
          <w:color w:val="auto"/>
        </w:rPr>
      </w:pPr>
    </w:p>
    <w:p>
      <w:pPr>
        <w:ind w:left="980" w:hanging="486"/>
        <w:spacing w:after="0"/>
        <w:tabs>
          <w:tab w:leader="none" w:pos="980" w:val="left"/>
        </w:tabs>
        <w:numPr>
          <w:ilvl w:val="1"/>
          <w:numId w:val="9"/>
        </w:numPr>
        <w:rPr>
          <w:rFonts w:ascii="Arial" w:cs="Arial" w:eastAsia="Arial" w:hAnsi="Arial"/>
          <w:sz w:val="18"/>
          <w:szCs w:val="18"/>
          <w:color w:val="auto"/>
        </w:rPr>
      </w:pPr>
      <w:r>
        <w:rPr>
          <w:rFonts w:ascii="Arial" w:cs="Arial" w:eastAsia="Arial" w:hAnsi="Arial"/>
          <w:sz w:val="18"/>
          <w:szCs w:val="18"/>
          <w:color w:val="auto"/>
        </w:rPr>
        <w:t>SAK Corporation: 61,655,434</w:t>
      </w:r>
    </w:p>
    <w:p>
      <w:pPr>
        <w:spacing w:after="0" w:line="9" w:lineRule="exact"/>
        <w:rPr>
          <w:rFonts w:ascii="Arial" w:cs="Arial" w:eastAsia="Arial" w:hAnsi="Arial"/>
          <w:sz w:val="18"/>
          <w:szCs w:val="18"/>
          <w:color w:val="auto"/>
        </w:rPr>
      </w:pPr>
    </w:p>
    <w:p>
      <w:pPr>
        <w:ind w:left="980" w:hanging="486"/>
        <w:spacing w:after="0"/>
        <w:tabs>
          <w:tab w:leader="none" w:pos="980" w:val="left"/>
        </w:tabs>
        <w:numPr>
          <w:ilvl w:val="1"/>
          <w:numId w:val="9"/>
        </w:numPr>
        <w:rPr>
          <w:rFonts w:ascii="Arial" w:cs="Arial" w:eastAsia="Arial" w:hAnsi="Arial"/>
          <w:sz w:val="18"/>
          <w:szCs w:val="18"/>
          <w:color w:val="auto"/>
        </w:rPr>
      </w:pPr>
      <w:r>
        <w:rPr>
          <w:rFonts w:ascii="Arial" w:cs="Arial" w:eastAsia="Arial" w:hAnsi="Arial"/>
          <w:sz w:val="18"/>
          <w:szCs w:val="18"/>
          <w:color w:val="auto"/>
        </w:rPr>
        <w:t>Seth A. Klarman: 61,655,434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color w:val="auto"/>
        </w:rPr>
        <w:t>* The amount beneficially owned includes certain call options excercisable within 60 days.</w:t>
      </w:r>
    </w:p>
    <w:p>
      <w:pPr>
        <w:spacing w:after="0" w:line="164"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This statement on Schedule 13G is being jointly filed by The Baupost Group, L.L.C. ("Baupost"), SAK Corporation and Seth A. Klarman. Baupost is a registered investment adviser and acts as an investment adviser to certain private investment limited partnerships. SAK Corporation is the manager of Baupost. Mr. Klarman, as the sole director and sole officer of SAK Corporation and a controlling person of Baupost, may be deemed to have beneficial ownership under Section 13 of the Securities Exchange Act of 1934, as amended, of the securities beneficially owned by Baupost. Securities reported on this statement on Schedule 13G as being beneficially owned by Baupost were purchased on behalf of various private investment limited partnerships.</w:t>
      </w:r>
    </w:p>
    <w:p>
      <w:pPr>
        <w:spacing w:after="0" w:line="184" w:lineRule="exact"/>
        <w:rPr>
          <w:sz w:val="20"/>
          <w:szCs w:val="20"/>
          <w:color w:val="auto"/>
        </w:rPr>
      </w:pPr>
    </w:p>
    <w:p>
      <w:pPr>
        <w:jc w:val="both"/>
        <w:ind w:right="180"/>
        <w:spacing w:after="0" w:line="258" w:lineRule="auto"/>
        <w:rPr>
          <w:sz w:val="20"/>
          <w:szCs w:val="20"/>
          <w:color w:val="auto"/>
        </w:rPr>
      </w:pPr>
      <w:r>
        <w:rPr>
          <w:rFonts w:ascii="Arial" w:cs="Arial" w:eastAsia="Arial" w:hAnsi="Arial"/>
          <w:sz w:val="21"/>
          <w:szCs w:val="21"/>
          <w:color w:val="auto"/>
        </w:rPr>
        <w:t>Pursuant to Rule 13d-4, Seth A. Klarman and SAK Corporation declare that the filing of this statement on Schedule 13G shall not be deemed an admission by either or both of them that they are, for the purposes of Section 13 of the Securities Exchange Act of 1934, as amended, the beneficial owner of any securities covered by this statement on Schedule 13G.</w:t>
      </w:r>
    </w:p>
    <w:p>
      <w:pPr>
        <w:sectPr>
          <w:pgSz w:w="11900" w:h="16838" w:orient="portrait"/>
          <w:cols w:equalWidth="0" w:num="1">
            <w:col w:w="11420"/>
          </w:cols>
          <w:pgMar w:left="240" w:top="760" w:right="239" w:bottom="1440" w:gutter="0" w:footer="0" w:header="0"/>
        </w:sectPr>
      </w:pPr>
    </w:p>
    <w:bookmarkStart w:id="6" w:name="page7"/>
    <w:bookmarkEnd w:id="6"/>
    <w:p>
      <w:pPr>
        <w:spacing w:after="0"/>
        <w:tabs>
          <w:tab w:leader="none" w:pos="5540" w:val="left"/>
          <w:tab w:leader="none" w:pos="10320" w:val="left"/>
        </w:tabs>
        <w:rPr>
          <w:sz w:val="20"/>
          <w:szCs w:val="20"/>
          <w:color w:val="auto"/>
        </w:rPr>
      </w:pPr>
      <w:r>
        <w:rPr>
          <w:rFonts w:ascii="Arial" w:cs="Arial" w:eastAsia="Arial" w:hAnsi="Arial"/>
          <w:sz w:val="18"/>
          <w:szCs w:val="18"/>
          <w:color w:val="auto"/>
        </w:rPr>
        <w:t>CUSIP NO. 595112103</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6"/>
          <w:szCs w:val="16"/>
          <w:color w:val="auto"/>
        </w:rPr>
        <w:t>PAGE 7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500" w:hanging="492"/>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52" w:lineRule="exact"/>
        <w:rPr>
          <w:rFonts w:ascii="Arial" w:cs="Arial" w:eastAsia="Arial" w:hAnsi="Arial"/>
          <w:sz w:val="18"/>
          <w:szCs w:val="18"/>
          <w:color w:val="auto"/>
        </w:rPr>
      </w:pPr>
    </w:p>
    <w:p>
      <w:pPr>
        <w:ind w:left="980" w:hanging="486"/>
        <w:spacing w:after="0"/>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Baupost Group, L.L.C.: 5.83%</w:t>
      </w:r>
    </w:p>
    <w:p>
      <w:pPr>
        <w:spacing w:after="0" w:line="23" w:lineRule="exact"/>
        <w:rPr>
          <w:rFonts w:ascii="Arial" w:cs="Arial" w:eastAsia="Arial" w:hAnsi="Arial"/>
          <w:sz w:val="18"/>
          <w:szCs w:val="18"/>
          <w:color w:val="auto"/>
        </w:rPr>
      </w:pPr>
    </w:p>
    <w:p>
      <w:pPr>
        <w:ind w:left="980" w:hanging="486"/>
        <w:spacing w:after="0"/>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SAK Corporation: 5.83%</w:t>
      </w:r>
    </w:p>
    <w:p>
      <w:pPr>
        <w:spacing w:after="0" w:line="9" w:lineRule="exact"/>
        <w:rPr>
          <w:rFonts w:ascii="Arial" w:cs="Arial" w:eastAsia="Arial" w:hAnsi="Arial"/>
          <w:sz w:val="18"/>
          <w:szCs w:val="18"/>
          <w:color w:val="auto"/>
        </w:rPr>
      </w:pPr>
    </w:p>
    <w:p>
      <w:pPr>
        <w:ind w:left="980" w:hanging="486"/>
        <w:spacing w:after="0"/>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Seth A. Klarman: 5.83%</w:t>
      </w:r>
    </w:p>
    <w:p>
      <w:pPr>
        <w:spacing w:after="0" w:line="237" w:lineRule="exact"/>
        <w:rPr>
          <w:rFonts w:ascii="Arial" w:cs="Arial" w:eastAsia="Arial" w:hAnsi="Arial"/>
          <w:sz w:val="18"/>
          <w:szCs w:val="18"/>
          <w:color w:val="auto"/>
        </w:rPr>
      </w:pPr>
    </w:p>
    <w:p>
      <w:pPr>
        <w:ind w:left="500" w:hanging="492"/>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52" w:lineRule="exact"/>
        <w:rPr>
          <w:sz w:val="20"/>
          <w:szCs w:val="20"/>
          <w:color w:val="auto"/>
        </w:rPr>
      </w:pPr>
    </w:p>
    <w:p>
      <w:pPr>
        <w:ind w:left="500" w:hanging="492"/>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252"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---0</w:t>
      </w:r>
    </w:p>
    <w:p>
      <w:pPr>
        <w:spacing w:after="0" w:line="252" w:lineRule="exact"/>
        <w:rPr>
          <w:rFonts w:ascii="Arial" w:cs="Arial" w:eastAsia="Arial" w:hAnsi="Arial"/>
          <w:sz w:val="18"/>
          <w:szCs w:val="18"/>
          <w:color w:val="auto"/>
        </w:rPr>
      </w:pPr>
    </w:p>
    <w:p>
      <w:pPr>
        <w:ind w:left="500" w:hanging="492"/>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252" w:lineRule="exact"/>
        <w:rPr>
          <w:rFonts w:ascii="Arial" w:cs="Arial" w:eastAsia="Arial" w:hAnsi="Arial"/>
          <w:sz w:val="18"/>
          <w:szCs w:val="18"/>
          <w:color w:val="auto"/>
        </w:rPr>
      </w:pPr>
    </w:p>
    <w:p>
      <w:pPr>
        <w:ind w:left="980" w:hanging="486"/>
        <w:spacing w:after="0"/>
        <w:tabs>
          <w:tab w:leader="none" w:pos="9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Baupost Group, L.L.C.: 61,655,434</w:t>
      </w:r>
    </w:p>
    <w:p>
      <w:pPr>
        <w:spacing w:after="0" w:line="252" w:lineRule="exact"/>
        <w:rPr>
          <w:rFonts w:ascii="Arial" w:cs="Arial" w:eastAsia="Arial" w:hAnsi="Arial"/>
          <w:sz w:val="18"/>
          <w:szCs w:val="18"/>
          <w:color w:val="auto"/>
        </w:rPr>
      </w:pPr>
    </w:p>
    <w:p>
      <w:pPr>
        <w:ind w:left="980" w:hanging="486"/>
        <w:spacing w:after="0"/>
        <w:tabs>
          <w:tab w:leader="none" w:pos="9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SAK Corporation: 61,655,434</w:t>
      </w:r>
    </w:p>
    <w:p>
      <w:pPr>
        <w:spacing w:after="0" w:line="252" w:lineRule="exact"/>
        <w:rPr>
          <w:rFonts w:ascii="Arial" w:cs="Arial" w:eastAsia="Arial" w:hAnsi="Arial"/>
          <w:sz w:val="18"/>
          <w:szCs w:val="18"/>
          <w:color w:val="auto"/>
        </w:rPr>
      </w:pPr>
    </w:p>
    <w:p>
      <w:pPr>
        <w:ind w:left="980" w:hanging="486"/>
        <w:spacing w:after="0"/>
        <w:tabs>
          <w:tab w:leader="none" w:pos="9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Seth A. Klarman: 61,655,434</w:t>
      </w:r>
    </w:p>
    <w:p>
      <w:pPr>
        <w:spacing w:after="0" w:line="252" w:lineRule="exact"/>
        <w:rPr>
          <w:rFonts w:ascii="Arial" w:cs="Arial" w:eastAsia="Arial" w:hAnsi="Arial"/>
          <w:sz w:val="18"/>
          <w:szCs w:val="18"/>
          <w:color w:val="auto"/>
        </w:rPr>
      </w:pPr>
    </w:p>
    <w:p>
      <w:pPr>
        <w:ind w:left="500" w:hanging="492"/>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252"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---0</w:t>
      </w:r>
    </w:p>
    <w:p>
      <w:pPr>
        <w:spacing w:after="0" w:line="252" w:lineRule="exact"/>
        <w:rPr>
          <w:rFonts w:ascii="Arial" w:cs="Arial" w:eastAsia="Arial" w:hAnsi="Arial"/>
          <w:sz w:val="18"/>
          <w:szCs w:val="18"/>
          <w:color w:val="auto"/>
        </w:rPr>
      </w:pPr>
    </w:p>
    <w:p>
      <w:pPr>
        <w:ind w:left="500" w:hanging="492"/>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252" w:lineRule="exact"/>
        <w:rPr>
          <w:rFonts w:ascii="Arial" w:cs="Arial" w:eastAsia="Arial" w:hAnsi="Arial"/>
          <w:sz w:val="18"/>
          <w:szCs w:val="18"/>
          <w:color w:val="auto"/>
        </w:rPr>
      </w:pPr>
    </w:p>
    <w:p>
      <w:pPr>
        <w:ind w:left="980" w:hanging="486"/>
        <w:spacing w:after="0"/>
        <w:tabs>
          <w:tab w:leader="none" w:pos="9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Baupost Group, L.L.C.: 61,655,434</w:t>
      </w:r>
    </w:p>
    <w:p>
      <w:pPr>
        <w:spacing w:after="0" w:line="252" w:lineRule="exact"/>
        <w:rPr>
          <w:rFonts w:ascii="Arial" w:cs="Arial" w:eastAsia="Arial" w:hAnsi="Arial"/>
          <w:sz w:val="18"/>
          <w:szCs w:val="18"/>
          <w:color w:val="auto"/>
        </w:rPr>
      </w:pPr>
    </w:p>
    <w:p>
      <w:pPr>
        <w:ind w:left="980" w:hanging="486"/>
        <w:spacing w:after="0"/>
        <w:tabs>
          <w:tab w:leader="none" w:pos="9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SAK Corporation: 61,655,434</w:t>
      </w:r>
    </w:p>
    <w:p>
      <w:pPr>
        <w:spacing w:after="0" w:line="252" w:lineRule="exact"/>
        <w:rPr>
          <w:rFonts w:ascii="Arial" w:cs="Arial" w:eastAsia="Arial" w:hAnsi="Arial"/>
          <w:sz w:val="18"/>
          <w:szCs w:val="18"/>
          <w:color w:val="auto"/>
        </w:rPr>
      </w:pPr>
    </w:p>
    <w:p>
      <w:pPr>
        <w:ind w:left="980" w:hanging="486"/>
        <w:spacing w:after="0"/>
        <w:tabs>
          <w:tab w:leader="none" w:pos="9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Seth A. Klarman: 61,655,434</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Instruction: For computations regarding securities which represent a right to acquire an underlying security seess.240.13d-3(d)(1).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180" w:firstLine="8"/>
        <w:spacing w:after="0" w:line="328" w:lineRule="auto"/>
        <w:tabs>
          <w:tab w:leader="none" w:pos="270" w:val="left"/>
        </w:tabs>
        <w:numPr>
          <w:ilvl w:val="0"/>
          <w:numId w:val="12"/>
        </w:numPr>
        <w:rPr>
          <w:rFonts w:ascii="Arial" w:cs="Arial" w:eastAsia="Arial" w:hAnsi="Arial"/>
          <w:sz w:val="19"/>
          <w:szCs w:val="19"/>
          <w:color w:val="auto"/>
        </w:rPr>
      </w:pPr>
      <w:r>
        <w:rPr>
          <w:rFonts w:ascii="Arial" w:cs="Arial" w:eastAsia="Arial" w:hAnsi="Arial"/>
          <w:sz w:val="19"/>
          <w:szCs w:val="19"/>
          <w:color w:val="auto"/>
        </w:rPr>
        <w:t>The percentage ownership in the Issuer's Common Stock, $0.10 par value, is based upon 1,057,447,584 issued and outstanding shares based on the Schedule 14A filed December 12, 2013 and includes certain call options exercisable wtihin 60 days</w:t>
      </w:r>
    </w:p>
    <w:p>
      <w:pPr>
        <w:sectPr>
          <w:pgSz w:w="11900" w:h="16838" w:orient="portrait"/>
          <w:cols w:equalWidth="0" w:num="1">
            <w:col w:w="11420"/>
          </w:cols>
          <w:pgMar w:left="240" w:top="760" w:right="239" w:bottom="1440" w:gutter="0" w:footer="0" w:header="0"/>
        </w:sectPr>
      </w:pPr>
    </w:p>
    <w:bookmarkStart w:id="7" w:name="page8"/>
    <w:bookmarkEnd w:id="7"/>
    <w:p>
      <w:pPr>
        <w:spacing w:after="0"/>
        <w:tabs>
          <w:tab w:leader="none" w:pos="5540" w:val="left"/>
          <w:tab w:leader="none" w:pos="10320" w:val="left"/>
        </w:tabs>
        <w:rPr>
          <w:sz w:val="20"/>
          <w:szCs w:val="20"/>
          <w:color w:val="auto"/>
        </w:rPr>
      </w:pPr>
      <w:r>
        <w:rPr>
          <w:rFonts w:ascii="Arial" w:cs="Arial" w:eastAsia="Arial" w:hAnsi="Arial"/>
          <w:sz w:val="18"/>
          <w:szCs w:val="18"/>
          <w:color w:val="auto"/>
        </w:rPr>
        <w:t>CUSIP NO. 595112103</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6"/>
          <w:szCs w:val="16"/>
          <w:color w:val="auto"/>
        </w:rPr>
        <w:t>PAGE 8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Item 5 Ownership of Five Percent or Less of a Class:</w:t>
      </w:r>
    </w:p>
    <w:p>
      <w:pPr>
        <w:spacing w:after="0" w:line="225" w:lineRule="exact"/>
        <w:rPr>
          <w:sz w:val="20"/>
          <w:szCs w:val="20"/>
          <w:color w:val="auto"/>
        </w:rPr>
      </w:pPr>
    </w:p>
    <w:p>
      <w:pPr>
        <w:ind w:right="40" w:firstLine="666"/>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[_].</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Instruction: Dissolution of a group requires a response to this item.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Item 6 Ownership of More than Five Percent on behalf of Another Person:</w:t>
      </w:r>
    </w:p>
    <w:p>
      <w:pPr>
        <w:spacing w:after="0" w:line="225" w:lineRule="exact"/>
        <w:rPr>
          <w:sz w:val="20"/>
          <w:szCs w:val="20"/>
          <w:color w:val="auto"/>
        </w:rPr>
      </w:pPr>
    </w:p>
    <w:p>
      <w:pPr>
        <w:ind w:right="720" w:firstLine="666"/>
        <w:spacing w:after="0" w:line="277" w:lineRule="auto"/>
        <w:rPr>
          <w:sz w:val="20"/>
          <w:szCs w:val="20"/>
          <w:color w:val="auto"/>
        </w:rPr>
      </w:pPr>
      <w:r>
        <w:rPr>
          <w:rFonts w:ascii="Arial" w:cs="Arial" w:eastAsia="Arial" w:hAnsi="Arial"/>
          <w:sz w:val="18"/>
          <w:szCs w:val="18"/>
          <w:color w:val="auto"/>
        </w:rPr>
        <w:t>Securities reported on this statement on Schedule 13G as being beneficially owned by Baupost were purchased on behalf of various private investment limited partnerships.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Item 7 Identification and Classification of the Subsidiary Which Acquired the Security Being Reported on By the Parent Holding Company:</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See attached Exhibit 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Item 8 Identification and Classification of members of the Group:</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Item 9 Notice of Dissolution of Group:</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8" w:name="page9"/>
    <w:bookmarkEnd w:id="8"/>
    <w:p>
      <w:pPr>
        <w:spacing w:after="0"/>
        <w:tabs>
          <w:tab w:leader="none" w:pos="5540" w:val="left"/>
          <w:tab w:leader="none" w:pos="10320" w:val="left"/>
        </w:tabs>
        <w:rPr>
          <w:sz w:val="20"/>
          <w:szCs w:val="20"/>
          <w:color w:val="auto"/>
        </w:rPr>
      </w:pPr>
      <w:r>
        <w:rPr>
          <w:rFonts w:ascii="Arial" w:cs="Arial" w:eastAsia="Arial" w:hAnsi="Arial"/>
          <w:sz w:val="18"/>
          <w:szCs w:val="18"/>
          <w:color w:val="auto"/>
        </w:rPr>
        <w:t>CUSIP NO. 595112103</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6"/>
          <w:szCs w:val="16"/>
          <w:color w:val="auto"/>
        </w:rPr>
        <w:t>PAGE 9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Item 10 Certification:</w:t>
      </w:r>
    </w:p>
    <w:p>
      <w:pPr>
        <w:spacing w:after="0" w:line="225" w:lineRule="exact"/>
        <w:rPr>
          <w:sz w:val="20"/>
          <w:szCs w:val="20"/>
          <w:color w:val="auto"/>
        </w:rPr>
      </w:pPr>
    </w:p>
    <w:p>
      <w:pPr>
        <w:ind w:right="20" w:firstLine="666"/>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in the ordinary course of business and were not acquired for the purpose of or with the effect of changing or influencing the control of the issuer of the securities and were not acquired and are not held in connection with or as a participant in any transaction having that purpose or effect. Signature</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After reasonable inquiry and to the best of my knowledge and belief, I certify that the information set forth in this statement is true, complete and correct.</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February 13, 2014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BAUPOST GROUP, L.L.C.</w:t>
      </w:r>
    </w:p>
    <w:p>
      <w:pPr>
        <w:spacing w:after="0" w:line="200" w:lineRule="exact"/>
        <w:rPr>
          <w:sz w:val="20"/>
          <w:szCs w:val="20"/>
          <w:color w:val="auto"/>
        </w:rPr>
      </w:pPr>
    </w:p>
    <w:p>
      <w:pPr>
        <w:spacing w:after="0" w:line="295"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Seth A. Klarman</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Seth A. Klarman</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President</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SAK CORPORATION</w:t>
      </w:r>
    </w:p>
    <w:p>
      <w:pPr>
        <w:spacing w:after="0" w:line="200" w:lineRule="exact"/>
        <w:rPr>
          <w:sz w:val="20"/>
          <w:szCs w:val="20"/>
          <w:color w:val="auto"/>
        </w:rPr>
      </w:pPr>
    </w:p>
    <w:p>
      <w:pPr>
        <w:spacing w:after="0" w:line="295"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tab/>
        <w:t>/s/ Seth A. Klarman</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Seth A. Klarman</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President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SETH A. KLARMAN</w:t>
      </w:r>
    </w:p>
    <w:p>
      <w:pPr>
        <w:spacing w:after="0" w:line="200" w:lineRule="exact"/>
        <w:rPr>
          <w:sz w:val="20"/>
          <w:szCs w:val="20"/>
          <w:color w:val="auto"/>
        </w:rPr>
      </w:pPr>
    </w:p>
    <w:p>
      <w:pPr>
        <w:spacing w:after="0" w:line="295"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tab/>
        <w:t>/s/ Seth A. Klarman</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Seth A. Klarman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9" w:name="page10"/>
    <w:bookmarkEnd w:id="9"/>
    <w:p>
      <w:pPr>
        <w:spacing w:after="0"/>
        <w:tabs>
          <w:tab w:leader="none" w:pos="5540" w:val="left"/>
          <w:tab w:leader="none" w:pos="10220" w:val="left"/>
        </w:tabs>
        <w:rPr>
          <w:sz w:val="20"/>
          <w:szCs w:val="20"/>
          <w:color w:val="auto"/>
        </w:rPr>
      </w:pPr>
      <w:r>
        <w:rPr>
          <w:rFonts w:ascii="Arial" w:cs="Arial" w:eastAsia="Arial" w:hAnsi="Arial"/>
          <w:sz w:val="18"/>
          <w:szCs w:val="18"/>
          <w:color w:val="auto"/>
        </w:rPr>
        <w:t>CUSIP NO. 595112103</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6"/>
          <w:szCs w:val="16"/>
          <w:color w:val="auto"/>
        </w:rPr>
        <w:t>PAGE 10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EXHIBIT 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Item 3 &amp; Item 7</w:t>
      </w:r>
    </w:p>
    <w:p>
      <w:pPr>
        <w:spacing w:after="0" w:line="200" w:lineRule="exact"/>
        <w:rPr>
          <w:sz w:val="20"/>
          <w:szCs w:val="20"/>
          <w:color w:val="auto"/>
        </w:rPr>
      </w:pPr>
    </w:p>
    <w:p>
      <w:pPr>
        <w:spacing w:after="0" w:line="24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This statement on Schedule 13G is being jointly filed by The Baupost Group, L.L.C. ("Baupost"), SAK Corporation and Seth A. Klarman. Baupost is a registered investment adviser and acts as an investment adviser and general partner to certain private investment limited partnerships. SAK Corporation is the Manager of Baupost. Mr. Klarman, as the sole director and sole officer of SAK Corporation and a controlling person of Baupost, may be deemed to have beneficial ownership under Section 13 of the Securities Exchange Act of 1934, as amended, of the securities beneficially owned by Baupost. Securities reported on this statement on Schedule 13G as being beneficially owned by Baupost were purchased on behalf of various private investment limited partnerships.</w:t>
      </w:r>
    </w:p>
    <w:p>
      <w:pPr>
        <w:spacing w:after="0" w:line="22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Pursuant to Rule 13d-4, Seth A. Klarman and SAK Corporation declare that the filing of this Schedule 13G shall not be deemed an admission by either or both of them that they are, for the purposes of Sections 13 of the Securities Exchange Act of 1934, as amended, the beneficial owner of any securities covered by this 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241935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10" w:name="page11"/>
    <w:bookmarkEnd w:id="1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lowerRoman"/>
      <w:start w:val="10"/>
    </w:lvl>
  </w:abstractNum>
  <w:abstractNum w:abstractNumId="1">
    <w:nsid w:val="41B71EFB"/>
    <w:multiLevelType w:val="hybridMultilevel"/>
    <w:lvl w:ilvl="0">
      <w:lvlJc w:val="left"/>
      <w:lvlText w:val="%1."/>
      <w:numFmt w:val="decimal"/>
      <w:start w:val="1"/>
    </w:lvl>
    <w:lvl w:ilvl="1">
      <w:lvlJc w:val="left"/>
      <w:lvlText w:val="(%2)"/>
      <w:numFmt w:val="lowerLetter"/>
      <w:start w:val="1"/>
    </w:lvl>
  </w:abstractNum>
  <w:abstractNum w:abstractNumId="2">
    <w:nsid w:val="79E2A9E3"/>
    <w:multiLevelType w:val="hybridMultilevel"/>
    <w:lvl w:ilvl="0">
      <w:lvlJc w:val="left"/>
      <w:lvlText w:val="%1."/>
      <w:numFmt w:val="decimal"/>
      <w:start w:val="1"/>
    </w:lvl>
    <w:lvl w:ilvl="1">
      <w:lvlJc w:val="left"/>
      <w:lvlText w:val="(%2)"/>
      <w:numFmt w:val="lowerLetter"/>
      <w:start w:val="1"/>
    </w:lvl>
  </w:abstractNum>
  <w:abstractNum w:abstractNumId="3">
    <w:nsid w:val="7545E146"/>
    <w:multiLevelType w:val="hybridMultilevel"/>
    <w:lvl w:ilvl="0">
      <w:lvlJc w:val="left"/>
      <w:lvlText w:val="%1."/>
      <w:numFmt w:val="decimal"/>
      <w:start w:val="1"/>
    </w:lvl>
    <w:lvl w:ilvl="1">
      <w:lvlJc w:val="left"/>
      <w:lvlText w:val="(%2)"/>
      <w:numFmt w:val="lowerLetter"/>
      <w:start w:val="1"/>
    </w:lvl>
  </w:abstractNum>
  <w:abstractNum w:abstractNumId="4">
    <w:nsid w:val="515F007C"/>
    <w:multiLevelType w:val="hybridMultilevel"/>
    <w:lvl w:ilvl="0">
      <w:lvlJc w:val="left"/>
      <w:lvlText w:val="(%1)"/>
      <w:numFmt w:val="decimal"/>
      <w:start w:val="1"/>
    </w:lvl>
  </w:abstractNum>
  <w:abstractNum w:abstractNumId="5">
    <w:nsid w:val="5BD062C2"/>
    <w:multiLevelType w:val="hybridMultilevel"/>
    <w:lvl w:ilvl="0">
      <w:lvlJc w:val="left"/>
      <w:lvlText w:val="(%1)"/>
      <w:numFmt w:val="decimal"/>
      <w:start w:val="1"/>
    </w:lvl>
  </w:abstractNum>
  <w:abstractNum w:abstractNumId="6">
    <w:nsid w:val="12200854"/>
    <w:multiLevelType w:val="hybridMultilevel"/>
    <w:lvl w:ilvl="0">
      <w:lvlJc w:val="left"/>
      <w:lvlText w:val="(%1)"/>
      <w:numFmt w:val="decimal"/>
      <w:start w:val="1"/>
    </w:lvl>
  </w:abstractNum>
  <w:abstractNum w:abstractNumId="7">
    <w:nsid w:val="4DB127F8"/>
    <w:multiLevelType w:val="hybridMultilevel"/>
    <w:lvl w:ilvl="0">
      <w:lvlJc w:val="left"/>
      <w:lvlText w:val="(%1)"/>
      <w:numFmt w:val="lowerLetter"/>
      <w:start w:val="1"/>
    </w:lvl>
  </w:abstractNum>
  <w:abstractNum w:abstractNumId="8">
    <w:nsid w:val="216231B"/>
    <w:multiLevelType w:val="hybridMultilevel"/>
    <w:lvl w:ilvl="0">
      <w:lvlJc w:val="left"/>
      <w:lvlText w:val="(%1)"/>
      <w:numFmt w:val="lowerLetter"/>
      <w:start w:val="1"/>
    </w:lvl>
    <w:lvl w:ilvl="1">
      <w:lvlJc w:val="left"/>
      <w:lvlText w:val="(%2)"/>
      <w:numFmt w:val="decimal"/>
      <w:start w:val="1"/>
    </w:lvl>
  </w:abstractNum>
  <w:abstractNum w:abstractNumId="9">
    <w:nsid w:val="1F16E9E8"/>
    <w:multiLevelType w:val="hybridMultilevel"/>
    <w:lvl w:ilvl="0">
      <w:lvlJc w:val="left"/>
      <w:lvlText w:val="(%1)"/>
      <w:numFmt w:val="lowerLetter"/>
      <w:start w:val="2"/>
    </w:lvl>
    <w:lvl w:ilvl="1">
      <w:lvlJc w:val="left"/>
      <w:lvlText w:val="(%2)"/>
      <w:numFmt w:val="decimal"/>
      <w:start w:val="1"/>
    </w:lvl>
  </w:abstractNum>
  <w:abstractNum w:abstractNumId="10">
    <w:nsid w:val="1190CDE7"/>
    <w:multiLevelType w:val="hybridMultilevel"/>
    <w:lvl w:ilvl="0">
      <w:lvlJc w:val="left"/>
      <w:lvlText w:val="(%1)"/>
      <w:numFmt w:val="lowerRoman"/>
      <w:start w:val="1"/>
    </w:lvl>
    <w:lvl w:ilvl="1">
      <w:lvlJc w:val="left"/>
      <w:lvlText w:val="(%2)"/>
      <w:numFmt w:val="decimal"/>
      <w:start w:val="1"/>
    </w:lvl>
  </w:abstractNum>
  <w:abstractNum w:abstractNumId="11">
    <w:nsid w:val="66EF438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2019-12-05T19:31:11Z</dcterms:created>
  <dcterms:modified xsi:type="dcterms:W3CDTF">2019-12-05T19:31:11Z</dcterms:modified>
</cp:coreProperties>
</file>