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333-104894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DATED SEPTEMBER 4, 2003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Prospectus filed on September 3, 2003)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$632,500,000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(aggregate principal amount)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Convertible Subordinated Notes due 2010 and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Issuable Upon Conversion of the Notes</w:t>
      </w:r>
    </w:p>
    <w:p>
      <w:pPr>
        <w:spacing w:after="0" w:line="219" w:lineRule="exact"/>
        <w:rPr>
          <w:sz w:val="24"/>
          <w:szCs w:val="24"/>
          <w:color w:val="auto"/>
        </w:rPr>
      </w:pPr>
    </w:p>
    <w:p>
      <w:pPr>
        <w:ind w:right="640" w:firstLine="348"/>
        <w:spacing w:after="0" w:line="332" w:lineRule="auto"/>
        <w:rPr>
          <w:sz w:val="20"/>
          <w:szCs w:val="20"/>
          <w:color w:val="auto"/>
        </w:rPr>
      </w:pPr>
      <w:r>
        <w:rPr>
          <w:rFonts w:ascii="Arial" w:cs="Arial" w:eastAsia="Arial" w:hAnsi="Arial"/>
          <w:sz w:val="16"/>
          <w:szCs w:val="16"/>
          <w:color w:val="auto"/>
        </w:rPr>
        <w:t>This Prospectus Supplement, together with the Prospectus listed above, is to be used by certain holders of the above-referenced securities or by their transferees, pledgees, donees or their successors in connection with the offer and sale of the above referenced securities.</w:t>
      </w:r>
    </w:p>
    <w:p>
      <w:pPr>
        <w:spacing w:after="0" w:line="13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table captioned "Selling Securityholders" commencing on page 40 of the Prospectus is hereby amended to reflect the following additions and changes.</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Principal Amount at</w:t>
            </w: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Maturity of Notes</w:t>
            </w:r>
          </w:p>
        </w:tc>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2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2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Percentage of Notes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 Stock That</w:t>
            </w:r>
          </w:p>
        </w:tc>
        <w:tc>
          <w:tcPr>
            <w:tcW w:w="2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74"/>
        </w:trPr>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That May Be Sold</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9"/>
              </w:rPr>
              <w:t>May Be Sold(1)</w:t>
            </w:r>
          </w:p>
        </w:tc>
        <w:tc>
          <w:tcPr>
            <w:tcW w:w="2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Outstanding(2)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Lehman Brothers, Inc.</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33,074,000</w:t>
            </w:r>
          </w:p>
        </w:tc>
        <w:tc>
          <w:tcPr>
            <w:tcW w:w="2180" w:type="dxa"/>
            <w:vAlign w:val="bottom"/>
            <w:gridSpan w:val="2"/>
            <w:shd w:val="clear" w:color="auto" w:fill="CCEEFF"/>
          </w:tcPr>
          <w:p>
            <w:pPr>
              <w:jc w:val="center"/>
              <w:ind w:left="1557"/>
              <w:spacing w:after="0"/>
              <w:rPr>
                <w:sz w:val="20"/>
                <w:szCs w:val="20"/>
                <w:color w:val="auto"/>
              </w:rPr>
            </w:pPr>
            <w:r>
              <w:rPr>
                <w:rFonts w:ascii="Arial" w:cs="Arial" w:eastAsia="Arial" w:hAnsi="Arial"/>
                <w:sz w:val="18"/>
                <w:szCs w:val="18"/>
                <w:color w:val="auto"/>
                <w:w w:val="92"/>
              </w:rPr>
              <w:t>5.2%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2,805,733</w:t>
            </w:r>
          </w:p>
        </w:tc>
        <w:tc>
          <w:tcPr>
            <w:tcW w:w="18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2740" w:type="dxa"/>
            <w:vAlign w:val="bottom"/>
            <w:gridSpan w:val="3"/>
          </w:tcPr>
          <w:p>
            <w:pPr>
              <w:spacing w:after="0"/>
              <w:rPr>
                <w:sz w:val="20"/>
                <w:szCs w:val="20"/>
                <w:color w:val="auto"/>
              </w:rPr>
            </w:pPr>
            <w:r>
              <w:rPr>
                <w:rFonts w:ascii="Arial" w:cs="Arial" w:eastAsia="Arial" w:hAnsi="Arial"/>
                <w:sz w:val="18"/>
                <w:szCs w:val="18"/>
                <w:color w:val="auto"/>
              </w:rPr>
              <w:t>LLT Limited</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650,000</w:t>
            </w:r>
          </w:p>
        </w:tc>
        <w:tc>
          <w:tcPr>
            <w:tcW w:w="1940" w:type="dxa"/>
            <w:vAlign w:val="bottom"/>
          </w:tcPr>
          <w:p>
            <w:pPr>
              <w:jc w:val="center"/>
              <w:ind w:left="177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55,140</w:t>
            </w:r>
          </w:p>
        </w:tc>
        <w:tc>
          <w:tcPr>
            <w:tcW w:w="180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Lyxor Master Fund (Arbitex)</w:t>
            </w: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1940" w:type="dxa"/>
            <w:vAlign w:val="bottom"/>
            <w:shd w:val="clear" w:color="auto" w:fill="CCEEFF"/>
          </w:tcPr>
          <w:p>
            <w:pPr>
              <w:jc w:val="center"/>
              <w:ind w:left="177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212,080</w:t>
            </w:r>
          </w:p>
        </w:tc>
        <w:tc>
          <w:tcPr>
            <w:tcW w:w="18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2740" w:type="dxa"/>
            <w:vAlign w:val="bottom"/>
            <w:gridSpan w:val="3"/>
          </w:tcPr>
          <w:p>
            <w:pPr>
              <w:spacing w:after="0"/>
              <w:rPr>
                <w:sz w:val="20"/>
                <w:szCs w:val="20"/>
                <w:color w:val="auto"/>
              </w:rPr>
            </w:pPr>
            <w:r>
              <w:rPr>
                <w:rFonts w:ascii="Arial" w:cs="Arial" w:eastAsia="Arial" w:hAnsi="Arial"/>
                <w:sz w:val="18"/>
                <w:szCs w:val="18"/>
                <w:color w:val="auto"/>
              </w:rPr>
              <w:t>NMS Services (Cayman) Inc.</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1940" w:type="dxa"/>
            <w:vAlign w:val="bottom"/>
          </w:tcPr>
          <w:p>
            <w:pPr>
              <w:jc w:val="center"/>
              <w:ind w:left="177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84,832</w:t>
            </w:r>
          </w:p>
        </w:tc>
        <w:tc>
          <w:tcPr>
            <w:tcW w:w="180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Sunrise Partners Limited Partnership</w:t>
            </w:r>
          </w:p>
        </w:tc>
        <w:tc>
          <w:tcPr>
            <w:tcW w:w="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940" w:type="dxa"/>
            <w:vAlign w:val="bottom"/>
            <w:shd w:val="clear" w:color="auto" w:fill="CCEEFF"/>
          </w:tcPr>
          <w:p>
            <w:pPr>
              <w:jc w:val="center"/>
              <w:ind w:left="177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127,248</w:t>
            </w:r>
          </w:p>
        </w:tc>
        <w:tc>
          <w:tcPr>
            <w:tcW w:w="18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2740" w:type="dxa"/>
            <w:vAlign w:val="bottom"/>
            <w:gridSpan w:val="3"/>
          </w:tcPr>
          <w:p>
            <w:pPr>
              <w:spacing w:after="0"/>
              <w:rPr>
                <w:sz w:val="20"/>
                <w:szCs w:val="20"/>
                <w:color w:val="auto"/>
              </w:rPr>
            </w:pPr>
            <w:r>
              <w:rPr>
                <w:rFonts w:ascii="Arial" w:cs="Arial" w:eastAsia="Arial" w:hAnsi="Arial"/>
                <w:sz w:val="18"/>
                <w:szCs w:val="18"/>
                <w:color w:val="auto"/>
              </w:rPr>
              <w:t>UBS Securities LLC</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4,000,000</w:t>
            </w:r>
          </w:p>
        </w:tc>
        <w:tc>
          <w:tcPr>
            <w:tcW w:w="1940" w:type="dxa"/>
            <w:vAlign w:val="bottom"/>
          </w:tcPr>
          <w:p>
            <w:pPr>
              <w:jc w:val="center"/>
              <w:ind w:left="177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339,328</w:t>
            </w:r>
          </w:p>
        </w:tc>
        <w:tc>
          <w:tcPr>
            <w:tcW w:w="1800" w:type="dxa"/>
            <w:vAlign w:val="bottom"/>
            <w:gridSpan w:val="2"/>
          </w:tcPr>
          <w:p>
            <w:pPr>
              <w:jc w:val="center"/>
              <w:ind w:lef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-1678305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-1678305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-1678305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-1678305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-1678305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-1678305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-1678305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-1678305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-1678305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-1678305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4"/>
          <w:szCs w:val="24"/>
          <w:color w:val="auto"/>
        </w:rPr>
      </w:pPr>
    </w:p>
    <w:p>
      <w:pPr>
        <w:ind w:left="540" w:right="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a conversion price of $11.79 per share of common stock. However, this conversion price will be subject to adjustment as described under "Description of the Notes—Conversion Rights." As a result, the amount of common stock issuable upon conversion of the notes may increase or decrease in the future.</w:t>
      </w:r>
    </w:p>
    <w:p>
      <w:pPr>
        <w:spacing w:after="0" w:line="207"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Rule 13d-3(d)(i) of the Exchange Act using 609,895,161 shares of common stock outstanding as of August 29, 2003. In calculating this amount, we treated as outstanding the number of shares of common stock issuable upon conversion of all of that particular holder's notes. However, we did not assume the conversion of any other holder's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6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2019-12-11T20:36:25Z</dcterms:created>
  <dcterms:modified xsi:type="dcterms:W3CDTF">2019-12-11T20:36:25Z</dcterms:modified>
</cp:coreProperties>
</file>