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20,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August 20, 2013, we terminated a series of separate currency exchange transactions with Deutsche Bank AG, Morgan Stanley and J. Aron &amp; Company, an affiliate of The Goldman Sachs Group, Inc. Pursuant to these currency transactions, we entered into below market forward contracts to buy 80 billion yen at a weighted-average price of 91.000 (yen per dollar) and purchased put options to sell 80 billion yen with a weighted-average strike price of</w:t>
      </w:r>
    </w:p>
    <w:p>
      <w:pPr>
        <w:ind w:right="120"/>
        <w:spacing w:after="0" w:line="261" w:lineRule="auto"/>
        <w:rPr>
          <w:sz w:val="20"/>
          <w:szCs w:val="20"/>
          <w:color w:val="auto"/>
        </w:rPr>
      </w:pPr>
      <w:r>
        <w:rPr>
          <w:rFonts w:ascii="Arial" w:cs="Arial" w:eastAsia="Arial" w:hAnsi="Arial"/>
          <w:sz w:val="18"/>
          <w:szCs w:val="18"/>
          <w:color w:val="auto"/>
        </w:rPr>
        <w:t>94.238. These forward contracts and put options, which were set to expire on September 25, 2013, were terminated early in connection with the closing of the Company’s acquisition of Elpida Memory,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2" w:right="37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6540" w:type="dxa"/>
            <w:vAlign w:val="bottom"/>
            <w:gridSpan w:val="2"/>
          </w:tcPr>
          <w:p>
            <w:pPr>
              <w:ind w:left="2080"/>
              <w:spacing w:after="0"/>
              <w:rPr>
                <w:sz w:val="20"/>
                <w:szCs w:val="20"/>
                <w:color w:val="auto"/>
              </w:rPr>
            </w:pPr>
            <w:r>
              <w:rPr>
                <w:rFonts w:ascii="Arial" w:cs="Arial" w:eastAsia="Arial" w:hAnsi="Arial"/>
                <w:sz w:val="18"/>
                <w:szCs w:val="18"/>
                <w:b w:val="1"/>
                <w:bCs w:val="1"/>
                <w:color w:val="auto"/>
              </w:rPr>
              <w:t>MICRON TECHNOLOGY, INC.</w:t>
            </w:r>
          </w:p>
        </w:tc>
        <w:tc>
          <w:tcPr>
            <w:tcW w:w="1140" w:type="dxa"/>
            <w:vAlign w:val="bottom"/>
          </w:tcPr>
          <w:p>
            <w:pPr>
              <w:spacing w:after="0"/>
              <w:rPr>
                <w:sz w:val="20"/>
                <w:szCs w:val="20"/>
                <w:color w:val="auto"/>
              </w:rPr>
            </w:pPr>
          </w:p>
        </w:tc>
      </w:tr>
      <w:tr>
        <w:trPr>
          <w:trHeight w:val="655"/>
        </w:trPr>
        <w:tc>
          <w:tcPr>
            <w:tcW w:w="3740" w:type="dxa"/>
            <w:vAlign w:val="bottom"/>
          </w:tcPr>
          <w:p>
            <w:pPr>
              <w:spacing w:after="0"/>
              <w:rPr>
                <w:sz w:val="20"/>
                <w:szCs w:val="20"/>
                <w:color w:val="auto"/>
              </w:rPr>
            </w:pPr>
            <w:r>
              <w:rPr>
                <w:rFonts w:ascii="Arial" w:cs="Arial" w:eastAsia="Arial" w:hAnsi="Arial"/>
                <w:sz w:val="18"/>
                <w:szCs w:val="18"/>
                <w:color w:val="auto"/>
              </w:rPr>
              <w:t>Date:   August 28, 2013</w:t>
            </w:r>
          </w:p>
        </w:tc>
        <w:tc>
          <w:tcPr>
            <w:tcW w:w="2620" w:type="dxa"/>
            <w:vAlign w:val="bottom"/>
          </w:tcPr>
          <w:p>
            <w:pPr>
              <w:ind w:left="2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1140" w:type="dxa"/>
            <w:vAlign w:val="bottom"/>
          </w:tcPr>
          <w:p>
            <w:pPr>
              <w:spacing w:after="0"/>
              <w:rPr>
                <w:sz w:val="24"/>
                <w:szCs w:val="24"/>
                <w:color w:val="auto"/>
              </w:rPr>
            </w:pPr>
          </w:p>
        </w:tc>
      </w:tr>
      <w:tr>
        <w:trPr>
          <w:trHeight w:val="202"/>
        </w:trPr>
        <w:tc>
          <w:tcPr>
            <w:tcW w:w="3740" w:type="dxa"/>
            <w:vAlign w:val="bottom"/>
          </w:tcPr>
          <w:p>
            <w:pPr>
              <w:spacing w:after="0"/>
              <w:rPr>
                <w:sz w:val="17"/>
                <w:szCs w:val="17"/>
                <w:color w:val="auto"/>
              </w:rPr>
            </w:pPr>
          </w:p>
        </w:tc>
        <w:tc>
          <w:tcPr>
            <w:tcW w:w="2620" w:type="dxa"/>
            <w:vAlign w:val="bottom"/>
          </w:tcPr>
          <w:p>
            <w:pPr>
              <w:ind w:left="2080"/>
              <w:spacing w:after="0" w:line="201" w:lineRule="exact"/>
              <w:rPr>
                <w:sz w:val="20"/>
                <w:szCs w:val="20"/>
                <w:color w:val="auto"/>
              </w:rPr>
            </w:pPr>
            <w:r>
              <w:rPr>
                <w:rFonts w:ascii="Arial" w:cs="Arial" w:eastAsia="Arial" w:hAnsi="Arial"/>
                <w:sz w:val="18"/>
                <w:szCs w:val="18"/>
                <w:color w:val="auto"/>
                <w:w w:val="98"/>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c>
          <w:tcPr>
            <w:tcW w:w="114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2620" w:type="dxa"/>
            <w:vAlign w:val="bottom"/>
          </w:tcPr>
          <w:p>
            <w:pPr>
              <w:ind w:left="20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14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1140" w:type="dxa"/>
            <w:vAlign w:val="bottom"/>
          </w:tcPr>
          <w:p>
            <w:pPr>
              <w:spacing w:after="0"/>
              <w:rPr>
                <w:sz w:val="20"/>
                <w:szCs w:val="20"/>
                <w:color w:val="auto"/>
              </w:rPr>
            </w:pPr>
          </w:p>
        </w:tc>
      </w:tr>
      <w:tr>
        <w:trPr>
          <w:trHeight w:val="459"/>
        </w:trPr>
        <w:tc>
          <w:tcPr>
            <w:tcW w:w="3740" w:type="dxa"/>
            <w:vAlign w:val="bottom"/>
          </w:tcPr>
          <w:p>
            <w:pPr>
              <w:spacing w:after="0"/>
              <w:rPr>
                <w:sz w:val="24"/>
                <w:szCs w:val="24"/>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2</w:t>
            </w:r>
          </w:p>
        </w:tc>
        <w:tc>
          <w:tcPr>
            <w:tcW w:w="3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1"/>
        </w:trPr>
        <w:tc>
          <w:tcPr>
            <w:tcW w:w="3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1"/>
        </w:trPr>
        <w:tc>
          <w:tcPr>
            <w:tcW w:w="3740" w:type="dxa"/>
            <w:vAlign w:val="bottom"/>
            <w:shd w:val="clear" w:color="auto" w:fill="808080"/>
          </w:tcPr>
          <w:p>
            <w:pPr>
              <w:spacing w:after="0"/>
              <w:rPr>
                <w:sz w:val="6"/>
                <w:szCs w:val="6"/>
                <w:color w:val="auto"/>
              </w:rPr>
            </w:pPr>
          </w:p>
        </w:tc>
        <w:tc>
          <w:tcPr>
            <w:tcW w:w="2620" w:type="dxa"/>
            <w:vAlign w:val="bottom"/>
            <w:shd w:val="clear" w:color="auto" w:fill="808080"/>
          </w:tcPr>
          <w:p>
            <w:pPr>
              <w:spacing w:after="0"/>
              <w:rPr>
                <w:sz w:val="6"/>
                <w:szCs w:val="6"/>
                <w:color w:val="auto"/>
              </w:rPr>
            </w:pPr>
          </w:p>
        </w:tc>
        <w:tc>
          <w:tcPr>
            <w:tcW w:w="3920" w:type="dxa"/>
            <w:vAlign w:val="bottom"/>
            <w:shd w:val="clear" w:color="auto" w:fill="808080"/>
          </w:tcPr>
          <w:p>
            <w:pPr>
              <w:spacing w:after="0"/>
              <w:rPr>
                <w:sz w:val="6"/>
                <w:szCs w:val="6"/>
                <w:color w:val="auto"/>
              </w:rPr>
            </w:pPr>
          </w:p>
        </w:tc>
        <w:tc>
          <w:tcPr>
            <w:tcW w:w="11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2019-12-05T19:59:19Z</dcterms:created>
  <dcterms:modified xsi:type="dcterms:W3CDTF">2019-12-05T19:59:19Z</dcterms:modified>
</cp:coreProperties>
</file>