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7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09/26/2023</w:t>
            </w: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78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09/26/2023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9"/>
              </w:rPr>
              <w:t>7,000</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41.56</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589,862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09/26/2023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9"/>
              </w:rPr>
              <w:t>6,673</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68.27</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583,189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09/26/2023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91"/>
              </w:rPr>
              <w:t>327</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68.81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582,862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601,257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center"/>
              <w:ind w:left="4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09/26/2023</w:t>
            </w:r>
          </w:p>
        </w:tc>
        <w:tc>
          <w:tcPr>
            <w:tcW w:w="1100" w:type="dxa"/>
            <w:vAlign w:val="bottom"/>
          </w:tcPr>
          <w:p>
            <w:pPr>
              <w:spacing w:after="0"/>
              <w:rPr>
                <w:sz w:val="16"/>
                <w:szCs w:val="16"/>
                <w:color w:val="auto"/>
              </w:rPr>
            </w:pPr>
          </w:p>
        </w:tc>
        <w:tc>
          <w:tcPr>
            <w:tcW w:w="58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7,000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10/24/2025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7,000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31,308</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Non-qualified Stock Option exercise and stock sales reported on this Form 4 were effected automatically pursuant to a Rule 10b5-1 trading plan adopted by the Reporting Person on May 15, 2023.</w:t>
      </w:r>
    </w:p>
    <w:p>
      <w:pPr>
        <w:spacing w:after="0" w:line="56" w:lineRule="exact"/>
        <w:rPr>
          <w:rFonts w:ascii="Arial" w:cs="Arial" w:eastAsia="Arial" w:hAnsi="Arial"/>
          <w:sz w:val="12"/>
          <w:szCs w:val="12"/>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$67.80 to $68.695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trusts are for the benefit of the Reporting Person and his family.</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7"/>
              </w:rPr>
              <w:t>Mai Lan Bui, Attorney-in-fact</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09/28/2023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2023-09-28T18:07:26Z</dcterms:created>
  <dcterms:modified xsi:type="dcterms:W3CDTF">2023-09-28T18:07:26Z</dcterms:modified>
</cp:coreProperties>
</file>