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28, 2023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160655</wp:posOffset>
            </wp:positionV>
            <wp:extent cx="1551305"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2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12"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3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14605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9"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09"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7" w:lineRule="exact"/>
        <w:rPr>
          <w:sz w:val="24"/>
          <w:szCs w:val="24"/>
          <w:color w:val="auto"/>
        </w:rPr>
      </w:pPr>
    </w:p>
    <w:p>
      <w:pPr>
        <w:ind w:right="140"/>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56"/>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22"/>
                <w:szCs w:val="22"/>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100" w:type="dxa"/>
            <w:vAlign w:val="bottom"/>
          </w:tcPr>
          <w:p>
            <w:pPr>
              <w:spacing w:after="0"/>
              <w:rPr>
                <w:sz w:val="22"/>
                <w:szCs w:val="22"/>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Common Stock, par value $0.10 per share</w:t>
            </w:r>
          </w:p>
        </w:tc>
        <w:tc>
          <w:tcPr>
            <w:tcW w:w="1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MU</w:t>
            </w: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94" w:lineRule="exact"/>
        <w:rPr>
          <w:sz w:val="24"/>
          <w:szCs w:val="24"/>
          <w:color w:val="auto"/>
        </w:rPr>
      </w:pPr>
    </w:p>
    <w:p>
      <w:pPr>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200" w:lineRule="exact"/>
        <w:rPr>
          <w:sz w:val="20"/>
          <w:szCs w:val="20"/>
          <w:color w:val="auto"/>
        </w:rPr>
      </w:pPr>
    </w:p>
    <w:p>
      <w:pPr>
        <w:spacing w:after="0" w:line="25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On March 28, 2023, we announced the financial results for our second quarter of fiscal 2023 ended March 2, 2023. The full text of the press release issued in connection with the announcement is attached as Exhibit 99.1 to this Current Report on Form 8-K.</w:t>
      </w:r>
    </w:p>
    <w:p>
      <w:pPr>
        <w:spacing w:after="0" w:line="31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information in Item 2.02 of this Current Report on Form 8-K shall not be deemed "filed" for the purposes of Section 18 of the Securities Exchange Act of 1934, as amended (the "Exchange Act"), or otherwise subject to the liabilities of that section. The information in Item 2.02 of this Current Report on Form 8-K shall not be incorporated by reference into any filing or other document pursuant to the Securities Act of 1933, as amended, or the Exchange Act, except as shall be expressly set forth by specific reference in such filing or document.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10080" w:type="dxa"/>
            <w:vAlign w:val="bottom"/>
            <w:gridSpan w:val="5"/>
          </w:tcPr>
          <w:p>
            <w:pPr>
              <w:ind w:left="1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86"/>
        </w:trPr>
        <w:tc>
          <w:tcPr>
            <w:tcW w:w="1160" w:type="dxa"/>
            <w:vAlign w:val="bottom"/>
          </w:tcPr>
          <w:p>
            <w:pPr>
              <w:spacing w:after="0"/>
              <w:rPr>
                <w:sz w:val="24"/>
                <w:szCs w:val="24"/>
                <w:color w:val="auto"/>
              </w:rPr>
            </w:pPr>
          </w:p>
        </w:tc>
        <w:tc>
          <w:tcPr>
            <w:tcW w:w="10080" w:type="dxa"/>
            <w:vAlign w:val="bottom"/>
            <w:gridSpan w:val="5"/>
          </w:tcPr>
          <w:p>
            <w:pPr>
              <w:ind w:left="180"/>
              <w:spacing w:after="0"/>
              <w:rPr>
                <w:sz w:val="20"/>
                <w:szCs w:val="20"/>
                <w:color w:val="auto"/>
              </w:rPr>
            </w:pPr>
            <w:r>
              <w:rPr>
                <w:rFonts w:ascii="Arial" w:cs="Arial" w:eastAsia="Arial" w:hAnsi="Arial"/>
                <w:sz w:val="18"/>
                <w:szCs w:val="18"/>
                <w:color w:val="auto"/>
              </w:rPr>
              <w:t>(d) Exhibits.</w:t>
            </w:r>
          </w:p>
        </w:tc>
      </w:tr>
      <w:tr>
        <w:trPr>
          <w:trHeight w:val="675"/>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1440" w:type="dxa"/>
            <w:vAlign w:val="bottom"/>
          </w:tcPr>
          <w:p>
            <w:pPr>
              <w:spacing w:after="0"/>
              <w:rPr>
                <w:sz w:val="24"/>
                <w:szCs w:val="24"/>
                <w:color w:val="auto"/>
              </w:rPr>
            </w:pPr>
          </w:p>
        </w:tc>
      </w:tr>
      <w:tr>
        <w:trPr>
          <w:trHeight w:val="183"/>
        </w:trPr>
        <w:tc>
          <w:tcPr>
            <w:tcW w:w="1160" w:type="dxa"/>
            <w:vAlign w:val="bottom"/>
          </w:tcPr>
          <w:p>
            <w:pPr>
              <w:jc w:val="right"/>
              <w:ind w:right="310"/>
              <w:spacing w:after="0" w:line="182"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gridSpan w:val="3"/>
          </w:tcPr>
          <w:p>
            <w:pPr>
              <w:spacing w:after="0" w:line="182" w:lineRule="exact"/>
              <w:rPr>
                <w:sz w:val="20"/>
                <w:szCs w:val="20"/>
                <w:color w:val="auto"/>
              </w:rPr>
            </w:pPr>
            <w:r>
              <w:rPr>
                <w:rFonts w:ascii="Arial" w:cs="Arial" w:eastAsia="Arial" w:hAnsi="Arial"/>
                <w:sz w:val="18"/>
                <w:szCs w:val="18"/>
                <w:color w:val="0000FF"/>
              </w:rPr>
              <w:t>Press Release issued on March 28, 2023</w:t>
            </w:r>
          </w:p>
        </w:tc>
      </w:tr>
      <w:tr>
        <w:trPr>
          <w:trHeight w:val="20"/>
        </w:trPr>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6540" w:type="dxa"/>
            <w:vAlign w:val="bottom"/>
            <w:gridSpan w:val="2"/>
          </w:tcPr>
          <w:p>
            <w:pPr>
              <w:spacing w:after="0" w:line="20" w:lineRule="exact"/>
              <w:rPr>
                <w:sz w:val="1"/>
                <w:szCs w:val="1"/>
                <w:color w:val="auto"/>
              </w:rPr>
            </w:pPr>
          </w:p>
        </w:tc>
      </w:tr>
      <w:tr>
        <w:trPr>
          <w:trHeight w:val="250"/>
        </w:trPr>
        <w:tc>
          <w:tcPr>
            <w:tcW w:w="1160" w:type="dxa"/>
            <w:vAlign w:val="bottom"/>
          </w:tcPr>
          <w:p>
            <w:pPr>
              <w:jc w:val="right"/>
              <w:ind w:right="33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65"/>
        </w:trPr>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720" w:type="dxa"/>
            <w:vAlign w:val="bottom"/>
          </w:tcPr>
          <w:p>
            <w:pPr>
              <w:spacing w:after="0"/>
              <w:rPr>
                <w:sz w:val="20"/>
                <w:szCs w:val="20"/>
                <w:color w:val="auto"/>
              </w:rPr>
            </w:pPr>
          </w:p>
        </w:tc>
        <w:tc>
          <w:tcPr>
            <w:tcW w:w="7500" w:type="dxa"/>
            <w:vAlign w:val="bottom"/>
            <w:gridSpan w:val="2"/>
          </w:tcPr>
          <w:p>
            <w:pPr>
              <w:ind w:left="1740"/>
              <w:spacing w:after="0"/>
              <w:rPr>
                <w:sz w:val="20"/>
                <w:szCs w:val="20"/>
                <w:color w:val="auto"/>
              </w:rPr>
            </w:pPr>
            <w:r>
              <w:rPr>
                <w:rFonts w:ascii="Arial" w:cs="Arial" w:eastAsia="Arial" w:hAnsi="Arial"/>
                <w:sz w:val="18"/>
                <w:szCs w:val="18"/>
                <w:b w:val="1"/>
                <w:bCs w:val="1"/>
                <w:color w:val="auto"/>
              </w:rPr>
              <w:t>MICRON TECHNOLOGY, INC.</w:t>
            </w:r>
          </w:p>
        </w:tc>
      </w:tr>
      <w:tr>
        <w:trPr>
          <w:trHeight w:val="743"/>
        </w:trPr>
        <w:tc>
          <w:tcPr>
            <w:tcW w:w="3720" w:type="dxa"/>
            <w:vAlign w:val="bottom"/>
          </w:tcPr>
          <w:p>
            <w:pPr>
              <w:spacing w:after="0"/>
              <w:rPr>
                <w:sz w:val="20"/>
                <w:szCs w:val="20"/>
                <w:color w:val="auto"/>
              </w:rPr>
            </w:pPr>
            <w:r>
              <w:rPr>
                <w:rFonts w:ascii="Arial" w:cs="Arial" w:eastAsia="Arial" w:hAnsi="Arial"/>
                <w:sz w:val="18"/>
                <w:szCs w:val="18"/>
                <w:color w:val="auto"/>
              </w:rPr>
              <w:t>Date:   March 28, 2023</w:t>
            </w:r>
          </w:p>
        </w:tc>
        <w:tc>
          <w:tcPr>
            <w:tcW w:w="2640" w:type="dxa"/>
            <w:vAlign w:val="bottom"/>
          </w:tcPr>
          <w:p>
            <w:pPr>
              <w:ind w:left="17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Murphy</w:t>
            </w:r>
          </w:p>
        </w:tc>
      </w:tr>
      <w:tr>
        <w:trPr>
          <w:trHeight w:val="223"/>
        </w:trPr>
        <w:tc>
          <w:tcPr>
            <w:tcW w:w="3720" w:type="dxa"/>
            <w:vAlign w:val="bottom"/>
          </w:tcPr>
          <w:p>
            <w:pPr>
              <w:spacing w:after="0"/>
              <w:rPr>
                <w:sz w:val="19"/>
                <w:szCs w:val="19"/>
                <w:color w:val="auto"/>
              </w:rPr>
            </w:pPr>
          </w:p>
        </w:tc>
        <w:tc>
          <w:tcPr>
            <w:tcW w:w="2640" w:type="dxa"/>
            <w:vAlign w:val="bottom"/>
          </w:tcPr>
          <w:p>
            <w:pPr>
              <w:ind w:left="174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Mark Murphy</w:t>
            </w:r>
          </w:p>
        </w:tc>
      </w:tr>
      <w:tr>
        <w:trPr>
          <w:trHeight w:val="229"/>
        </w:trPr>
        <w:tc>
          <w:tcPr>
            <w:tcW w:w="3720" w:type="dxa"/>
            <w:vAlign w:val="bottom"/>
          </w:tcPr>
          <w:p>
            <w:pPr>
              <w:spacing w:after="0"/>
              <w:rPr>
                <w:sz w:val="19"/>
                <w:szCs w:val="19"/>
                <w:color w:val="auto"/>
              </w:rPr>
            </w:pPr>
          </w:p>
        </w:tc>
        <w:tc>
          <w:tcPr>
            <w:tcW w:w="2640" w:type="dxa"/>
            <w:vAlign w:val="bottom"/>
          </w:tcPr>
          <w:p>
            <w:pPr>
              <w:ind w:left="174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1129"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36" w:lineRule="exact"/>
        <w:rPr>
          <w:sz w:val="20"/>
          <w:szCs w:val="20"/>
          <w:color w:val="auto"/>
        </w:rPr>
      </w:pPr>
    </w:p>
    <w:tbl>
      <w:tblPr>
        <w:tblLayout w:type="fixed"/>
        <w:tblInd w:w="260" w:type="dxa"/>
        <w:tblCellMar>
          <w:top w:w="0" w:type="dxa"/>
          <w:left w:w="0" w:type="dxa"/>
          <w:bottom w:w="0" w:type="dxa"/>
          <w:right w:w="0" w:type="dxa"/>
        </w:tblCellMar>
      </w:tblPr>
      <w:tr>
        <w:trPr>
          <w:trHeight w:val="217"/>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3100" w:type="dxa"/>
            <w:vAlign w:val="bottom"/>
            <w:gridSpan w:val="2"/>
          </w:tcPr>
          <w:p>
            <w:pPr>
              <w:spacing w:after="0"/>
              <w:rPr>
                <w:sz w:val="20"/>
                <w:szCs w:val="20"/>
                <w:color w:val="auto"/>
              </w:rPr>
            </w:pPr>
            <w:r>
              <w:rPr>
                <w:rFonts w:ascii="Arial" w:cs="Arial" w:eastAsia="Arial" w:hAnsi="Arial"/>
                <w:sz w:val="18"/>
                <w:szCs w:val="18"/>
                <w:color w:val="auto"/>
              </w:rPr>
              <w:t>Farhan Ahmad</w:t>
            </w:r>
          </w:p>
        </w:tc>
        <w:tc>
          <w:tcPr>
            <w:tcW w:w="2000" w:type="dxa"/>
            <w:vAlign w:val="bottom"/>
            <w:gridSpan w:val="2"/>
          </w:tcPr>
          <w:p>
            <w:pPr>
              <w:spacing w:after="0"/>
              <w:rPr>
                <w:sz w:val="20"/>
                <w:szCs w:val="20"/>
                <w:color w:val="auto"/>
              </w:rPr>
            </w:pPr>
            <w:r>
              <w:rPr>
                <w:rFonts w:ascii="Arial" w:cs="Arial" w:eastAsia="Arial" w:hAnsi="Arial"/>
                <w:sz w:val="18"/>
                <w:szCs w:val="18"/>
                <w:color w:val="auto"/>
                <w:w w:val="98"/>
              </w:rPr>
              <w:t>Erica Rodriguez Pompen</w:t>
            </w:r>
          </w:p>
        </w:tc>
      </w:tr>
      <w:tr>
        <w:trPr>
          <w:trHeight w:val="230"/>
        </w:trPr>
        <w:tc>
          <w:tcPr>
            <w:tcW w:w="15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00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189"/>
        </w:trPr>
        <w:tc>
          <w:tcPr>
            <w:tcW w:w="1500" w:type="dxa"/>
            <w:vAlign w:val="bottom"/>
          </w:tcPr>
          <w:p>
            <w:pPr>
              <w:spacing w:after="0"/>
              <w:rPr>
                <w:sz w:val="16"/>
                <w:szCs w:val="16"/>
                <w:color w:val="auto"/>
              </w:rPr>
            </w:pPr>
          </w:p>
        </w:tc>
        <w:tc>
          <w:tcPr>
            <w:tcW w:w="3100" w:type="dxa"/>
            <w:vAlign w:val="bottom"/>
            <w:gridSpan w:val="2"/>
          </w:tcPr>
          <w:p>
            <w:pPr>
              <w:spacing w:after="0" w:line="189" w:lineRule="exact"/>
              <w:rPr>
                <w:sz w:val="20"/>
                <w:szCs w:val="20"/>
                <w:color w:val="auto"/>
              </w:rPr>
            </w:pPr>
            <w:r>
              <w:rPr>
                <w:rFonts w:ascii="Arial" w:cs="Arial" w:eastAsia="Arial" w:hAnsi="Arial"/>
                <w:sz w:val="18"/>
                <w:szCs w:val="18"/>
                <w:color w:val="0090DA"/>
              </w:rPr>
              <w:t>farhanahmad@micron.com</w:t>
            </w:r>
          </w:p>
        </w:tc>
        <w:tc>
          <w:tcPr>
            <w:tcW w:w="2000" w:type="dxa"/>
            <w:vAlign w:val="bottom"/>
            <w:gridSpan w:val="2"/>
          </w:tcPr>
          <w:p>
            <w:pPr>
              <w:spacing w:after="0" w:line="189" w:lineRule="exact"/>
              <w:rPr>
                <w:sz w:val="20"/>
                <w:szCs w:val="20"/>
                <w:color w:val="auto"/>
              </w:rPr>
            </w:pPr>
            <w:r>
              <w:rPr>
                <w:rFonts w:ascii="Arial" w:cs="Arial" w:eastAsia="Arial" w:hAnsi="Arial"/>
                <w:sz w:val="18"/>
                <w:szCs w:val="18"/>
                <w:color w:val="0090DA"/>
              </w:rPr>
              <w:t>epompen@micron.com</w:t>
            </w:r>
          </w:p>
        </w:tc>
      </w:tr>
      <w:tr>
        <w:trPr>
          <w:trHeight w:val="250"/>
        </w:trPr>
        <w:tc>
          <w:tcPr>
            <w:tcW w:w="1500" w:type="dxa"/>
            <w:vAlign w:val="bottom"/>
          </w:tcPr>
          <w:p>
            <w:pPr>
              <w:spacing w:after="0"/>
              <w:rPr>
                <w:sz w:val="21"/>
                <w:szCs w:val="21"/>
                <w:color w:val="auto"/>
              </w:rPr>
            </w:pPr>
          </w:p>
        </w:tc>
        <w:tc>
          <w:tcPr>
            <w:tcW w:w="2160" w:type="dxa"/>
            <w:vAlign w:val="bottom"/>
            <w:tcBorders>
              <w:top w:val="single" w:sz="8" w:color="0090DA"/>
            </w:tcBorders>
          </w:tcPr>
          <w:p>
            <w:pPr>
              <w:spacing w:after="0"/>
              <w:rPr>
                <w:sz w:val="20"/>
                <w:szCs w:val="20"/>
                <w:color w:val="auto"/>
              </w:rPr>
            </w:pPr>
            <w:r>
              <w:rPr>
                <w:rFonts w:ascii="Arial" w:cs="Arial" w:eastAsia="Arial" w:hAnsi="Arial"/>
                <w:sz w:val="18"/>
                <w:szCs w:val="18"/>
                <w:color w:val="auto"/>
              </w:rPr>
              <w:t>(408) 834-1927</w:t>
            </w:r>
          </w:p>
        </w:tc>
        <w:tc>
          <w:tcPr>
            <w:tcW w:w="940" w:type="dxa"/>
            <w:vAlign w:val="bottom"/>
          </w:tcPr>
          <w:p>
            <w:pPr>
              <w:spacing w:after="0"/>
              <w:rPr>
                <w:sz w:val="21"/>
                <w:szCs w:val="21"/>
                <w:color w:val="auto"/>
              </w:rPr>
            </w:pPr>
          </w:p>
        </w:tc>
        <w:tc>
          <w:tcPr>
            <w:tcW w:w="1860" w:type="dxa"/>
            <w:vAlign w:val="bottom"/>
            <w:tcBorders>
              <w:top w:val="single" w:sz="8" w:color="0090DA"/>
            </w:tcBorders>
          </w:tcPr>
          <w:p>
            <w:pPr>
              <w:spacing w:after="0"/>
              <w:rPr>
                <w:sz w:val="20"/>
                <w:szCs w:val="20"/>
                <w:color w:val="auto"/>
              </w:rPr>
            </w:pPr>
            <w:r>
              <w:rPr>
                <w:rFonts w:ascii="Arial" w:cs="Arial" w:eastAsia="Arial" w:hAnsi="Arial"/>
                <w:sz w:val="18"/>
                <w:szCs w:val="18"/>
                <w:color w:val="auto"/>
              </w:rPr>
              <w:t>(408) 834-1873</w:t>
            </w:r>
          </w:p>
        </w:tc>
        <w:tc>
          <w:tcPr>
            <w:tcW w:w="1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RESULTS FOR THE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QUARTER OF FISCAL 2023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Achieving technology milestones while cutting expenses and reducing supply</w:t>
      </w:r>
    </w:p>
    <w:p>
      <w:pPr>
        <w:spacing w:after="0" w:line="24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March 28, 2023 – Micron Technology, Inc. (Nasdaq: MU) today announced results for its second quarter of fiscal 2023, which</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March 2, 2023.</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Q2 2023 highlights</w:t>
      </w:r>
    </w:p>
    <w:p>
      <w:pPr>
        <w:spacing w:after="0" w:line="31"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$3.69 billion versus $4.09 billion for the prior quarter and $7.79 billion for the same period last year</w:t>
      </w:r>
    </w:p>
    <w:p>
      <w:pPr>
        <w:spacing w:after="0" w:line="9" w:lineRule="exact"/>
        <w:rPr>
          <w:rFonts w:ascii="Arial" w:cs="Arial" w:eastAsia="Arial" w:hAnsi="Arial"/>
          <w:sz w:val="18"/>
          <w:szCs w:val="18"/>
          <w:color w:val="auto"/>
        </w:rPr>
      </w:pPr>
    </w:p>
    <w:p>
      <w:pPr>
        <w:ind w:left="1300" w:hanging="320"/>
        <w:spacing w:after="0" w:line="23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loss of $2.31 billion, or $2.12 per diluted share</w:t>
      </w: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loss of $2.08 billion, or $1.91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Inventory write-downs of $1.43 billion, impact of $1.34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$343 million versus $943 million for the prior quarter and $3.63 billion for the same period last year</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“Micron delivered fiscal second quarter revenue within our guidance range in a challenging market environment,” said Micron Technology President and CEO Sanjay Mehrotra. “Customer inventories are getting better, and we expect gradual improvements to the industry’s supply-demand balance. We remain confident in long-term demand and are investing prudently to preserve our technology and product portfolio competitiveness.”</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Financial Results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120" w:type="dxa"/>
            <w:vAlign w:val="bottom"/>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c>
          <w:tcPr>
            <w:tcW w:w="980" w:type="dxa"/>
            <w:vAlign w:val="bottom"/>
            <w:tcBorders>
              <w:bottom w:val="single" w:sz="8" w:color="0090DA"/>
            </w:tcBorders>
          </w:tcPr>
          <w:p>
            <w:pPr>
              <w:spacing w:after="0"/>
              <w:rPr>
                <w:sz w:val="23"/>
                <w:szCs w:val="23"/>
                <w:color w:val="auto"/>
              </w:rPr>
            </w:pPr>
          </w:p>
        </w:tc>
        <w:tc>
          <w:tcPr>
            <w:tcW w:w="180" w:type="dxa"/>
            <w:vAlign w:val="bottom"/>
            <w:tcBorders>
              <w:bottom w:val="single" w:sz="8" w:color="0090DA"/>
            </w:tcBorders>
          </w:tcPr>
          <w:p>
            <w:pPr>
              <w:spacing w:after="0"/>
              <w:rPr>
                <w:sz w:val="23"/>
                <w:szCs w:val="23"/>
                <w:color w:val="auto"/>
              </w:rPr>
            </w:pPr>
          </w:p>
        </w:tc>
        <w:tc>
          <w:tcPr>
            <w:tcW w:w="1000" w:type="dxa"/>
            <w:vAlign w:val="bottom"/>
            <w:tcBorders>
              <w:bottom w:val="single" w:sz="8" w:color="0090DA"/>
            </w:tcBorders>
          </w:tcPr>
          <w:p>
            <w:pPr>
              <w:jc w:val="right"/>
              <w:ind w:right="190"/>
              <w:spacing w:after="0"/>
              <w:rPr>
                <w:sz w:val="20"/>
                <w:szCs w:val="20"/>
                <w:color w:val="auto"/>
              </w:rPr>
            </w:pPr>
            <w:r>
              <w:rPr>
                <w:rFonts w:ascii="Arial" w:cs="Arial" w:eastAsia="Arial" w:hAnsi="Arial"/>
                <w:sz w:val="18"/>
                <w:szCs w:val="18"/>
                <w:b w:val="1"/>
                <w:bCs w:val="1"/>
                <w:color w:val="auto"/>
                <w:w w:val="98"/>
              </w:rPr>
              <w:t>GAAP</w:t>
            </w:r>
            <w:r>
              <w:rPr>
                <w:rFonts w:ascii="Arial" w:cs="Arial" w:eastAsia="Arial" w:hAnsi="Arial"/>
                <w:sz w:val="23"/>
                <w:szCs w:val="23"/>
                <w:b w:val="1"/>
                <w:bCs w:val="1"/>
                <w:color w:val="auto"/>
                <w:w w:val="98"/>
                <w:vertAlign w:val="superscript"/>
              </w:rPr>
              <w:t>(1)</w:t>
            </w:r>
          </w:p>
        </w:tc>
        <w:tc>
          <w:tcPr>
            <w:tcW w:w="200" w:type="dxa"/>
            <w:vAlign w:val="bottom"/>
            <w:tcBorders>
              <w:bottom w:val="single" w:sz="8" w:color="0090DA"/>
            </w:tcBorders>
          </w:tcPr>
          <w:p>
            <w:pPr>
              <w:spacing w:after="0"/>
              <w:rPr>
                <w:sz w:val="23"/>
                <w:szCs w:val="23"/>
                <w:color w:val="auto"/>
              </w:rPr>
            </w:pPr>
          </w:p>
        </w:tc>
        <w:tc>
          <w:tcPr>
            <w:tcW w:w="940" w:type="dxa"/>
            <w:vAlign w:val="bottom"/>
            <w:tcBorders>
              <w:bottom w:val="single" w:sz="8" w:color="0090DA"/>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c>
          <w:tcPr>
            <w:tcW w:w="980" w:type="dxa"/>
            <w:vAlign w:val="bottom"/>
            <w:tcBorders>
              <w:bottom w:val="single" w:sz="8" w:color="0090DA"/>
            </w:tcBorders>
          </w:tcPr>
          <w:p>
            <w:pPr>
              <w:spacing w:after="0"/>
              <w:rPr>
                <w:sz w:val="23"/>
                <w:szCs w:val="23"/>
                <w:color w:val="auto"/>
              </w:rPr>
            </w:pPr>
          </w:p>
        </w:tc>
        <w:tc>
          <w:tcPr>
            <w:tcW w:w="1180" w:type="dxa"/>
            <w:vAlign w:val="bottom"/>
            <w:tcBorders>
              <w:bottom w:val="single" w:sz="8" w:color="0090DA"/>
            </w:tcBorders>
            <w:gridSpan w:val="2"/>
          </w:tcPr>
          <w:p>
            <w:pPr>
              <w:ind w:left="40"/>
              <w:spacing w:after="0"/>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p>
        </w:tc>
        <w:tc>
          <w:tcPr>
            <w:tcW w:w="20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spacing w:after="0"/>
              <w:rPr>
                <w:sz w:val="23"/>
                <w:szCs w:val="23"/>
                <w:color w:val="auto"/>
              </w:rPr>
            </w:pP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200" w:type="dxa"/>
            <w:vAlign w:val="bottom"/>
          </w:tcPr>
          <w:p>
            <w:pPr>
              <w:spacing w:after="0"/>
              <w:rPr>
                <w:sz w:val="21"/>
                <w:szCs w:val="21"/>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FQ2-23</w:t>
            </w:r>
          </w:p>
        </w:tc>
        <w:tc>
          <w:tcPr>
            <w:tcW w:w="180" w:type="dxa"/>
            <w:vAlign w:val="bottom"/>
          </w:tcPr>
          <w:p>
            <w:pPr>
              <w:spacing w:after="0"/>
              <w:rPr>
                <w:sz w:val="21"/>
                <w:szCs w:val="21"/>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FQ1-23</w:t>
            </w:r>
          </w:p>
        </w:tc>
        <w:tc>
          <w:tcPr>
            <w:tcW w:w="20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FQ2-22</w:t>
            </w:r>
          </w:p>
        </w:tc>
        <w:tc>
          <w:tcPr>
            <w:tcW w:w="200" w:type="dxa"/>
            <w:vAlign w:val="bottom"/>
          </w:tcPr>
          <w:p>
            <w:pPr>
              <w:spacing w:after="0"/>
              <w:rPr>
                <w:sz w:val="21"/>
                <w:szCs w:val="21"/>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FQ2-23</w:t>
            </w:r>
          </w:p>
        </w:tc>
        <w:tc>
          <w:tcPr>
            <w:tcW w:w="200" w:type="dxa"/>
            <w:vAlign w:val="bottom"/>
          </w:tcPr>
          <w:p>
            <w:pPr>
              <w:spacing w:after="0"/>
              <w:rPr>
                <w:sz w:val="21"/>
                <w:szCs w:val="21"/>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FQ1-23</w:t>
            </w:r>
          </w:p>
        </w:tc>
        <w:tc>
          <w:tcPr>
            <w:tcW w:w="20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FQ2-22</w:t>
            </w:r>
          </w:p>
        </w:tc>
      </w:tr>
      <w:tr>
        <w:trPr>
          <w:trHeight w:val="34"/>
        </w:trPr>
        <w:tc>
          <w:tcPr>
            <w:tcW w:w="412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100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r>
      <w:tr>
        <w:trPr>
          <w:trHeight w:val="230"/>
        </w:trPr>
        <w:tc>
          <w:tcPr>
            <w:tcW w:w="412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210"/>
              <w:spacing w:after="0"/>
              <w:rPr>
                <w:sz w:val="20"/>
                <w:szCs w:val="20"/>
                <w:color w:val="auto"/>
              </w:rPr>
            </w:pPr>
            <w:r>
              <w:rPr>
                <w:rFonts w:ascii="Arial" w:cs="Arial" w:eastAsia="Arial" w:hAnsi="Arial"/>
                <w:sz w:val="18"/>
                <w:szCs w:val="18"/>
                <w:color w:val="auto"/>
              </w:rPr>
              <w:t>3,693</w:t>
            </w: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DDDDD"/>
          </w:tcPr>
          <w:p>
            <w:pPr>
              <w:jc w:val="right"/>
              <w:ind w:right="190"/>
              <w:spacing w:after="0"/>
              <w:rPr>
                <w:sz w:val="20"/>
                <w:szCs w:val="20"/>
                <w:color w:val="auto"/>
              </w:rPr>
            </w:pPr>
            <w:r>
              <w:rPr>
                <w:rFonts w:ascii="Arial" w:cs="Arial" w:eastAsia="Arial" w:hAnsi="Arial"/>
                <w:sz w:val="18"/>
                <w:szCs w:val="18"/>
                <w:color w:val="auto"/>
              </w:rPr>
              <w:t>4,085</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7,786</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90"/>
              <w:spacing w:after="0"/>
              <w:rPr>
                <w:sz w:val="20"/>
                <w:szCs w:val="20"/>
                <w:color w:val="auto"/>
              </w:rPr>
            </w:pPr>
            <w:r>
              <w:rPr>
                <w:rFonts w:ascii="Arial" w:cs="Arial" w:eastAsia="Arial" w:hAnsi="Arial"/>
                <w:sz w:val="18"/>
                <w:szCs w:val="18"/>
                <w:color w:val="auto"/>
              </w:rPr>
              <w:t>3,693</w:t>
            </w:r>
          </w:p>
        </w:tc>
        <w:tc>
          <w:tcPr>
            <w:tcW w:w="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DDDDDD"/>
          </w:tcPr>
          <w:p>
            <w:pPr>
              <w:jc w:val="right"/>
              <w:ind w:right="190"/>
              <w:spacing w:after="0"/>
              <w:rPr>
                <w:sz w:val="20"/>
                <w:szCs w:val="20"/>
                <w:color w:val="auto"/>
              </w:rPr>
            </w:pPr>
            <w:r>
              <w:rPr>
                <w:rFonts w:ascii="Arial" w:cs="Arial" w:eastAsia="Arial" w:hAnsi="Arial"/>
                <w:sz w:val="18"/>
                <w:szCs w:val="18"/>
                <w:color w:val="auto"/>
              </w:rPr>
              <w:t>4,085</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7,786</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(1,206)</w:t>
            </w:r>
          </w:p>
        </w:tc>
        <w:tc>
          <w:tcPr>
            <w:tcW w:w="180" w:type="dxa"/>
            <w:vAlign w:val="bottom"/>
          </w:tcPr>
          <w:p>
            <w:pPr>
              <w:spacing w:after="0"/>
              <w:rPr>
                <w:sz w:val="19"/>
                <w:szCs w:val="19"/>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893</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(1,161)</w:t>
            </w:r>
          </w:p>
        </w:tc>
        <w:tc>
          <w:tcPr>
            <w:tcW w:w="200" w:type="dxa"/>
            <w:vAlign w:val="bottom"/>
          </w:tcPr>
          <w:p>
            <w:pPr>
              <w:spacing w:after="0"/>
              <w:rPr>
                <w:sz w:val="19"/>
                <w:szCs w:val="19"/>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934</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3,724</w:t>
            </w:r>
          </w:p>
        </w:tc>
      </w:tr>
      <w:tr>
        <w:trPr>
          <w:trHeight w:val="230"/>
        </w:trPr>
        <w:tc>
          <w:tcPr>
            <w:tcW w:w="412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(32.7 %)</w:t>
            </w:r>
          </w:p>
        </w:tc>
        <w:tc>
          <w:tcPr>
            <w:tcW w:w="18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21.9 %</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47.2 %</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(31.4 %)</w:t>
            </w:r>
          </w:p>
        </w:tc>
        <w:tc>
          <w:tcPr>
            <w:tcW w:w="20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22.9 %</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47.8 %</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1,097</w:t>
            </w:r>
          </w:p>
        </w:tc>
        <w:tc>
          <w:tcPr>
            <w:tcW w:w="180" w:type="dxa"/>
            <w:vAlign w:val="bottom"/>
          </w:tcPr>
          <w:p>
            <w:pPr>
              <w:spacing w:after="0"/>
              <w:rPr>
                <w:sz w:val="19"/>
                <w:szCs w:val="19"/>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1,102</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916</w:t>
            </w:r>
          </w:p>
        </w:tc>
        <w:tc>
          <w:tcPr>
            <w:tcW w:w="200" w:type="dxa"/>
            <w:vAlign w:val="bottom"/>
          </w:tcPr>
          <w:p>
            <w:pPr>
              <w:spacing w:after="0"/>
              <w:rPr>
                <w:sz w:val="19"/>
                <w:szCs w:val="19"/>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999</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974</w:t>
            </w:r>
          </w:p>
        </w:tc>
      </w:tr>
      <w:tr>
        <w:trPr>
          <w:trHeight w:val="230"/>
        </w:trPr>
        <w:tc>
          <w:tcPr>
            <w:tcW w:w="412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(2,303)</w:t>
            </w:r>
          </w:p>
        </w:tc>
        <w:tc>
          <w:tcPr>
            <w:tcW w:w="180" w:type="dxa"/>
            <w:vAlign w:val="bottom"/>
            <w:shd w:val="clear" w:color="auto" w:fill="DDDDDD"/>
          </w:tcPr>
          <w:p>
            <w:pPr>
              <w:spacing w:after="0"/>
              <w:rPr>
                <w:sz w:val="19"/>
                <w:szCs w:val="19"/>
                <w:color w:val="auto"/>
              </w:rPr>
            </w:pPr>
          </w:p>
        </w:tc>
        <w:tc>
          <w:tcPr>
            <w:tcW w:w="10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2,546</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(2,077)</w:t>
            </w:r>
          </w:p>
        </w:tc>
        <w:tc>
          <w:tcPr>
            <w:tcW w:w="20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(65)</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2,750</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(62.4 %)</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(5.1 %)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32.7 %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(56.2 %)</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(1.6 %)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35.3 %</w:t>
            </w:r>
          </w:p>
        </w:tc>
      </w:tr>
      <w:tr>
        <w:trPr>
          <w:trHeight w:val="230"/>
        </w:trPr>
        <w:tc>
          <w:tcPr>
            <w:tcW w:w="412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(2,312)</w:t>
            </w:r>
          </w:p>
        </w:tc>
        <w:tc>
          <w:tcPr>
            <w:tcW w:w="180" w:type="dxa"/>
            <w:vAlign w:val="bottom"/>
            <w:shd w:val="clear" w:color="auto" w:fill="DDDDDD"/>
          </w:tcPr>
          <w:p>
            <w:pPr>
              <w:spacing w:after="0"/>
              <w:rPr>
                <w:sz w:val="19"/>
                <w:szCs w:val="19"/>
                <w:color w:val="auto"/>
              </w:rPr>
            </w:pPr>
          </w:p>
        </w:tc>
        <w:tc>
          <w:tcPr>
            <w:tcW w:w="10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2,263</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(2,081)</w:t>
            </w:r>
          </w:p>
        </w:tc>
        <w:tc>
          <w:tcPr>
            <w:tcW w:w="20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2,444</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(0.18)</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2.14</w:t>
            </w:r>
          </w:p>
        </w:tc>
      </w:tr>
    </w:tbl>
    <w:p>
      <w:pPr>
        <w:spacing w:after="0" w:line="200" w:lineRule="exact"/>
        <w:rPr>
          <w:sz w:val="20"/>
          <w:szCs w:val="20"/>
          <w:color w:val="auto"/>
        </w:rPr>
      </w:pPr>
    </w:p>
    <w:p>
      <w:pPr>
        <w:spacing w:after="0" w:line="366"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Investments in capital expenditures, net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were $2.16 billion for the second quarter of 2023, which resulted in adjusted free cash flows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negative $1.81 billion. Micron ended the second quarter of 2023 with cash, marketable investments, and restricted cash of $12.12 billion. Micron’s Board of Directors has declared a quarterly dividend of $0.115 per share, payable in cash on April 25, 2023, to shareholders of record as of the close of business on April 10, 2023.</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Business Outlook</w:t>
      </w:r>
    </w:p>
    <w:p>
      <w:pPr>
        <w:spacing w:after="0" w:line="26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table below presents Micron’s guidance for the third quarter of 2023. This guidance assumes a write down of approximately $500 million associated with inventory produced during the third quarter, impacting both GAAP and non-GAAP diluted earnings (loss) per share by approximately $0.45.</w:t>
      </w:r>
    </w:p>
    <w:tbl>
      <w:tblPr>
        <w:tblLayout w:type="fixed"/>
        <w:tblInd w:w="0" w:type="dxa"/>
        <w:tblCellMar>
          <w:top w:w="0" w:type="dxa"/>
          <w:left w:w="0" w:type="dxa"/>
          <w:bottom w:w="0" w:type="dxa"/>
          <w:right w:w="0" w:type="dxa"/>
        </w:tblCellMar>
      </w:tblPr>
      <w:tr>
        <w:trPr>
          <w:trHeight w:val="257"/>
        </w:trPr>
        <w:tc>
          <w:tcPr>
            <w:tcW w:w="47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FQ3-23</w:t>
            </w:r>
          </w:p>
        </w:tc>
        <w:tc>
          <w:tcPr>
            <w:tcW w:w="4280" w:type="dxa"/>
            <w:vAlign w:val="bottom"/>
            <w:tcBorders>
              <w:bottom w:val="single" w:sz="8" w:color="0090DA"/>
            </w:tcBorders>
          </w:tcPr>
          <w:p>
            <w:pPr>
              <w:jc w:val="right"/>
              <w:spacing w:after="0" w:line="257" w:lineRule="exact"/>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Outlook</w:t>
            </w:r>
          </w:p>
        </w:tc>
        <w:tc>
          <w:tcPr>
            <w:tcW w:w="2240" w:type="dxa"/>
            <w:vAlign w:val="bottom"/>
            <w:tcBorders>
              <w:bottom w:val="single" w:sz="8" w:color="0090DA"/>
            </w:tcBorders>
          </w:tcPr>
          <w:p>
            <w:pPr>
              <w:jc w:val="right"/>
              <w:spacing w:after="0" w:line="257" w:lineRule="exact"/>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Outlook</w:t>
            </w:r>
          </w:p>
        </w:tc>
      </w:tr>
      <w:tr>
        <w:trPr>
          <w:trHeight w:val="34"/>
        </w:trPr>
        <w:tc>
          <w:tcPr>
            <w:tcW w:w="47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29"/>
        </w:trPr>
        <w:tc>
          <w:tcPr>
            <w:tcW w:w="472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4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$3.70 billion ± $200 million</w:t>
            </w:r>
          </w:p>
        </w:tc>
        <w:tc>
          <w:tcPr>
            <w:tcW w:w="2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$3.70 billion ± $200 million</w:t>
            </w: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4280" w:type="dxa"/>
            <w:vAlign w:val="bottom"/>
          </w:tcPr>
          <w:p>
            <w:pPr>
              <w:jc w:val="right"/>
              <w:spacing w:after="0"/>
              <w:rPr>
                <w:sz w:val="20"/>
                <w:szCs w:val="20"/>
                <w:color w:val="auto"/>
              </w:rPr>
            </w:pPr>
            <w:r>
              <w:rPr>
                <w:rFonts w:ascii="Arial" w:cs="Arial" w:eastAsia="Arial" w:hAnsi="Arial"/>
                <w:sz w:val="18"/>
                <w:szCs w:val="18"/>
                <w:color w:val="auto"/>
              </w:rPr>
              <w:t>(23.0%) ± 2.5%</w:t>
            </w:r>
          </w:p>
        </w:tc>
        <w:tc>
          <w:tcPr>
            <w:tcW w:w="2240" w:type="dxa"/>
            <w:vAlign w:val="bottom"/>
          </w:tcPr>
          <w:p>
            <w:pPr>
              <w:jc w:val="right"/>
              <w:spacing w:after="0"/>
              <w:rPr>
                <w:sz w:val="20"/>
                <w:szCs w:val="20"/>
                <w:color w:val="auto"/>
              </w:rPr>
            </w:pPr>
            <w:r>
              <w:rPr>
                <w:rFonts w:ascii="Arial" w:cs="Arial" w:eastAsia="Arial" w:hAnsi="Arial"/>
                <w:sz w:val="18"/>
                <w:szCs w:val="18"/>
                <w:color w:val="auto"/>
              </w:rPr>
              <w:t>(21.0%) ± 2.5%</w:t>
            </w:r>
          </w:p>
        </w:tc>
      </w:tr>
      <w:tr>
        <w:trPr>
          <w:trHeight w:val="229"/>
        </w:trPr>
        <w:tc>
          <w:tcPr>
            <w:tcW w:w="472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expenses</w:t>
            </w:r>
          </w:p>
        </w:tc>
        <w:tc>
          <w:tcPr>
            <w:tcW w:w="4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$1.07 billion ± $15 million</w:t>
            </w:r>
          </w:p>
        </w:tc>
        <w:tc>
          <w:tcPr>
            <w:tcW w:w="2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$900 million ± $15 million</w:t>
            </w: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4280" w:type="dxa"/>
            <w:vAlign w:val="bottom"/>
          </w:tcPr>
          <w:p>
            <w:pPr>
              <w:jc w:val="right"/>
              <w:spacing w:after="0"/>
              <w:rPr>
                <w:sz w:val="20"/>
                <w:szCs w:val="20"/>
                <w:color w:val="auto"/>
              </w:rPr>
            </w:pPr>
            <w:r>
              <w:rPr>
                <w:rFonts w:ascii="Arial" w:cs="Arial" w:eastAsia="Arial" w:hAnsi="Arial"/>
                <w:sz w:val="18"/>
                <w:szCs w:val="18"/>
                <w:color w:val="auto"/>
              </w:rPr>
              <w:t>($1.79) ± $0.07</w:t>
            </w:r>
          </w:p>
        </w:tc>
        <w:tc>
          <w:tcPr>
            <w:tcW w:w="2240" w:type="dxa"/>
            <w:vAlign w:val="bottom"/>
          </w:tcPr>
          <w:p>
            <w:pPr>
              <w:jc w:val="right"/>
              <w:spacing w:after="0"/>
              <w:rPr>
                <w:sz w:val="20"/>
                <w:szCs w:val="20"/>
                <w:color w:val="auto"/>
              </w:rPr>
            </w:pPr>
            <w:r>
              <w:rPr>
                <w:rFonts w:ascii="Arial" w:cs="Arial" w:eastAsia="Arial" w:hAnsi="Arial"/>
                <w:sz w:val="18"/>
                <w:szCs w:val="18"/>
                <w:color w:val="auto"/>
              </w:rPr>
              <w:t>($1.58) ± $0.07</w:t>
            </w:r>
          </w:p>
        </w:tc>
      </w:tr>
    </w:tbl>
    <w:p>
      <w:pPr>
        <w:spacing w:after="0" w:line="323"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 xml:space="preserve">Further information regarding Micron’s business outlook is included in the prepared remarks and slides, which have been posted at </w:t>
      </w:r>
      <w:r>
        <w:rPr>
          <w:rFonts w:ascii="Arial" w:cs="Arial" w:eastAsia="Arial" w:hAnsi="Arial"/>
          <w:sz w:val="18"/>
          <w:szCs w:val="18"/>
          <w:u w:val="single" w:color="auto"/>
          <w:color w:val="0090DA"/>
        </w:rPr>
        <w:t>investors.micron.com</w:t>
      </w:r>
      <w:r>
        <w:rPr>
          <w:rFonts w:ascii="Arial" w:cs="Arial" w:eastAsia="Arial" w:hAnsi="Arial"/>
          <w:sz w:val="18"/>
          <w:szCs w:val="18"/>
          <w:color w:val="000000"/>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7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Micron will host a conference call on Tuesday, March 28, 2023 at 2:30 p.m. Mountain Time to discuss its second quarter financial results and provide forward-looking guidance for its third quarter. A live webcast of the call will be available online at </w:t>
      </w:r>
      <w:r>
        <w:rPr>
          <w:rFonts w:ascii="Arial" w:cs="Arial" w:eastAsia="Arial" w:hAnsi="Arial"/>
          <w:sz w:val="18"/>
          <w:szCs w:val="18"/>
          <w:u w:val="single" w:color="auto"/>
          <w:color w:val="0090DA"/>
        </w:rPr>
        <w:t>investors.micron.com</w:t>
      </w:r>
      <w:r>
        <w:rPr>
          <w:rFonts w:ascii="Arial" w:cs="Arial" w:eastAsia="Arial" w:hAnsi="Arial"/>
          <w:sz w:val="18"/>
          <w:szCs w:val="18"/>
          <w:color w:val="auto"/>
        </w:rPr>
        <w:t xml:space="preserve">. A webcast replay will be available for one year after the call. For Investor Relations and other company updates, follow @MicronTech on Twitter at </w:t>
      </w:r>
      <w:r>
        <w:rPr>
          <w:rFonts w:ascii="Arial" w:cs="Arial" w:eastAsia="Arial" w:hAnsi="Arial"/>
          <w:sz w:val="18"/>
          <w:szCs w:val="18"/>
          <w:u w:val="single" w:color="auto"/>
          <w:color w:val="0090DA"/>
        </w:rPr>
        <w:t>twitter.com/MicronTech</w:t>
      </w:r>
      <w:r>
        <w:rPr>
          <w:rFonts w:ascii="Arial" w:cs="Arial" w:eastAsia="Arial" w:hAnsi="Arial"/>
          <w:sz w:val="18"/>
          <w:szCs w:val="18"/>
          <w:color w:val="000000"/>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5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xml:space="preserve">.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 To learn more about Micron Technology, Inc. (Nasdaq: MU), visit </w:t>
      </w:r>
      <w:r>
        <w:rPr>
          <w:rFonts w:ascii="Arial" w:cs="Arial" w:eastAsia="Arial" w:hAnsi="Arial"/>
          <w:sz w:val="18"/>
          <w:szCs w:val="18"/>
          <w:u w:val="single" w:color="auto"/>
          <w:color w:val="0090DA"/>
        </w:rPr>
        <w:t>micron.com</w:t>
      </w:r>
      <w:r>
        <w:rPr>
          <w:rFonts w:ascii="Arial" w:cs="Arial" w:eastAsia="Arial" w:hAnsi="Arial"/>
          <w:sz w:val="18"/>
          <w:szCs w:val="18"/>
          <w:color w:val="auto"/>
        </w:rPr>
        <w:t>.</w:t>
      </w:r>
    </w:p>
    <w:p>
      <w:pPr>
        <w:spacing w:after="0" w:line="207" w:lineRule="exact"/>
        <w:rPr>
          <w:sz w:val="20"/>
          <w:szCs w:val="20"/>
          <w:color w:val="auto"/>
        </w:rPr>
      </w:pPr>
    </w:p>
    <w:p>
      <w:pPr>
        <w:ind w:right="520" w:firstLine="8"/>
        <w:spacing w:after="0" w:line="282" w:lineRule="auto"/>
        <w:tabs>
          <w:tab w:leader="none" w:pos="18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2023 Micron Technology, Inc. All rights reserved. Micron, the Micron logo, and all other Micron trademarks are the property of Micron Technology, Inc. All other trademarks are the property of their respective owners.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This press release contains forward-looking statements regarding our industry, our strategic position, and our financial and operating results. These forward-looking statements are subject to a number of risks and uncertainties that could cause actual results to differ materially. Please refer to the documents we file with the Securities and Exchange Commission, including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7"/>
          <w:szCs w:val="17"/>
          <w:u w:val="single" w:color="auto"/>
          <w:color w:val="0090DA"/>
        </w:rPr>
        <w:t>micron.com/certainfactors</w:t>
      </w:r>
      <w:r>
        <w:rPr>
          <w:rFonts w:ascii="Arial" w:cs="Arial" w:eastAsia="Arial" w:hAnsi="Arial"/>
          <w:sz w:val="17"/>
          <w:szCs w:val="17"/>
          <w:color w:val="auto"/>
        </w:rPr>
        <w:t>. Although we believe that the expectations reflected in the forward-looking statements are reasonable, we cannot guarantee future results, levels of activity, performance, or achievements. We are under no duty to update any of the forward-looking statements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0" w:hanging="312"/>
        <w:spacing w:after="0"/>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jc w:val="both"/>
        <w:ind w:left="340" w:right="220" w:hanging="332"/>
        <w:spacing w:after="0" w:line="229" w:lineRule="auto"/>
        <w:tabs>
          <w:tab w:leader="none" w:pos="33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adjusted free cash flow, and business outlook. Further information regarding Micron’s use of non-GAAP measures and reconciliations between GAAP and non-GAAP measures are included within this press release.</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886"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2nd Qtr.</w:t>
            </w:r>
          </w:p>
        </w:tc>
        <w:tc>
          <w:tcPr>
            <w:tcW w:w="140" w:type="dxa"/>
            <w:vAlign w:val="bottom"/>
          </w:tcPr>
          <w:p>
            <w:pPr>
              <w:spacing w:after="0"/>
              <w:rPr>
                <w:sz w:val="19"/>
                <w:szCs w:val="19"/>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1st Qtr.</w:t>
            </w:r>
          </w:p>
        </w:tc>
        <w:tc>
          <w:tcPr>
            <w:tcW w:w="22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2nd Qtr.</w:t>
            </w:r>
          </w:p>
        </w:tc>
        <w:tc>
          <w:tcPr>
            <w:tcW w:w="220" w:type="dxa"/>
            <w:vAlign w:val="bottom"/>
          </w:tcPr>
          <w:p>
            <w:pPr>
              <w:spacing w:after="0"/>
              <w:rPr>
                <w:sz w:val="19"/>
                <w:szCs w:val="19"/>
                <w:color w:val="auto"/>
              </w:rPr>
            </w:pPr>
          </w:p>
        </w:tc>
        <w:tc>
          <w:tcPr>
            <w:tcW w:w="246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Six months ended</w:t>
            </w:r>
          </w:p>
        </w:tc>
      </w:tr>
      <w:tr>
        <w:trPr>
          <w:trHeight w:val="185"/>
        </w:trPr>
        <w:tc>
          <w:tcPr>
            <w:tcW w:w="4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10"/>
              <w:spacing w:after="0" w:line="185" w:lineRule="exact"/>
              <w:rPr>
                <w:sz w:val="20"/>
                <w:szCs w:val="20"/>
                <w:color w:val="auto"/>
              </w:rPr>
            </w:pPr>
            <w:r>
              <w:rPr>
                <w:rFonts w:ascii="Arial" w:cs="Arial" w:eastAsia="Arial" w:hAnsi="Arial"/>
                <w:sz w:val="18"/>
                <w:szCs w:val="18"/>
                <w:b w:val="1"/>
                <w:bCs w:val="1"/>
                <w:color w:val="auto"/>
              </w:rPr>
              <w:t>March 2,</w:t>
            </w:r>
          </w:p>
        </w:tc>
        <w:tc>
          <w:tcPr>
            <w:tcW w:w="140" w:type="dxa"/>
            <w:vAlign w:val="bottom"/>
          </w:tcPr>
          <w:p>
            <w:pPr>
              <w:spacing w:after="0"/>
              <w:rPr>
                <w:sz w:val="16"/>
                <w:szCs w:val="16"/>
                <w:color w:val="auto"/>
              </w:rPr>
            </w:pPr>
          </w:p>
        </w:tc>
        <w:tc>
          <w:tcPr>
            <w:tcW w:w="1200" w:type="dxa"/>
            <w:vAlign w:val="bottom"/>
          </w:tcPr>
          <w:p>
            <w:pPr>
              <w:jc w:val="center"/>
              <w:ind w:right="30"/>
              <w:spacing w:after="0" w:line="185" w:lineRule="exact"/>
              <w:rPr>
                <w:sz w:val="20"/>
                <w:szCs w:val="20"/>
                <w:color w:val="auto"/>
              </w:rPr>
            </w:pPr>
            <w:r>
              <w:rPr>
                <w:rFonts w:ascii="Arial" w:cs="Arial" w:eastAsia="Arial" w:hAnsi="Arial"/>
                <w:sz w:val="18"/>
                <w:szCs w:val="18"/>
                <w:b w:val="1"/>
                <w:bCs w:val="1"/>
                <w:color w:val="auto"/>
              </w:rPr>
              <w:t>December 1,</w:t>
            </w:r>
          </w:p>
        </w:tc>
        <w:tc>
          <w:tcPr>
            <w:tcW w:w="220" w:type="dxa"/>
            <w:vAlign w:val="bottom"/>
          </w:tcPr>
          <w:p>
            <w:pPr>
              <w:spacing w:after="0"/>
              <w:rPr>
                <w:sz w:val="16"/>
                <w:szCs w:val="16"/>
                <w:color w:val="auto"/>
              </w:rPr>
            </w:pPr>
          </w:p>
        </w:tc>
        <w:tc>
          <w:tcPr>
            <w:tcW w:w="1100" w:type="dxa"/>
            <w:vAlign w:val="bottom"/>
          </w:tcPr>
          <w:p>
            <w:pPr>
              <w:jc w:val="center"/>
              <w:ind w:right="110"/>
              <w:spacing w:after="0" w:line="185" w:lineRule="exact"/>
              <w:rPr>
                <w:sz w:val="20"/>
                <w:szCs w:val="20"/>
                <w:color w:val="auto"/>
              </w:rPr>
            </w:pPr>
            <w:r>
              <w:rPr>
                <w:rFonts w:ascii="Arial" w:cs="Arial" w:eastAsia="Arial" w:hAnsi="Arial"/>
                <w:sz w:val="18"/>
                <w:szCs w:val="18"/>
                <w:b w:val="1"/>
                <w:bCs w:val="1"/>
                <w:color w:val="auto"/>
              </w:rPr>
              <w:t>March 3,</w:t>
            </w:r>
          </w:p>
        </w:tc>
        <w:tc>
          <w:tcPr>
            <w:tcW w:w="220" w:type="dxa"/>
            <w:vAlign w:val="bottom"/>
          </w:tcPr>
          <w:p>
            <w:pPr>
              <w:spacing w:after="0"/>
              <w:rPr>
                <w:sz w:val="16"/>
                <w:szCs w:val="16"/>
                <w:color w:val="auto"/>
              </w:rPr>
            </w:pPr>
          </w:p>
        </w:tc>
        <w:tc>
          <w:tcPr>
            <w:tcW w:w="1120" w:type="dxa"/>
            <w:vAlign w:val="bottom"/>
          </w:tcPr>
          <w:p>
            <w:pPr>
              <w:jc w:val="right"/>
              <w:ind w:right="210"/>
              <w:spacing w:after="0" w:line="185" w:lineRule="exact"/>
              <w:rPr>
                <w:sz w:val="20"/>
                <w:szCs w:val="20"/>
                <w:color w:val="auto"/>
              </w:rPr>
            </w:pPr>
            <w:r>
              <w:rPr>
                <w:rFonts w:ascii="Arial" w:cs="Arial" w:eastAsia="Arial" w:hAnsi="Arial"/>
                <w:sz w:val="18"/>
                <w:szCs w:val="18"/>
                <w:b w:val="1"/>
                <w:bCs w:val="1"/>
                <w:color w:val="auto"/>
              </w:rPr>
              <w:t>March 2,</w:t>
            </w:r>
          </w:p>
        </w:tc>
        <w:tc>
          <w:tcPr>
            <w:tcW w:w="220" w:type="dxa"/>
            <w:vAlign w:val="bottom"/>
          </w:tcPr>
          <w:p>
            <w:pPr>
              <w:spacing w:after="0"/>
              <w:rPr>
                <w:sz w:val="16"/>
                <w:szCs w:val="16"/>
                <w:color w:val="auto"/>
              </w:rPr>
            </w:pPr>
          </w:p>
        </w:tc>
        <w:tc>
          <w:tcPr>
            <w:tcW w:w="1120" w:type="dxa"/>
            <w:vAlign w:val="bottom"/>
          </w:tcPr>
          <w:p>
            <w:pPr>
              <w:jc w:val="right"/>
              <w:ind w:right="210"/>
              <w:spacing w:after="0" w:line="185" w:lineRule="exact"/>
              <w:rPr>
                <w:sz w:val="20"/>
                <w:szCs w:val="20"/>
                <w:color w:val="auto"/>
              </w:rPr>
            </w:pPr>
            <w:r>
              <w:rPr>
                <w:rFonts w:ascii="Arial" w:cs="Arial" w:eastAsia="Arial" w:hAnsi="Arial"/>
                <w:sz w:val="18"/>
                <w:szCs w:val="18"/>
                <w:b w:val="1"/>
                <w:bCs w:val="1"/>
                <w:color w:val="auto"/>
              </w:rPr>
              <w:t>March 3,</w:t>
            </w:r>
          </w:p>
        </w:tc>
      </w:tr>
      <w:tr>
        <w:trPr>
          <w:trHeight w:val="241"/>
        </w:trPr>
        <w:tc>
          <w:tcPr>
            <w:tcW w:w="4580" w:type="dxa"/>
            <w:vAlign w:val="bottom"/>
            <w:tcBorders>
              <w:bottom w:val="single" w:sz="8" w:color="0090DA"/>
            </w:tcBorders>
          </w:tcPr>
          <w:p>
            <w:pPr>
              <w:spacing w:after="0"/>
              <w:rPr>
                <w:sz w:val="20"/>
                <w:szCs w:val="20"/>
                <w:color w:val="auto"/>
              </w:rPr>
            </w:pPr>
          </w:p>
        </w:tc>
        <w:tc>
          <w:tcPr>
            <w:tcW w:w="220" w:type="dxa"/>
            <w:vAlign w:val="bottom"/>
            <w:tcBorders>
              <w:bottom w:val="single" w:sz="8" w:color="0090DA"/>
            </w:tcBorders>
          </w:tcPr>
          <w:p>
            <w:pPr>
              <w:spacing w:after="0"/>
              <w:rPr>
                <w:sz w:val="20"/>
                <w:szCs w:val="20"/>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2023</w:t>
            </w:r>
          </w:p>
        </w:tc>
        <w:tc>
          <w:tcPr>
            <w:tcW w:w="140" w:type="dxa"/>
            <w:vAlign w:val="bottom"/>
            <w:tcBorders>
              <w:bottom w:val="single" w:sz="8" w:color="0090DA"/>
            </w:tcBorders>
          </w:tcPr>
          <w:p>
            <w:pPr>
              <w:spacing w:after="0"/>
              <w:rPr>
                <w:sz w:val="20"/>
                <w:szCs w:val="20"/>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2022</w:t>
            </w:r>
          </w:p>
        </w:tc>
        <w:tc>
          <w:tcPr>
            <w:tcW w:w="220" w:type="dxa"/>
            <w:vAlign w:val="bottom"/>
            <w:tcBorders>
              <w:bottom w:val="single" w:sz="8" w:color="0090DA"/>
            </w:tcBorders>
          </w:tcPr>
          <w:p>
            <w:pPr>
              <w:spacing w:after="0"/>
              <w:rPr>
                <w:sz w:val="20"/>
                <w:szCs w:val="20"/>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2022</w:t>
            </w:r>
          </w:p>
        </w:tc>
        <w:tc>
          <w:tcPr>
            <w:tcW w:w="22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36"/>
        </w:trPr>
        <w:tc>
          <w:tcPr>
            <w:tcW w:w="4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3,693</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4,085</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7,786</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7,778</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15,473</w:t>
            </w:r>
          </w:p>
        </w:tc>
      </w:tr>
      <w:tr>
        <w:trPr>
          <w:trHeight w:val="230"/>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4,899</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8,091</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8,232</w:t>
            </w:r>
          </w:p>
        </w:tc>
      </w:tr>
      <w:tr>
        <w:trPr>
          <w:trHeight w:val="223"/>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(1,206)</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893</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3,676</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(313)</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7,241</w:t>
            </w:r>
          </w:p>
        </w:tc>
      </w:tr>
      <w:tr>
        <w:trPr>
          <w:trHeight w:val="257"/>
        </w:trPr>
        <w:tc>
          <w:tcPr>
            <w:tcW w:w="4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788</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849</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792</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1,637</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1,504</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(2,303)</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2,546</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(2,512)</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5,177</w:t>
            </w:r>
          </w:p>
        </w:tc>
      </w:tr>
      <w:tr>
        <w:trPr>
          <w:trHeight w:val="257"/>
        </w:trPr>
        <w:tc>
          <w:tcPr>
            <w:tcW w:w="4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(2,271)</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2,509</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(2,447)</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5,030</w:t>
            </w:r>
          </w:p>
        </w:tc>
      </w:tr>
      <w:tr>
        <w:trPr>
          <w:trHeight w:val="256"/>
        </w:trPr>
        <w:tc>
          <w:tcPr>
            <w:tcW w:w="458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w:t>
            </w:r>
          </w:p>
        </w:tc>
      </w:tr>
      <w:tr>
        <w:trPr>
          <w:trHeight w:val="20"/>
        </w:trPr>
        <w:tc>
          <w:tcPr>
            <w:tcW w:w="458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45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(0.18)</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w:t>
            </w: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56"/>
        </w:trPr>
        <w:tc>
          <w:tcPr>
            <w:tcW w:w="458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1,091</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1,090</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1,119</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1,091</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1,119</w:t>
            </w: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1,091</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1,090</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8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00" w:type="dxa"/>
            <w:vAlign w:val="bottom"/>
          </w:tcPr>
          <w:p>
            <w:pPr>
              <w:spacing w:after="0"/>
              <w:rPr>
                <w:sz w:val="17"/>
                <w:szCs w:val="17"/>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2,</w:t>
            </w:r>
          </w:p>
        </w:tc>
        <w:tc>
          <w:tcPr>
            <w:tcW w:w="14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December 1,</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1,</w:t>
            </w:r>
          </w:p>
        </w:tc>
        <w:tc>
          <w:tcPr>
            <w:tcW w:w="0" w:type="dxa"/>
            <w:vAlign w:val="bottom"/>
          </w:tcPr>
          <w:p>
            <w:pPr>
              <w:spacing w:after="0"/>
              <w:rPr>
                <w:sz w:val="1"/>
                <w:szCs w:val="1"/>
                <w:color w:val="auto"/>
              </w:rPr>
            </w:pPr>
          </w:p>
        </w:tc>
      </w:tr>
      <w:tr>
        <w:trPr>
          <w:trHeight w:val="243"/>
        </w:trPr>
        <w:tc>
          <w:tcPr>
            <w:tcW w:w="7240" w:type="dxa"/>
            <w:vAlign w:val="bottom"/>
            <w:tcBorders>
              <w:bottom w:val="single" w:sz="8" w:color="0090DA"/>
            </w:tcBorders>
            <w:vMerge w:val="continue"/>
          </w:tcPr>
          <w:p>
            <w:pPr>
              <w:spacing w:after="0"/>
              <w:rPr>
                <w:sz w:val="21"/>
                <w:szCs w:val="21"/>
                <w:color w:val="auto"/>
              </w:rPr>
            </w:pPr>
          </w:p>
        </w:tc>
        <w:tc>
          <w:tcPr>
            <w:tcW w:w="20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0090DA"/>
            </w:tcBorders>
          </w:tcPr>
          <w:p>
            <w:pPr>
              <w:spacing w:after="0"/>
              <w:rPr>
                <w:sz w:val="21"/>
                <w:szCs w:val="21"/>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9,798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9,574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8,262</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1,020</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1,007</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2,278</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8,129</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8,359</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21,898</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22,921</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21,781</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1,212</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39,085</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39,335</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38,549</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673</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Intangible assets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428</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697</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1,228</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1,228</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D1D2D4"/>
            </w:tcBorders>
            <w:shd w:val="clear" w:color="auto" w:fill="D1D2D4"/>
          </w:tcPr>
          <w:p>
            <w:pPr>
              <w:ind w:left="4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66,520</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67,874</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66,283</w:t>
            </w:r>
          </w:p>
        </w:tc>
        <w:tc>
          <w:tcPr>
            <w:tcW w:w="0" w:type="dxa"/>
            <w:vAlign w:val="bottom"/>
          </w:tcPr>
          <w:p>
            <w:pPr>
              <w:spacing w:after="0"/>
              <w:rPr>
                <w:sz w:val="1"/>
                <w:szCs w:val="1"/>
                <w:color w:val="auto"/>
              </w:rPr>
            </w:pP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4,310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5,438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171</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5,255</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6,525</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7,539</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12,037</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10,094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6,803</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610</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625</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529</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832</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808</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D1D2D4"/>
            </w:tcBorders>
          </w:tcPr>
          <w:p>
            <w:pPr>
              <w:ind w:left="4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19,263</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18,568</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16,376</w:t>
            </w:r>
          </w:p>
        </w:tc>
        <w:tc>
          <w:tcPr>
            <w:tcW w:w="0" w:type="dxa"/>
            <w:vAlign w:val="bottom"/>
          </w:tcPr>
          <w:p>
            <w:pPr>
              <w:spacing w:after="0"/>
              <w:rPr>
                <w:sz w:val="1"/>
                <w:szCs w:val="1"/>
                <w:color w:val="auto"/>
              </w:rPr>
            </w:pPr>
          </w:p>
        </w:tc>
      </w:tr>
      <w:tr>
        <w:trPr>
          <w:trHeight w:val="196"/>
        </w:trPr>
        <w:tc>
          <w:tcPr>
            <w:tcW w:w="72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120" w:type="dxa"/>
            <w:vAlign w:val="bottom"/>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200" w:type="dxa"/>
            <w:vAlign w:val="bottom"/>
            <w:shd w:val="clear" w:color="auto" w:fill="D1D2D4"/>
          </w:tcPr>
          <w:p>
            <w:pPr>
              <w:spacing w:after="0"/>
              <w:rPr>
                <w:sz w:val="17"/>
                <w:szCs w:val="17"/>
                <w:color w:val="auto"/>
              </w:rPr>
            </w:pPr>
          </w:p>
        </w:tc>
        <w:tc>
          <w:tcPr>
            <w:tcW w:w="30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D1D2D4"/>
          </w:tcPr>
          <w:p>
            <w:pPr>
              <w:spacing w:after="0"/>
              <w:rPr>
                <w:sz w:val="18"/>
                <w:szCs w:val="18"/>
                <w:color w:val="auto"/>
              </w:rPr>
            </w:pPr>
          </w:p>
        </w:tc>
        <w:tc>
          <w:tcPr>
            <w:tcW w:w="200" w:type="dxa"/>
            <w:vAlign w:val="bottom"/>
            <w:shd w:val="clear" w:color="auto" w:fill="D1D2D4"/>
          </w:tcPr>
          <w:p>
            <w:pPr>
              <w:spacing w:after="0"/>
              <w:rPr>
                <w:sz w:val="18"/>
                <w:szCs w:val="18"/>
                <w:color w:val="auto"/>
              </w:rPr>
            </w:pPr>
          </w:p>
        </w:tc>
        <w:tc>
          <w:tcPr>
            <w:tcW w:w="112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200" w:type="dxa"/>
            <w:vAlign w:val="bottom"/>
            <w:shd w:val="clear" w:color="auto" w:fill="D1D2D4"/>
          </w:tcPr>
          <w:p>
            <w:pPr>
              <w:spacing w:after="0"/>
              <w:rPr>
                <w:sz w:val="18"/>
                <w:szCs w:val="18"/>
                <w:color w:val="auto"/>
              </w:rPr>
            </w:pPr>
          </w:p>
        </w:tc>
        <w:tc>
          <w:tcPr>
            <w:tcW w:w="300" w:type="dxa"/>
            <w:vAlign w:val="bottom"/>
            <w:shd w:val="clear" w:color="auto" w:fill="D1D2D4"/>
          </w:tcPr>
          <w:p>
            <w:pPr>
              <w:spacing w:after="0"/>
              <w:rPr>
                <w:sz w:val="18"/>
                <w:szCs w:val="18"/>
                <w:color w:val="auto"/>
              </w:rPr>
            </w:pPr>
          </w:p>
        </w:tc>
        <w:tc>
          <w:tcPr>
            <w:tcW w:w="10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Common stock</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7240" w:type="dxa"/>
            <w:vAlign w:val="bottom"/>
          </w:tcPr>
          <w:p>
            <w:pPr>
              <w:ind w:left="100"/>
              <w:spacing w:after="0"/>
              <w:rPr>
                <w:sz w:val="20"/>
                <w:szCs w:val="20"/>
                <w:color w:val="auto"/>
              </w:rPr>
            </w:pPr>
            <w:r>
              <w:rPr>
                <w:rFonts w:ascii="Arial" w:cs="Arial" w:eastAsia="Arial" w:hAnsi="Arial"/>
                <w:sz w:val="18"/>
                <w:szCs w:val="18"/>
                <w:color w:val="auto"/>
              </w:rPr>
              <w:t>Additional capital</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10,633</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10,335</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10,197</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44,426</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46,873</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47,274</w:t>
            </w:r>
          </w:p>
        </w:tc>
        <w:tc>
          <w:tcPr>
            <w:tcW w:w="0" w:type="dxa"/>
            <w:vAlign w:val="bottom"/>
          </w:tcPr>
          <w:p>
            <w:pPr>
              <w:spacing w:after="0"/>
              <w:rPr>
                <w:sz w:val="1"/>
                <w:szCs w:val="1"/>
                <w:color w:val="auto"/>
              </w:rPr>
            </w:pPr>
          </w:p>
        </w:tc>
      </w:tr>
      <w:tr>
        <w:trPr>
          <w:trHeight w:val="230"/>
        </w:trPr>
        <w:tc>
          <w:tcPr>
            <w:tcW w:w="7240" w:type="dxa"/>
            <w:vAlign w:val="bottom"/>
          </w:tcPr>
          <w:p>
            <w:pPr>
              <w:ind w:left="100"/>
              <w:spacing w:after="0"/>
              <w:rPr>
                <w:sz w:val="20"/>
                <w:szCs w:val="20"/>
                <w:color w:val="auto"/>
              </w:rPr>
            </w:pPr>
            <w:r>
              <w:rPr>
                <w:rFonts w:ascii="Arial" w:cs="Arial" w:eastAsia="Arial" w:hAnsi="Arial"/>
                <w:sz w:val="18"/>
                <w:szCs w:val="18"/>
                <w:color w:val="auto"/>
              </w:rPr>
              <w:t>Treasury stock</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(7,552)</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(7,552)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(7,127)</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(473)</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D1D2D4"/>
            </w:tcBorders>
          </w:tcPr>
          <w:p>
            <w:pPr>
              <w:ind w:left="48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47,257</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49,306</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49,907</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D1D2D4"/>
            </w:tcBorders>
            <w:shd w:val="clear" w:color="auto" w:fill="D1D2D4"/>
          </w:tcPr>
          <w:p>
            <w:pPr>
              <w:ind w:left="48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66,520</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67,874</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66,283</w:t>
            </w:r>
          </w:p>
        </w:tc>
        <w:tc>
          <w:tcPr>
            <w:tcW w:w="0" w:type="dxa"/>
            <w:vAlign w:val="bottom"/>
          </w:tcPr>
          <w:p>
            <w:pPr>
              <w:spacing w:after="0"/>
              <w:rPr>
                <w:sz w:val="1"/>
                <w:szCs w:val="1"/>
                <w:color w:val="auto"/>
              </w:rPr>
            </w:pP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8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Six months ended</w:t>
            </w:r>
          </w:p>
        </w:tc>
        <w:tc>
          <w:tcPr>
            <w:tcW w:w="220" w:type="dxa"/>
            <w:vAlign w:val="bottom"/>
          </w:tcPr>
          <w:p>
            <w:pPr>
              <w:spacing w:after="0"/>
              <w:rPr>
                <w:sz w:val="17"/>
                <w:szCs w:val="17"/>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2,</w:t>
            </w:r>
          </w:p>
        </w:tc>
        <w:tc>
          <w:tcPr>
            <w:tcW w:w="240" w:type="dxa"/>
            <w:vAlign w:val="bottom"/>
          </w:tcPr>
          <w:p>
            <w:pPr>
              <w:spacing w:after="0"/>
              <w:rPr>
                <w:sz w:val="17"/>
                <w:szCs w:val="17"/>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0090DA"/>
            </w:tcBorders>
            <w:vMerge w:val="continue"/>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(2,507)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4,569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3,863</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Provision to write-down inventories to net realizable value</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1,430</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(Gain) loss on debt repurchases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2,910</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(2,896)</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(1,795)</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1,286</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7,566</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(4,654)</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(5,876)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(293)</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765</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government incentives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sale of Lehi, Utah fab</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(4,181)</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(5,176)</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issuance of debt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5,221</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Repurchases of common stock - repurchase program</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(425)</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Payments of dividends to shareholders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220" w:type="dxa"/>
            <w:vAlign w:val="bottom"/>
            <w:shd w:val="clear" w:color="auto" w:fill="D1D2D4"/>
          </w:tcPr>
          <w:p>
            <w:pPr>
              <w:spacing w:after="0"/>
              <w:rPr>
                <w:sz w:val="20"/>
                <w:szCs w:val="20"/>
                <w:color w:val="auto"/>
              </w:rPr>
            </w:pPr>
          </w:p>
        </w:tc>
        <w:tc>
          <w:tcPr>
            <w:tcW w:w="1220" w:type="dxa"/>
            <w:vAlign w:val="bottom"/>
            <w:shd w:val="clear" w:color="auto" w:fill="D1D2D4"/>
          </w:tcPr>
          <w:p>
            <w:pPr>
              <w:spacing w:after="0"/>
              <w:rPr>
                <w:sz w:val="20"/>
                <w:szCs w:val="20"/>
                <w:color w:val="auto"/>
              </w:rPr>
            </w:pPr>
          </w:p>
        </w:tc>
        <w:tc>
          <w:tcPr>
            <w:tcW w:w="240" w:type="dxa"/>
            <w:vAlign w:val="bottom"/>
            <w:shd w:val="clear" w:color="auto" w:fill="D1D2D4"/>
          </w:tcPr>
          <w:p>
            <w:pPr>
              <w:spacing w:after="0"/>
              <w:rPr>
                <w:sz w:val="20"/>
                <w:szCs w:val="20"/>
                <w:color w:val="auto"/>
              </w:rPr>
            </w:pPr>
          </w:p>
        </w:tc>
        <w:tc>
          <w:tcPr>
            <w:tcW w:w="120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836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1,548</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8,339</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7,829</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9,887</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9,224</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8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Inventories</w:t>
      </w:r>
    </w:p>
    <w:p>
      <w:pPr>
        <w:spacing w:after="0" w:line="26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 the second quarter of 2023, we recorded a charge of $1.43 billion to cost of goods sold to write down the carrying value of work in process and finished goods inventories to their estimated net realizable values.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Debt Activity</w:t>
      </w:r>
    </w:p>
    <w:p>
      <w:pPr>
        <w:spacing w:after="0" w:line="252"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b w:val="1"/>
          <w:bCs w:val="1"/>
          <w:i w:val="1"/>
          <w:iCs w:val="1"/>
          <w:color w:val="auto"/>
        </w:rPr>
        <w:t xml:space="preserve">Term Loan Agreement: </w:t>
      </w:r>
      <w:r>
        <w:rPr>
          <w:rFonts w:ascii="Arial" w:cs="Arial" w:eastAsia="Arial" w:hAnsi="Arial"/>
          <w:sz w:val="18"/>
          <w:szCs w:val="18"/>
          <w:color w:val="auto"/>
        </w:rPr>
        <w:t>On November 3, 2022, we entered into a Term Loan Agreement consisting of three tranches and borrowed $2.60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billion in aggregate principal amount, including $927 million due November 3, 2025, $746 million due November 3, 2026, and $927 million due November 3, 2027.</w:t>
      </w:r>
    </w:p>
    <w:p>
      <w:pPr>
        <w:spacing w:after="0" w:line="220"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On January 5, 2023, we amended the Term Loan Agreement and borrowed an additional $600 million in aggregate principal amount, including $125 million due November 3, 2025, $250 million due November 3, 2026, and $225 million due November 3, 2027. Borrowings under the Term Loan Agreement will generally bear interest at adjusted term SOFR plus an applicable interest rate margin ranging from 1.00% to 2.00%, varying by tranche and depending on our corporate credit ratings.</w:t>
      </w:r>
    </w:p>
    <w:p>
      <w:pPr>
        <w:spacing w:after="0" w:line="20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 xml:space="preserve">Senior Unsecured Notes: </w:t>
      </w:r>
      <w:r>
        <w:rPr>
          <w:rFonts w:ascii="Arial" w:cs="Arial" w:eastAsia="Arial" w:hAnsi="Arial"/>
          <w:sz w:val="18"/>
          <w:szCs w:val="18"/>
          <w:color w:val="auto"/>
        </w:rPr>
        <w:t>On October 31, 2022, we issued $750 million principal amount of 6.750% senior unsecured notes due November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 2029 in a public offering and received proceeds of $744 million.</w:t>
      </w:r>
    </w:p>
    <w:p>
      <w:pPr>
        <w:spacing w:after="0" w:line="202"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On February 9, 2023, we issued an additional $ 500 million principal amount of 6.750% senior unsecured notes due November 1, 2029 and received proceeds of $520 million. Additionally, we issued $750 million principal amount of 5.875% senior unsecured notes due February 9, 2033 and received proceeds of $745 million.</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86" w:right="339" w:bottom="1440" w:gutter="0" w:footer="0" w:header="0"/>
        </w:sectPr>
      </w:pPr>
    </w:p>
    <w:bookmarkStart w:id="9" w:name="page10"/>
    <w:bookmarkEnd w:id="9"/>
    <w:p>
      <w:pPr>
        <w:ind w:left="4360"/>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(In millions, except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2nd Qtr.</w:t>
            </w:r>
          </w:p>
        </w:tc>
        <w:tc>
          <w:tcPr>
            <w:tcW w:w="120" w:type="dxa"/>
            <w:vAlign w:val="bottom"/>
          </w:tcPr>
          <w:p>
            <w:pPr>
              <w:spacing w:after="0"/>
              <w:rPr>
                <w:sz w:val="19"/>
                <w:szCs w:val="19"/>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1st Qtr.</w:t>
            </w:r>
          </w:p>
        </w:tc>
        <w:tc>
          <w:tcPr>
            <w:tcW w:w="2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2nd Qtr.</w:t>
            </w:r>
          </w:p>
        </w:tc>
      </w:tr>
      <w:tr>
        <w:trPr>
          <w:trHeight w:val="185"/>
        </w:trPr>
        <w:tc>
          <w:tcPr>
            <w:tcW w:w="7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10"/>
              <w:spacing w:after="0" w:line="185" w:lineRule="exact"/>
              <w:rPr>
                <w:sz w:val="20"/>
                <w:szCs w:val="20"/>
                <w:color w:val="auto"/>
              </w:rPr>
            </w:pPr>
            <w:r>
              <w:rPr>
                <w:rFonts w:ascii="Arial" w:cs="Arial" w:eastAsia="Arial" w:hAnsi="Arial"/>
                <w:sz w:val="18"/>
                <w:szCs w:val="18"/>
                <w:b w:val="1"/>
                <w:bCs w:val="1"/>
                <w:color w:val="auto"/>
              </w:rPr>
              <w:t>March 2,</w:t>
            </w:r>
          </w:p>
        </w:tc>
        <w:tc>
          <w:tcPr>
            <w:tcW w:w="120" w:type="dxa"/>
            <w:vAlign w:val="bottom"/>
          </w:tcPr>
          <w:p>
            <w:pPr>
              <w:spacing w:after="0"/>
              <w:rPr>
                <w:sz w:val="16"/>
                <w:szCs w:val="16"/>
                <w:color w:val="auto"/>
              </w:rPr>
            </w:pPr>
          </w:p>
        </w:tc>
        <w:tc>
          <w:tcPr>
            <w:tcW w:w="1200" w:type="dxa"/>
            <w:vAlign w:val="bottom"/>
          </w:tcPr>
          <w:p>
            <w:pPr>
              <w:jc w:val="center"/>
              <w:ind w:right="30"/>
              <w:spacing w:after="0" w:line="185" w:lineRule="exact"/>
              <w:rPr>
                <w:sz w:val="20"/>
                <w:szCs w:val="20"/>
                <w:color w:val="auto"/>
              </w:rPr>
            </w:pPr>
            <w:r>
              <w:rPr>
                <w:rFonts w:ascii="Arial" w:cs="Arial" w:eastAsia="Arial" w:hAnsi="Arial"/>
                <w:sz w:val="18"/>
                <w:szCs w:val="18"/>
                <w:b w:val="1"/>
                <w:bCs w:val="1"/>
                <w:color w:val="auto"/>
              </w:rPr>
              <w:t>December 1,</w:t>
            </w:r>
          </w:p>
        </w:tc>
        <w:tc>
          <w:tcPr>
            <w:tcW w:w="200" w:type="dxa"/>
            <w:vAlign w:val="bottom"/>
          </w:tcPr>
          <w:p>
            <w:pPr>
              <w:spacing w:after="0"/>
              <w:rPr>
                <w:sz w:val="16"/>
                <w:szCs w:val="16"/>
                <w:color w:val="auto"/>
              </w:rPr>
            </w:pPr>
          </w:p>
        </w:tc>
        <w:tc>
          <w:tcPr>
            <w:tcW w:w="1120" w:type="dxa"/>
            <w:vAlign w:val="bottom"/>
            <w:gridSpan w:val="2"/>
          </w:tcPr>
          <w:p>
            <w:pPr>
              <w:jc w:val="center"/>
              <w:ind w:right="220"/>
              <w:spacing w:after="0" w:line="185" w:lineRule="exact"/>
              <w:rPr>
                <w:sz w:val="20"/>
                <w:szCs w:val="20"/>
                <w:color w:val="auto"/>
              </w:rPr>
            </w:pPr>
            <w:r>
              <w:rPr>
                <w:rFonts w:ascii="Arial" w:cs="Arial" w:eastAsia="Arial" w:hAnsi="Arial"/>
                <w:sz w:val="18"/>
                <w:szCs w:val="18"/>
                <w:b w:val="1"/>
                <w:bCs w:val="1"/>
                <w:color w:val="auto"/>
              </w:rPr>
              <w:t>March 3,</w:t>
            </w:r>
          </w:p>
        </w:tc>
      </w:tr>
      <w:tr>
        <w:trPr>
          <w:trHeight w:val="241"/>
        </w:trPr>
        <w:tc>
          <w:tcPr>
            <w:tcW w:w="7280" w:type="dxa"/>
            <w:vAlign w:val="bottom"/>
            <w:tcBorders>
              <w:bottom w:val="single" w:sz="8" w:color="0090DA"/>
            </w:tcBorders>
          </w:tcPr>
          <w:p>
            <w:pPr>
              <w:spacing w:after="0"/>
              <w:rPr>
                <w:sz w:val="20"/>
                <w:szCs w:val="20"/>
                <w:color w:val="auto"/>
              </w:rPr>
            </w:pPr>
          </w:p>
        </w:tc>
        <w:tc>
          <w:tcPr>
            <w:tcW w:w="200" w:type="dxa"/>
            <w:vAlign w:val="bottom"/>
            <w:tcBorders>
              <w:bottom w:val="single" w:sz="8" w:color="0090DA"/>
            </w:tcBorders>
          </w:tcPr>
          <w:p>
            <w:pPr>
              <w:spacing w:after="0"/>
              <w:rPr>
                <w:sz w:val="20"/>
                <w:szCs w:val="20"/>
                <w:color w:val="auto"/>
              </w:rPr>
            </w:pPr>
          </w:p>
        </w:tc>
        <w:tc>
          <w:tcPr>
            <w:tcW w:w="1100" w:type="dxa"/>
            <w:vAlign w:val="bottom"/>
            <w:tcBorders>
              <w:bottom w:val="single" w:sz="8" w:color="0090DA"/>
            </w:tcBorders>
          </w:tcPr>
          <w:p>
            <w:pPr>
              <w:jc w:val="center"/>
              <w:ind w:right="90"/>
              <w:spacing w:after="0"/>
              <w:rPr>
                <w:sz w:val="20"/>
                <w:szCs w:val="20"/>
                <w:color w:val="auto"/>
              </w:rPr>
            </w:pPr>
            <w:r>
              <w:rPr>
                <w:rFonts w:ascii="Arial" w:cs="Arial" w:eastAsia="Arial" w:hAnsi="Arial"/>
                <w:sz w:val="18"/>
                <w:szCs w:val="18"/>
                <w:b w:val="1"/>
                <w:bCs w:val="1"/>
                <w:color w:val="auto"/>
                <w:w w:val="99"/>
              </w:rPr>
              <w:t>2023</w:t>
            </w:r>
          </w:p>
        </w:tc>
        <w:tc>
          <w:tcPr>
            <w:tcW w:w="120" w:type="dxa"/>
            <w:vAlign w:val="bottom"/>
            <w:tcBorders>
              <w:bottom w:val="single" w:sz="8" w:color="0090DA"/>
            </w:tcBorders>
          </w:tcPr>
          <w:p>
            <w:pPr>
              <w:spacing w:after="0"/>
              <w:rPr>
                <w:sz w:val="20"/>
                <w:szCs w:val="20"/>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2022</w:t>
            </w:r>
          </w:p>
        </w:tc>
        <w:tc>
          <w:tcPr>
            <w:tcW w:w="200" w:type="dxa"/>
            <w:vAlign w:val="bottom"/>
            <w:tcBorders>
              <w:bottom w:val="single" w:sz="8" w:color="0090DA"/>
            </w:tcBorders>
          </w:tcPr>
          <w:p>
            <w:pPr>
              <w:spacing w:after="0"/>
              <w:rPr>
                <w:sz w:val="20"/>
                <w:szCs w:val="20"/>
                <w:color w:val="auto"/>
              </w:rPr>
            </w:pPr>
          </w:p>
        </w:tc>
        <w:tc>
          <w:tcPr>
            <w:tcW w:w="1100" w:type="dxa"/>
            <w:vAlign w:val="bottom"/>
            <w:tcBorders>
              <w:bottom w:val="single" w:sz="8" w:color="0090DA"/>
            </w:tcBorders>
          </w:tcPr>
          <w:p>
            <w:pPr>
              <w:jc w:val="center"/>
              <w:ind w:right="90"/>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Pr>
          <w:p>
            <w:pPr>
              <w:spacing w:after="0"/>
              <w:rPr>
                <w:sz w:val="20"/>
                <w:szCs w:val="20"/>
                <w:color w:val="auto"/>
              </w:rPr>
            </w:pPr>
          </w:p>
        </w:tc>
      </w:tr>
      <w:tr>
        <w:trPr>
          <w:trHeight w:val="36"/>
        </w:trPr>
        <w:tc>
          <w:tcPr>
            <w:tcW w:w="7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30"/>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gross margin</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(1,206)</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893</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3,676</w:t>
            </w:r>
          </w:p>
        </w:tc>
        <w:tc>
          <w:tcPr>
            <w:tcW w:w="20" w:type="dxa"/>
            <w:vAlign w:val="bottom"/>
          </w:tcPr>
          <w:p>
            <w:pPr>
              <w:spacing w:after="0"/>
              <w:rPr>
                <w:sz w:val="19"/>
                <w:szCs w:val="19"/>
                <w:color w:val="auto"/>
              </w:rPr>
            </w:pP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r>
      <w:tr>
        <w:trPr>
          <w:trHeight w:val="229"/>
        </w:trPr>
        <w:tc>
          <w:tcPr>
            <w:tcW w:w="72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Non-GAAP gross margin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3,724</w:t>
            </w:r>
          </w:p>
        </w:tc>
        <w:tc>
          <w:tcPr>
            <w:tcW w:w="20" w:type="dxa"/>
            <w:vAlign w:val="bottom"/>
          </w:tcPr>
          <w:p>
            <w:pPr>
              <w:spacing w:after="0"/>
              <w:rPr>
                <w:sz w:val="19"/>
                <w:szCs w:val="19"/>
                <w:color w:val="auto"/>
              </w:rPr>
            </w:pPr>
          </w:p>
        </w:tc>
      </w:tr>
      <w:tr>
        <w:trPr>
          <w:trHeight w:val="20"/>
        </w:trPr>
        <w:tc>
          <w:tcPr>
            <w:tcW w:w="7280" w:type="dxa"/>
            <w:vAlign w:val="bottom"/>
            <w:tcBorders>
              <w:bottom w:val="single" w:sz="8" w:color="D1D2D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280" w:type="dxa"/>
            <w:vAlign w:val="bottom"/>
            <w:shd w:val="clear" w:color="auto" w:fill="D1D2D4"/>
          </w:tcPr>
          <w:p>
            <w:pPr>
              <w:spacing w:after="0"/>
              <w:rPr>
                <w:sz w:val="15"/>
                <w:szCs w:val="15"/>
                <w:color w:val="auto"/>
              </w:rPr>
            </w:pPr>
          </w:p>
        </w:tc>
        <w:tc>
          <w:tcPr>
            <w:tcW w:w="20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120" w:type="dxa"/>
            <w:vAlign w:val="bottom"/>
            <w:shd w:val="clear" w:color="auto" w:fill="D1D2D4"/>
          </w:tcPr>
          <w:p>
            <w:pPr>
              <w:spacing w:after="0"/>
              <w:rPr>
                <w:sz w:val="15"/>
                <w:szCs w:val="15"/>
                <w:color w:val="auto"/>
              </w:rPr>
            </w:pPr>
          </w:p>
        </w:tc>
        <w:tc>
          <w:tcPr>
            <w:tcW w:w="1200" w:type="dxa"/>
            <w:vAlign w:val="bottom"/>
            <w:shd w:val="clear" w:color="auto" w:fill="D1D2D4"/>
          </w:tcPr>
          <w:p>
            <w:pPr>
              <w:spacing w:after="0"/>
              <w:rPr>
                <w:sz w:val="15"/>
                <w:szCs w:val="15"/>
                <w:color w:val="auto"/>
              </w:rPr>
            </w:pPr>
          </w:p>
        </w:tc>
        <w:tc>
          <w:tcPr>
            <w:tcW w:w="20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GAAP operating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1,130</w:t>
            </w:r>
          </w:p>
        </w:tc>
        <w:tc>
          <w:tcPr>
            <w:tcW w:w="20" w:type="dxa"/>
            <w:vAlign w:val="bottom"/>
          </w:tcPr>
          <w:p>
            <w:pPr>
              <w:spacing w:after="0"/>
              <w:rPr>
                <w:sz w:val="19"/>
                <w:szCs w:val="19"/>
                <w:color w:val="auto"/>
              </w:rPr>
            </w:pPr>
          </w:p>
        </w:tc>
      </w:tr>
      <w:tr>
        <w:trPr>
          <w:trHeight w:val="229"/>
        </w:trPr>
        <w:tc>
          <w:tcPr>
            <w:tcW w:w="72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9"/>
                <w:szCs w:val="19"/>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29"/>
        </w:trPr>
        <w:tc>
          <w:tcPr>
            <w:tcW w:w="72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r>
      <w:tr>
        <w:trPr>
          <w:trHeight w:val="223"/>
        </w:trPr>
        <w:tc>
          <w:tcPr>
            <w:tcW w:w="7280" w:type="dxa"/>
            <w:vAlign w:val="bottom"/>
          </w:tcPr>
          <w:p>
            <w:pPr>
              <w:ind w:left="40"/>
              <w:spacing w:after="0"/>
              <w:rPr>
                <w:sz w:val="20"/>
                <w:szCs w:val="20"/>
                <w:color w:val="auto"/>
              </w:rPr>
            </w:pPr>
            <w:r>
              <w:rPr>
                <w:rFonts w:ascii="Arial" w:cs="Arial" w:eastAsia="Arial" w:hAnsi="Arial"/>
                <w:sz w:val="18"/>
                <w:szCs w:val="18"/>
                <w:b w:val="1"/>
                <w:bCs w:val="1"/>
                <w:color w:val="auto"/>
              </w:rPr>
              <w:t>Non-GAAP operating expenses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20" w:type="dxa"/>
            <w:vAlign w:val="bottom"/>
          </w:tcPr>
          <w:p>
            <w:pPr>
              <w:spacing w:after="0"/>
              <w:rPr>
                <w:sz w:val="19"/>
                <w:szCs w:val="19"/>
                <w:color w:val="auto"/>
              </w:rPr>
            </w:pPr>
          </w:p>
        </w:tc>
      </w:tr>
      <w:tr>
        <w:trPr>
          <w:trHeight w:val="20"/>
        </w:trPr>
        <w:tc>
          <w:tcPr>
            <w:tcW w:w="7280" w:type="dxa"/>
            <w:vAlign w:val="bottom"/>
            <w:tcBorders>
              <w:bottom w:val="single" w:sz="8" w:color="D1D2D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280" w:type="dxa"/>
            <w:vAlign w:val="bottom"/>
            <w:shd w:val="clear" w:color="auto" w:fill="D1D2D4"/>
          </w:tcPr>
          <w:p>
            <w:pPr>
              <w:spacing w:after="0"/>
              <w:rPr>
                <w:sz w:val="15"/>
                <w:szCs w:val="15"/>
                <w:color w:val="auto"/>
              </w:rPr>
            </w:pPr>
          </w:p>
        </w:tc>
        <w:tc>
          <w:tcPr>
            <w:tcW w:w="20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120" w:type="dxa"/>
            <w:vAlign w:val="bottom"/>
            <w:shd w:val="clear" w:color="auto" w:fill="D1D2D4"/>
          </w:tcPr>
          <w:p>
            <w:pPr>
              <w:spacing w:after="0"/>
              <w:rPr>
                <w:sz w:val="15"/>
                <w:szCs w:val="15"/>
                <w:color w:val="auto"/>
              </w:rPr>
            </w:pPr>
          </w:p>
        </w:tc>
        <w:tc>
          <w:tcPr>
            <w:tcW w:w="1200" w:type="dxa"/>
            <w:vAlign w:val="bottom"/>
            <w:shd w:val="clear" w:color="auto" w:fill="D1D2D4"/>
          </w:tcPr>
          <w:p>
            <w:pPr>
              <w:spacing w:after="0"/>
              <w:rPr>
                <w:sz w:val="15"/>
                <w:szCs w:val="15"/>
                <w:color w:val="auto"/>
              </w:rPr>
            </w:pPr>
          </w:p>
        </w:tc>
        <w:tc>
          <w:tcPr>
            <w:tcW w:w="20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GAAP operating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(2,303)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2,546</w:t>
            </w:r>
          </w:p>
        </w:tc>
        <w:tc>
          <w:tcPr>
            <w:tcW w:w="20" w:type="dxa"/>
            <w:vAlign w:val="bottom"/>
          </w:tcPr>
          <w:p>
            <w:pPr>
              <w:spacing w:after="0"/>
              <w:rPr>
                <w:sz w:val="19"/>
                <w:szCs w:val="19"/>
                <w:color w:val="auto"/>
              </w:rPr>
            </w:pPr>
          </w:p>
        </w:tc>
      </w:tr>
      <w:tr>
        <w:trPr>
          <w:trHeight w:val="229"/>
        </w:trPr>
        <w:tc>
          <w:tcPr>
            <w:tcW w:w="72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9"/>
                <w:szCs w:val="19"/>
                <w:color w:val="auto"/>
              </w:rPr>
            </w:pP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30"/>
        </w:trPr>
        <w:tc>
          <w:tcPr>
            <w:tcW w:w="72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Non-GAAP operating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20" w:type="dxa"/>
            <w:vAlign w:val="bottom"/>
          </w:tcPr>
          <w:p>
            <w:pPr>
              <w:spacing w:after="0"/>
              <w:rPr>
                <w:sz w:val="19"/>
                <w:szCs w:val="19"/>
                <w:color w:val="auto"/>
              </w:rPr>
            </w:pPr>
          </w:p>
        </w:tc>
      </w:tr>
      <w:tr>
        <w:trPr>
          <w:trHeight w:val="20"/>
        </w:trPr>
        <w:tc>
          <w:tcPr>
            <w:tcW w:w="7280" w:type="dxa"/>
            <w:vAlign w:val="bottom"/>
            <w:tcBorders>
              <w:bottom w:val="single" w:sz="8" w:color="D1D2D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280" w:type="dxa"/>
            <w:vAlign w:val="bottom"/>
            <w:shd w:val="clear" w:color="auto" w:fill="D1D2D4"/>
          </w:tcPr>
          <w:p>
            <w:pPr>
              <w:spacing w:after="0"/>
              <w:rPr>
                <w:sz w:val="15"/>
                <w:szCs w:val="15"/>
                <w:color w:val="auto"/>
              </w:rPr>
            </w:pPr>
          </w:p>
        </w:tc>
        <w:tc>
          <w:tcPr>
            <w:tcW w:w="20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120" w:type="dxa"/>
            <w:vAlign w:val="bottom"/>
            <w:shd w:val="clear" w:color="auto" w:fill="D1D2D4"/>
          </w:tcPr>
          <w:p>
            <w:pPr>
              <w:spacing w:after="0"/>
              <w:rPr>
                <w:sz w:val="15"/>
                <w:szCs w:val="15"/>
                <w:color w:val="auto"/>
              </w:rPr>
            </w:pPr>
          </w:p>
        </w:tc>
        <w:tc>
          <w:tcPr>
            <w:tcW w:w="1200" w:type="dxa"/>
            <w:vAlign w:val="bottom"/>
            <w:shd w:val="clear" w:color="auto" w:fill="D1D2D4"/>
          </w:tcPr>
          <w:p>
            <w:pPr>
              <w:spacing w:after="0"/>
              <w:rPr>
                <w:sz w:val="15"/>
                <w:szCs w:val="15"/>
                <w:color w:val="auto"/>
              </w:rPr>
            </w:pPr>
          </w:p>
        </w:tc>
        <w:tc>
          <w:tcPr>
            <w:tcW w:w="20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GAAP 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(2,312)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2,263</w:t>
            </w:r>
          </w:p>
        </w:tc>
        <w:tc>
          <w:tcPr>
            <w:tcW w:w="20" w:type="dxa"/>
            <w:vAlign w:val="bottom"/>
          </w:tcPr>
          <w:p>
            <w:pPr>
              <w:spacing w:after="0"/>
              <w:rPr>
                <w:sz w:val="19"/>
                <w:szCs w:val="19"/>
                <w:color w:val="auto"/>
              </w:rPr>
            </w:pPr>
          </w:p>
        </w:tc>
      </w:tr>
      <w:tr>
        <w:trPr>
          <w:trHeight w:val="230"/>
        </w:trPr>
        <w:tc>
          <w:tcPr>
            <w:tcW w:w="72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9"/>
                <w:szCs w:val="19"/>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30"/>
        </w:trPr>
        <w:tc>
          <w:tcPr>
            <w:tcW w:w="72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Amortization of debt discount and other costs</w:t>
            </w:r>
          </w:p>
        </w:tc>
        <w:tc>
          <w:tcPr>
            <w:tcW w:w="20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r>
      <w:tr>
        <w:trPr>
          <w:trHeight w:val="230"/>
        </w:trPr>
        <w:tc>
          <w:tcPr>
            <w:tcW w:w="72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Estimated tax effects of above and other tax adjustments</w:t>
            </w:r>
          </w:p>
        </w:tc>
        <w:tc>
          <w:tcPr>
            <w:tcW w:w="20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Non-GAAP net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w:t>
            </w:r>
          </w:p>
        </w:tc>
        <w:tc>
          <w:tcPr>
            <w:tcW w:w="20" w:type="dxa"/>
            <w:vAlign w:val="bottom"/>
          </w:tcPr>
          <w:p>
            <w:pPr>
              <w:spacing w:after="0"/>
              <w:rPr>
                <w:sz w:val="19"/>
                <w:szCs w:val="19"/>
                <w:color w:val="auto"/>
              </w:rPr>
            </w:pPr>
          </w:p>
        </w:tc>
      </w:tr>
      <w:tr>
        <w:trPr>
          <w:trHeight w:val="20"/>
        </w:trPr>
        <w:tc>
          <w:tcPr>
            <w:tcW w:w="7280" w:type="dxa"/>
            <w:vAlign w:val="bottom"/>
            <w:tcBorders>
              <w:bottom w:val="single" w:sz="8" w:color="D1D2D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280" w:type="dxa"/>
            <w:vAlign w:val="bottom"/>
            <w:shd w:val="clear" w:color="auto" w:fill="D1D2D4"/>
          </w:tcPr>
          <w:p>
            <w:pPr>
              <w:spacing w:after="0"/>
              <w:rPr>
                <w:sz w:val="15"/>
                <w:szCs w:val="15"/>
                <w:color w:val="auto"/>
              </w:rPr>
            </w:pPr>
          </w:p>
        </w:tc>
        <w:tc>
          <w:tcPr>
            <w:tcW w:w="20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120" w:type="dxa"/>
            <w:vAlign w:val="bottom"/>
            <w:shd w:val="clear" w:color="auto" w:fill="D1D2D4"/>
          </w:tcPr>
          <w:p>
            <w:pPr>
              <w:spacing w:after="0"/>
              <w:rPr>
                <w:sz w:val="15"/>
                <w:szCs w:val="15"/>
                <w:color w:val="auto"/>
              </w:rPr>
            </w:pPr>
          </w:p>
        </w:tc>
        <w:tc>
          <w:tcPr>
            <w:tcW w:w="1200" w:type="dxa"/>
            <w:vAlign w:val="bottom"/>
            <w:shd w:val="clear" w:color="auto" w:fill="D1D2D4"/>
          </w:tcPr>
          <w:p>
            <w:pPr>
              <w:spacing w:after="0"/>
              <w:rPr>
                <w:sz w:val="15"/>
                <w:szCs w:val="15"/>
                <w:color w:val="auto"/>
              </w:rPr>
            </w:pPr>
          </w:p>
        </w:tc>
        <w:tc>
          <w:tcPr>
            <w:tcW w:w="20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GAAP weighted-average common shares outstanding - Diluted</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1,090</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1,130</w:t>
            </w:r>
          </w:p>
        </w:tc>
        <w:tc>
          <w:tcPr>
            <w:tcW w:w="20" w:type="dxa"/>
            <w:vAlign w:val="bottom"/>
          </w:tcPr>
          <w:p>
            <w:pPr>
              <w:spacing w:after="0"/>
              <w:rPr>
                <w:sz w:val="19"/>
                <w:szCs w:val="19"/>
                <w:color w:val="auto"/>
              </w:rPr>
            </w:pPr>
          </w:p>
        </w:tc>
      </w:tr>
      <w:tr>
        <w:trPr>
          <w:trHeight w:val="230"/>
        </w:trPr>
        <w:tc>
          <w:tcPr>
            <w:tcW w:w="72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Adjustment for stock-based compensation</w:t>
            </w:r>
          </w:p>
        </w:tc>
        <w:tc>
          <w:tcPr>
            <w:tcW w:w="20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Non-GAAP weighted-average common shares outstanding - Diluted</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20" w:type="dxa"/>
            <w:vAlign w:val="bottom"/>
          </w:tcPr>
          <w:p>
            <w:pPr>
              <w:spacing w:after="0"/>
              <w:rPr>
                <w:sz w:val="19"/>
                <w:szCs w:val="19"/>
                <w:color w:val="auto"/>
              </w:rPr>
            </w:pPr>
          </w:p>
        </w:tc>
      </w:tr>
      <w:tr>
        <w:trPr>
          <w:trHeight w:val="20"/>
        </w:trPr>
        <w:tc>
          <w:tcPr>
            <w:tcW w:w="7280" w:type="dxa"/>
            <w:vAlign w:val="bottom"/>
            <w:tcBorders>
              <w:bottom w:val="single" w:sz="8" w:color="D1D2D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280" w:type="dxa"/>
            <w:vAlign w:val="bottom"/>
            <w:shd w:val="clear" w:color="auto" w:fill="D1D2D4"/>
          </w:tcPr>
          <w:p>
            <w:pPr>
              <w:spacing w:after="0"/>
              <w:rPr>
                <w:sz w:val="15"/>
                <w:szCs w:val="15"/>
                <w:color w:val="auto"/>
              </w:rPr>
            </w:pPr>
          </w:p>
        </w:tc>
        <w:tc>
          <w:tcPr>
            <w:tcW w:w="20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120" w:type="dxa"/>
            <w:vAlign w:val="bottom"/>
            <w:shd w:val="clear" w:color="auto" w:fill="D1D2D4"/>
          </w:tcPr>
          <w:p>
            <w:pPr>
              <w:spacing w:after="0"/>
              <w:rPr>
                <w:sz w:val="15"/>
                <w:szCs w:val="15"/>
                <w:color w:val="auto"/>
              </w:rPr>
            </w:pPr>
          </w:p>
        </w:tc>
        <w:tc>
          <w:tcPr>
            <w:tcW w:w="1200" w:type="dxa"/>
            <w:vAlign w:val="bottom"/>
            <w:shd w:val="clear" w:color="auto" w:fill="D1D2D4"/>
          </w:tcPr>
          <w:p>
            <w:pPr>
              <w:spacing w:after="0"/>
              <w:rPr>
                <w:sz w:val="15"/>
                <w:szCs w:val="15"/>
                <w:color w:val="auto"/>
              </w:rPr>
            </w:pPr>
          </w:p>
        </w:tc>
        <w:tc>
          <w:tcPr>
            <w:tcW w:w="20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GAAP diluted earnings (loss)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r>
      <w:tr>
        <w:trPr>
          <w:trHeight w:val="230"/>
        </w:trPr>
        <w:tc>
          <w:tcPr>
            <w:tcW w:w="72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Effects of the above adjustments</w:t>
            </w:r>
          </w:p>
        </w:tc>
        <w:tc>
          <w:tcPr>
            <w:tcW w:w="20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9"/>
                <w:szCs w:val="19"/>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Non-GAAP diluted earnings (loss)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8"/>
        </w:trPr>
        <w:tc>
          <w:tcPr>
            <w:tcW w:w="7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20"/>
          </w:cols>
          <w:pgMar w:left="340" w:top="886" w:right="339" w:bottom="1440" w:gutter="0" w:footer="0" w:header="0"/>
        </w:sectPr>
      </w:pPr>
    </w:p>
    <w:bookmarkStart w:id="10" w:name="page11"/>
    <w:bookmarkEnd w:id="10"/>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8700" w:type="dxa"/>
            <w:vAlign w:val="bottom"/>
            <w:gridSpan w:val="4"/>
          </w:tcPr>
          <w:p>
            <w:pPr>
              <w:ind w:left="2880"/>
              <w:spacing w:after="0"/>
              <w:rPr>
                <w:sz w:val="20"/>
                <w:szCs w:val="20"/>
                <w:color w:val="auto"/>
              </w:rPr>
            </w:pPr>
            <w:r>
              <w:rPr>
                <w:rFonts w:ascii="Arial" w:cs="Arial" w:eastAsia="Arial" w:hAnsi="Arial"/>
                <w:sz w:val="18"/>
                <w:szCs w:val="18"/>
                <w:b w:val="1"/>
                <w:bCs w:val="1"/>
                <w:color w:val="auto"/>
                <w:w w:val="99"/>
              </w:rPr>
              <w:t>RECONCILIATION OF GAAP TO NON-GAAP MEASURES, Continued</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90"/>
        </w:trPr>
        <w:tc>
          <w:tcPr>
            <w:tcW w:w="7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2nd Qtr.</w:t>
            </w:r>
          </w:p>
        </w:tc>
        <w:tc>
          <w:tcPr>
            <w:tcW w:w="120" w:type="dxa"/>
            <w:vAlign w:val="bottom"/>
          </w:tcPr>
          <w:p>
            <w:pPr>
              <w:spacing w:after="0"/>
              <w:rPr>
                <w:sz w:val="24"/>
                <w:szCs w:val="24"/>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1st Qtr.</w:t>
            </w:r>
          </w:p>
        </w:tc>
        <w:tc>
          <w:tcPr>
            <w:tcW w:w="200" w:type="dxa"/>
            <w:vAlign w:val="bottom"/>
          </w:tcPr>
          <w:p>
            <w:pPr>
              <w:spacing w:after="0"/>
              <w:rPr>
                <w:sz w:val="24"/>
                <w:szCs w:val="24"/>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2nd Qtr.</w:t>
            </w:r>
          </w:p>
        </w:tc>
      </w:tr>
      <w:tr>
        <w:trPr>
          <w:trHeight w:val="185"/>
        </w:trPr>
        <w:tc>
          <w:tcPr>
            <w:tcW w:w="7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10"/>
              <w:spacing w:after="0" w:line="185" w:lineRule="exact"/>
              <w:rPr>
                <w:sz w:val="20"/>
                <w:szCs w:val="20"/>
                <w:color w:val="auto"/>
              </w:rPr>
            </w:pPr>
            <w:r>
              <w:rPr>
                <w:rFonts w:ascii="Arial" w:cs="Arial" w:eastAsia="Arial" w:hAnsi="Arial"/>
                <w:sz w:val="18"/>
                <w:szCs w:val="18"/>
                <w:b w:val="1"/>
                <w:bCs w:val="1"/>
                <w:color w:val="auto"/>
              </w:rPr>
              <w:t>March 2,</w:t>
            </w:r>
          </w:p>
        </w:tc>
        <w:tc>
          <w:tcPr>
            <w:tcW w:w="120" w:type="dxa"/>
            <w:vAlign w:val="bottom"/>
          </w:tcPr>
          <w:p>
            <w:pPr>
              <w:spacing w:after="0"/>
              <w:rPr>
                <w:sz w:val="16"/>
                <w:szCs w:val="16"/>
                <w:color w:val="auto"/>
              </w:rPr>
            </w:pPr>
          </w:p>
        </w:tc>
        <w:tc>
          <w:tcPr>
            <w:tcW w:w="1200" w:type="dxa"/>
            <w:vAlign w:val="bottom"/>
          </w:tcPr>
          <w:p>
            <w:pPr>
              <w:jc w:val="center"/>
              <w:ind w:right="30"/>
              <w:spacing w:after="0" w:line="185" w:lineRule="exact"/>
              <w:rPr>
                <w:sz w:val="20"/>
                <w:szCs w:val="20"/>
                <w:color w:val="auto"/>
              </w:rPr>
            </w:pPr>
            <w:r>
              <w:rPr>
                <w:rFonts w:ascii="Arial" w:cs="Arial" w:eastAsia="Arial" w:hAnsi="Arial"/>
                <w:sz w:val="18"/>
                <w:szCs w:val="18"/>
                <w:b w:val="1"/>
                <w:bCs w:val="1"/>
                <w:color w:val="auto"/>
              </w:rPr>
              <w:t>December 1,</w:t>
            </w:r>
          </w:p>
        </w:tc>
        <w:tc>
          <w:tcPr>
            <w:tcW w:w="200" w:type="dxa"/>
            <w:vAlign w:val="bottom"/>
          </w:tcPr>
          <w:p>
            <w:pPr>
              <w:spacing w:after="0"/>
              <w:rPr>
                <w:sz w:val="16"/>
                <w:szCs w:val="16"/>
                <w:color w:val="auto"/>
              </w:rPr>
            </w:pPr>
          </w:p>
        </w:tc>
        <w:tc>
          <w:tcPr>
            <w:tcW w:w="1100" w:type="dxa"/>
            <w:vAlign w:val="bottom"/>
          </w:tcPr>
          <w:p>
            <w:pPr>
              <w:jc w:val="center"/>
              <w:ind w:right="110"/>
              <w:spacing w:after="0" w:line="185" w:lineRule="exact"/>
              <w:rPr>
                <w:sz w:val="20"/>
                <w:szCs w:val="20"/>
                <w:color w:val="auto"/>
              </w:rPr>
            </w:pPr>
            <w:r>
              <w:rPr>
                <w:rFonts w:ascii="Arial" w:cs="Arial" w:eastAsia="Arial" w:hAnsi="Arial"/>
                <w:sz w:val="18"/>
                <w:szCs w:val="18"/>
                <w:b w:val="1"/>
                <w:bCs w:val="1"/>
                <w:color w:val="auto"/>
              </w:rPr>
              <w:t>March 3,</w:t>
            </w:r>
          </w:p>
        </w:tc>
      </w:tr>
      <w:tr>
        <w:trPr>
          <w:trHeight w:val="241"/>
        </w:trPr>
        <w:tc>
          <w:tcPr>
            <w:tcW w:w="7280" w:type="dxa"/>
            <w:vAlign w:val="bottom"/>
            <w:tcBorders>
              <w:bottom w:val="single" w:sz="8" w:color="0090DA"/>
            </w:tcBorders>
          </w:tcPr>
          <w:p>
            <w:pPr>
              <w:spacing w:after="0"/>
              <w:rPr>
                <w:sz w:val="20"/>
                <w:szCs w:val="20"/>
                <w:color w:val="auto"/>
              </w:rPr>
            </w:pPr>
          </w:p>
        </w:tc>
        <w:tc>
          <w:tcPr>
            <w:tcW w:w="200" w:type="dxa"/>
            <w:vAlign w:val="bottom"/>
            <w:tcBorders>
              <w:bottom w:val="single" w:sz="8" w:color="0090DA"/>
            </w:tcBorders>
          </w:tcPr>
          <w:p>
            <w:pPr>
              <w:spacing w:after="0"/>
              <w:rPr>
                <w:sz w:val="20"/>
                <w:szCs w:val="20"/>
                <w:color w:val="auto"/>
              </w:rPr>
            </w:pPr>
          </w:p>
        </w:tc>
        <w:tc>
          <w:tcPr>
            <w:tcW w:w="1100" w:type="dxa"/>
            <w:vAlign w:val="bottom"/>
            <w:tcBorders>
              <w:bottom w:val="single" w:sz="8" w:color="0090DA"/>
            </w:tcBorders>
          </w:tcPr>
          <w:p>
            <w:pPr>
              <w:jc w:val="center"/>
              <w:ind w:right="90"/>
              <w:spacing w:after="0"/>
              <w:rPr>
                <w:sz w:val="20"/>
                <w:szCs w:val="20"/>
                <w:color w:val="auto"/>
              </w:rPr>
            </w:pPr>
            <w:r>
              <w:rPr>
                <w:rFonts w:ascii="Arial" w:cs="Arial" w:eastAsia="Arial" w:hAnsi="Arial"/>
                <w:sz w:val="18"/>
                <w:szCs w:val="18"/>
                <w:b w:val="1"/>
                <w:bCs w:val="1"/>
                <w:color w:val="auto"/>
                <w:w w:val="99"/>
              </w:rPr>
              <w:t>2023</w:t>
            </w:r>
          </w:p>
        </w:tc>
        <w:tc>
          <w:tcPr>
            <w:tcW w:w="120" w:type="dxa"/>
            <w:vAlign w:val="bottom"/>
            <w:tcBorders>
              <w:bottom w:val="single" w:sz="8" w:color="0090DA"/>
            </w:tcBorders>
          </w:tcPr>
          <w:p>
            <w:pPr>
              <w:spacing w:after="0"/>
              <w:rPr>
                <w:sz w:val="20"/>
                <w:szCs w:val="20"/>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2022</w:t>
            </w:r>
          </w:p>
        </w:tc>
        <w:tc>
          <w:tcPr>
            <w:tcW w:w="200" w:type="dxa"/>
            <w:vAlign w:val="bottom"/>
            <w:tcBorders>
              <w:bottom w:val="single" w:sz="8" w:color="0090DA"/>
            </w:tcBorders>
          </w:tcPr>
          <w:p>
            <w:pPr>
              <w:spacing w:after="0"/>
              <w:rPr>
                <w:sz w:val="20"/>
                <w:szCs w:val="20"/>
                <w:color w:val="auto"/>
              </w:rPr>
            </w:pPr>
          </w:p>
        </w:tc>
        <w:tc>
          <w:tcPr>
            <w:tcW w:w="1100" w:type="dxa"/>
            <w:vAlign w:val="bottom"/>
            <w:tcBorders>
              <w:bottom w:val="single" w:sz="8" w:color="0090DA"/>
            </w:tcBorders>
          </w:tcPr>
          <w:p>
            <w:pPr>
              <w:jc w:val="center"/>
              <w:ind w:right="90"/>
              <w:spacing w:after="0"/>
              <w:rPr>
                <w:sz w:val="20"/>
                <w:szCs w:val="20"/>
                <w:color w:val="auto"/>
              </w:rPr>
            </w:pPr>
            <w:r>
              <w:rPr>
                <w:rFonts w:ascii="Arial" w:cs="Arial" w:eastAsia="Arial" w:hAnsi="Arial"/>
                <w:sz w:val="18"/>
                <w:szCs w:val="18"/>
                <w:b w:val="1"/>
                <w:bCs w:val="1"/>
                <w:color w:val="auto"/>
                <w:w w:val="99"/>
              </w:rPr>
              <w:t>2022</w:t>
            </w:r>
          </w:p>
        </w:tc>
      </w:tr>
      <w:tr>
        <w:trPr>
          <w:trHeight w:val="36"/>
        </w:trPr>
        <w:tc>
          <w:tcPr>
            <w:tcW w:w="7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0"/>
        </w:trPr>
        <w:tc>
          <w:tcPr>
            <w:tcW w:w="72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943</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3,628</w:t>
            </w:r>
          </w:p>
        </w:tc>
      </w:tr>
      <w:tr>
        <w:trPr>
          <w:trHeight w:val="256"/>
        </w:trPr>
        <w:tc>
          <w:tcPr>
            <w:tcW w:w="7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7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(2,205)</w:t>
            </w:r>
          </w:p>
        </w:tc>
        <w:tc>
          <w:tcPr>
            <w:tcW w:w="12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(2,449)</w:t>
            </w:r>
          </w:p>
        </w:tc>
        <w:tc>
          <w:tcPr>
            <w:tcW w:w="2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(2,611)</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Proceeds from sales of property, plant, and equipment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7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2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Amounts funded by partners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72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Investments in capital expenditures, net</w:t>
            </w:r>
          </w:p>
        </w:tc>
        <w:tc>
          <w:tcPr>
            <w:tcW w:w="20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(2,155)</w:t>
            </w:r>
          </w:p>
        </w:tc>
        <w:tc>
          <w:tcPr>
            <w:tcW w:w="12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(2,471)</w:t>
            </w:r>
          </w:p>
        </w:tc>
        <w:tc>
          <w:tcPr>
            <w:tcW w:w="20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(2,600)</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r>
      <w:tr>
        <w:trPr>
          <w:trHeight w:val="21"/>
        </w:trPr>
        <w:tc>
          <w:tcPr>
            <w:tcW w:w="7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tables above reconcile GAAP to non-GAAP measures of gross margin, operating expenses, operating income (loss), net income (loss), diluted shares, diluted earnings (loss) per share, and adjusted free cash flow.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amounts presented in accordance with U.S. GAAP and therefore may not be comparable to amounts reported by other companies. Our management routinely excludes the following items in analyzing our operating results and understanding trends in our earnings:</w:t>
      </w:r>
    </w:p>
    <w:p>
      <w:pPr>
        <w:spacing w:after="0" w:line="23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Flow-through of business acquisition-related inventory adjustments;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severance;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settlements;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of debt discount and other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debt repurchases and conversions;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business acquisition activities; and</w:t>
      </w:r>
    </w:p>
    <w:p>
      <w:pPr>
        <w:spacing w:after="0" w:line="9" w:lineRule="exact"/>
        <w:rPr>
          <w:rFonts w:ascii="Arial" w:cs="Arial" w:eastAsia="Arial" w:hAnsi="Arial"/>
          <w:sz w:val="18"/>
          <w:szCs w:val="18"/>
          <w:color w:val="auto"/>
        </w:rPr>
      </w:pPr>
    </w:p>
    <w:p>
      <w:pPr>
        <w:ind w:left="660" w:right="50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assessments of tax exposures, certain tax matters related to prior fiscal periods, and significant changes in tax law.</w:t>
      </w:r>
    </w:p>
    <w:p>
      <w:pPr>
        <w:spacing w:after="0" w:line="22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Non-GAAP diluted shares are adjusted for the impact of additional shares resulting from the exclusion of stock-based compensation from non-GAAP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8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28"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3440" w:type="dxa"/>
            <w:vAlign w:val="bottom"/>
          </w:tcPr>
          <w:p>
            <w:pPr>
              <w:spacing w:after="0"/>
              <w:rPr>
                <w:sz w:val="20"/>
                <w:szCs w:val="20"/>
                <w:color w:val="auto"/>
              </w:rPr>
            </w:pPr>
            <w:r>
              <w:rPr>
                <w:rFonts w:ascii="Arial" w:cs="Arial" w:eastAsia="Arial" w:hAnsi="Arial"/>
                <w:sz w:val="18"/>
                <w:szCs w:val="18"/>
                <w:b w:val="1"/>
                <w:bCs w:val="1"/>
                <w:color w:val="auto"/>
              </w:rPr>
              <w:t>FQ3-23</w:t>
            </w:r>
          </w:p>
        </w:tc>
        <w:tc>
          <w:tcPr>
            <w:tcW w:w="2960" w:type="dxa"/>
            <w:vAlign w:val="bottom"/>
            <w:gridSpan w:val="2"/>
          </w:tcPr>
          <w:p>
            <w:pPr>
              <w:ind w:left="1100"/>
              <w:spacing w:after="0"/>
              <w:rPr>
                <w:sz w:val="20"/>
                <w:szCs w:val="20"/>
                <w:color w:val="auto"/>
              </w:rPr>
            </w:pPr>
            <w:r>
              <w:rPr>
                <w:rFonts w:ascii="Arial" w:cs="Arial" w:eastAsia="Arial" w:hAnsi="Arial"/>
                <w:sz w:val="18"/>
                <w:szCs w:val="18"/>
                <w:b w:val="1"/>
                <w:bCs w:val="1"/>
                <w:color w:val="auto"/>
              </w:rPr>
              <w:t>GAAP Outlook</w:t>
            </w: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Adjustments</w:t>
            </w:r>
          </w:p>
        </w:tc>
        <w:tc>
          <w:tcPr>
            <w:tcW w:w="2240" w:type="dxa"/>
            <w:vAlign w:val="bottom"/>
          </w:tcPr>
          <w:p>
            <w:pPr>
              <w:jc w:val="right"/>
              <w:ind w:right="210"/>
              <w:spacing w:after="0"/>
              <w:rPr>
                <w:sz w:val="20"/>
                <w:szCs w:val="20"/>
                <w:color w:val="auto"/>
              </w:rPr>
            </w:pPr>
            <w:r>
              <w:rPr>
                <w:rFonts w:ascii="Arial" w:cs="Arial" w:eastAsia="Arial" w:hAnsi="Arial"/>
                <w:sz w:val="18"/>
                <w:szCs w:val="18"/>
                <w:b w:val="1"/>
                <w:bCs w:val="1"/>
                <w:color w:val="auto"/>
              </w:rPr>
              <w:t>Non-GAAP Outlook</w:t>
            </w:r>
          </w:p>
        </w:tc>
      </w:tr>
      <w:tr>
        <w:trPr>
          <w:trHeight w:val="34"/>
        </w:trPr>
        <w:tc>
          <w:tcPr>
            <w:tcW w:w="3440" w:type="dxa"/>
            <w:vAlign w:val="bottom"/>
            <w:tcBorders>
              <w:top w:val="single" w:sz="8" w:color="0090DA"/>
            </w:tcBorders>
          </w:tcPr>
          <w:p>
            <w:pPr>
              <w:spacing w:after="0"/>
              <w:rPr>
                <w:sz w:val="2"/>
                <w:szCs w:val="2"/>
                <w:color w:val="auto"/>
              </w:rPr>
            </w:pPr>
          </w:p>
        </w:tc>
        <w:tc>
          <w:tcPr>
            <w:tcW w:w="284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Borders>
              <w:top w:val="single" w:sz="8" w:color="0090DA"/>
            </w:tcBorders>
          </w:tcPr>
          <w:p>
            <w:pPr>
              <w:spacing w:after="0"/>
              <w:rPr>
                <w:sz w:val="2"/>
                <w:szCs w:val="2"/>
                <w:color w:val="auto"/>
              </w:rPr>
            </w:pPr>
          </w:p>
        </w:tc>
      </w:tr>
      <w:tr>
        <w:trPr>
          <w:trHeight w:val="229"/>
        </w:trPr>
        <w:tc>
          <w:tcPr>
            <w:tcW w:w="3440" w:type="dxa"/>
            <w:vAlign w:val="bottom"/>
            <w:shd w:val="clear" w:color="auto" w:fill="CBCBCB"/>
          </w:tcPr>
          <w:p>
            <w:pPr>
              <w:spacing w:after="0"/>
              <w:rPr>
                <w:sz w:val="20"/>
                <w:szCs w:val="20"/>
                <w:color w:val="auto"/>
              </w:rPr>
            </w:pPr>
            <w:r>
              <w:rPr>
                <w:rFonts w:ascii="Arial" w:cs="Arial" w:eastAsia="Arial" w:hAnsi="Arial"/>
                <w:sz w:val="18"/>
                <w:szCs w:val="18"/>
                <w:color w:val="auto"/>
              </w:rPr>
              <w:t>Revenue</w:t>
            </w:r>
          </w:p>
        </w:tc>
        <w:tc>
          <w:tcPr>
            <w:tcW w:w="2960" w:type="dxa"/>
            <w:vAlign w:val="bottom"/>
            <w:gridSpan w:val="2"/>
            <w:shd w:val="clear" w:color="auto" w:fill="CBCBCB"/>
          </w:tcPr>
          <w:p>
            <w:pPr>
              <w:jc w:val="right"/>
              <w:ind w:right="140"/>
              <w:spacing w:after="0"/>
              <w:rPr>
                <w:sz w:val="20"/>
                <w:szCs w:val="20"/>
                <w:color w:val="auto"/>
              </w:rPr>
            </w:pPr>
            <w:r>
              <w:rPr>
                <w:rFonts w:ascii="Arial" w:cs="Arial" w:eastAsia="Arial" w:hAnsi="Arial"/>
                <w:sz w:val="18"/>
                <w:szCs w:val="18"/>
                <w:color w:val="auto"/>
              </w:rPr>
              <w:t>$3.70 billion ± $200 million</w:t>
            </w:r>
          </w:p>
        </w:tc>
        <w:tc>
          <w:tcPr>
            <w:tcW w:w="2380" w:type="dxa"/>
            <w:vAlign w:val="bottom"/>
            <w:gridSpan w:val="2"/>
            <w:shd w:val="clear" w:color="auto" w:fill="CBCBCB"/>
          </w:tcPr>
          <w:p>
            <w:pPr>
              <w:jc w:val="center"/>
              <w:ind w:right="16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$3.70 billion ± $200 million</w:t>
            </w:r>
          </w:p>
        </w:tc>
      </w:tr>
      <w:tr>
        <w:trPr>
          <w:trHeight w:val="229"/>
        </w:trPr>
        <w:tc>
          <w:tcPr>
            <w:tcW w:w="3440" w:type="dxa"/>
            <w:vAlign w:val="bottom"/>
          </w:tcPr>
          <w:p>
            <w:pPr>
              <w:spacing w:after="0"/>
              <w:rPr>
                <w:sz w:val="20"/>
                <w:szCs w:val="20"/>
                <w:color w:val="auto"/>
              </w:rPr>
            </w:pPr>
            <w:r>
              <w:rPr>
                <w:rFonts w:ascii="Arial" w:cs="Arial" w:eastAsia="Arial" w:hAnsi="Arial"/>
                <w:sz w:val="18"/>
                <w:szCs w:val="18"/>
                <w:color w:val="auto"/>
              </w:rPr>
              <w:t>Gross margin</w:t>
            </w:r>
          </w:p>
        </w:tc>
        <w:tc>
          <w:tcPr>
            <w:tcW w:w="2840" w:type="dxa"/>
            <w:vAlign w:val="bottom"/>
          </w:tcPr>
          <w:p>
            <w:pPr>
              <w:jc w:val="right"/>
              <w:spacing w:after="0"/>
              <w:rPr>
                <w:sz w:val="20"/>
                <w:szCs w:val="20"/>
                <w:color w:val="auto"/>
              </w:rPr>
            </w:pPr>
            <w:r>
              <w:rPr>
                <w:rFonts w:ascii="Arial" w:cs="Arial" w:eastAsia="Arial" w:hAnsi="Arial"/>
                <w:sz w:val="18"/>
                <w:szCs w:val="18"/>
                <w:color w:val="auto"/>
              </w:rPr>
              <w:t>(23.0%) ± 2.5%</w:t>
            </w:r>
          </w:p>
        </w:tc>
        <w:tc>
          <w:tcPr>
            <w:tcW w:w="120" w:type="dxa"/>
            <w:vAlign w:val="bottom"/>
          </w:tcPr>
          <w:p>
            <w:pPr>
              <w:spacing w:after="0"/>
              <w:rPr>
                <w:sz w:val="19"/>
                <w:szCs w:val="19"/>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2.0% A</w:t>
            </w:r>
          </w:p>
        </w:tc>
        <w:tc>
          <w:tcPr>
            <w:tcW w:w="2240" w:type="dxa"/>
            <w:vAlign w:val="bottom"/>
          </w:tcPr>
          <w:p>
            <w:pPr>
              <w:jc w:val="right"/>
              <w:spacing w:after="0"/>
              <w:rPr>
                <w:sz w:val="20"/>
                <w:szCs w:val="20"/>
                <w:color w:val="auto"/>
              </w:rPr>
            </w:pPr>
            <w:r>
              <w:rPr>
                <w:rFonts w:ascii="Arial" w:cs="Arial" w:eastAsia="Arial" w:hAnsi="Arial"/>
                <w:sz w:val="18"/>
                <w:szCs w:val="18"/>
                <w:color w:val="auto"/>
              </w:rPr>
              <w:t>(21.0%) ± 2.5%</w:t>
            </w:r>
          </w:p>
        </w:tc>
      </w:tr>
      <w:tr>
        <w:trPr>
          <w:trHeight w:val="230"/>
        </w:trPr>
        <w:tc>
          <w:tcPr>
            <w:tcW w:w="3440" w:type="dxa"/>
            <w:vAlign w:val="bottom"/>
            <w:shd w:val="clear" w:color="auto" w:fill="CBCBCB"/>
          </w:tcPr>
          <w:p>
            <w:pPr>
              <w:spacing w:after="0"/>
              <w:rPr>
                <w:sz w:val="20"/>
                <w:szCs w:val="20"/>
                <w:color w:val="auto"/>
              </w:rPr>
            </w:pPr>
            <w:r>
              <w:rPr>
                <w:rFonts w:ascii="Arial" w:cs="Arial" w:eastAsia="Arial" w:hAnsi="Arial"/>
                <w:sz w:val="18"/>
                <w:szCs w:val="18"/>
                <w:color w:val="auto"/>
              </w:rPr>
              <w:t>Operating expenses</w:t>
            </w:r>
          </w:p>
        </w:tc>
        <w:tc>
          <w:tcPr>
            <w:tcW w:w="2960" w:type="dxa"/>
            <w:vAlign w:val="bottom"/>
            <w:gridSpan w:val="2"/>
            <w:shd w:val="clear" w:color="auto" w:fill="CBCBCB"/>
          </w:tcPr>
          <w:p>
            <w:pPr>
              <w:jc w:val="right"/>
              <w:ind w:right="140"/>
              <w:spacing w:after="0"/>
              <w:rPr>
                <w:sz w:val="20"/>
                <w:szCs w:val="20"/>
                <w:color w:val="auto"/>
              </w:rPr>
            </w:pPr>
            <w:r>
              <w:rPr>
                <w:rFonts w:ascii="Arial" w:cs="Arial" w:eastAsia="Arial" w:hAnsi="Arial"/>
                <w:sz w:val="18"/>
                <w:szCs w:val="18"/>
                <w:color w:val="auto"/>
              </w:rPr>
              <w:t>$1.07 billion ± $15 million</w:t>
            </w:r>
          </w:p>
        </w:tc>
        <w:tc>
          <w:tcPr>
            <w:tcW w:w="2380" w:type="dxa"/>
            <w:vAlign w:val="bottom"/>
            <w:gridSpan w:val="2"/>
            <w:shd w:val="clear" w:color="auto" w:fill="CBCBCB"/>
          </w:tcPr>
          <w:p>
            <w:pPr>
              <w:ind w:left="300"/>
              <w:spacing w:after="0"/>
              <w:rPr>
                <w:sz w:val="20"/>
                <w:szCs w:val="20"/>
                <w:color w:val="auto"/>
              </w:rPr>
            </w:pPr>
            <w:r>
              <w:rPr>
                <w:rFonts w:ascii="Arial" w:cs="Arial" w:eastAsia="Arial" w:hAnsi="Arial"/>
                <w:sz w:val="18"/>
                <w:szCs w:val="18"/>
                <w:color w:val="auto"/>
              </w:rPr>
              <w:t>$166 million B</w:t>
            </w:r>
          </w:p>
        </w:tc>
        <w:tc>
          <w:tcPr>
            <w:tcW w:w="22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$900 million ± $15 million</w:t>
            </w:r>
          </w:p>
        </w:tc>
      </w:tr>
      <w:tr>
        <w:trPr>
          <w:trHeight w:val="301"/>
        </w:trPr>
        <w:tc>
          <w:tcPr>
            <w:tcW w:w="3440" w:type="dxa"/>
            <w:vAlign w:val="bottom"/>
          </w:tcPr>
          <w:p>
            <w:pPr>
              <w:spacing w:after="0"/>
              <w:rPr>
                <w:sz w:val="20"/>
                <w:szCs w:val="20"/>
                <w:color w:val="auto"/>
              </w:rPr>
            </w:pPr>
            <w:r>
              <w:rPr>
                <w:rFonts w:ascii="Arial" w:cs="Arial" w:eastAsia="Arial" w:hAnsi="Arial"/>
                <w:sz w:val="18"/>
                <w:szCs w:val="18"/>
                <w:color w:val="auto"/>
              </w:rPr>
              <w:t>Diluted earnings (loss) per share</w:t>
            </w:r>
            <w:r>
              <w:rPr>
                <w:rFonts w:ascii="Arial" w:cs="Arial" w:eastAsia="Arial" w:hAnsi="Arial"/>
                <w:sz w:val="23"/>
                <w:szCs w:val="23"/>
                <w:color w:val="auto"/>
                <w:vertAlign w:val="superscript"/>
              </w:rPr>
              <w:t>(1)</w:t>
            </w:r>
          </w:p>
        </w:tc>
        <w:tc>
          <w:tcPr>
            <w:tcW w:w="2840" w:type="dxa"/>
            <w:vAlign w:val="bottom"/>
          </w:tcPr>
          <w:p>
            <w:pPr>
              <w:jc w:val="right"/>
              <w:spacing w:after="0"/>
              <w:rPr>
                <w:sz w:val="20"/>
                <w:szCs w:val="20"/>
                <w:color w:val="auto"/>
              </w:rPr>
            </w:pPr>
            <w:r>
              <w:rPr>
                <w:rFonts w:ascii="Arial" w:cs="Arial" w:eastAsia="Arial" w:hAnsi="Arial"/>
                <w:sz w:val="18"/>
                <w:szCs w:val="18"/>
                <w:color w:val="auto"/>
              </w:rPr>
              <w:t>($1.79) ± $0.07</w:t>
            </w:r>
          </w:p>
        </w:tc>
        <w:tc>
          <w:tcPr>
            <w:tcW w:w="120" w:type="dxa"/>
            <w:vAlign w:val="bottom"/>
          </w:tcPr>
          <w:p>
            <w:pPr>
              <w:spacing w:after="0"/>
              <w:rPr>
                <w:sz w:val="24"/>
                <w:szCs w:val="24"/>
                <w:color w:val="auto"/>
              </w:rPr>
            </w:pPr>
          </w:p>
        </w:tc>
        <w:tc>
          <w:tcPr>
            <w:tcW w:w="2380" w:type="dxa"/>
            <w:vAlign w:val="bottom"/>
            <w:gridSpan w:val="2"/>
          </w:tcPr>
          <w:p>
            <w:pPr>
              <w:ind w:left="820"/>
              <w:spacing w:after="0"/>
              <w:rPr>
                <w:sz w:val="20"/>
                <w:szCs w:val="20"/>
                <w:color w:val="auto"/>
              </w:rPr>
            </w:pPr>
            <w:r>
              <w:rPr>
                <w:rFonts w:ascii="Arial" w:cs="Arial" w:eastAsia="Arial" w:hAnsi="Arial"/>
                <w:sz w:val="18"/>
                <w:szCs w:val="18"/>
                <w:color w:val="auto"/>
              </w:rPr>
              <w:t>$0.21 A, B, C</w:t>
            </w:r>
          </w:p>
        </w:tc>
        <w:tc>
          <w:tcPr>
            <w:tcW w:w="2240" w:type="dxa"/>
            <w:vAlign w:val="bottom"/>
          </w:tcPr>
          <w:p>
            <w:pPr>
              <w:jc w:val="right"/>
              <w:spacing w:after="0"/>
              <w:rPr>
                <w:sz w:val="20"/>
                <w:szCs w:val="20"/>
                <w:color w:val="auto"/>
              </w:rPr>
            </w:pPr>
            <w:r>
              <w:rPr>
                <w:rFonts w:ascii="Arial" w:cs="Arial" w:eastAsia="Arial" w:hAnsi="Arial"/>
                <w:sz w:val="18"/>
                <w:szCs w:val="18"/>
                <w:color w:val="auto"/>
              </w:rPr>
              <w:t>($1.58) ± $0.07</w:t>
            </w:r>
          </w:p>
        </w:tc>
      </w:tr>
    </w:tbl>
    <w:p>
      <w:pPr>
        <w:spacing w:after="0" w:line="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Adjustments</w:t>
      </w:r>
    </w:p>
    <w:p>
      <w:pPr>
        <w:ind w:left="120"/>
        <w:spacing w:after="0"/>
        <w:rPr>
          <w:sz w:val="20"/>
          <w:szCs w:val="20"/>
          <w:color w:val="auto"/>
        </w:rPr>
      </w:pPr>
      <w:r>
        <w:rPr>
          <w:rFonts w:ascii="Arial" w:cs="Arial" w:eastAsia="Arial" w:hAnsi="Arial"/>
          <w:sz w:val="18"/>
          <w:szCs w:val="18"/>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70034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57"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8780" w:type="dxa"/>
            <w:vAlign w:val="bottom"/>
            <w:shd w:val="clear" w:color="auto" w:fill="D1D2D4"/>
          </w:tcPr>
          <w:p>
            <w:pPr>
              <w:spacing w:after="0"/>
              <w:rPr>
                <w:sz w:val="20"/>
                <w:szCs w:val="20"/>
                <w:color w:val="auto"/>
              </w:rPr>
            </w:pPr>
            <w:r>
              <w:rPr>
                <w:rFonts w:ascii="Arial" w:cs="Arial" w:eastAsia="Arial" w:hAnsi="Arial"/>
                <w:sz w:val="18"/>
                <w:szCs w:val="18"/>
                <w:color w:val="auto"/>
              </w:rPr>
              <w:t>A  Stock-based compensation – cost of goods sold</w:t>
            </w:r>
          </w:p>
        </w:tc>
        <w:tc>
          <w:tcPr>
            <w:tcW w:w="980" w:type="dxa"/>
            <w:vAlign w:val="bottom"/>
            <w:shd w:val="clear" w:color="auto" w:fill="D1D2D4"/>
          </w:tcPr>
          <w:p>
            <w:pPr>
              <w:jc w:val="right"/>
              <w:ind w:right="7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8780" w:type="dxa"/>
            <w:vAlign w:val="bottom"/>
          </w:tcPr>
          <w:p>
            <w:pPr>
              <w:spacing w:after="0"/>
              <w:rPr>
                <w:sz w:val="20"/>
                <w:szCs w:val="20"/>
                <w:color w:val="auto"/>
              </w:rPr>
            </w:pPr>
            <w:r>
              <w:rPr>
                <w:rFonts w:ascii="Arial" w:cs="Arial" w:eastAsia="Arial" w:hAnsi="Arial"/>
                <w:sz w:val="18"/>
                <w:szCs w:val="18"/>
                <w:color w:val="auto"/>
              </w:rPr>
              <w:t>A  Other – cost of goods sold</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780" w:type="dxa"/>
            <w:vAlign w:val="bottom"/>
            <w:shd w:val="clear" w:color="auto" w:fill="D1D2D4"/>
          </w:tcPr>
          <w:p>
            <w:pPr>
              <w:spacing w:after="0"/>
              <w:rPr>
                <w:sz w:val="20"/>
                <w:szCs w:val="20"/>
                <w:color w:val="auto"/>
              </w:rPr>
            </w:pPr>
            <w:r>
              <w:rPr>
                <w:rFonts w:ascii="Arial" w:cs="Arial" w:eastAsia="Arial" w:hAnsi="Arial"/>
                <w:sz w:val="18"/>
                <w:szCs w:val="18"/>
                <w:color w:val="auto"/>
              </w:rPr>
              <w:t>B  Stock-based compensation – research and development</w:t>
            </w:r>
          </w:p>
        </w:tc>
        <w:tc>
          <w:tcPr>
            <w:tcW w:w="9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8780" w:type="dxa"/>
            <w:vAlign w:val="bottom"/>
          </w:tcPr>
          <w:p>
            <w:pPr>
              <w:spacing w:after="0"/>
              <w:rPr>
                <w:sz w:val="20"/>
                <w:szCs w:val="20"/>
                <w:color w:val="auto"/>
              </w:rPr>
            </w:pPr>
            <w:r>
              <w:rPr>
                <w:rFonts w:ascii="Arial" w:cs="Arial" w:eastAsia="Arial" w:hAnsi="Arial"/>
                <w:sz w:val="18"/>
                <w:szCs w:val="18"/>
                <w:color w:val="auto"/>
              </w:rPr>
              <w:t>B  Stock-based compensation – selling, general, and administrative</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8780" w:type="dxa"/>
            <w:vAlign w:val="bottom"/>
            <w:shd w:val="clear" w:color="auto" w:fill="D1D2D4"/>
          </w:tcPr>
          <w:p>
            <w:pPr>
              <w:spacing w:after="0"/>
              <w:rPr>
                <w:sz w:val="20"/>
                <w:szCs w:val="20"/>
                <w:color w:val="auto"/>
              </w:rPr>
            </w:pPr>
            <w:r>
              <w:rPr>
                <w:rFonts w:ascii="Arial" w:cs="Arial" w:eastAsia="Arial" w:hAnsi="Arial"/>
                <w:sz w:val="18"/>
                <w:szCs w:val="18"/>
                <w:color w:val="auto"/>
              </w:rPr>
              <w:t>B  Restructure and asset impairments</w:t>
            </w:r>
          </w:p>
        </w:tc>
        <w:tc>
          <w:tcPr>
            <w:tcW w:w="9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8780" w:type="dxa"/>
            <w:vAlign w:val="bottom"/>
            <w:tcBorders>
              <w:bottom w:val="single" w:sz="8" w:color="D1D2D4"/>
            </w:tcBorders>
          </w:tcPr>
          <w:p>
            <w:pPr>
              <w:spacing w:after="0"/>
              <w:rPr>
                <w:sz w:val="20"/>
                <w:szCs w:val="20"/>
                <w:color w:val="auto"/>
              </w:rPr>
            </w:pPr>
            <w:r>
              <w:rPr>
                <w:rFonts w:ascii="Arial" w:cs="Arial" w:eastAsia="Arial" w:hAnsi="Arial"/>
                <w:sz w:val="18"/>
                <w:szCs w:val="18"/>
                <w:color w:val="auto"/>
              </w:rPr>
              <w:t>C  Tax effects of the above items and other tax adjustments</w:t>
            </w:r>
          </w:p>
        </w:tc>
        <w:tc>
          <w:tcPr>
            <w:tcW w:w="9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8780" w:type="dxa"/>
            <w:vAlign w:val="bottom"/>
            <w:tcBorders>
              <w:bottom w:val="single" w:sz="8" w:color="D1D2D4"/>
            </w:tcBorders>
            <w:shd w:val="clear" w:color="auto" w:fill="D1D2D4"/>
          </w:tcPr>
          <w:p>
            <w:pPr>
              <w:spacing w:after="0"/>
              <w:rPr>
                <w:sz w:val="21"/>
                <w:szCs w:val="21"/>
                <w:color w:val="auto"/>
              </w:rPr>
            </w:pPr>
          </w:p>
        </w:tc>
        <w:tc>
          <w:tcPr>
            <w:tcW w:w="980" w:type="dxa"/>
            <w:vAlign w:val="bottom"/>
            <w:tcBorders>
              <w:bottom w:val="single" w:sz="8" w:color="auto"/>
            </w:tcBorders>
            <w:shd w:val="clear" w:color="auto" w:fill="D1D2D4"/>
          </w:tcPr>
          <w:p>
            <w:pPr>
              <w:jc w:val="right"/>
              <w:ind w:right="7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231</w:t>
            </w:r>
          </w:p>
        </w:tc>
      </w:tr>
      <w:tr>
        <w:trPr>
          <w:trHeight w:val="20"/>
        </w:trPr>
        <w:tc>
          <w:tcPr>
            <w:tcW w:w="8780" w:type="dxa"/>
            <w:vAlign w:val="bottom"/>
            <w:tcBorders>
              <w:top w:val="single" w:sz="8" w:color="D1D2D4"/>
            </w:tcBorders>
          </w:tcPr>
          <w:p>
            <w:pPr>
              <w:spacing w:after="0" w:line="20" w:lineRule="exact"/>
              <w:rPr>
                <w:sz w:val="1"/>
                <w:szCs w:val="1"/>
                <w:color w:val="auto"/>
              </w:rPr>
            </w:pPr>
          </w:p>
        </w:tc>
        <w:tc>
          <w:tcPr>
            <w:tcW w:w="98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320" w:hanging="312"/>
        <w:spacing w:after="0"/>
        <w:tabs>
          <w:tab w:leader="none" w:pos="32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GAAP and non-GAAP earnings (loss) per share based on approximately 1.09 billion diluted shares.</w:t>
      </w:r>
    </w:p>
    <w:p>
      <w:pPr>
        <w:spacing w:after="0" w:line="24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additional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2023-03-28T15:35:31Z</dcterms:created>
  <dcterms:modified xsi:type="dcterms:W3CDTF">2023-03-28T15:35:31Z</dcterms:modified>
</cp:coreProperties>
</file>