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line="233" w:lineRule="auto"/>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S-8</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line="233" w:lineRule="auto"/>
        <w:rPr>
          <w:sz w:val="20"/>
          <w:szCs w:val="20"/>
          <w:color w:val="auto"/>
        </w:rPr>
      </w:pPr>
      <w:r>
        <w:rPr>
          <w:rFonts w:ascii="Arial" w:cs="Arial" w:eastAsia="Arial" w:hAnsi="Arial"/>
          <w:sz w:val="20"/>
          <w:szCs w:val="20"/>
          <w:b w:val="1"/>
          <w:bCs w:val="1"/>
          <w:i w:val="1"/>
          <w:iCs w:val="1"/>
          <w:color w:val="auto"/>
        </w:rPr>
        <w:t>The Securities Act of 1933</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MICRON TECHNOLOGY,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147" w:lineRule="exact"/>
        <w:rPr>
          <w:sz w:val="24"/>
          <w:szCs w:val="24"/>
          <w:color w:val="auto"/>
        </w:rPr>
      </w:pPr>
    </w:p>
    <w:tbl>
      <w:tblPr>
        <w:tblLayout w:type="fixed"/>
        <w:tblInd w:w="1820" w:type="dxa"/>
        <w:tblCellMar>
          <w:top w:w="0" w:type="dxa"/>
          <w:left w:w="0" w:type="dxa"/>
          <w:bottom w:w="0" w:type="dxa"/>
          <w:right w:w="0" w:type="dxa"/>
        </w:tblCellMar>
      </w:tblPr>
      <w:tr>
        <w:trPr>
          <w:trHeight w:val="256"/>
        </w:trPr>
        <w:tc>
          <w:tcPr>
            <w:tcW w:w="6020" w:type="dxa"/>
            <w:vAlign w:val="bottom"/>
            <w:gridSpan w:val="3"/>
          </w:tcPr>
          <w:p>
            <w:pPr>
              <w:jc w:val="center"/>
              <w:ind w:right="4140"/>
              <w:spacing w:after="0"/>
              <w:rPr>
                <w:sz w:val="20"/>
                <w:szCs w:val="20"/>
                <w:color w:val="auto"/>
              </w:rPr>
            </w:pPr>
            <w:r>
              <w:rPr>
                <w:rFonts w:ascii="Arial" w:cs="Arial" w:eastAsia="Arial" w:hAnsi="Arial"/>
                <w:sz w:val="20"/>
                <w:szCs w:val="20"/>
                <w:b w:val="1"/>
                <w:bCs w:val="1"/>
                <w:color w:val="auto"/>
                <w:w w:val="91"/>
              </w:rPr>
              <w:t>Delaware</w:t>
            </w:r>
          </w:p>
        </w:tc>
        <w:tc>
          <w:tcPr>
            <w:tcW w:w="1540" w:type="dxa"/>
            <w:vAlign w:val="bottom"/>
          </w:tcPr>
          <w:p>
            <w:pPr>
              <w:jc w:val="center"/>
              <w:ind w:left="19"/>
              <w:spacing w:after="0"/>
              <w:rPr>
                <w:sz w:val="20"/>
                <w:szCs w:val="20"/>
                <w:color w:val="auto"/>
              </w:rPr>
            </w:pPr>
            <w:r>
              <w:rPr>
                <w:rFonts w:ascii="Arial" w:cs="Arial" w:eastAsia="Arial" w:hAnsi="Arial"/>
                <w:sz w:val="20"/>
                <w:szCs w:val="20"/>
                <w:b w:val="1"/>
                <w:bCs w:val="1"/>
                <w:color w:val="auto"/>
                <w:w w:val="89"/>
              </w:rPr>
              <w:t>75-1618004</w:t>
            </w:r>
          </w:p>
        </w:tc>
      </w:tr>
      <w:tr>
        <w:trPr>
          <w:trHeight w:val="214"/>
        </w:trPr>
        <w:tc>
          <w:tcPr>
            <w:tcW w:w="602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19"/>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602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Identification Number)</w:t>
            </w:r>
          </w:p>
        </w:tc>
      </w:tr>
      <w:tr>
        <w:trPr>
          <w:trHeight w:val="273"/>
        </w:trPr>
        <w:tc>
          <w:tcPr>
            <w:tcW w:w="2600" w:type="dxa"/>
            <w:vAlign w:val="bottom"/>
          </w:tcPr>
          <w:p>
            <w:pPr>
              <w:spacing w:after="0"/>
              <w:rPr>
                <w:sz w:val="23"/>
                <w:szCs w:val="23"/>
                <w:color w:val="auto"/>
              </w:rPr>
            </w:pPr>
          </w:p>
        </w:tc>
        <w:tc>
          <w:tcPr>
            <w:tcW w:w="3420" w:type="dxa"/>
            <w:vAlign w:val="bottom"/>
            <w:gridSpan w:val="2"/>
          </w:tcPr>
          <w:p>
            <w:pPr>
              <w:jc w:val="center"/>
              <w:ind w:right="840"/>
              <w:spacing w:after="0"/>
              <w:rPr>
                <w:sz w:val="20"/>
                <w:szCs w:val="20"/>
                <w:color w:val="auto"/>
              </w:rPr>
            </w:pPr>
            <w:r>
              <w:rPr>
                <w:rFonts w:ascii="Arial" w:cs="Arial" w:eastAsia="Arial" w:hAnsi="Arial"/>
                <w:sz w:val="20"/>
                <w:szCs w:val="20"/>
                <w:b w:val="1"/>
                <w:bCs w:val="1"/>
                <w:color w:val="auto"/>
                <w:w w:val="90"/>
              </w:rPr>
              <w:t>8000 S. Federal Way</w:t>
            </w:r>
          </w:p>
        </w:tc>
        <w:tc>
          <w:tcPr>
            <w:tcW w:w="1540" w:type="dxa"/>
            <w:vAlign w:val="bottom"/>
          </w:tcPr>
          <w:p>
            <w:pPr>
              <w:spacing w:after="0"/>
              <w:rPr>
                <w:sz w:val="23"/>
                <w:szCs w:val="23"/>
                <w:color w:val="auto"/>
              </w:rPr>
            </w:pPr>
          </w:p>
        </w:tc>
      </w:tr>
      <w:tr>
        <w:trPr>
          <w:trHeight w:val="230"/>
        </w:trPr>
        <w:tc>
          <w:tcPr>
            <w:tcW w:w="2600" w:type="dxa"/>
            <w:vAlign w:val="bottom"/>
          </w:tcPr>
          <w:p>
            <w:pPr>
              <w:spacing w:after="0"/>
              <w:rPr>
                <w:sz w:val="19"/>
                <w:szCs w:val="19"/>
                <w:color w:val="auto"/>
              </w:rPr>
            </w:pPr>
          </w:p>
        </w:tc>
        <w:tc>
          <w:tcPr>
            <w:tcW w:w="3420" w:type="dxa"/>
            <w:vAlign w:val="bottom"/>
            <w:gridSpan w:val="2"/>
          </w:tcPr>
          <w:p>
            <w:pPr>
              <w:jc w:val="center"/>
              <w:ind w:right="840"/>
              <w:spacing w:after="0"/>
              <w:rPr>
                <w:sz w:val="20"/>
                <w:szCs w:val="20"/>
                <w:color w:val="auto"/>
              </w:rPr>
            </w:pPr>
            <w:r>
              <w:rPr>
                <w:rFonts w:ascii="Arial" w:cs="Arial" w:eastAsia="Arial" w:hAnsi="Arial"/>
                <w:sz w:val="20"/>
                <w:szCs w:val="20"/>
                <w:b w:val="1"/>
                <w:bCs w:val="1"/>
                <w:color w:val="auto"/>
                <w:w w:val="89"/>
              </w:rPr>
              <w:t>Boise, Idaho 83716-9632</w:t>
            </w:r>
          </w:p>
        </w:tc>
        <w:tc>
          <w:tcPr>
            <w:tcW w:w="1540" w:type="dxa"/>
            <w:vAlign w:val="bottom"/>
          </w:tcPr>
          <w:p>
            <w:pPr>
              <w:spacing w:after="0"/>
              <w:rPr>
                <w:sz w:val="19"/>
                <w:szCs w:val="19"/>
                <w:color w:val="auto"/>
              </w:rPr>
            </w:pPr>
          </w:p>
        </w:tc>
      </w:tr>
      <w:tr>
        <w:trPr>
          <w:trHeight w:val="162"/>
        </w:trPr>
        <w:tc>
          <w:tcPr>
            <w:tcW w:w="2600" w:type="dxa"/>
            <w:vAlign w:val="bottom"/>
          </w:tcPr>
          <w:p>
            <w:pPr>
              <w:spacing w:after="0"/>
              <w:rPr>
                <w:sz w:val="14"/>
                <w:szCs w:val="14"/>
                <w:color w:val="auto"/>
              </w:rPr>
            </w:pPr>
          </w:p>
        </w:tc>
        <w:tc>
          <w:tcPr>
            <w:tcW w:w="34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spacing w:after="0"/>
              <w:rPr>
                <w:sz w:val="14"/>
                <w:szCs w:val="14"/>
                <w:color w:val="auto"/>
              </w:rPr>
            </w:pPr>
          </w:p>
        </w:tc>
      </w:tr>
      <w:tr>
        <w:trPr>
          <w:trHeight w:val="158"/>
        </w:trPr>
        <w:tc>
          <w:tcPr>
            <w:tcW w:w="5180" w:type="dxa"/>
            <w:vAlign w:val="bottom"/>
            <w:gridSpan w:val="2"/>
          </w:tcPr>
          <w:p>
            <w:pPr>
              <w:jc w:val="center"/>
              <w:ind w:left="2501"/>
              <w:spacing w:after="0" w:line="158" w:lineRule="exact"/>
              <w:rPr>
                <w:sz w:val="20"/>
                <w:szCs w:val="20"/>
                <w:color w:val="auto"/>
              </w:rPr>
            </w:pPr>
            <w:r>
              <w:rPr>
                <w:rFonts w:ascii="Arial" w:cs="Arial" w:eastAsia="Arial" w:hAnsi="Arial"/>
                <w:sz w:val="14"/>
                <w:szCs w:val="14"/>
                <w:b w:val="1"/>
                <w:bCs w:val="1"/>
                <w:color w:val="auto"/>
                <w:w w:val="92"/>
              </w:rPr>
              <w:t>____________________________________</w:t>
            </w: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26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49"/>
        </w:trPr>
        <w:tc>
          <w:tcPr>
            <w:tcW w:w="6020" w:type="dxa"/>
            <w:vAlign w:val="bottom"/>
            <w:gridSpan w:val="3"/>
          </w:tcPr>
          <w:p>
            <w:pPr>
              <w:jc w:val="center"/>
              <w:ind w:left="1681"/>
              <w:spacing w:after="0" w:line="348" w:lineRule="exact"/>
              <w:rPr>
                <w:sz w:val="20"/>
                <w:szCs w:val="20"/>
                <w:color w:val="auto"/>
              </w:rPr>
            </w:pPr>
            <w:r>
              <w:rPr>
                <w:rFonts w:ascii="Arial" w:cs="Arial" w:eastAsia="Arial" w:hAnsi="Arial"/>
                <w:sz w:val="31"/>
                <w:szCs w:val="31"/>
                <w:b w:val="1"/>
                <w:bCs w:val="1"/>
                <w:color w:val="auto"/>
                <w:w w:val="89"/>
              </w:rPr>
              <w:t>Micron Technology, Inc.</w:t>
            </w:r>
          </w:p>
        </w:tc>
        <w:tc>
          <w:tcPr>
            <w:tcW w:w="1540" w:type="dxa"/>
            <w:vAlign w:val="bottom"/>
          </w:tcPr>
          <w:p>
            <w:pPr>
              <w:spacing w:after="0"/>
              <w:rPr>
                <w:sz w:val="24"/>
                <w:szCs w:val="24"/>
                <w:color w:val="auto"/>
              </w:rPr>
            </w:pPr>
          </w:p>
        </w:tc>
      </w:tr>
      <w:tr>
        <w:trPr>
          <w:trHeight w:val="365"/>
        </w:trPr>
        <w:tc>
          <w:tcPr>
            <w:tcW w:w="6020" w:type="dxa"/>
            <w:vAlign w:val="bottom"/>
            <w:gridSpan w:val="3"/>
          </w:tcPr>
          <w:p>
            <w:pPr>
              <w:jc w:val="center"/>
              <w:ind w:left="1661"/>
              <w:spacing w:after="0"/>
              <w:rPr>
                <w:sz w:val="20"/>
                <w:szCs w:val="20"/>
                <w:color w:val="auto"/>
              </w:rPr>
            </w:pPr>
            <w:r>
              <w:rPr>
                <w:rFonts w:ascii="Arial" w:cs="Arial" w:eastAsia="Arial" w:hAnsi="Arial"/>
                <w:sz w:val="31"/>
                <w:szCs w:val="31"/>
                <w:b w:val="1"/>
                <w:bCs w:val="1"/>
                <w:color w:val="auto"/>
                <w:w w:val="87"/>
              </w:rPr>
              <w:t>Employee Stock Purchase Plan</w:t>
            </w:r>
          </w:p>
        </w:tc>
        <w:tc>
          <w:tcPr>
            <w:tcW w:w="1540" w:type="dxa"/>
            <w:vAlign w:val="bottom"/>
          </w:tcPr>
          <w:p>
            <w:pPr>
              <w:spacing w:after="0"/>
              <w:rPr>
                <w:sz w:val="24"/>
                <w:szCs w:val="24"/>
                <w:color w:val="auto"/>
              </w:rPr>
            </w:pPr>
          </w:p>
        </w:tc>
      </w:tr>
      <w:tr>
        <w:trPr>
          <w:trHeight w:val="158"/>
        </w:trPr>
        <w:tc>
          <w:tcPr>
            <w:tcW w:w="5180" w:type="dxa"/>
            <w:vAlign w:val="bottom"/>
            <w:gridSpan w:val="2"/>
          </w:tcPr>
          <w:p>
            <w:pPr>
              <w:jc w:val="center"/>
              <w:ind w:left="2501"/>
              <w:spacing w:after="0" w:line="158" w:lineRule="exact"/>
              <w:rPr>
                <w:sz w:val="20"/>
                <w:szCs w:val="20"/>
                <w:color w:val="auto"/>
              </w:rPr>
            </w:pPr>
            <w:r>
              <w:rPr>
                <w:rFonts w:ascii="Arial" w:cs="Arial" w:eastAsia="Arial" w:hAnsi="Arial"/>
                <w:sz w:val="14"/>
                <w:szCs w:val="14"/>
                <w:b w:val="1"/>
                <w:bCs w:val="1"/>
                <w:color w:val="auto"/>
                <w:w w:val="92"/>
              </w:rPr>
              <w:t>____________________________________</w:t>
            </w: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26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ind w:left="4940"/>
        <w:spacing w:after="0"/>
        <w:rPr>
          <w:sz w:val="20"/>
          <w:szCs w:val="20"/>
          <w:color w:val="auto"/>
        </w:rPr>
      </w:pPr>
      <w:r>
        <w:rPr>
          <w:rFonts w:ascii="Arial" w:cs="Arial" w:eastAsia="Arial" w:hAnsi="Arial"/>
          <w:sz w:val="18"/>
          <w:szCs w:val="18"/>
          <w:color w:val="auto"/>
        </w:rPr>
        <w:t>(Full title of the plan)</w:t>
      </w:r>
    </w:p>
    <w:p>
      <w:pPr>
        <w:spacing w:after="0" w:line="12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Sanjay Mehrotra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 and Director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ind w:right="3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19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Large accelerated filer</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c>
          <w:tcPr>
            <w:tcW w:w="14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680" w:type="dxa"/>
            <w:vAlign w:val="bottom"/>
            <w:gridSpan w:val="3"/>
          </w:tcPr>
          <w:p>
            <w:pPr>
              <w:ind w:left="1920"/>
              <w:spacing w:after="0"/>
              <w:rPr>
                <w:sz w:val="20"/>
                <w:szCs w:val="20"/>
                <w:color w:val="auto"/>
              </w:rPr>
            </w:pPr>
            <w:r>
              <w:rPr>
                <w:rFonts w:ascii="Arial" w:cs="Arial" w:eastAsia="Arial" w:hAnsi="Arial"/>
                <w:sz w:val="18"/>
                <w:szCs w:val="18"/>
                <w:color w:val="auto"/>
                <w:w w:val="95"/>
              </w:rPr>
              <w:t xml:space="preserve">o  </w:t>
            </w:r>
            <w:r>
              <w:rPr>
                <w:rFonts w:ascii="Arial" w:cs="Arial" w:eastAsia="Arial" w:hAnsi="Arial"/>
                <w:sz w:val="16"/>
                <w:szCs w:val="16"/>
                <w:color w:val="auto"/>
                <w:w w:val="95"/>
              </w:rPr>
              <w:t>Non-accelerated filer (Do not check if a smaller reporting company)</w:t>
            </w: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c>
          <w:tcPr>
            <w:tcW w:w="3040" w:type="dxa"/>
            <w:vAlign w:val="bottom"/>
            <w:gridSpan w:val="2"/>
          </w:tcPr>
          <w:p>
            <w:pPr>
              <w:ind w:left="80"/>
              <w:spacing w:after="0"/>
              <w:rPr>
                <w:sz w:val="20"/>
                <w:szCs w:val="20"/>
                <w:color w:val="auto"/>
              </w:rPr>
            </w:pPr>
            <w:r>
              <w:rPr>
                <w:rFonts w:ascii="Arial" w:cs="Arial" w:eastAsia="Arial" w:hAnsi="Arial"/>
                <w:sz w:val="16"/>
                <w:szCs w:val="16"/>
                <w:color w:val="auto"/>
              </w:rPr>
              <w:t>Smaller reporting company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080" w:type="dxa"/>
            <w:vAlign w:val="bottom"/>
            <w:gridSpan w:val="6"/>
          </w:tcPr>
          <w:p>
            <w:pPr>
              <w:ind w:left="182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80" w:type="dxa"/>
            <w:vAlign w:val="bottom"/>
            <w:gridSpan w:val="6"/>
          </w:tcPr>
          <w:p>
            <w:pPr>
              <w:ind w:left="1820"/>
              <w:spacing w:after="0"/>
              <w:rPr>
                <w:sz w:val="20"/>
                <w:szCs w:val="20"/>
                <w:color w:val="auto"/>
              </w:rPr>
            </w:pPr>
            <w:r>
              <w:rPr>
                <w:rFonts w:ascii="Arial" w:cs="Arial" w:eastAsia="Arial" w:hAnsi="Arial"/>
                <w:sz w:val="14"/>
                <w:szCs w:val="14"/>
                <w:color w:val="auto"/>
              </w:rPr>
              <w:t xml:space="preserve">complying with any new or revised financial accounting standards provided pursuant to Section 7(a)(2)(B) of the Securities Act. </w:t>
            </w:r>
            <w:r>
              <w:rPr>
                <w:rFonts w:ascii="Arial" w:cs="Arial" w:eastAsia="Arial" w:hAnsi="Arial"/>
                <w:sz w:val="18"/>
                <w:szCs w:val="18"/>
                <w:color w:val="auto"/>
              </w:rPr>
              <w:t>o</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4"/>
                <w:szCs w:val="24"/>
                <w:color w:val="auto"/>
              </w:rPr>
            </w:pPr>
          </w:p>
        </w:tc>
        <w:tc>
          <w:tcPr>
            <w:tcW w:w="4580" w:type="dxa"/>
            <w:vAlign w:val="bottom"/>
            <w:gridSpan w:val="4"/>
          </w:tcPr>
          <w:p>
            <w:pPr>
              <w:ind w:left="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vMerge w:val="restart"/>
          </w:tcPr>
          <w:p>
            <w:pPr>
              <w:ind w:left="2100"/>
              <w:spacing w:after="0"/>
              <w:rPr>
                <w:sz w:val="20"/>
                <w:szCs w:val="20"/>
                <w:color w:val="auto"/>
              </w:rPr>
            </w:pPr>
            <w:r>
              <w:rPr>
                <w:rFonts w:ascii="Arial" w:cs="Arial" w:eastAsia="Arial" w:hAnsi="Arial"/>
                <w:sz w:val="16"/>
                <w:szCs w:val="16"/>
                <w:b w:val="1"/>
                <w:bCs w:val="1"/>
                <w:color w:val="auto"/>
              </w:rPr>
              <w:t>Title of</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0"/>
              </w:rPr>
              <w:t>Proposed maximum</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Proposed maximum</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00" w:type="dxa"/>
            <w:vAlign w:val="bottom"/>
            <w:vMerge w:val="continue"/>
          </w:tcPr>
          <w:p>
            <w:pPr>
              <w:spacing w:after="0"/>
              <w:rPr>
                <w:sz w:val="15"/>
                <w:szCs w:val="15"/>
                <w:color w:val="auto"/>
              </w:rPr>
            </w:pPr>
          </w:p>
        </w:tc>
        <w:tc>
          <w:tcPr>
            <w:tcW w:w="2520" w:type="dxa"/>
            <w:vAlign w:val="bottom"/>
          </w:tcPr>
          <w:p>
            <w:pPr>
              <w:jc w:val="center"/>
              <w:ind w:left="697"/>
              <w:spacing w:after="0" w:line="176" w:lineRule="exact"/>
              <w:rPr>
                <w:sz w:val="20"/>
                <w:szCs w:val="20"/>
                <w:color w:val="auto"/>
              </w:rPr>
            </w:pPr>
            <w:r>
              <w:rPr>
                <w:rFonts w:ascii="Arial" w:cs="Arial" w:eastAsia="Arial" w:hAnsi="Arial"/>
                <w:sz w:val="16"/>
                <w:szCs w:val="16"/>
                <w:b w:val="1"/>
                <w:bCs w:val="1"/>
                <w:color w:val="auto"/>
                <w:w w:val="91"/>
              </w:rPr>
              <w:t>Amount to be</w:t>
            </w:r>
          </w:p>
        </w:tc>
        <w:tc>
          <w:tcPr>
            <w:tcW w:w="206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0"/>
              </w:rPr>
              <w:t>aggregate offering price per</w:t>
            </w: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aggregate offering</w:t>
            </w: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securities to be registered</w:t>
            </w:r>
          </w:p>
        </w:tc>
        <w:tc>
          <w:tcPr>
            <w:tcW w:w="2520" w:type="dxa"/>
            <w:vAlign w:val="bottom"/>
            <w:tcBorders>
              <w:bottom w:val="single" w:sz="8" w:color="auto"/>
            </w:tcBorders>
          </w:tcPr>
          <w:p>
            <w:pPr>
              <w:jc w:val="center"/>
              <w:ind w:left="697"/>
              <w:spacing w:after="0"/>
              <w:rPr>
                <w:sz w:val="20"/>
                <w:szCs w:val="20"/>
                <w:color w:val="auto"/>
              </w:rPr>
            </w:pPr>
            <w:r>
              <w:rPr>
                <w:rFonts w:ascii="Arial" w:cs="Arial" w:eastAsia="Arial" w:hAnsi="Arial"/>
                <w:sz w:val="16"/>
                <w:szCs w:val="16"/>
                <w:b w:val="1"/>
                <w:bCs w:val="1"/>
                <w:color w:val="auto"/>
                <w:w w:val="86"/>
              </w:rPr>
              <w:t>registered</w:t>
            </w:r>
            <w:r>
              <w:rPr>
                <w:rFonts w:ascii="Arial" w:cs="Arial" w:eastAsia="Arial" w:hAnsi="Arial"/>
                <w:sz w:val="21"/>
                <w:szCs w:val="21"/>
                <w:b w:val="1"/>
                <w:bCs w:val="1"/>
                <w:color w:val="auto"/>
                <w:w w:val="86"/>
                <w:vertAlign w:val="superscript"/>
              </w:rPr>
              <w:t>(1)</w:t>
            </w:r>
          </w:p>
        </w:tc>
        <w:tc>
          <w:tcPr>
            <w:tcW w:w="2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w w:val="88"/>
              </w:rPr>
              <w:t>share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price</w:t>
            </w:r>
            <w:r>
              <w:rPr>
                <w:rFonts w:ascii="Arial" w:cs="Arial" w:eastAsia="Arial" w:hAnsi="Arial"/>
                <w:sz w:val="21"/>
                <w:szCs w:val="21"/>
                <w:b w:val="1"/>
                <w:bCs w:val="1"/>
                <w:color w:val="auto"/>
                <w:w w:val="86"/>
                <w:vertAlign w:val="superscript"/>
              </w:rPr>
              <w:t>(2)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registration fee</w:t>
            </w:r>
          </w:p>
        </w:tc>
        <w:tc>
          <w:tcPr>
            <w:tcW w:w="0" w:type="dxa"/>
            <w:vAlign w:val="bottom"/>
          </w:tcPr>
          <w:p>
            <w:pPr>
              <w:spacing w:after="0"/>
              <w:rPr>
                <w:sz w:val="1"/>
                <w:szCs w:val="1"/>
                <w:color w:val="auto"/>
              </w:rPr>
            </w:pPr>
          </w:p>
        </w:tc>
      </w:tr>
      <w:tr>
        <w:trPr>
          <w:trHeight w:val="240"/>
        </w:trPr>
        <w:tc>
          <w:tcPr>
            <w:tcW w:w="6420" w:type="dxa"/>
            <w:vAlign w:val="bottom"/>
            <w:gridSpan w:val="2"/>
          </w:tcPr>
          <w:p>
            <w:pPr>
              <w:ind w:left="40"/>
              <w:spacing w:after="0"/>
              <w:rPr>
                <w:sz w:val="20"/>
                <w:szCs w:val="20"/>
                <w:color w:val="auto"/>
              </w:rPr>
            </w:pPr>
            <w:r>
              <w:rPr>
                <w:rFonts w:ascii="Arial" w:cs="Arial" w:eastAsia="Arial" w:hAnsi="Arial"/>
                <w:sz w:val="16"/>
                <w:szCs w:val="16"/>
                <w:color w:val="auto"/>
              </w:rPr>
              <w:t>Common Stock $0.10 par value per share, to be issued pursuant to the</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w w:val="92"/>
              </w:rPr>
              <w:t>Micron Technology, Inc. Employee Stock Purchase Plan</w:t>
            </w:r>
            <w:r>
              <w:rPr>
                <w:rFonts w:ascii="Arial" w:cs="Arial" w:eastAsia="Arial" w:hAnsi="Arial"/>
                <w:sz w:val="21"/>
                <w:szCs w:val="21"/>
                <w:color w:val="auto"/>
                <w:w w:val="92"/>
                <w:vertAlign w:val="superscript"/>
              </w:rPr>
              <w:t>(3)</w:t>
            </w:r>
          </w:p>
        </w:tc>
        <w:tc>
          <w:tcPr>
            <w:tcW w:w="2520" w:type="dxa"/>
            <w:vAlign w:val="bottom"/>
          </w:tcPr>
          <w:p>
            <w:pPr>
              <w:jc w:val="right"/>
              <w:spacing w:after="0"/>
              <w:rPr>
                <w:sz w:val="20"/>
                <w:szCs w:val="20"/>
                <w:color w:val="auto"/>
              </w:rPr>
            </w:pPr>
            <w:r>
              <w:rPr>
                <w:rFonts w:ascii="Arial" w:cs="Arial" w:eastAsia="Arial" w:hAnsi="Arial"/>
                <w:sz w:val="16"/>
                <w:szCs w:val="16"/>
                <w:color w:val="auto"/>
              </w:rPr>
              <w:t>33,000,000</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jc w:val="center"/>
              <w:ind w:right="559"/>
              <w:spacing w:after="0"/>
              <w:rPr>
                <w:sz w:val="20"/>
                <w:szCs w:val="20"/>
                <w:color w:val="auto"/>
              </w:rPr>
            </w:pPr>
            <w:r>
              <w:rPr>
                <w:rFonts w:ascii="Arial" w:cs="Arial" w:eastAsia="Arial" w:hAnsi="Arial"/>
                <w:sz w:val="16"/>
                <w:szCs w:val="16"/>
                <w:color w:val="auto"/>
                <w:w w:val="89"/>
              </w:rPr>
              <w:t>$59.87</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$1,975,710,000</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$245,976</w:t>
            </w:r>
          </w:p>
        </w:tc>
        <w:tc>
          <w:tcPr>
            <w:tcW w:w="0" w:type="dxa"/>
            <w:vAlign w:val="bottom"/>
          </w:tcPr>
          <w:p>
            <w:pPr>
              <w:spacing w:after="0"/>
              <w:rPr>
                <w:sz w:val="1"/>
                <w:szCs w:val="1"/>
                <w:color w:val="auto"/>
              </w:rPr>
            </w:pPr>
          </w:p>
        </w:tc>
      </w:tr>
    </w:tbl>
    <w:p>
      <w:pPr>
        <w:ind w:left="340" w:right="40" w:hanging="332"/>
        <w:spacing w:after="0" w:line="24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 of calculating the registration fee on the basis of $59.87 per share, which is the average of the high and low price of the Company's Common Stock as reported on the Nasdaq Global Select Market on March 19, 2018.</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rights to acquire common stock of the Company under any shareholder rights plan then in effect, if applicable under the terms of any such plan.</w:t>
      </w:r>
    </w:p>
    <w:p>
      <w:pPr>
        <w:sectPr>
          <w:pgSz w:w="11900" w:h="16838" w:orient="portrait"/>
          <w:cols w:equalWidth="0" w:num="1">
            <w:col w:w="11420"/>
          </w:cols>
          <w:pgMar w:left="240" w:top="684"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266" w:lineRule="exact"/>
        <w:rPr>
          <w:sz w:val="20"/>
          <w:szCs w:val="20"/>
          <w:color w:val="auto"/>
        </w:rPr>
      </w:pPr>
    </w:p>
    <w:p>
      <w:pPr>
        <w:ind w:firstLine="324"/>
        <w:spacing w:after="0" w:line="294" w:lineRule="auto"/>
        <w:rPr>
          <w:sz w:val="20"/>
          <w:szCs w:val="20"/>
          <w:color w:val="auto"/>
        </w:rPr>
      </w:pPr>
      <w:r>
        <w:rPr>
          <w:rFonts w:ascii="Arial" w:cs="Arial" w:eastAsia="Arial" w:hAnsi="Arial"/>
          <w:sz w:val="19"/>
          <w:szCs w:val="19"/>
          <w:color w:val="auto"/>
        </w:rPr>
        <w:t>The documents containing the information specified in Part I of Form S-8 will be sent or delivered to participants of the Micron Technology, Inc. Employee Stock Purchase Plan and are not required to be filed with the Securities and Exchange Commission (the "Commission") either as part of this Registration Statement or as a prospectus or prospectus supplements pursuant to the Note to Part I of Form S-8 and Rule 424 under the Securities Act of 1933, as amended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w:t>
      </w:r>
    </w:p>
    <w:p>
      <w:pPr>
        <w:spacing w:after="0" w:line="260"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Incorporation of Documents by Reference.</w:t>
      </w:r>
    </w:p>
    <w:p>
      <w:pPr>
        <w:spacing w:after="0" w:line="266" w:lineRule="exact"/>
        <w:rPr>
          <w:sz w:val="20"/>
          <w:szCs w:val="20"/>
          <w:color w:val="auto"/>
        </w:rPr>
      </w:pPr>
    </w:p>
    <w:p>
      <w:pPr>
        <w:ind w:right="760" w:firstLine="324"/>
        <w:spacing w:after="0" w:line="263" w:lineRule="auto"/>
        <w:rPr>
          <w:sz w:val="20"/>
          <w:szCs w:val="20"/>
          <w:color w:val="auto"/>
        </w:rPr>
      </w:pPr>
      <w:r>
        <w:rPr>
          <w:rFonts w:ascii="Arial" w:cs="Arial" w:eastAsia="Arial" w:hAnsi="Arial"/>
          <w:sz w:val="22"/>
          <w:szCs w:val="22"/>
          <w:color w:val="auto"/>
        </w:rPr>
        <w:t>The following documents filed by Micron Technology, Inc. (the "Company") with the Commission are incorporated by reference in this Registration Statement:</w:t>
      </w:r>
    </w:p>
    <w:p>
      <w:pPr>
        <w:spacing w:after="0" w:line="215" w:lineRule="exact"/>
        <w:rPr>
          <w:sz w:val="20"/>
          <w:szCs w:val="20"/>
          <w:color w:val="auto"/>
        </w:rPr>
      </w:pPr>
    </w:p>
    <w:p>
      <w:pPr>
        <w:jc w:val="both"/>
        <w:ind w:right="500" w:firstLine="332"/>
        <w:spacing w:after="0" w:line="253" w:lineRule="auto"/>
        <w:tabs>
          <w:tab w:leader="none" w:pos="618"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Annual Report on Form 10-K for the year ended August 31, 2017 (the "Annual Report") filed with the Commission pursuant to Section 13(a) of the Securities Exchange Act of 1934, as amended (the "Exchange Act") (File No. 1-10658), on October 26, 2017.</w:t>
      </w:r>
    </w:p>
    <w:p>
      <w:pPr>
        <w:spacing w:after="0" w:line="226" w:lineRule="exact"/>
        <w:rPr>
          <w:rFonts w:ascii="Arial" w:cs="Arial" w:eastAsia="Arial" w:hAnsi="Arial"/>
          <w:sz w:val="22"/>
          <w:szCs w:val="22"/>
          <w:color w:val="auto"/>
        </w:rPr>
      </w:pPr>
    </w:p>
    <w:p>
      <w:pPr>
        <w:ind w:right="40" w:firstLine="332"/>
        <w:spacing w:after="0" w:line="263" w:lineRule="auto"/>
        <w:tabs>
          <w:tab w:leader="none" w:pos="630" w:val="left"/>
        </w:tabs>
        <w:numPr>
          <w:ilvl w:val="0"/>
          <w:numId w:val="2"/>
        </w:numPr>
        <w:rPr>
          <w:rFonts w:ascii="Arial" w:cs="Arial" w:eastAsia="Arial" w:hAnsi="Arial"/>
          <w:sz w:val="22"/>
          <w:szCs w:val="22"/>
          <w:color w:val="auto"/>
        </w:rPr>
      </w:pPr>
      <w:r>
        <w:rPr>
          <w:rFonts w:ascii="Arial" w:cs="Arial" w:eastAsia="Arial" w:hAnsi="Arial"/>
          <w:sz w:val="22"/>
          <w:szCs w:val="22"/>
          <w:color w:val="auto"/>
        </w:rPr>
        <w:t>All other reports filed pursuant to Section 13(a) or 15(d) of the Exchange Act since the end of the fiscal year covered by the Annual Report.</w:t>
      </w:r>
    </w:p>
    <w:p>
      <w:pPr>
        <w:spacing w:after="0" w:line="215" w:lineRule="exact"/>
        <w:rPr>
          <w:rFonts w:ascii="Arial" w:cs="Arial" w:eastAsia="Arial" w:hAnsi="Arial"/>
          <w:sz w:val="22"/>
          <w:szCs w:val="22"/>
          <w:color w:val="auto"/>
        </w:rPr>
      </w:pPr>
    </w:p>
    <w:p>
      <w:pPr>
        <w:ind w:right="320" w:firstLine="332"/>
        <w:spacing w:after="0" w:line="271" w:lineRule="auto"/>
        <w:tabs>
          <w:tab w:leader="none" w:pos="618"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description of the Company's Common Stock contained in the Company's Registration Statement on Form 8-A filed with the Commission on November 9, 1990, pursuant to Section 12(b) of the Exchange Act (File No. 1-10658), including any amendment or report filed with the Commission for the purpose of updating such description.</w:t>
      </w:r>
    </w:p>
    <w:p>
      <w:pPr>
        <w:spacing w:after="0" w:line="208" w:lineRule="exact"/>
        <w:rPr>
          <w:rFonts w:ascii="Arial" w:cs="Arial" w:eastAsia="Arial" w:hAnsi="Arial"/>
          <w:sz w:val="21"/>
          <w:szCs w:val="21"/>
          <w:color w:val="auto"/>
        </w:rPr>
      </w:pPr>
    </w:p>
    <w:p>
      <w:pPr>
        <w:ind w:right="260" w:firstLine="332"/>
        <w:spacing w:after="0" w:line="312" w:lineRule="auto"/>
        <w:tabs>
          <w:tab w:leader="none" w:pos="63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description of the Company’s Common Stock purchase rights contained in the Company’s Registration Statement on Form 8-A filed with the Commission on July 22, 2016, pursuant to Section 12(b) of the Exchange Act (File No. 1-10658), including any amendment or report filed with the Commission for the purpose of updating such description.</w:t>
      </w:r>
    </w:p>
    <w:p>
      <w:pPr>
        <w:spacing w:after="0" w:line="174" w:lineRule="exact"/>
        <w:rPr>
          <w:sz w:val="20"/>
          <w:szCs w:val="20"/>
          <w:color w:val="auto"/>
        </w:rPr>
      </w:pPr>
    </w:p>
    <w:p>
      <w:pPr>
        <w:ind w:firstLine="324"/>
        <w:spacing w:after="0" w:line="302" w:lineRule="auto"/>
        <w:rPr>
          <w:sz w:val="20"/>
          <w:szCs w:val="20"/>
          <w:color w:val="auto"/>
        </w:rPr>
      </w:pPr>
      <w:r>
        <w:rPr>
          <w:rFonts w:ascii="Arial" w:cs="Arial" w:eastAsia="Arial" w:hAnsi="Arial"/>
          <w:sz w:val="19"/>
          <w:szCs w:val="19"/>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Description of Securities.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5" w:right="2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5. Interests of Named Experts and Counsel.</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266" w:lineRule="exact"/>
        <w:rPr>
          <w:sz w:val="20"/>
          <w:szCs w:val="20"/>
          <w:color w:val="auto"/>
        </w:rPr>
      </w:pPr>
    </w:p>
    <w:p>
      <w:pPr>
        <w:ind w:right="280" w:firstLine="324"/>
        <w:spacing w:after="0" w:line="292" w:lineRule="auto"/>
        <w:rPr>
          <w:sz w:val="20"/>
          <w:szCs w:val="20"/>
          <w:color w:val="auto"/>
        </w:rPr>
      </w:pPr>
      <w:r>
        <w:rPr>
          <w:rFonts w:ascii="Arial" w:cs="Arial" w:eastAsia="Arial" w:hAnsi="Arial"/>
          <w:sz w:val="19"/>
          <w:szCs w:val="19"/>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Exemption from Registration Claimed.</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Exhibits.</w:t>
      </w:r>
    </w:p>
    <w:p>
      <w:pPr>
        <w:spacing w:after="0" w:line="266" w:lineRule="exact"/>
        <w:rPr>
          <w:sz w:val="20"/>
          <w:szCs w:val="20"/>
          <w:color w:val="auto"/>
        </w:rPr>
      </w:pPr>
    </w:p>
    <w:p>
      <w:pPr>
        <w:ind w:right="480" w:firstLine="324"/>
        <w:spacing w:after="0" w:line="263" w:lineRule="auto"/>
        <w:rPr>
          <w:sz w:val="20"/>
          <w:szCs w:val="20"/>
          <w:color w:val="auto"/>
        </w:rPr>
      </w:pPr>
      <w:r>
        <w:rPr>
          <w:rFonts w:ascii="Arial" w:cs="Arial" w:eastAsia="Arial" w:hAnsi="Arial"/>
          <w:sz w:val="22"/>
          <w:szCs w:val="22"/>
          <w:color w:val="auto"/>
        </w:rPr>
        <w:t>The Exhibits to this registration statement are listed in the Exhibit Index of this registration statement and are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Undertakings.</w:t>
      </w:r>
    </w:p>
    <w:p>
      <w:pPr>
        <w:spacing w:after="0" w:line="26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undersigned Company hereby undertakes:</w:t>
      </w:r>
    </w:p>
    <w:p>
      <w:pPr>
        <w:spacing w:after="0" w:line="260" w:lineRule="exact"/>
        <w:rPr>
          <w:rFonts w:ascii="Arial" w:cs="Arial" w:eastAsia="Arial" w:hAnsi="Arial"/>
          <w:sz w:val="22"/>
          <w:szCs w:val="22"/>
          <w:color w:val="auto"/>
        </w:rPr>
      </w:pPr>
    </w:p>
    <w:p>
      <w:pPr>
        <w:ind w:left="960" w:hanging="304"/>
        <w:spacing w:after="0"/>
        <w:tabs>
          <w:tab w:leader="none" w:pos="960" w:val="left"/>
        </w:tabs>
        <w:numPr>
          <w:ilvl w:val="1"/>
          <w:numId w:val="3"/>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42" w:lineRule="exact"/>
        <w:rPr>
          <w:rFonts w:ascii="Arial" w:cs="Arial" w:eastAsia="Arial" w:hAnsi="Arial"/>
          <w:sz w:val="19"/>
          <w:szCs w:val="19"/>
          <w:color w:val="auto"/>
        </w:rPr>
      </w:pPr>
    </w:p>
    <w:p>
      <w:pPr>
        <w:ind w:left="1240" w:hanging="260"/>
        <w:spacing w:after="0"/>
        <w:tabs>
          <w:tab w:leader="none" w:pos="1240" w:val="left"/>
        </w:tabs>
        <w:numPr>
          <w:ilvl w:val="2"/>
          <w:numId w:val="3"/>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w:t>
      </w:r>
    </w:p>
    <w:p>
      <w:pPr>
        <w:spacing w:after="0" w:line="260" w:lineRule="exact"/>
        <w:rPr>
          <w:rFonts w:ascii="Arial" w:cs="Arial" w:eastAsia="Arial" w:hAnsi="Arial"/>
          <w:sz w:val="22"/>
          <w:szCs w:val="22"/>
          <w:color w:val="auto"/>
        </w:rPr>
      </w:pPr>
    </w:p>
    <w:p>
      <w:pPr>
        <w:ind w:firstLine="980"/>
        <w:spacing w:after="0" w:line="292" w:lineRule="auto"/>
        <w:tabs>
          <w:tab w:leader="none" w:pos="1290" w:val="left"/>
        </w:tabs>
        <w:numPr>
          <w:ilvl w:val="2"/>
          <w:numId w:val="3"/>
        </w:numPr>
        <w:rPr>
          <w:rFonts w:ascii="Arial" w:cs="Arial" w:eastAsia="Arial" w:hAnsi="Arial"/>
          <w:sz w:val="19"/>
          <w:szCs w:val="19"/>
          <w:color w:val="auto"/>
        </w:rPr>
      </w:pPr>
      <w:r>
        <w:rPr>
          <w:rFonts w:ascii="Arial" w:cs="Arial" w:eastAsia="Arial" w:hAnsi="Arial"/>
          <w:sz w:val="19"/>
          <w:szCs w:val="19"/>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2" w:lineRule="exact"/>
        <w:rPr>
          <w:rFonts w:ascii="Arial" w:cs="Arial" w:eastAsia="Arial" w:hAnsi="Arial"/>
          <w:sz w:val="19"/>
          <w:szCs w:val="19"/>
          <w:color w:val="auto"/>
        </w:rPr>
      </w:pPr>
    </w:p>
    <w:p>
      <w:pPr>
        <w:ind w:right="940" w:firstLine="980"/>
        <w:spacing w:after="0" w:line="287" w:lineRule="auto"/>
        <w:tabs>
          <w:tab w:leader="none" w:pos="1351" w:val="left"/>
        </w:tabs>
        <w:numPr>
          <w:ilvl w:val="2"/>
          <w:numId w:val="3"/>
        </w:numPr>
        <w:rPr>
          <w:rFonts w:ascii="Arial" w:cs="Arial" w:eastAsia="Arial" w:hAnsi="Arial"/>
          <w:sz w:val="21"/>
          <w:szCs w:val="21"/>
          <w:color w:val="auto"/>
        </w:rPr>
      </w:pPr>
      <w:r>
        <w:rPr>
          <w:rFonts w:ascii="Arial" w:cs="Arial" w:eastAsia="Arial" w:hAnsi="Arial"/>
          <w:sz w:val="21"/>
          <w:szCs w:val="21"/>
          <w:color w:val="auto"/>
        </w:rPr>
        <w:t>to include any material information with respect to the plan of distribution not previously disclosed in the Registration Statement or any material change to such information in the Registration Statement;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paragraphs (a)(1)(i) and (a)(1)(ii) do not apply if the information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5" w:right="259" w:bottom="1440" w:gutter="0" w:footer="0" w:header="0"/>
        </w:sectPr>
      </w:pPr>
    </w:p>
    <w:bookmarkStart w:id="3" w:name="page4"/>
    <w:bookmarkEnd w:id="3"/>
    <w:p>
      <w:pPr>
        <w:ind w:right="20"/>
        <w:spacing w:after="0" w:line="253" w:lineRule="auto"/>
        <w:rPr>
          <w:sz w:val="20"/>
          <w:szCs w:val="20"/>
          <w:color w:val="auto"/>
        </w:rPr>
      </w:pPr>
      <w:r>
        <w:rPr>
          <w:rFonts w:ascii="Arial" w:cs="Arial" w:eastAsia="Arial" w:hAnsi="Arial"/>
          <w:sz w:val="22"/>
          <w:szCs w:val="22"/>
          <w:color w:val="auto"/>
        </w:rPr>
        <w:t>required to be included in a post-effective amendment by those paragraphs is contained in reports filed with or furnished to the Commission by the Company pursuant to Section 13 or Section 15(d) of the Exchange Act that are incorporated by reference in the Registration Statement.</w:t>
      </w:r>
    </w:p>
    <w:p>
      <w:pPr>
        <w:spacing w:after="0" w:line="226" w:lineRule="exact"/>
        <w:rPr>
          <w:sz w:val="20"/>
          <w:szCs w:val="20"/>
          <w:color w:val="auto"/>
        </w:rPr>
      </w:pPr>
    </w:p>
    <w:p>
      <w:pPr>
        <w:ind w:right="80" w:firstLine="656"/>
        <w:spacing w:after="0" w:line="253" w:lineRule="auto"/>
        <w:tabs>
          <w:tab w:leader="none" w:pos="954" w:val="left"/>
        </w:tabs>
        <w:numPr>
          <w:ilvl w:val="1"/>
          <w:numId w:val="4"/>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26" w:lineRule="exact"/>
        <w:rPr>
          <w:rFonts w:ascii="Arial" w:cs="Arial" w:eastAsia="Arial" w:hAnsi="Arial"/>
          <w:sz w:val="22"/>
          <w:szCs w:val="22"/>
          <w:color w:val="auto"/>
        </w:rPr>
      </w:pPr>
    </w:p>
    <w:p>
      <w:pPr>
        <w:ind w:right="600" w:firstLine="656"/>
        <w:spacing w:after="0" w:line="263" w:lineRule="auto"/>
        <w:tabs>
          <w:tab w:leader="none" w:pos="954" w:val="left"/>
        </w:tabs>
        <w:numPr>
          <w:ilvl w:val="1"/>
          <w:numId w:val="4"/>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215" w:lineRule="exact"/>
        <w:rPr>
          <w:rFonts w:ascii="Arial" w:cs="Arial" w:eastAsia="Arial" w:hAnsi="Arial"/>
          <w:sz w:val="22"/>
          <w:szCs w:val="22"/>
          <w:color w:val="auto"/>
        </w:rPr>
      </w:pPr>
    </w:p>
    <w:p>
      <w:pPr>
        <w:ind w:right="80" w:firstLine="332"/>
        <w:spacing w:after="0" w:line="297" w:lineRule="auto"/>
        <w:tabs>
          <w:tab w:leader="none" w:pos="63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9"/>
          <w:szCs w:val="19"/>
          <w:color w:val="auto"/>
        </w:rPr>
      </w:pPr>
    </w:p>
    <w:p>
      <w:pPr>
        <w:ind w:firstLine="332"/>
        <w:spacing w:after="0" w:line="259" w:lineRule="auto"/>
        <w:tabs>
          <w:tab w:leader="none" w:pos="618" w:val="left"/>
        </w:tabs>
        <w:numPr>
          <w:ilvl w:val="0"/>
          <w:numId w:val="5"/>
        </w:numPr>
        <w:rPr>
          <w:rFonts w:ascii="Arial" w:cs="Arial" w:eastAsia="Arial" w:hAnsi="Arial"/>
          <w:sz w:val="21"/>
          <w:szCs w:val="21"/>
          <w:color w:val="auto"/>
        </w:rPr>
      </w:pPr>
      <w:r>
        <w:rPr>
          <w:rFonts w:ascii="Arial" w:cs="Arial" w:eastAsia="Arial" w:hAnsi="Arial"/>
          <w:sz w:val="21"/>
          <w:szCs w:val="21"/>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91" w:right="27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right="60" w:firstLine="324"/>
        <w:spacing w:after="0" w:line="293" w:lineRule="auto"/>
        <w:rPr>
          <w:sz w:val="20"/>
          <w:szCs w:val="20"/>
          <w:color w:val="auto"/>
        </w:rPr>
      </w:pPr>
      <w:r>
        <w:rPr>
          <w:rFonts w:ascii="Arial" w:cs="Arial" w:eastAsia="Arial" w:hAnsi="Arial"/>
          <w:sz w:val="20"/>
          <w:szCs w:val="20"/>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23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day of March 2018.</w:t>
      </w:r>
    </w:p>
    <w:p>
      <w:pPr>
        <w:spacing w:after="0" w:line="208"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MICRON TECHNOLOGY, INC.</w:t>
      </w:r>
    </w:p>
    <w:p>
      <w:pPr>
        <w:spacing w:after="0" w:line="341" w:lineRule="exact"/>
        <w:rPr>
          <w:sz w:val="20"/>
          <w:szCs w:val="20"/>
          <w:color w:val="auto"/>
        </w:rPr>
      </w:pPr>
    </w:p>
    <w:p>
      <w:pPr>
        <w:ind w:left="6500"/>
        <w:spacing w:after="0"/>
        <w:rPr>
          <w:sz w:val="20"/>
          <w:szCs w:val="20"/>
          <w:color w:val="auto"/>
        </w:rPr>
      </w:pPr>
      <w:r>
        <w:rPr>
          <w:rFonts w:ascii="Arial" w:cs="Arial" w:eastAsia="Arial" w:hAnsi="Arial"/>
          <w:sz w:val="22"/>
          <w:szCs w:val="22"/>
          <w:i w:val="1"/>
          <w:iCs w:val="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24765</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8"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Sanjay Mehrotra</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President and Chief Executive Officer and Director</w:t>
      </w:r>
    </w:p>
    <w:p>
      <w:pPr>
        <w:spacing w:after="0" w:line="395" w:lineRule="exact"/>
        <w:rPr>
          <w:sz w:val="20"/>
          <w:szCs w:val="20"/>
          <w:color w:val="auto"/>
        </w:rPr>
      </w:pPr>
    </w:p>
    <w:p>
      <w:pPr>
        <w:ind w:left="6500"/>
        <w:spacing w:after="0"/>
        <w:rPr>
          <w:sz w:val="20"/>
          <w:szCs w:val="20"/>
          <w:color w:val="auto"/>
        </w:rPr>
      </w:pPr>
      <w:r>
        <w:rPr>
          <w:rFonts w:ascii="Arial" w:cs="Arial" w:eastAsia="Arial" w:hAnsi="Arial"/>
          <w:sz w:val="22"/>
          <w:szCs w:val="22"/>
          <w:i w:val="1"/>
          <w:iCs w:val="1"/>
          <w:color w:val="auto"/>
        </w:rPr>
        <w:t>/s/ David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24765</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8"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David Zinsner</w:t>
      </w:r>
    </w:p>
    <w:p>
      <w:pPr>
        <w:spacing w:after="0" w:line="44" w:lineRule="exact"/>
        <w:rPr>
          <w:sz w:val="20"/>
          <w:szCs w:val="20"/>
          <w:color w:val="auto"/>
        </w:rPr>
      </w:pPr>
    </w:p>
    <w:p>
      <w:pPr>
        <w:ind w:left="6900"/>
        <w:spacing w:after="0"/>
        <w:rPr>
          <w:sz w:val="20"/>
          <w:szCs w:val="20"/>
          <w:color w:val="auto"/>
        </w:rPr>
      </w:pPr>
      <w:r>
        <w:rPr>
          <w:rFonts w:ascii="Arial" w:cs="Arial" w:eastAsia="Arial" w:hAnsi="Arial"/>
          <w:sz w:val="19"/>
          <w:szCs w:val="19"/>
          <w:color w:val="auto"/>
        </w:rPr>
        <w:t>Senior Vice President and Chief Financial Officer</w:t>
      </w:r>
    </w:p>
    <w:p>
      <w:pPr>
        <w:sectPr>
          <w:pgSz w:w="11900" w:h="16838" w:orient="portrait"/>
          <w:cols w:equalWidth="0" w:num="1">
            <w:col w:w="11340"/>
          </w:cols>
          <w:pgMar w:left="240" w:top="585"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26"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color w:val="auto"/>
        </w:rPr>
        <w:t>Each person whose signature appears below constitutes and appoints Sanjay Mehrotra and David Zinsner,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47" w:lineRule="exact"/>
        <w:rPr>
          <w:sz w:val="20"/>
          <w:szCs w:val="20"/>
          <w:color w:val="auto"/>
        </w:rPr>
      </w:pPr>
    </w:p>
    <w:p>
      <w:pPr>
        <w:ind w:right="480" w:firstLine="324"/>
        <w:spacing w:after="0" w:line="263" w:lineRule="auto"/>
        <w:rPr>
          <w:sz w:val="20"/>
          <w:szCs w:val="20"/>
          <w:color w:val="auto"/>
        </w:rPr>
      </w:pPr>
      <w:r>
        <w:rPr>
          <w:rFonts w:ascii="Arial" w:cs="Arial" w:eastAsia="Arial" w:hAnsi="Arial"/>
          <w:sz w:val="22"/>
          <w:szCs w:val="22"/>
          <w:color w:val="auto"/>
        </w:rPr>
        <w:t>Pursuant to the requirements of the Securities Act of 1933, as amended, this Registration Statement has been signed by the following persons in the capacities and on the date indicated.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340" w:type="dxa"/>
            <w:vAlign w:val="bottom"/>
          </w:tcPr>
          <w:p>
            <w:pPr>
              <w:jc w:val="center"/>
              <w:spacing w:after="0"/>
              <w:rPr>
                <w:sz w:val="20"/>
                <w:szCs w:val="20"/>
                <w:color w:val="auto"/>
              </w:rPr>
            </w:pPr>
            <w:r>
              <w:rPr>
                <w:rFonts w:ascii="Arial" w:cs="Arial" w:eastAsia="Arial" w:hAnsi="Arial"/>
                <w:sz w:val="22"/>
                <w:szCs w:val="22"/>
                <w:b w:val="1"/>
                <w:bCs w:val="1"/>
                <w:color w:val="auto"/>
                <w:w w:val="88"/>
              </w:rPr>
              <w:t>Signature</w:t>
            </w:r>
          </w:p>
        </w:tc>
        <w:tc>
          <w:tcPr>
            <w:tcW w:w="120" w:type="dxa"/>
            <w:vAlign w:val="bottom"/>
          </w:tcPr>
          <w:p>
            <w:pPr>
              <w:spacing w:after="0"/>
              <w:rPr>
                <w:sz w:val="24"/>
                <w:szCs w:val="24"/>
                <w:color w:val="auto"/>
              </w:rPr>
            </w:pPr>
          </w:p>
        </w:tc>
        <w:tc>
          <w:tcPr>
            <w:tcW w:w="5800" w:type="dxa"/>
            <w:vAlign w:val="bottom"/>
            <w:gridSpan w:val="2"/>
          </w:tcPr>
          <w:p>
            <w:pPr>
              <w:ind w:left="2620"/>
              <w:spacing w:after="0"/>
              <w:rPr>
                <w:sz w:val="20"/>
                <w:szCs w:val="20"/>
                <w:color w:val="auto"/>
              </w:rPr>
            </w:pPr>
            <w:r>
              <w:rPr>
                <w:rFonts w:ascii="Arial" w:cs="Arial" w:eastAsia="Arial" w:hAnsi="Arial"/>
                <w:sz w:val="22"/>
                <w:szCs w:val="22"/>
                <w:b w:val="1"/>
                <w:bCs w:val="1"/>
                <w:color w:val="auto"/>
              </w:rPr>
              <w:t>Title</w:t>
            </w:r>
          </w:p>
        </w:tc>
        <w:tc>
          <w:tcPr>
            <w:tcW w:w="216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r>
      <w:tr>
        <w:trPr>
          <w:trHeight w:val="291"/>
        </w:trPr>
        <w:tc>
          <w:tcPr>
            <w:tcW w:w="3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2"/>
                <w:szCs w:val="22"/>
                <w:i w:val="1"/>
                <w:iCs w:val="1"/>
                <w:color w:val="auto"/>
              </w:rPr>
              <w:t>/s/ Sanjay Mehrotra</w:t>
            </w:r>
          </w:p>
        </w:tc>
        <w:tc>
          <w:tcPr>
            <w:tcW w:w="120" w:type="dxa"/>
            <w:vAlign w:val="bottom"/>
          </w:tcPr>
          <w:p>
            <w:pPr>
              <w:spacing w:after="0"/>
              <w:rPr>
                <w:sz w:val="24"/>
                <w:szCs w:val="24"/>
                <w:color w:val="auto"/>
              </w:rPr>
            </w:pPr>
          </w:p>
        </w:tc>
        <w:tc>
          <w:tcPr>
            <w:tcW w:w="5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March 23,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0"/>
              </w:rPr>
              <w:t>Sanjay Mehrotra</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President and Chief Executive Officer and Director</w:t>
            </w:r>
          </w:p>
        </w:tc>
        <w:tc>
          <w:tcPr>
            <w:tcW w:w="2160" w:type="dxa"/>
            <w:vAlign w:val="bottom"/>
          </w:tcPr>
          <w:p>
            <w:pPr>
              <w:spacing w:after="0"/>
              <w:rPr>
                <w:sz w:val="24"/>
                <w:szCs w:val="24"/>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(Principal Executive Officer)</w:t>
            </w:r>
          </w:p>
        </w:tc>
        <w:tc>
          <w:tcPr>
            <w:tcW w:w="216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David Zinsner</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March 23,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2"/>
              </w:rPr>
              <w:t>David Zinsner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Senior Vice President and Chief Financial Officer</w:t>
            </w:r>
          </w:p>
        </w:tc>
        <w:tc>
          <w:tcPr>
            <w:tcW w:w="2160" w:type="dxa"/>
            <w:vAlign w:val="bottom"/>
          </w:tcPr>
          <w:p>
            <w:pPr>
              <w:spacing w:after="0"/>
              <w:rPr>
                <w:sz w:val="24"/>
                <w:szCs w:val="24"/>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(Principal Financial and Accounting Officer)</w:t>
            </w:r>
          </w:p>
        </w:tc>
        <w:tc>
          <w:tcPr>
            <w:tcW w:w="216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Robert E. Switz</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March 16,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0"/>
              </w:rPr>
              <w:t>Robert E. Switz</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Chairman of the Board</w:t>
            </w:r>
          </w:p>
        </w:tc>
        <w:tc>
          <w:tcPr>
            <w:tcW w:w="216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Robert L. Bailey</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March 16,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3"/>
              </w:rPr>
              <w:t>Robert L. Bailey</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Richard M. Beyer</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March 18,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0"/>
              </w:rPr>
              <w:t>Richard M. Beyer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Patrick J. Byrne</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March 17,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9"/>
              </w:rPr>
              <w:t>Patrick J. Byrne</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Mercedes Johnson</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March 16,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7"/>
              </w:rPr>
              <w:t>Mercedes Johnson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Lawrence N. Mondry</w:t>
            </w:r>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22"/>
                <w:szCs w:val="22"/>
                <w:color w:val="auto"/>
                <w:w w:val="88"/>
              </w:rPr>
              <w:t>March 16, 2018</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1"/>
              </w:rPr>
              <w:t>Lawrence N. Mondry</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22"/>
          <w:szCs w:val="22"/>
          <w:b w:val="1"/>
          <w:bCs w:val="1"/>
          <w:color w:val="auto"/>
        </w:rPr>
        <w:t>EXHIBIT INDEX</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center"/>
              <w:ind w:left="373"/>
              <w:spacing w:after="0"/>
              <w:rPr>
                <w:sz w:val="20"/>
                <w:szCs w:val="20"/>
                <w:color w:val="auto"/>
              </w:rPr>
            </w:pPr>
            <w:r>
              <w:rPr>
                <w:rFonts w:ascii="Arial" w:cs="Arial" w:eastAsia="Arial" w:hAnsi="Arial"/>
                <w:sz w:val="16"/>
                <w:szCs w:val="16"/>
                <w:b w:val="1"/>
                <w:bCs w:val="1"/>
                <w:color w:val="auto"/>
                <w:w w:val="90"/>
              </w:rPr>
              <w:t>Filed</w:t>
            </w:r>
          </w:p>
        </w:tc>
        <w:tc>
          <w:tcPr>
            <w:tcW w:w="9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Exhibit/</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Filing</w:t>
            </w:r>
          </w:p>
        </w:tc>
      </w:tr>
      <w:tr>
        <w:trPr>
          <w:trHeight w:val="210"/>
        </w:trPr>
        <w:tc>
          <w:tcPr>
            <w:tcW w:w="1280" w:type="dxa"/>
            <w:vAlign w:val="bottom"/>
          </w:tcPr>
          <w:p>
            <w:pPr>
              <w:ind w:left="40"/>
              <w:spacing w:after="0"/>
              <w:rPr>
                <w:sz w:val="20"/>
                <w:szCs w:val="20"/>
                <w:color w:val="auto"/>
              </w:rPr>
            </w:pPr>
            <w:r>
              <w:rPr>
                <w:rFonts w:ascii="Arial" w:cs="Arial" w:eastAsia="Arial" w:hAnsi="Arial"/>
                <w:sz w:val="16"/>
                <w:szCs w:val="16"/>
                <w:b w:val="1"/>
                <w:bCs w:val="1"/>
                <w:color w:val="auto"/>
              </w:rPr>
              <w:t>Number</w:t>
            </w:r>
          </w:p>
        </w:tc>
        <w:tc>
          <w:tcPr>
            <w:tcW w:w="4860" w:type="dxa"/>
            <w:vAlign w:val="bottom"/>
            <w:gridSpan w:val="6"/>
          </w:tcPr>
          <w:p>
            <w:pPr>
              <w:spacing w:after="0"/>
              <w:rPr>
                <w:sz w:val="20"/>
                <w:szCs w:val="20"/>
                <w:color w:val="auto"/>
              </w:rPr>
            </w:pPr>
            <w:r>
              <w:rPr>
                <w:rFonts w:ascii="Arial" w:cs="Arial" w:eastAsia="Arial" w:hAnsi="Arial"/>
                <w:sz w:val="16"/>
                <w:szCs w:val="16"/>
                <w:b w:val="1"/>
                <w:bCs w:val="1"/>
                <w:color w:val="auto"/>
              </w:rPr>
              <w:t>Description of Exhibit</w:t>
            </w:r>
          </w:p>
        </w:tc>
        <w:tc>
          <w:tcPr>
            <w:tcW w:w="1280" w:type="dxa"/>
            <w:vAlign w:val="bottom"/>
          </w:tcPr>
          <w:p>
            <w:pPr>
              <w:jc w:val="center"/>
              <w:ind w:left="373"/>
              <w:spacing w:after="0"/>
              <w:rPr>
                <w:sz w:val="20"/>
                <w:szCs w:val="20"/>
                <w:color w:val="auto"/>
              </w:rPr>
            </w:pPr>
            <w:r>
              <w:rPr>
                <w:rFonts w:ascii="Arial" w:cs="Arial" w:eastAsia="Arial" w:hAnsi="Arial"/>
                <w:sz w:val="16"/>
                <w:szCs w:val="16"/>
                <w:b w:val="1"/>
                <w:bCs w:val="1"/>
                <w:color w:val="auto"/>
                <w:w w:val="97"/>
              </w:rPr>
              <w:t>Herewith</w:t>
            </w:r>
          </w:p>
        </w:tc>
        <w:tc>
          <w:tcPr>
            <w:tcW w:w="980" w:type="dxa"/>
            <w:vAlign w:val="bottom"/>
          </w:tcPr>
          <w:p>
            <w:pPr>
              <w:ind w:left="360"/>
              <w:spacing w:after="0"/>
              <w:rPr>
                <w:sz w:val="20"/>
                <w:szCs w:val="20"/>
                <w:color w:val="auto"/>
              </w:rPr>
            </w:pPr>
            <w:r>
              <w:rPr>
                <w:rFonts w:ascii="Arial" w:cs="Arial" w:eastAsia="Arial" w:hAnsi="Arial"/>
                <w:sz w:val="16"/>
                <w:szCs w:val="16"/>
                <w:b w:val="1"/>
                <w:bCs w:val="1"/>
                <w:color w:val="auto"/>
              </w:rPr>
              <w:t>Form</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Ending</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Appendix</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3"/>
        </w:trPr>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1280" w:type="dxa"/>
            <w:vAlign w:val="bottom"/>
          </w:tcPr>
          <w:p>
            <w:pPr>
              <w:ind w:left="280"/>
              <w:spacing w:after="0" w:line="196" w:lineRule="exact"/>
              <w:rPr>
                <w:sz w:val="20"/>
                <w:szCs w:val="20"/>
                <w:color w:val="auto"/>
              </w:rPr>
            </w:pPr>
            <w:r>
              <w:rPr>
                <w:rFonts w:ascii="Arial" w:cs="Arial" w:eastAsia="Arial" w:hAnsi="Arial"/>
                <w:sz w:val="18"/>
                <w:szCs w:val="18"/>
                <w:color w:val="auto"/>
              </w:rPr>
              <w:t>10.75</w:t>
            </w:r>
          </w:p>
        </w:tc>
        <w:tc>
          <w:tcPr>
            <w:tcW w:w="4860" w:type="dxa"/>
            <w:vAlign w:val="bottom"/>
            <w:gridSpan w:val="6"/>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Micron Technology, Inc. Employee Stock Purchase Plan</w:t>
              </w:r>
            </w:hyperlink>
          </w:p>
        </w:tc>
        <w:tc>
          <w:tcPr>
            <w:tcW w:w="128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rPr>
              <w:t>DEF 14A</w:t>
            </w:r>
          </w:p>
        </w:tc>
        <w:tc>
          <w:tcPr>
            <w:tcW w:w="88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rPr>
              <w:t>A</w:t>
            </w:r>
          </w:p>
        </w:tc>
        <w:tc>
          <w:tcPr>
            <w:tcW w:w="1080" w:type="dxa"/>
            <w:vAlign w:val="bottom"/>
          </w:tcPr>
          <w:p>
            <w:pPr>
              <w:jc w:val="right"/>
              <w:ind w:right="176"/>
              <w:spacing w:after="0" w:line="196" w:lineRule="exact"/>
              <w:rPr>
                <w:sz w:val="20"/>
                <w:szCs w:val="20"/>
                <w:color w:val="auto"/>
              </w:rPr>
            </w:pPr>
            <w:r>
              <w:rPr>
                <w:rFonts w:ascii="Arial" w:cs="Arial" w:eastAsia="Arial" w:hAnsi="Arial"/>
                <w:sz w:val="18"/>
                <w:szCs w:val="18"/>
                <w:color w:val="auto"/>
                <w:w w:val="99"/>
              </w:rPr>
              <w:t>12/7/2017</w:t>
            </w:r>
          </w:p>
        </w:tc>
      </w:tr>
      <w:tr>
        <w:trPr>
          <w:trHeight w:val="250"/>
        </w:trPr>
        <w:tc>
          <w:tcPr>
            <w:tcW w:w="1280" w:type="dxa"/>
            <w:vAlign w:val="bottom"/>
          </w:tcPr>
          <w:p>
            <w:pPr>
              <w:ind w:left="380"/>
              <w:spacing w:after="0"/>
              <w:rPr>
                <w:sz w:val="20"/>
                <w:szCs w:val="20"/>
                <w:color w:val="auto"/>
              </w:rPr>
            </w:pPr>
            <w:r>
              <w:rPr>
                <w:rFonts w:ascii="Arial" w:cs="Arial" w:eastAsia="Arial" w:hAnsi="Arial"/>
                <w:sz w:val="18"/>
                <w:szCs w:val="18"/>
                <w:color w:val="auto"/>
              </w:rPr>
              <w:t>5.1</w:t>
            </w:r>
          </w:p>
        </w:tc>
        <w:tc>
          <w:tcPr>
            <w:tcW w:w="14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Opinion of Counsel</w:t>
            </w:r>
          </w:p>
        </w:tc>
        <w:tc>
          <w:tcPr>
            <w:tcW w:w="2640" w:type="dxa"/>
            <w:vAlign w:val="bottom"/>
            <w:tcBorders>
              <w:top w:val="single" w:sz="8" w:color="0000FF"/>
            </w:tcBorders>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1280" w:type="dxa"/>
            <w:vAlign w:val="bottom"/>
          </w:tcPr>
          <w:p>
            <w:pPr>
              <w:jc w:val="center"/>
              <w:ind w:left="373"/>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1280" w:type="dxa"/>
            <w:vAlign w:val="bottom"/>
          </w:tcPr>
          <w:p>
            <w:pPr>
              <w:ind w:left="28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540" w:type="dxa"/>
            <w:vAlign w:val="bottom"/>
          </w:tcPr>
          <w:p>
            <w:pPr>
              <w:spacing w:after="0"/>
              <w:rPr>
                <w:sz w:val="21"/>
                <w:szCs w:val="21"/>
                <w:color w:val="auto"/>
              </w:rPr>
            </w:pPr>
          </w:p>
        </w:tc>
        <w:tc>
          <w:tcPr>
            <w:tcW w:w="1280" w:type="dxa"/>
            <w:vAlign w:val="bottom"/>
          </w:tcPr>
          <w:p>
            <w:pPr>
              <w:jc w:val="center"/>
              <w:ind w:left="373"/>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1280" w:type="dxa"/>
            <w:vAlign w:val="bottom"/>
          </w:tcPr>
          <w:p>
            <w:pPr>
              <w:ind w:left="280"/>
              <w:spacing w:after="0"/>
              <w:rPr>
                <w:sz w:val="20"/>
                <w:szCs w:val="20"/>
                <w:color w:val="auto"/>
              </w:rPr>
            </w:pPr>
            <w:r>
              <w:rPr>
                <w:rFonts w:ascii="Arial" w:cs="Arial" w:eastAsia="Arial" w:hAnsi="Arial"/>
                <w:sz w:val="18"/>
                <w:szCs w:val="18"/>
                <w:color w:val="auto"/>
              </w:rPr>
              <w:t>23.2</w:t>
            </w:r>
          </w:p>
        </w:tc>
        <w:tc>
          <w:tcPr>
            <w:tcW w:w="3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Consent of Counsel (contained in Exhibit 5.1)</w:t>
            </w:r>
          </w:p>
        </w:tc>
        <w:tc>
          <w:tcPr>
            <w:tcW w:w="1540" w:type="dxa"/>
            <w:vAlign w:val="bottom"/>
            <w:gridSpan w:val="4"/>
          </w:tcPr>
          <w:p>
            <w:pPr>
              <w:spacing w:after="0"/>
              <w:rPr>
                <w:sz w:val="21"/>
                <w:szCs w:val="21"/>
                <w:color w:val="auto"/>
              </w:rPr>
            </w:pPr>
          </w:p>
        </w:tc>
        <w:tc>
          <w:tcPr>
            <w:tcW w:w="1280" w:type="dxa"/>
            <w:vAlign w:val="bottom"/>
          </w:tcPr>
          <w:p>
            <w:pPr>
              <w:jc w:val="center"/>
              <w:ind w:left="373"/>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1280" w:type="dxa"/>
            <w:vAlign w:val="bottom"/>
          </w:tcPr>
          <w:p>
            <w:pPr>
              <w:ind w:left="280"/>
              <w:spacing w:after="0"/>
              <w:rPr>
                <w:sz w:val="20"/>
                <w:szCs w:val="20"/>
                <w:color w:val="auto"/>
              </w:rPr>
            </w:pPr>
            <w:r>
              <w:rPr>
                <w:rFonts w:ascii="Arial" w:cs="Arial" w:eastAsia="Arial" w:hAnsi="Arial"/>
                <w:sz w:val="18"/>
                <w:szCs w:val="18"/>
                <w:color w:val="auto"/>
              </w:rPr>
              <w:t>24.1</w:t>
            </w:r>
          </w:p>
        </w:tc>
        <w:tc>
          <w:tcPr>
            <w:tcW w:w="34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Power of Attorney (included on signature page)</w:t>
              </w:r>
            </w:hyperlink>
          </w:p>
        </w:tc>
        <w:tc>
          <w:tcPr>
            <w:tcW w:w="1420" w:type="dxa"/>
            <w:vAlign w:val="bottom"/>
            <w:gridSpan w:val="3"/>
          </w:tcPr>
          <w:p>
            <w:pPr>
              <w:spacing w:after="0"/>
              <w:rPr>
                <w:sz w:val="21"/>
                <w:szCs w:val="21"/>
                <w:color w:val="auto"/>
              </w:rPr>
            </w:pPr>
          </w:p>
        </w:tc>
        <w:tc>
          <w:tcPr>
            <w:tcW w:w="1280" w:type="dxa"/>
            <w:vAlign w:val="bottom"/>
          </w:tcPr>
          <w:p>
            <w:pPr>
              <w:jc w:val="center"/>
              <w:ind w:left="373"/>
              <w:spacing w:after="0"/>
              <w:rPr>
                <w:sz w:val="20"/>
                <w:szCs w:val="20"/>
                <w:color w:val="auto"/>
              </w:rPr>
            </w:pPr>
            <w:r>
              <w:rPr>
                <w:rFonts w:ascii="Arial" w:cs="Arial" w:eastAsia="Arial" w:hAnsi="Arial"/>
                <w:sz w:val="18"/>
                <w:szCs w:val="18"/>
                <w:color w:val="auto"/>
                <w:w w:val="99"/>
              </w:rPr>
              <w:t>ü</w:t>
            </w: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ectPr>
          <w:pgSz w:w="11900" w:h="16838" w:orient="portrait"/>
          <w:cols w:equalWidth="0" w:num="1">
            <w:col w:w="11280"/>
          </w:cols>
          <w:pgMar w:left="240" w:top="585" w:right="37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March 23, 2018</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Micron Technology, Inc.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8000 South Federal Way</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Boise, ID 83707-0006</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160" w:firstLine="324"/>
        <w:spacing w:after="0" w:line="261" w:lineRule="auto"/>
        <w:rPr>
          <w:sz w:val="20"/>
          <w:szCs w:val="20"/>
          <w:color w:val="auto"/>
        </w:rPr>
      </w:pPr>
      <w:r>
        <w:rPr>
          <w:rFonts w:ascii="Arial" w:cs="Arial" w:eastAsia="Arial" w:hAnsi="Arial"/>
          <w:sz w:val="21"/>
          <w:szCs w:val="21"/>
          <w:color w:val="auto"/>
        </w:rPr>
        <w:t>We have examined the Registration Statement on Form S-8 to be filed by Micron Technology, Inc. (“you” or the “Company”) with the Securities and Exchange Commission on or about March 23, 2018 (the “Registration Statement”) in connection with the registration under the Securities Act of 1933, as amended, of 33,000,000 shares of your Common Stock, par value $0.10 per share (the “Shares”), reserved for issuance under the Micron Technology, Inc. Employee Stock Purchase Plan (the “ESPP”). As your legal counsel, we have examined the proceedings taken and are familiar with the proceedings proposed to be taken by you in connection with the sale and issuance of the Shares under the ESPP.</w:t>
      </w:r>
    </w:p>
    <w:p>
      <w:pPr>
        <w:spacing w:after="0" w:line="2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It is our opinion that upon completion of the proceedings to be taken, or contemplated by us as your counsel to be taken by you, prior to issuance of the Shares pursuant to the Registration Statement and the ESPP, and upon completion of the proceedings being taken in order to permit such transactions to be carried out in accordance with the securities laws of the various states where required, the Shares, when issued and sold in the manner referred to in the ESPP and the agreements which accompany the ESPP, and in accordance with the Company's Certificate of Incorporation, will be legally and validly issued, fully paid and nonassessable.</w:t>
      </w:r>
    </w:p>
    <w:p>
      <w:pPr>
        <w:spacing w:after="0" w:line="188" w:lineRule="exact"/>
        <w:rPr>
          <w:sz w:val="20"/>
          <w:szCs w:val="20"/>
          <w:color w:val="auto"/>
        </w:rPr>
      </w:pPr>
    </w:p>
    <w:p>
      <w:pPr>
        <w:ind w:right="80" w:firstLine="324"/>
        <w:spacing w:after="0" w:line="263" w:lineRule="auto"/>
        <w:rPr>
          <w:sz w:val="20"/>
          <w:szCs w:val="20"/>
          <w:color w:val="auto"/>
        </w:rPr>
      </w:pPr>
      <w:r>
        <w:rPr>
          <w:rFonts w:ascii="Arial" w:cs="Arial" w:eastAsia="Arial" w:hAnsi="Arial"/>
          <w:sz w:val="22"/>
          <w:szCs w:val="22"/>
          <w:color w:val="auto"/>
        </w:rPr>
        <w:t>We express no opinion as to any matter relating to laws of any jurisdiction other than the laws of the State of New York and the General Corporation Law of the State of Delaware, as such are in effect on the date hereof.</w:t>
      </w:r>
    </w:p>
    <w:p>
      <w:pPr>
        <w:spacing w:after="0" w:line="175" w:lineRule="exact"/>
        <w:rPr>
          <w:sz w:val="20"/>
          <w:szCs w:val="20"/>
          <w:color w:val="auto"/>
        </w:rPr>
      </w:pPr>
    </w:p>
    <w:p>
      <w:pPr>
        <w:ind w:right="340" w:firstLine="324"/>
        <w:spacing w:after="0" w:line="343" w:lineRule="auto"/>
        <w:rPr>
          <w:sz w:val="20"/>
          <w:szCs w:val="20"/>
          <w:color w:val="auto"/>
        </w:rPr>
      </w:pPr>
      <w:r>
        <w:rPr>
          <w:rFonts w:ascii="Arial" w:cs="Arial" w:eastAsia="Arial" w:hAnsi="Arial"/>
          <w:sz w:val="19"/>
          <w:szCs w:val="19"/>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 Wilson Sonsini Goodrich &amp; Rosati</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WILSON SONSINI GOODRICH &amp; ROSATI,</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420"/>
          </w:cols>
          <w:pgMar w:left="240" w:top="80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ind w:right="380"/>
        <w:spacing w:after="0" w:line="312" w:lineRule="auto"/>
        <w:rPr>
          <w:sz w:val="20"/>
          <w:szCs w:val="20"/>
          <w:color w:val="auto"/>
        </w:rPr>
      </w:pPr>
      <w:r>
        <w:rPr>
          <w:rFonts w:ascii="Arial" w:cs="Arial" w:eastAsia="Arial" w:hAnsi="Arial"/>
          <w:sz w:val="19"/>
          <w:szCs w:val="19"/>
          <w:color w:val="auto"/>
        </w:rPr>
        <w:t>We hereby consent to the incorporation by reference in this Registration Statement on Form S-8 of our report dated October 26, 2017 relating to the financial statements, financial statement schedules and the effectiveness of internal control over financial reporting, which appears in Micron Technology, Inc.'s Annual Report on Form 10-K for the year ended August 31, 2017.</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 PricewaterhouseCoopers LLP</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San Jose, California</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March 23, 2018</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Archives/edgar/data/723125/000072312517000155/a2017definitive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2019-12-05T13:20:53Z</dcterms:created>
  <dcterms:modified xsi:type="dcterms:W3CDTF">2019-12-05T13:20:53Z</dcterms:modified>
</cp:coreProperties>
</file>