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6,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16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3980" w:type="dxa"/>
            <w:vAlign w:val="bottom"/>
          </w:tcPr>
          <w:p>
            <w:pPr>
              <w:jc w:val="right"/>
              <w:ind w:right="1510"/>
              <w:spacing w:after="0"/>
              <w:rPr>
                <w:sz w:val="20"/>
                <w:szCs w:val="20"/>
                <w:color w:val="auto"/>
              </w:rPr>
            </w:pPr>
            <w:r>
              <w:rPr>
                <w:rFonts w:ascii="Arial" w:cs="Arial" w:eastAsia="Arial" w:hAnsi="Arial"/>
                <w:sz w:val="18"/>
                <w:szCs w:val="18"/>
                <w:b w:val="1"/>
                <w:bCs w:val="1"/>
                <w:color w:val="auto"/>
              </w:rPr>
              <w:t>75-1618004</w:t>
            </w:r>
          </w:p>
        </w:tc>
      </w:tr>
      <w:tr>
        <w:trPr>
          <w:trHeight w:val="54"/>
        </w:trPr>
        <w:tc>
          <w:tcPr>
            <w:tcW w:w="42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37"/>
        </w:trPr>
        <w:tc>
          <w:tcPr>
            <w:tcW w:w="428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31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51435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34290</wp:posOffset>
            </wp:positionV>
            <wp:extent cx="3293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400685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417830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 w:name="page2"/>
    <w:bookmarkEnd w:id="1"/>
    <w:p>
      <w:pPr>
        <w:ind w:right="40" w:firstLine="324"/>
        <w:spacing w:after="0" w:line="271" w:lineRule="auto"/>
        <w:rPr>
          <w:sz w:val="20"/>
          <w:szCs w:val="20"/>
          <w:color w:val="auto"/>
        </w:rPr>
      </w:pPr>
      <w:r>
        <w:rPr>
          <w:rFonts w:ascii="Arial" w:cs="Arial" w:eastAsia="Arial" w:hAnsi="Arial"/>
          <w:sz w:val="17"/>
          <w:szCs w:val="17"/>
          <w:color w:val="auto"/>
        </w:rPr>
        <w:t>Micron Technology, Inc. (“Micron”) previously reported that (1) Micron Technology B.V. (“Micron BV”), a wholly-owned subsidiary of Micron, Micron Semiconductor Taiwan Co. Ltd., a wholly-owned subsidiary of Micron BV (“Buyer”), and Inotera Memories, Inc. (“Inotera”) had entered into a Share Swap Agreement, dated February 3, 2016 (the “Share Swap Agreement”), pursuant to which Buyer will implement a 100% share swap pursuant to Article 29 of the Republic of China Mergers and Acquisitions Act and thereby acquire 100% of the issued and outstanding shares of Inotera (such transaction, the “Share Swap”); and (2) Micron and Nanya Technology Corporation (“Nanya”) entered into a Share Purchase Agreement, dated December 14, 2015 (as amended, the “Share Purchase Agreement”), pursuant to which Micron can require, subject to certain conditions, Nanya to purchase from Micron shares of Micron’s common stock in an amount that will result in proceeds to Micron of up to NT$31.5 billion (approximately $1 billion), with such proceeds being used to fund a portion of the consideration payable in the Share Swap.</w:t>
      </w:r>
    </w:p>
    <w:p>
      <w:pPr>
        <w:spacing w:after="0" w:line="17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Inotera manufactures DRAM products at its 300mm wafer fabrication facility in Taoyuan City, Taiwan and sells such products exclusively to Micron. Prior to December 6, 2016, Micron, indirectly through two of its wholly-owned subsidiaries, held 33% of the issued and outstanding Inotera shares, Nanya and certain of its affiliates together held 32% of the issued and outstanding Inotera shares, and the remaining issued and outstanding Inotera shares were publicly held.</w:t>
      </w:r>
    </w:p>
    <w:p>
      <w:pPr>
        <w:spacing w:after="0" w:line="345"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of the Share Swap the following material agreements were terminated:</w:t>
      </w:r>
    </w:p>
    <w:p>
      <w:pPr>
        <w:spacing w:after="0" w:line="23" w:lineRule="exact"/>
        <w:rPr>
          <w:sz w:val="20"/>
          <w:szCs w:val="20"/>
          <w:color w:val="auto"/>
        </w:rPr>
      </w:pPr>
    </w:p>
    <w:p>
      <w:pPr>
        <w:ind w:left="980" w:right="200" w:hanging="324"/>
        <w:spacing w:after="0" w:line="28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Joint Venture Agreement, dated January 17, 2013, by and among Micron Semiconductor B.V., Numonyx Holdings B.V., Micron Technology Asia Pacific, Inc., Nanya and Inotera. The Joint Venture Agreement governed the rights and obligations of the parties in connection with their ownership of shares of Inotera, including the respective rights to appoint the members of the Board of Directors of Inotera. The Joint Venture Agreement also contained certain restrictions on the transfer and acquisition of shares of Inotera and certain buy/sell arrangements.</w:t>
      </w:r>
    </w:p>
    <w:p>
      <w:pPr>
        <w:spacing w:after="0" w:line="2" w:lineRule="exact"/>
        <w:rPr>
          <w:rFonts w:ascii="Arial" w:cs="Arial" w:eastAsia="Arial" w:hAnsi="Arial"/>
          <w:sz w:val="16"/>
          <w:szCs w:val="16"/>
          <w:color w:val="auto"/>
        </w:rPr>
      </w:pPr>
    </w:p>
    <w:p>
      <w:pPr>
        <w:jc w:val="both"/>
        <w:ind w:left="980" w:right="80" w:hanging="324"/>
        <w:spacing w:after="0" w:line="277"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Facilitation Agreement, dated January 17, 2013, by and among Micron Semiconductor B.V., Numonyx Holdings B.V., Micron Technology Asia Pacific, Inc., Nanya and Inotera. The Facilitation Agreement required Inotera to take certain actions to effectuate the intent of the parties under the Joint Venture Agreement with respect to, among other things, the nomination of executive officers.</w:t>
      </w:r>
    </w:p>
    <w:p>
      <w:pPr>
        <w:spacing w:after="0" w:line="331"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December 6, 2016, Buyer completed the Share Swap pursuant to the Share Swap Agreement. Buyer paid approximately $4.0 billion, net of cash and debt at Inotera, to acquire the Inotera shares not already owned by Micron, funded from (i) the proceeds from the sale on December 2, 2016, of 57,780,138 shares of Micron Common Stock to Nanya pursuant to the Share Purchase Agreement for approximately $1 billion, (ii) borrowing under a syndicated loan agreement with various Taiwanese banks of approximately $2.5 billion and (iii) cash on hand.</w:t>
      </w:r>
    </w:p>
    <w:p>
      <w:pPr>
        <w:spacing w:after="0" w:line="345"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December 6, 2016, Micron issued a press release announcing the closing of the Inotera Acquisition. A copy of the press release is attached as Exhibit 99.1 hereto.</w:t>
      </w:r>
    </w:p>
    <w:p>
      <w:pPr>
        <w:spacing w:after="0" w:line="329" w:lineRule="exact"/>
        <w:rPr>
          <w:sz w:val="20"/>
          <w:szCs w:val="20"/>
          <w:color w:val="auto"/>
        </w:rPr>
      </w:pPr>
    </w:p>
    <w:p>
      <w:pPr>
        <w:ind w:left="8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264"/>
        </w:trPr>
        <w:tc>
          <w:tcPr>
            <w:tcW w:w="13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December 6, 2016.</w:t>
            </w:r>
          </w:p>
        </w:tc>
      </w:tr>
    </w:tbl>
    <w:p>
      <w:pPr>
        <w:sectPr>
          <w:pgSz w:w="11900" w:h="16838" w:orient="portrait"/>
          <w:cols w:equalWidth="0" w:num="1">
            <w:col w:w="11420"/>
          </w:cols>
          <w:pgMar w:left="240" w:top="584"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920" w:type="dxa"/>
            <w:vAlign w:val="bottom"/>
            <w:gridSpan w:val="2"/>
          </w:tcPr>
          <w:p>
            <w:pPr>
              <w:ind w:left="17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80"/>
              <w:spacing w:after="0"/>
              <w:rPr>
                <w:sz w:val="20"/>
                <w:szCs w:val="20"/>
                <w:color w:val="auto"/>
              </w:rPr>
            </w:pPr>
            <w:r>
              <w:rPr>
                <w:rFonts w:ascii="Arial" w:cs="Arial" w:eastAsia="Arial" w:hAnsi="Arial"/>
                <w:sz w:val="18"/>
                <w:szCs w:val="18"/>
                <w:color w:val="auto"/>
              </w:rPr>
              <w:t>December 6, 2016</w:t>
            </w:r>
          </w:p>
        </w:tc>
        <w:tc>
          <w:tcPr>
            <w:tcW w:w="2600" w:type="dxa"/>
            <w:vAlign w:val="bottom"/>
          </w:tcPr>
          <w:p>
            <w:pPr>
              <w:ind w:left="172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600" w:type="dxa"/>
            <w:vAlign w:val="bottom"/>
            <w:vMerge w:val="restart"/>
          </w:tcPr>
          <w:p>
            <w:pPr>
              <w:ind w:left="172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0" w:type="dxa"/>
            <w:vAlign w:val="bottom"/>
          </w:tcPr>
          <w:p>
            <w:pPr>
              <w:ind w:left="172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864"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6, 2016.</w:t>
      </w:r>
    </w:p>
    <w:p>
      <w:pPr>
        <w:sectPr>
          <w:pgSz w:w="11900" w:h="16838" w:orient="portrait"/>
          <w:cols w:equalWidth="0" w:num="1">
            <w:col w:w="9739"/>
          </w:cols>
          <w:pgMar w:left="720" w:top="10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680" w:type="dxa"/>
            <w:vAlign w:val="bottom"/>
          </w:tcPr>
          <w:p>
            <w:pPr>
              <w:spacing w:after="0"/>
              <w:rPr>
                <w:sz w:val="20"/>
                <w:szCs w:val="20"/>
                <w:color w:val="auto"/>
              </w:rPr>
            </w:pPr>
          </w:p>
        </w:tc>
      </w:tr>
      <w:tr>
        <w:trPr>
          <w:trHeight w:val="468"/>
        </w:trPr>
        <w:tc>
          <w:tcPr>
            <w:tcW w:w="12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20" w:type="dxa"/>
            <w:vAlign w:val="bottom"/>
            <w:gridSpan w:val="2"/>
          </w:tcPr>
          <w:p>
            <w:pPr>
              <w:spacing w:after="0"/>
              <w:rPr>
                <w:sz w:val="20"/>
                <w:szCs w:val="20"/>
                <w:color w:val="auto"/>
              </w:rPr>
            </w:pPr>
            <w:r>
              <w:rPr>
                <w:rFonts w:ascii="Arial" w:cs="Arial" w:eastAsia="Arial" w:hAnsi="Arial"/>
                <w:sz w:val="18"/>
                <w:szCs w:val="18"/>
                <w:color w:val="auto"/>
              </w:rPr>
              <w:t>Ivan Donaldson</w:t>
            </w:r>
          </w:p>
        </w:tc>
        <w:tc>
          <w:tcPr>
            <w:tcW w:w="1680" w:type="dxa"/>
            <w:vAlign w:val="bottom"/>
          </w:tcPr>
          <w:p>
            <w:pPr>
              <w:spacing w:after="0"/>
              <w:rPr>
                <w:sz w:val="20"/>
                <w:szCs w:val="20"/>
                <w:color w:val="auto"/>
              </w:rPr>
            </w:pPr>
            <w:r>
              <w:rPr>
                <w:rFonts w:ascii="Arial" w:cs="Arial" w:eastAsia="Arial" w:hAnsi="Arial"/>
                <w:sz w:val="18"/>
                <w:szCs w:val="18"/>
                <w:color w:val="auto"/>
              </w:rPr>
              <w:t>David Oro</w:t>
            </w:r>
          </w:p>
        </w:tc>
      </w:tr>
      <w:tr>
        <w:trPr>
          <w:trHeight w:val="270"/>
        </w:trPr>
        <w:tc>
          <w:tcPr>
            <w:tcW w:w="126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6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230"/>
        </w:trPr>
        <w:tc>
          <w:tcPr>
            <w:tcW w:w="12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idonaldson@micron.com</w:t>
            </w:r>
          </w:p>
        </w:tc>
        <w:tc>
          <w:tcPr>
            <w:tcW w:w="1680" w:type="dxa"/>
            <w:vAlign w:val="bottom"/>
          </w:tcPr>
          <w:p>
            <w:pPr>
              <w:spacing w:after="0"/>
              <w:rPr>
                <w:sz w:val="20"/>
                <w:szCs w:val="20"/>
                <w:color w:val="auto"/>
              </w:rPr>
            </w:pPr>
            <w:r>
              <w:rPr>
                <w:rFonts w:ascii="Arial" w:cs="Arial" w:eastAsia="Arial" w:hAnsi="Arial"/>
                <w:sz w:val="18"/>
                <w:szCs w:val="18"/>
                <w:color w:val="0000FF"/>
                <w:w w:val="92"/>
              </w:rPr>
              <w:t>davidoro@micron.com</w:t>
            </w:r>
          </w:p>
        </w:tc>
      </w:tr>
      <w:tr>
        <w:trPr>
          <w:trHeight w:val="291"/>
        </w:trPr>
        <w:tc>
          <w:tcPr>
            <w:tcW w:w="1260" w:type="dxa"/>
            <w:vAlign w:val="bottom"/>
          </w:tcPr>
          <w:p>
            <w:pPr>
              <w:spacing w:after="0"/>
              <w:rPr>
                <w:sz w:val="24"/>
                <w:szCs w:val="24"/>
                <w:color w:val="auto"/>
              </w:rPr>
            </w:pPr>
          </w:p>
        </w:tc>
        <w:tc>
          <w:tcPr>
            <w:tcW w:w="18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368-4093</w:t>
            </w:r>
          </w:p>
        </w:tc>
        <w:tc>
          <w:tcPr>
            <w:tcW w:w="500" w:type="dxa"/>
            <w:vAlign w:val="bottom"/>
          </w:tcPr>
          <w:p>
            <w:pPr>
              <w:spacing w:after="0"/>
              <w:rPr>
                <w:sz w:val="24"/>
                <w:szCs w:val="24"/>
                <w:color w:val="auto"/>
              </w:rPr>
            </w:pPr>
          </w:p>
        </w:tc>
        <w:tc>
          <w:tcPr>
            <w:tcW w:w="16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COMPLETES ACQUISITION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INOTERA MEMORIES OF TAIWAN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Acquisition Expected to Be Immediately Accretive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 Earnings and Free Cash Flow</w:t>
      </w:r>
    </w:p>
    <w:p>
      <w:pPr>
        <w:spacing w:after="0" w:line="261" w:lineRule="exact"/>
        <w:rPr>
          <w:sz w:val="20"/>
          <w:szCs w:val="20"/>
          <w:color w:val="auto"/>
        </w:rPr>
      </w:pPr>
    </w:p>
    <w:p>
      <w:pPr>
        <w:jc w:val="both"/>
        <w:ind w:right="280"/>
        <w:spacing w:after="0" w:line="438" w:lineRule="auto"/>
        <w:rPr>
          <w:sz w:val="20"/>
          <w:szCs w:val="20"/>
          <w:color w:val="auto"/>
        </w:rPr>
      </w:pPr>
      <w:r>
        <w:rPr>
          <w:rFonts w:ascii="Arial" w:cs="Arial" w:eastAsia="Arial" w:hAnsi="Arial"/>
          <w:sz w:val="16"/>
          <w:szCs w:val="16"/>
          <w:b w:val="1"/>
          <w:bCs w:val="1"/>
          <w:color w:val="auto"/>
        </w:rPr>
        <w:t xml:space="preserve">BOISE, Idaho, Dec. 6, 2016 - </w:t>
      </w:r>
      <w:r>
        <w:rPr>
          <w:rFonts w:ascii="Arial" w:cs="Arial" w:eastAsia="Arial" w:hAnsi="Arial"/>
          <w:sz w:val="16"/>
          <w:szCs w:val="16"/>
          <w:color w:val="auto"/>
        </w:rPr>
        <w:t>Micron Technology, Inc. (NASDAQ: MU) today announced that it has completed the acquisition of Inotera Memories, Inc.</w:t>
      </w:r>
      <w:r>
        <w:rPr>
          <w:rFonts w:ascii="Arial" w:cs="Arial" w:eastAsia="Arial" w:hAnsi="Arial"/>
          <w:sz w:val="16"/>
          <w:szCs w:val="16"/>
          <w:b w:val="1"/>
          <w:bCs w:val="1"/>
          <w:color w:val="auto"/>
        </w:rPr>
        <w:t xml:space="preserve"> </w:t>
      </w:r>
      <w:r>
        <w:rPr>
          <w:rFonts w:ascii="Arial" w:cs="Arial" w:eastAsia="Arial" w:hAnsi="Arial"/>
          <w:sz w:val="16"/>
          <w:szCs w:val="16"/>
          <w:color w:val="auto"/>
        </w:rPr>
        <w:t>Micron acquired all of Inotera’s outstanding shares for consideration worth 30 New Taiwan Dollars per share or approximately $0.94 USD per share. This represents a transaction value of approximately $4.0 billion, net of cash and debt at Inotera, to acquire the equity not already owned by Micron.</w:t>
      </w:r>
    </w:p>
    <w:p>
      <w:pPr>
        <w:spacing w:after="0" w:line="239" w:lineRule="exact"/>
        <w:rPr>
          <w:sz w:val="20"/>
          <w:szCs w:val="20"/>
          <w:color w:val="auto"/>
        </w:rPr>
      </w:pPr>
    </w:p>
    <w:p>
      <w:pPr>
        <w:jc w:val="both"/>
        <w:ind w:right="240"/>
        <w:spacing w:after="0" w:line="373" w:lineRule="auto"/>
        <w:rPr>
          <w:sz w:val="20"/>
          <w:szCs w:val="20"/>
          <w:color w:val="auto"/>
        </w:rPr>
      </w:pPr>
      <w:r>
        <w:rPr>
          <w:rFonts w:ascii="Arial" w:cs="Arial" w:eastAsia="Arial" w:hAnsi="Arial"/>
          <w:sz w:val="18"/>
          <w:szCs w:val="18"/>
          <w:color w:val="auto"/>
        </w:rPr>
        <w:t>“We are excited to finalize the Inotera acquisition which will generate significant financial and strategic benefits for the company,” said Micron CEO Mark Durcan. “We expect immediate accretion to DRAM gross margins, earnings per share and free cash flow along with enhanced operational efficiency as we align Inotera with our global manufacturing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w:t>
      </w:r>
    </w:p>
    <w:p>
      <w:pPr>
        <w:spacing w:after="0" w:line="108" w:lineRule="exact"/>
        <w:rPr>
          <w:sz w:val="20"/>
          <w:szCs w:val="20"/>
          <w:color w:val="auto"/>
        </w:rPr>
      </w:pPr>
    </w:p>
    <w:p>
      <w:pPr>
        <w:ind w:right="20"/>
        <w:spacing w:after="0" w:line="360" w:lineRule="auto"/>
        <w:rPr>
          <w:sz w:val="20"/>
          <w:szCs w:val="20"/>
          <w:color w:val="auto"/>
        </w:rPr>
      </w:pPr>
      <w:r>
        <w:rPr>
          <w:rFonts w:ascii="Arial" w:cs="Arial" w:eastAsia="Arial" w:hAnsi="Arial"/>
          <w:sz w:val="18"/>
          <w:szCs w:val="18"/>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8"/>
          <w:szCs w:val="18"/>
          <w:u w:val="single" w:color="auto"/>
          <w:color w:val="0000FF"/>
        </w:rPr>
        <w:t>www.micron.com</w:t>
      </w:r>
      <w:r>
        <w:rPr>
          <w:rFonts w:ascii="Arial" w:cs="Arial" w:eastAsia="Arial" w:hAnsi="Arial"/>
          <w:sz w:val="18"/>
          <w:szCs w:val="18"/>
          <w:color w:val="auto"/>
        </w:rPr>
        <w:t>.</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This press release contains forward-looking statements regarding future events that involve risks and uncertainties. For example, statements related financial and strategic benefits, the accretive nature of the transaction, and enhanced operational efficiency are forward looking statements. These forward-looking statements are subject to a number of risks and uncertainties that could cause actual results to differ materially, including: uncertainty of the expected financial performance of the combined operations following completion of the transaction; the ability to successfully integrate Inotera’s operations and employees; the ability to realize anticipated synergies and cost savings; unexpected costs, charges or expenses resulting from the transaction; as well as other risks and uncertainties identified in our Annual Report for the year ended September 3, 2016, filed on Form 10-K with the Securities and Exchange Commission. The forward-looking statements speak only as of the date of this report and undue reliance should not be placed on these statements. The Company disclaims any obligation to update any forward-looking statements as a result of new information, future events or otherwise.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2019-12-05T16:10:49Z</dcterms:created>
  <dcterms:modified xsi:type="dcterms:W3CDTF">2019-12-05T16:10:49Z</dcterms:modified>
</cp:coreProperties>
</file>