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146685</wp:posOffset>
            </wp:positionH>
            <wp:positionV relativeFrom="page">
              <wp:posOffset>109220</wp:posOffset>
            </wp:positionV>
            <wp:extent cx="726821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35560"/>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8-K</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December 2, 2014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26313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130" cy="1524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Borders>
              <w:bottom w:val="single" w:sz="8" w:color="auto"/>
            </w:tcBorders>
          </w:tcPr>
          <w:p>
            <w:pPr>
              <w:jc w:val="center"/>
              <w:ind w:left="281"/>
              <w:spacing w:after="0"/>
              <w:rPr>
                <w:sz w:val="20"/>
                <w:szCs w:val="20"/>
                <w:color w:val="auto"/>
              </w:rPr>
            </w:pPr>
            <w:r>
              <w:rPr>
                <w:rFonts w:ascii="Arial" w:cs="Arial" w:eastAsia="Arial" w:hAnsi="Arial"/>
                <w:sz w:val="16"/>
                <w:szCs w:val="16"/>
                <w:b w:val="1"/>
                <w:bCs w:val="1"/>
                <w:color w:val="auto"/>
                <w:w w:val="91"/>
              </w:rPr>
              <w:t>Delaware</w:t>
            </w:r>
          </w:p>
        </w:tc>
        <w:tc>
          <w:tcPr>
            <w:tcW w:w="4100" w:type="dxa"/>
            <w:vAlign w:val="bottom"/>
            <w:tcBorders>
              <w:bottom w:val="single" w:sz="8" w:color="auto"/>
            </w:tcBorders>
          </w:tcPr>
          <w:p>
            <w:pPr>
              <w:jc w:val="right"/>
              <w:ind w:right="1561"/>
              <w:spacing w:after="0"/>
              <w:rPr>
                <w:sz w:val="20"/>
                <w:szCs w:val="20"/>
                <w:color w:val="auto"/>
              </w:rPr>
            </w:pPr>
            <w:r>
              <w:rPr>
                <w:rFonts w:ascii="Arial" w:cs="Arial" w:eastAsia="Arial" w:hAnsi="Arial"/>
                <w:sz w:val="16"/>
                <w:szCs w:val="16"/>
                <w:b w:val="1"/>
                <w:bCs w:val="1"/>
                <w:color w:val="auto"/>
              </w:rPr>
              <w:t>1-10658</w:t>
            </w:r>
          </w:p>
        </w:tc>
        <w:tc>
          <w:tcPr>
            <w:tcW w:w="3540" w:type="dxa"/>
            <w:vAlign w:val="bottom"/>
            <w:tcBorders>
              <w:bottom w:val="single" w:sz="8" w:color="auto"/>
            </w:tcBorders>
          </w:tcPr>
          <w:p>
            <w:pPr>
              <w:jc w:val="right"/>
              <w:ind w:right="1341"/>
              <w:spacing w:after="0"/>
              <w:rPr>
                <w:sz w:val="20"/>
                <w:szCs w:val="20"/>
                <w:color w:val="auto"/>
              </w:rPr>
            </w:pPr>
            <w:r>
              <w:rPr>
                <w:rFonts w:ascii="Arial" w:cs="Arial" w:eastAsia="Arial" w:hAnsi="Arial"/>
                <w:sz w:val="16"/>
                <w:szCs w:val="16"/>
                <w:b w:val="1"/>
                <w:bCs w:val="1"/>
                <w:color w:val="auto"/>
              </w:rPr>
              <w:t>75-1618004</w:t>
            </w:r>
          </w:p>
        </w:tc>
      </w:tr>
      <w:tr>
        <w:trPr>
          <w:trHeight w:val="201"/>
        </w:trPr>
        <w:tc>
          <w:tcPr>
            <w:tcW w:w="3800" w:type="dxa"/>
            <w:vAlign w:val="bottom"/>
          </w:tcPr>
          <w:p>
            <w:pPr>
              <w:jc w:val="center"/>
              <w:ind w:left="261"/>
              <w:spacing w:after="0"/>
              <w:rPr>
                <w:sz w:val="20"/>
                <w:szCs w:val="20"/>
                <w:color w:val="auto"/>
              </w:rPr>
            </w:pPr>
            <w:r>
              <w:rPr>
                <w:rFonts w:ascii="Arial" w:cs="Arial" w:eastAsia="Arial" w:hAnsi="Arial"/>
                <w:sz w:val="16"/>
                <w:szCs w:val="16"/>
                <w:color w:val="auto"/>
                <w:w w:val="91"/>
              </w:rPr>
              <w:t>(State or other jurisdiction of incorporation)</w:t>
            </w:r>
          </w:p>
        </w:tc>
        <w:tc>
          <w:tcPr>
            <w:tcW w:w="4100" w:type="dxa"/>
            <w:vAlign w:val="bottom"/>
          </w:tcPr>
          <w:p>
            <w:pPr>
              <w:jc w:val="center"/>
              <w:ind w:left="221"/>
              <w:spacing w:after="0"/>
              <w:rPr>
                <w:sz w:val="20"/>
                <w:szCs w:val="20"/>
                <w:color w:val="auto"/>
              </w:rPr>
            </w:pPr>
            <w:r>
              <w:rPr>
                <w:rFonts w:ascii="Arial" w:cs="Arial" w:eastAsia="Arial" w:hAnsi="Arial"/>
                <w:sz w:val="16"/>
                <w:szCs w:val="16"/>
                <w:color w:val="auto"/>
                <w:w w:val="92"/>
              </w:rPr>
              <w:t>(Commission File Number)</w:t>
            </w:r>
          </w:p>
        </w:tc>
        <w:tc>
          <w:tcPr>
            <w:tcW w:w="3540" w:type="dxa"/>
            <w:vAlign w:val="bottom"/>
          </w:tcPr>
          <w:p>
            <w:pPr>
              <w:jc w:val="right"/>
              <w:ind w:right="501"/>
              <w:spacing w:after="0"/>
              <w:rPr>
                <w:sz w:val="20"/>
                <w:szCs w:val="20"/>
                <w:color w:val="auto"/>
              </w:rPr>
            </w:pPr>
            <w:r>
              <w:rPr>
                <w:rFonts w:ascii="Arial" w:cs="Arial" w:eastAsia="Arial" w:hAnsi="Arial"/>
                <w:sz w:val="16"/>
                <w:szCs w:val="16"/>
                <w:color w:val="auto"/>
              </w:rPr>
              <w:t>(I.R.S. Employer Identification No.)</w:t>
            </w:r>
          </w:p>
        </w:tc>
      </w:tr>
      <w:tr>
        <w:trPr>
          <w:trHeight w:val="376"/>
        </w:trPr>
        <w:tc>
          <w:tcPr>
            <w:tcW w:w="380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90"/>
              </w:rPr>
              <w:t>8000 South Federal Way</w:t>
            </w:r>
          </w:p>
        </w:tc>
        <w:tc>
          <w:tcPr>
            <w:tcW w:w="3540" w:type="dxa"/>
            <w:vAlign w:val="bottom"/>
          </w:tcPr>
          <w:p>
            <w:pPr>
              <w:spacing w:after="0"/>
              <w:rPr>
                <w:sz w:val="24"/>
                <w:szCs w:val="24"/>
                <w:color w:val="auto"/>
              </w:rPr>
            </w:pPr>
          </w:p>
        </w:tc>
      </w:tr>
      <w:tr>
        <w:trPr>
          <w:trHeight w:val="210"/>
        </w:trPr>
        <w:tc>
          <w:tcPr>
            <w:tcW w:w="3800" w:type="dxa"/>
            <w:vAlign w:val="bottom"/>
          </w:tcPr>
          <w:p>
            <w:pPr>
              <w:spacing w:after="0"/>
              <w:rPr>
                <w:sz w:val="18"/>
                <w:szCs w:val="18"/>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Boise, Idaho 83716-9632</w:t>
            </w:r>
          </w:p>
        </w:tc>
        <w:tc>
          <w:tcPr>
            <w:tcW w:w="3540" w:type="dxa"/>
            <w:vAlign w:val="bottom"/>
          </w:tcPr>
          <w:p>
            <w:pPr>
              <w:spacing w:after="0"/>
              <w:rPr>
                <w:sz w:val="18"/>
                <w:szCs w:val="18"/>
                <w:color w:val="auto"/>
              </w:rPr>
            </w:pPr>
          </w:p>
        </w:tc>
      </w:tr>
      <w:tr>
        <w:trPr>
          <w:trHeight w:val="201"/>
        </w:trPr>
        <w:tc>
          <w:tcPr>
            <w:tcW w:w="3800" w:type="dxa"/>
            <w:vAlign w:val="bottom"/>
          </w:tcPr>
          <w:p>
            <w:pPr>
              <w:spacing w:after="0"/>
              <w:rPr>
                <w:sz w:val="17"/>
                <w:szCs w:val="17"/>
                <w:color w:val="auto"/>
              </w:rPr>
            </w:pPr>
          </w:p>
        </w:tc>
        <w:tc>
          <w:tcPr>
            <w:tcW w:w="4100" w:type="dxa"/>
            <w:vAlign w:val="bottom"/>
          </w:tcPr>
          <w:p>
            <w:pPr>
              <w:jc w:val="center"/>
              <w:spacing w:after="0"/>
              <w:rPr>
                <w:sz w:val="20"/>
                <w:szCs w:val="20"/>
                <w:color w:val="auto"/>
              </w:rPr>
            </w:pPr>
            <w:r>
              <w:rPr>
                <w:rFonts w:ascii="Arial" w:cs="Arial" w:eastAsia="Arial" w:hAnsi="Arial"/>
                <w:sz w:val="16"/>
                <w:szCs w:val="16"/>
                <w:color w:val="auto"/>
                <w:w w:val="91"/>
              </w:rPr>
              <w:t>(Address of principal executive offices)</w:t>
            </w:r>
          </w:p>
        </w:tc>
        <w:tc>
          <w:tcPr>
            <w:tcW w:w="3540" w:type="dxa"/>
            <w:vAlign w:val="bottom"/>
          </w:tcPr>
          <w:p>
            <w:pPr>
              <w:spacing w:after="0"/>
              <w:rPr>
                <w:sz w:val="17"/>
                <w:szCs w:val="17"/>
                <w:color w:val="auto"/>
              </w:rPr>
            </w:pPr>
          </w:p>
        </w:tc>
      </w:tr>
    </w:tbl>
    <w:p>
      <w:pPr>
        <w:spacing w:after="0" w:line="186"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2138680</wp:posOffset>
            </wp:positionH>
            <wp:positionV relativeFrom="paragraph">
              <wp:posOffset>14605</wp:posOffset>
            </wp:positionV>
            <wp:extent cx="334899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8990" cy="15240"/>
                    </a:xfrm>
                    <a:prstGeom prst="rect">
                      <a:avLst/>
                    </a:prstGeom>
                    <a:noFill/>
                  </pic:spPr>
                </pic:pic>
              </a:graphicData>
            </a:graphic>
          </wp:anchor>
        </w:drawing>
      </w:r>
    </w:p>
    <w:p>
      <w:pPr>
        <w:spacing w:after="0" w:line="14" w:lineRule="exact"/>
        <w:rPr>
          <w:sz w:val="24"/>
          <w:szCs w:val="24"/>
          <w:color w:val="auto"/>
        </w:rPr>
      </w:pPr>
    </w:p>
    <w:p>
      <w:pPr>
        <w:jc w:val="center"/>
        <w:ind w:left="600"/>
        <w:spacing w:after="0"/>
        <w:rPr>
          <w:sz w:val="20"/>
          <w:szCs w:val="20"/>
          <w:color w:val="auto"/>
        </w:rPr>
      </w:pPr>
      <w:r>
        <w:rPr>
          <w:rFonts w:ascii="Arial" w:cs="Arial" w:eastAsia="Arial" w:hAnsi="Arial"/>
          <w:sz w:val="16"/>
          <w:szCs w:val="16"/>
          <w:color w:val="auto"/>
        </w:rPr>
        <w:t>(Registrant’s telephone number, including area code)</w:t>
      </w:r>
    </w:p>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o Written communications pursuant to Rule 425 under the Securities Act (17 CFR 230.425)</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color w:val="auto"/>
        </w:rPr>
        <w:t>o Soliciting material pursuant to Rule 14a-12 under the Exchange Act (17 CFR 240.14a-12)</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14d-2(b) under the Exchange Act (17 CFR 240.14d-2(b))</w:t>
      </w: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506730</wp:posOffset>
            </wp:positionV>
            <wp:extent cx="726821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1350" w:right="219" w:bottom="1440" w:gutter="0" w:footer="0" w:header="0"/>
        </w:sectPr>
      </w:pPr>
    </w:p>
    <w:bookmarkStart w:id="1" w:name="page2"/>
    <w:bookmarkEnd w:id="1"/>
    <w:p>
      <w:pPr>
        <w:spacing w:after="0"/>
        <w:tabs>
          <w:tab w:leader="none" w:pos="2600" w:val="left"/>
        </w:tabs>
        <w:rPr>
          <w:sz w:val="20"/>
          <w:szCs w:val="20"/>
          <w:color w:val="auto"/>
        </w:rPr>
      </w:pPr>
      <w:r>
        <w:rPr>
          <w:rFonts w:ascii="Arial" w:cs="Arial" w:eastAsia="Arial" w:hAnsi="Arial"/>
          <w:sz w:val="16"/>
          <w:szCs w:val="16"/>
          <w:b w:val="1"/>
          <w:bCs w:val="1"/>
          <w:color w:val="auto"/>
        </w:rPr>
        <w:t>Item 1.01.</w:t>
      </w:r>
      <w:r>
        <w:rPr>
          <w:sz w:val="20"/>
          <w:szCs w:val="20"/>
          <w:color w:val="auto"/>
        </w:rPr>
        <w:tab/>
      </w:r>
      <w:r>
        <w:rPr>
          <w:rFonts w:ascii="Arial" w:cs="Arial" w:eastAsia="Arial" w:hAnsi="Arial"/>
          <w:sz w:val="14"/>
          <w:szCs w:val="14"/>
          <w:b w:val="1"/>
          <w:bCs w:val="1"/>
          <w:color w:val="auto"/>
        </w:rPr>
        <w:t>Entry into a Material Definitive Agreement.</w:t>
      </w:r>
    </w:p>
    <w:p>
      <w:pPr>
        <w:spacing w:after="0" w:line="224" w:lineRule="exact"/>
        <w:rPr>
          <w:sz w:val="20"/>
          <w:szCs w:val="20"/>
          <w:color w:val="auto"/>
        </w:rPr>
      </w:pPr>
    </w:p>
    <w:p>
      <w:pPr>
        <w:ind w:firstLine="285"/>
        <w:spacing w:after="0" w:line="250" w:lineRule="auto"/>
        <w:rPr>
          <w:sz w:val="20"/>
          <w:szCs w:val="20"/>
          <w:color w:val="auto"/>
        </w:rPr>
      </w:pPr>
      <w:r>
        <w:rPr>
          <w:rFonts w:ascii="Arial" w:cs="Arial" w:eastAsia="Arial" w:hAnsi="Arial"/>
          <w:sz w:val="16"/>
          <w:szCs w:val="16"/>
          <w:color w:val="auto"/>
        </w:rPr>
        <w:t>On December 2, 2014, Micron Technology, Inc. (the “Company”) and one of the Company’s domestic subsidiaries, Micron Semiconductor Products, Inc. (“MSP” and together with the Company, the “Borrowers”), entered into a Credit Agreement with HSBC Bank USA, N.A., as Administrative Agent, Co-Collateral Agent, Joint Lead Arranger and Joint Book Runner, JPMorgan Chase Bank, N.A., as Co-Collateral Agent and Syndication Agent, J.P. Morgan Securities LLC, as Joint Lead Arranger and Joint Book Runner, Bank of America, N.A., Citigroup Global Markets, Inc. and Wells Fargo Bank, N.A., as Joint Book Runners and Co-Documentation Agents, and certain financial institutions, as lenders (the “Credit Agreement”). The Credit Agreement provides the Borrowers with a committed $600 million asset-based revolving credit facility (the “Credit Facility”). The Credit Facility includes a $100 million letter of credit sublimit and $40 million discretionary swingline sublimit. The Credit Agreement also provides that, under certain circumstances (including the agreement of financial institutions in their sole discretion to provide additional commitments), the aggregate revolving credit commitments under the Credit Agreement may be increased up to $800 million at the Borrowers’ request. As of the date of the filing of this Current Report there are no borrowings outstanding under the Credit Agreement.</w:t>
      </w:r>
    </w:p>
    <w:p>
      <w:pPr>
        <w:spacing w:after="0" w:line="199" w:lineRule="exact"/>
        <w:rPr>
          <w:sz w:val="20"/>
          <w:szCs w:val="20"/>
          <w:color w:val="auto"/>
        </w:rPr>
      </w:pPr>
    </w:p>
    <w:p>
      <w:pPr>
        <w:ind w:right="60" w:firstLine="285"/>
        <w:spacing w:after="0" w:line="284" w:lineRule="auto"/>
        <w:rPr>
          <w:sz w:val="20"/>
          <w:szCs w:val="20"/>
          <w:color w:val="auto"/>
        </w:rPr>
      </w:pPr>
      <w:r>
        <w:rPr>
          <w:rFonts w:ascii="Arial" w:cs="Arial" w:eastAsia="Arial" w:hAnsi="Arial"/>
          <w:sz w:val="15"/>
          <w:szCs w:val="15"/>
          <w:color w:val="auto"/>
        </w:rPr>
        <w:t>The Company and MSP are both borrowers under the Credit Agreement and are jointly and severally liable for the obligations under the Credit Agreement. The Borrowers will use borrowings under the Credit Agreement for working capital and general corporate purposes. The Borrowers’ obligations under the Credit Agreement are secured on a first priority basis by the Company’s inventory and by MSP’s inventory and accounts receivable, in each case together with certain related assets.</w:t>
      </w:r>
    </w:p>
    <w:p>
      <w:pPr>
        <w:spacing w:after="0" w:line="172" w:lineRule="exact"/>
        <w:rPr>
          <w:sz w:val="20"/>
          <w:szCs w:val="20"/>
          <w:color w:val="auto"/>
        </w:rPr>
      </w:pPr>
    </w:p>
    <w:p>
      <w:pPr>
        <w:ind w:right="60" w:firstLine="285"/>
        <w:spacing w:after="0" w:line="274" w:lineRule="auto"/>
        <w:rPr>
          <w:sz w:val="20"/>
          <w:szCs w:val="20"/>
          <w:color w:val="auto"/>
        </w:rPr>
      </w:pPr>
      <w:r>
        <w:rPr>
          <w:rFonts w:ascii="Arial" w:cs="Arial" w:eastAsia="Arial" w:hAnsi="Arial"/>
          <w:sz w:val="15"/>
          <w:szCs w:val="15"/>
          <w:color w:val="auto"/>
        </w:rPr>
        <w:t>The Credit Facility matures on December 2, 2019 (the “Maturity Date”). The Borrowers must repay the outstanding principal amount of all borrowings under the Credit Agreement, together with all accrued but unpaid interest thereon, on the Maturity Date. Availability of borrowings under the Credit Facility from time to time is subject to a borrowing base calculation based upon a valuation of the Borrowers’ eligible inventories (including raw materials, finished goods and work-in-process inventory) and MSP’s eligible accounts receivable, each multiplied by an applicable advance rate. Availability of borrowings is further reduced by an amount equal to 10% of the Credit Facility size and may be further reduced by reserves determined by the Administrative Agent from time to time in its permitted discretion.</w:t>
      </w:r>
    </w:p>
    <w:p>
      <w:pPr>
        <w:spacing w:after="0" w:line="179" w:lineRule="exact"/>
        <w:rPr>
          <w:sz w:val="20"/>
          <w:szCs w:val="20"/>
          <w:color w:val="auto"/>
        </w:rPr>
      </w:pPr>
    </w:p>
    <w:p>
      <w:pPr>
        <w:ind w:right="120" w:firstLine="285"/>
        <w:spacing w:after="0" w:line="272" w:lineRule="auto"/>
        <w:rPr>
          <w:sz w:val="20"/>
          <w:szCs w:val="20"/>
          <w:color w:val="auto"/>
        </w:rPr>
      </w:pPr>
      <w:r>
        <w:rPr>
          <w:rFonts w:ascii="Arial" w:cs="Arial" w:eastAsia="Arial" w:hAnsi="Arial"/>
          <w:sz w:val="15"/>
          <w:szCs w:val="15"/>
          <w:color w:val="auto"/>
        </w:rPr>
        <w:t>Borrowings under the Credit Agreement will bear interest, at the Borrowers’ option, at a base rate or LIBOR, plus an additional interest rate margin that is determined by the average monthly availability of borrowings under the Credit Agreement. The additional interest rate margin for borrowings ranges from 0.25% to 0.75% per annum in the case of base rate borrowings and from 1.25% to 1.75% per annum in the case of LIBOR borrowings. In addition, the Borrowers will pay a commitment fee on the undrawn commitments under the Credit Agreement from time to time according to the average monthly balance of borrowings (which balance also will include outstanding letters of credit) under the Credit Agreement during the most recent month. This commitment fee on undrawn commitments ranges from a rate of 0.25% to 0.375% per annum, with the applicable rate determined by the average monthly balance of borrowings (including letters of credit) under the Credit Agreement.</w:t>
      </w:r>
    </w:p>
    <w:p>
      <w:pPr>
        <w:spacing w:after="0" w:line="181" w:lineRule="exact"/>
        <w:rPr>
          <w:sz w:val="20"/>
          <w:szCs w:val="20"/>
          <w:color w:val="auto"/>
        </w:rPr>
      </w:pPr>
    </w:p>
    <w:p>
      <w:pPr>
        <w:ind w:right="60" w:firstLine="285"/>
        <w:spacing w:after="0" w:line="253" w:lineRule="auto"/>
        <w:rPr>
          <w:sz w:val="20"/>
          <w:szCs w:val="20"/>
          <w:color w:val="auto"/>
        </w:rPr>
      </w:pPr>
      <w:r>
        <w:rPr>
          <w:rFonts w:ascii="Arial" w:cs="Arial" w:eastAsia="Arial" w:hAnsi="Arial"/>
          <w:sz w:val="16"/>
          <w:szCs w:val="16"/>
          <w:color w:val="auto"/>
        </w:rPr>
        <w:t>The Credit Agreement contains representations and warranties, affirmative and negative covenants, and events of default that are customary for credit agreements of this type, including as a funding condition the absence of any event or circumstance that has a material adverse effect on our business, assets, operations or financial condition, and including negative covenants that limit or restrict the Borrowers’ ability to create liens on, or dispose of, the collateral securing the obligations under the Credit Agreement. The Credit Agreement does not contain financial covenants and does not contain any covenant restricting the payment of dividends or the making of other restricted payments by the Borrowers.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681" w:right="239" w:bottom="1440" w:gutter="0" w:footer="0" w:header="0"/>
        </w:sectPr>
      </w:pPr>
    </w:p>
    <w:bookmarkStart w:id="2" w:name="page3"/>
    <w:bookmarkEnd w:id="2"/>
    <w:p>
      <w:pPr>
        <w:ind w:left="285"/>
        <w:spacing w:after="0"/>
        <w:rPr>
          <w:sz w:val="20"/>
          <w:szCs w:val="20"/>
          <w:color w:val="auto"/>
        </w:rPr>
      </w:pPr>
      <w:r>
        <w:rPr>
          <w:rFonts w:ascii="Arial" w:cs="Arial" w:eastAsia="Arial" w:hAnsi="Arial"/>
          <w:sz w:val="16"/>
          <w:szCs w:val="16"/>
          <w:color w:val="auto"/>
        </w:rPr>
        <w:t>Events of default under the Credit Agreement include, among others, the following (subject in certain cases to grace and cure periods):</w:t>
      </w:r>
    </w:p>
    <w:p>
      <w:pPr>
        <w:spacing w:after="0" w:line="213" w:lineRule="exact"/>
        <w:rPr>
          <w:sz w:val="20"/>
          <w:szCs w:val="20"/>
          <w:color w:val="auto"/>
        </w:rPr>
      </w:pPr>
    </w:p>
    <w:p>
      <w:pPr>
        <w:ind w:left="805" w:hanging="235"/>
        <w:spacing w:after="0"/>
        <w:tabs>
          <w:tab w:leader="none" w:pos="805" w:val="left"/>
        </w:tabs>
        <w:numPr>
          <w:ilvl w:val="0"/>
          <w:numId w:val="1"/>
        </w:numPr>
        <w:rPr>
          <w:rFonts w:ascii="Arial" w:cs="Arial" w:eastAsia="Arial" w:hAnsi="Arial"/>
          <w:sz w:val="16"/>
          <w:szCs w:val="16"/>
          <w:color w:val="auto"/>
        </w:rPr>
      </w:pPr>
      <w:r>
        <w:rPr>
          <w:rFonts w:ascii="Arial" w:cs="Arial" w:eastAsia="Arial" w:hAnsi="Arial"/>
          <w:sz w:val="19"/>
          <w:szCs w:val="19"/>
          <w:color w:val="auto"/>
        </w:rPr>
        <w:t xml:space="preserve">n  </w:t>
      </w:r>
      <w:r>
        <w:rPr>
          <w:rFonts w:ascii="Arial" w:cs="Arial" w:eastAsia="Arial" w:hAnsi="Arial"/>
          <w:sz w:val="15"/>
          <w:szCs w:val="15"/>
          <w:color w:val="auto"/>
        </w:rPr>
        <w:t>onpayment of principal, interest or any other amount due under the Credit Facility,</w:t>
      </w:r>
    </w:p>
    <w:p>
      <w:pPr>
        <w:spacing w:after="0" w:line="209" w:lineRule="exact"/>
        <w:rPr>
          <w:rFonts w:ascii="Arial" w:cs="Arial" w:eastAsia="Arial" w:hAnsi="Arial"/>
          <w:sz w:val="16"/>
          <w:szCs w:val="16"/>
          <w:color w:val="auto"/>
        </w:rPr>
      </w:pPr>
    </w:p>
    <w:p>
      <w:pPr>
        <w:ind w:left="805" w:hanging="235"/>
        <w:spacing w:after="0"/>
        <w:tabs>
          <w:tab w:leader="none" w:pos="805" w:val="left"/>
        </w:tabs>
        <w:numPr>
          <w:ilvl w:val="0"/>
          <w:numId w:val="1"/>
        </w:numPr>
        <w:rPr>
          <w:rFonts w:ascii="Arial" w:cs="Arial" w:eastAsia="Arial" w:hAnsi="Arial"/>
          <w:sz w:val="16"/>
          <w:szCs w:val="16"/>
          <w:color w:val="auto"/>
        </w:rPr>
      </w:pPr>
      <w:r>
        <w:rPr>
          <w:rFonts w:ascii="Arial" w:cs="Arial" w:eastAsia="Arial" w:hAnsi="Arial"/>
          <w:sz w:val="19"/>
          <w:szCs w:val="19"/>
          <w:color w:val="auto"/>
        </w:rPr>
        <w:t xml:space="preserve">b  </w:t>
      </w:r>
      <w:r>
        <w:rPr>
          <w:rFonts w:ascii="Arial" w:cs="Arial" w:eastAsia="Arial" w:hAnsi="Arial"/>
          <w:sz w:val="15"/>
          <w:szCs w:val="15"/>
          <w:color w:val="auto"/>
        </w:rPr>
        <w:t>reaches of representations, warranties and covenants in the Credit Agreement and related transaction documents,</w:t>
      </w:r>
    </w:p>
    <w:p>
      <w:pPr>
        <w:spacing w:after="0" w:line="209" w:lineRule="exact"/>
        <w:rPr>
          <w:rFonts w:ascii="Arial" w:cs="Arial" w:eastAsia="Arial" w:hAnsi="Arial"/>
          <w:sz w:val="16"/>
          <w:szCs w:val="16"/>
          <w:color w:val="auto"/>
        </w:rPr>
      </w:pPr>
    </w:p>
    <w:p>
      <w:pPr>
        <w:ind w:left="785" w:hanging="215"/>
        <w:spacing w:after="0"/>
        <w:tabs>
          <w:tab w:leader="none" w:pos="785" w:val="left"/>
        </w:tabs>
        <w:numPr>
          <w:ilvl w:val="0"/>
          <w:numId w:val="1"/>
        </w:numPr>
        <w:rPr>
          <w:rFonts w:ascii="Arial" w:cs="Arial" w:eastAsia="Arial" w:hAnsi="Arial"/>
          <w:sz w:val="16"/>
          <w:szCs w:val="16"/>
          <w:color w:val="auto"/>
        </w:rPr>
      </w:pPr>
      <w:r>
        <w:rPr>
          <w:rFonts w:ascii="Arial" w:cs="Arial" w:eastAsia="Arial" w:hAnsi="Arial"/>
          <w:sz w:val="19"/>
          <w:szCs w:val="19"/>
          <w:color w:val="auto"/>
        </w:rPr>
        <w:t xml:space="preserve">d  </w:t>
      </w:r>
      <w:r>
        <w:rPr>
          <w:rFonts w:ascii="Arial" w:cs="Arial" w:eastAsia="Arial" w:hAnsi="Arial"/>
          <w:sz w:val="15"/>
          <w:szCs w:val="15"/>
          <w:color w:val="auto"/>
        </w:rPr>
        <w:t>efault of payment of certain indebtedness of a Borrower in excess of $100 million on scheduled due dates or acceleration,</w:t>
      </w:r>
    </w:p>
    <w:p>
      <w:pPr>
        <w:spacing w:after="0" w:line="209" w:lineRule="exact"/>
        <w:rPr>
          <w:rFonts w:ascii="Arial" w:cs="Arial" w:eastAsia="Arial" w:hAnsi="Arial"/>
          <w:sz w:val="16"/>
          <w:szCs w:val="16"/>
          <w:color w:val="auto"/>
        </w:rPr>
      </w:pPr>
    </w:p>
    <w:p>
      <w:pPr>
        <w:ind w:left="805" w:hanging="235"/>
        <w:spacing w:after="0"/>
        <w:tabs>
          <w:tab w:leader="none" w:pos="805" w:val="left"/>
        </w:tabs>
        <w:numPr>
          <w:ilvl w:val="0"/>
          <w:numId w:val="1"/>
        </w:numPr>
        <w:rPr>
          <w:rFonts w:ascii="Arial" w:cs="Arial" w:eastAsia="Arial" w:hAnsi="Arial"/>
          <w:sz w:val="16"/>
          <w:szCs w:val="16"/>
          <w:color w:val="auto"/>
        </w:rPr>
      </w:pPr>
      <w:r>
        <w:rPr>
          <w:rFonts w:ascii="Arial" w:cs="Arial" w:eastAsia="Arial" w:hAnsi="Arial"/>
          <w:sz w:val="19"/>
          <w:szCs w:val="19"/>
          <w:color w:val="auto"/>
        </w:rPr>
        <w:t xml:space="preserve">c  </w:t>
      </w:r>
      <w:r>
        <w:rPr>
          <w:rFonts w:ascii="Arial" w:cs="Arial" w:eastAsia="Arial" w:hAnsi="Arial"/>
          <w:sz w:val="15"/>
          <w:szCs w:val="15"/>
          <w:color w:val="auto"/>
        </w:rPr>
        <w:t>ertain events of bankruptcy and insolvency with respect to a Borrower, and</w:t>
      </w:r>
    </w:p>
    <w:p>
      <w:pPr>
        <w:spacing w:after="0" w:line="209" w:lineRule="exact"/>
        <w:rPr>
          <w:rFonts w:ascii="Arial" w:cs="Arial" w:eastAsia="Arial" w:hAnsi="Arial"/>
          <w:sz w:val="16"/>
          <w:szCs w:val="16"/>
          <w:color w:val="auto"/>
        </w:rPr>
      </w:pPr>
    </w:p>
    <w:p>
      <w:pPr>
        <w:ind w:left="805" w:hanging="235"/>
        <w:spacing w:after="0"/>
        <w:tabs>
          <w:tab w:leader="none" w:pos="805" w:val="left"/>
        </w:tabs>
        <w:numPr>
          <w:ilvl w:val="0"/>
          <w:numId w:val="1"/>
        </w:numPr>
        <w:rPr>
          <w:rFonts w:ascii="Arial" w:cs="Arial" w:eastAsia="Arial" w:hAnsi="Arial"/>
          <w:sz w:val="16"/>
          <w:szCs w:val="16"/>
          <w:color w:val="auto"/>
        </w:rPr>
      </w:pPr>
      <w:r>
        <w:rPr>
          <w:rFonts w:ascii="Arial" w:cs="Arial" w:eastAsia="Arial" w:hAnsi="Arial"/>
          <w:sz w:val="19"/>
          <w:szCs w:val="19"/>
          <w:color w:val="auto"/>
        </w:rPr>
        <w:t xml:space="preserve">t  </w:t>
      </w:r>
      <w:r>
        <w:rPr>
          <w:rFonts w:ascii="Arial" w:cs="Arial" w:eastAsia="Arial" w:hAnsi="Arial"/>
          <w:sz w:val="15"/>
          <w:szCs w:val="15"/>
          <w:color w:val="auto"/>
        </w:rPr>
        <w:t>he Company ceasing to own at least 50.1% of the equity of MSP.</w:t>
      </w:r>
    </w:p>
    <w:p>
      <w:pPr>
        <w:spacing w:after="0" w:line="216" w:lineRule="exact"/>
        <w:rPr>
          <w:sz w:val="20"/>
          <w:szCs w:val="20"/>
          <w:color w:val="auto"/>
        </w:rPr>
      </w:pPr>
    </w:p>
    <w:p>
      <w:pPr>
        <w:ind w:left="5" w:right="140" w:firstLine="285"/>
        <w:spacing w:after="0" w:line="274" w:lineRule="auto"/>
        <w:rPr>
          <w:sz w:val="20"/>
          <w:szCs w:val="20"/>
          <w:color w:val="auto"/>
        </w:rPr>
      </w:pPr>
      <w:r>
        <w:rPr>
          <w:rFonts w:ascii="Arial" w:cs="Arial" w:eastAsia="Arial" w:hAnsi="Arial"/>
          <w:sz w:val="15"/>
          <w:szCs w:val="15"/>
          <w:color w:val="auto"/>
        </w:rPr>
        <w:t>If an event of default other than due to certain events of bankruptcy or insolvency is continuing, the Administrative Agent or holders of a majority of the lenders holding unused commitments and borrowings under the Credit Agreement may (i) terminate the obligations of the lenders to make loans and the obligation of the issuing banks to issue letters of credit, (ii) declare the obligations outstanding under the Credit Agreement to be immediately due and payable and/or (iii) exercise legal and contractual rights and remedies. If an event of default arising from certain events of bankruptcy or insolvency with respect to the Company and/or MSP is continuing, the obligations outstanding under the Credit Agreement would be due and payable immediately without further action or notice.</w:t>
      </w:r>
    </w:p>
    <w:p>
      <w:pPr>
        <w:spacing w:after="0" w:line="179" w:lineRule="exact"/>
        <w:rPr>
          <w:sz w:val="20"/>
          <w:szCs w:val="20"/>
          <w:color w:val="auto"/>
        </w:rPr>
      </w:pPr>
    </w:p>
    <w:p>
      <w:pPr>
        <w:ind w:left="5" w:firstLine="285"/>
        <w:spacing w:after="0" w:line="259" w:lineRule="auto"/>
        <w:rPr>
          <w:sz w:val="20"/>
          <w:szCs w:val="20"/>
          <w:color w:val="auto"/>
        </w:rPr>
      </w:pPr>
      <w:r>
        <w:rPr>
          <w:rFonts w:ascii="Arial" w:cs="Arial" w:eastAsia="Arial" w:hAnsi="Arial"/>
          <w:sz w:val="16"/>
          <w:szCs w:val="16"/>
          <w:color w:val="auto"/>
        </w:rPr>
        <w:t>The lenders under the Credit Agreement and their affiliates have engaged in, and may in the future engage in, other commercial dealings in the ordinary course of business with the Company or its affiliates, including the provision of investment banking, commercial banking and cash management services, foreign exchange hedging and equipment financing and leasing services.</w:t>
      </w:r>
    </w:p>
    <w:p>
      <w:pPr>
        <w:spacing w:after="0" w:line="188" w:lineRule="exact"/>
        <w:rPr>
          <w:sz w:val="20"/>
          <w:szCs w:val="20"/>
          <w:color w:val="auto"/>
        </w:rPr>
      </w:pPr>
    </w:p>
    <w:p>
      <w:pPr>
        <w:ind w:left="5" w:firstLine="285"/>
        <w:spacing w:after="0" w:line="259" w:lineRule="auto"/>
        <w:rPr>
          <w:sz w:val="20"/>
          <w:szCs w:val="20"/>
          <w:color w:val="auto"/>
        </w:rPr>
      </w:pPr>
      <w:r>
        <w:rPr>
          <w:rFonts w:ascii="Arial" w:cs="Arial" w:eastAsia="Arial" w:hAnsi="Arial"/>
          <w:sz w:val="16"/>
          <w:szCs w:val="16"/>
          <w:color w:val="auto"/>
        </w:rPr>
        <w:t>The foregoing description of the Credit Facility and the Credit Agreement are only summaries of certain terms and agreements discussed herein. These summaries do not purport to be complete and are qualified in their entirety by reference to the full text of the Credit Agreement a copy which is filed as Exhibit 99.1 to this Current Report on Form 8-K and is incorporated herein by reference.</w:t>
      </w:r>
    </w:p>
    <w:p>
      <w:pPr>
        <w:spacing w:after="0" w:line="184" w:lineRule="exact"/>
        <w:rPr>
          <w:sz w:val="20"/>
          <w:szCs w:val="20"/>
          <w:color w:val="auto"/>
        </w:rPr>
      </w:pPr>
    </w:p>
    <w:p>
      <w:pPr>
        <w:ind w:left="5"/>
        <w:spacing w:after="0"/>
        <w:tabs>
          <w:tab w:leader="none" w:pos="785" w:val="left"/>
        </w:tabs>
        <w:rPr>
          <w:sz w:val="20"/>
          <w:szCs w:val="20"/>
          <w:color w:val="auto"/>
        </w:rPr>
      </w:pPr>
      <w:r>
        <w:rPr>
          <w:rFonts w:ascii="Arial" w:cs="Arial" w:eastAsia="Arial" w:hAnsi="Arial"/>
          <w:sz w:val="16"/>
          <w:szCs w:val="16"/>
          <w:b w:val="1"/>
          <w:bCs w:val="1"/>
          <w:color w:val="auto"/>
        </w:rPr>
        <w:t>Item 2.03</w:t>
      </w:r>
      <w:r>
        <w:rPr>
          <w:sz w:val="20"/>
          <w:szCs w:val="20"/>
          <w:color w:val="auto"/>
        </w:rPr>
        <w:tab/>
      </w:r>
      <w:r>
        <w:rPr>
          <w:rFonts w:ascii="Arial" w:cs="Arial" w:eastAsia="Arial" w:hAnsi="Arial"/>
          <w:sz w:val="14"/>
          <w:szCs w:val="14"/>
          <w:b w:val="1"/>
          <w:bCs w:val="1"/>
          <w:color w:val="auto"/>
        </w:rPr>
        <w:t>Creation of a Direct Financial Obligation or an Obligation under an Off-Balance Sheet Arrangement of a Registrant.</w:t>
      </w:r>
    </w:p>
    <w:p>
      <w:pPr>
        <w:spacing w:after="0" w:line="224"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disclosure required by this item is included in Item 1.01 and is incorporated herein by reference.</w:t>
      </w:r>
    </w:p>
    <w:p>
      <w:pPr>
        <w:spacing w:after="0" w:line="216" w:lineRule="exact"/>
        <w:rPr>
          <w:sz w:val="20"/>
          <w:szCs w:val="20"/>
          <w:color w:val="auto"/>
        </w:rPr>
      </w:pPr>
    </w:p>
    <w:p>
      <w:pPr>
        <w:ind w:left="5"/>
        <w:spacing w:after="0"/>
        <w:tabs>
          <w:tab w:leader="none" w:pos="785"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Other Exhibits.</w:t>
      </w:r>
    </w:p>
    <w:p>
      <w:pPr>
        <w:spacing w:after="0" w:line="224" w:lineRule="exact"/>
        <w:rPr>
          <w:sz w:val="20"/>
          <w:szCs w:val="20"/>
          <w:color w:val="auto"/>
        </w:rPr>
      </w:pPr>
    </w:p>
    <w:p>
      <w:pPr>
        <w:ind w:left="865" w:hanging="865"/>
        <w:spacing w:after="0"/>
        <w:tabs>
          <w:tab w:leader="none" w:pos="865"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16" w:lineRule="exact"/>
        <w:rPr>
          <w:sz w:val="20"/>
          <w:szCs w:val="20"/>
          <w:color w:val="auto"/>
        </w:rPr>
      </w:pPr>
    </w:p>
    <w:p>
      <w:pPr>
        <w:ind w:left="25"/>
        <w:spacing w:after="0"/>
        <w:rPr>
          <w:sz w:val="20"/>
          <w:szCs w:val="20"/>
          <w:color w:val="auto"/>
        </w:rPr>
      </w:pPr>
      <w:r>
        <w:rPr>
          <w:rFonts w:ascii="Arial" w:cs="Arial" w:eastAsia="Arial" w:hAnsi="Arial"/>
          <w:sz w:val="16"/>
          <w:szCs w:val="16"/>
          <w:b w:val="1"/>
          <w:bCs w:val="1"/>
          <w:color w:val="auto"/>
        </w:rPr>
        <w:t>Exhibit No.Description</w:t>
      </w:r>
    </w:p>
    <w:p>
      <w:pPr>
        <w:spacing w:after="0" w:line="200" w:lineRule="exact"/>
        <w:rPr>
          <w:sz w:val="20"/>
          <w:szCs w:val="20"/>
          <w:color w:val="auto"/>
        </w:rPr>
      </w:pPr>
    </w:p>
    <w:p>
      <w:pPr>
        <w:ind w:left="805" w:right="40" w:hanging="541"/>
        <w:spacing w:after="0" w:line="277" w:lineRule="auto"/>
        <w:tabs>
          <w:tab w:leader="none" w:pos="785"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5"/>
          <w:szCs w:val="15"/>
          <w:color w:val="auto"/>
        </w:rPr>
        <w:t>Credit Agreement dated as of December 2, 2014 among Micron Technology, Inc. and Micron Semiconductor Products, Inc., as Borrowers, HSBC Bank USA, N.A., as Administrative Agent, Co-Collateral Agent, Joint Lead Arranger and Joint Book Runner, JPMorgan Chase Bank, N.A., as Co-Collateral Agent and Syndication Agent, J.P. Morgan Securities LLC, as Joint Lead Arranger and Joint Book Runner, Bank of America, N.A., Citigroup Global Markets, Inc. and Wells Fargo Bank, N.A., as Joint Book Runners and Co-Documentation Agents, and certain financial institutions, as lenders.</w:t>
      </w:r>
    </w:p>
    <w:p>
      <w:pPr>
        <w:spacing w:after="0" w:line="30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821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5"/>
          </w:cols>
          <w:pgMar w:left="235" w:top="1113" w:right="2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6"/>
          <w:szCs w:val="16"/>
          <w:b w:val="1"/>
          <w:bCs w:val="1"/>
          <w:color w:val="auto"/>
        </w:rPr>
        <w:t>SIGNATURE</w:t>
      </w:r>
    </w:p>
    <w:p>
      <w:pPr>
        <w:spacing w:after="0" w:line="224" w:lineRule="exact"/>
        <w:rPr>
          <w:sz w:val="20"/>
          <w:szCs w:val="20"/>
          <w:color w:val="auto"/>
        </w:rPr>
      </w:pPr>
    </w:p>
    <w:p>
      <w:pPr>
        <w:ind w:firstLine="285"/>
        <w:spacing w:after="0" w:line="27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440" w:type="dxa"/>
            <w:vAlign w:val="bottom"/>
            <w:gridSpan w:val="2"/>
          </w:tcPr>
          <w:p>
            <w:pPr>
              <w:ind w:left="1520"/>
              <w:spacing w:after="0"/>
              <w:rPr>
                <w:sz w:val="20"/>
                <w:szCs w:val="20"/>
                <w:color w:val="auto"/>
              </w:rPr>
            </w:pPr>
            <w:r>
              <w:rPr>
                <w:rFonts w:ascii="Arial" w:cs="Arial" w:eastAsia="Arial" w:hAnsi="Arial"/>
                <w:sz w:val="16"/>
                <w:szCs w:val="16"/>
                <w:b w:val="1"/>
                <w:bCs w:val="1"/>
                <w:color w:val="auto"/>
              </w:rPr>
              <w:t>MICRON TECHNOLOGY, INC.</w:t>
            </w:r>
          </w:p>
        </w:tc>
      </w:tr>
      <w:tr>
        <w:trPr>
          <w:trHeight w:val="575"/>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2840" w:type="dxa"/>
            <w:vAlign w:val="bottom"/>
          </w:tcPr>
          <w:p>
            <w:pPr>
              <w:ind w:left="180"/>
              <w:spacing w:after="0"/>
              <w:rPr>
                <w:sz w:val="20"/>
                <w:szCs w:val="20"/>
                <w:color w:val="auto"/>
              </w:rPr>
            </w:pPr>
            <w:r>
              <w:rPr>
                <w:rFonts w:ascii="Arial" w:cs="Arial" w:eastAsia="Arial" w:hAnsi="Arial"/>
                <w:sz w:val="16"/>
                <w:szCs w:val="16"/>
                <w:color w:val="auto"/>
              </w:rPr>
              <w:t>December 8, 2014</w:t>
            </w:r>
          </w:p>
        </w:tc>
        <w:tc>
          <w:tcPr>
            <w:tcW w:w="1960" w:type="dxa"/>
            <w:vAlign w:val="bottom"/>
          </w:tcPr>
          <w:p>
            <w:pPr>
              <w:ind w:left="1520"/>
              <w:spacing w:after="0"/>
              <w:rPr>
                <w:sz w:val="20"/>
                <w:szCs w:val="20"/>
                <w:color w:val="auto"/>
              </w:rPr>
            </w:pPr>
            <w:r>
              <w:rPr>
                <w:rFonts w:ascii="Arial" w:cs="Arial" w:eastAsia="Arial" w:hAnsi="Arial"/>
                <w:sz w:val="16"/>
                <w:szCs w:val="16"/>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Ronald C. Foster</w:t>
            </w:r>
          </w:p>
        </w:tc>
      </w:tr>
      <w:tr>
        <w:trPr>
          <w:trHeight w:val="177"/>
        </w:trPr>
        <w:tc>
          <w:tcPr>
            <w:tcW w:w="5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440" w:type="dxa"/>
            <w:vAlign w:val="bottom"/>
            <w:gridSpan w:val="2"/>
          </w:tcPr>
          <w:p>
            <w:pPr>
              <w:ind w:left="1520"/>
              <w:spacing w:after="0" w:line="178" w:lineRule="exact"/>
              <w:rPr>
                <w:sz w:val="20"/>
                <w:szCs w:val="20"/>
                <w:color w:val="auto"/>
              </w:rPr>
            </w:pPr>
            <w:r>
              <w:rPr>
                <w:rFonts w:ascii="Arial" w:cs="Arial" w:eastAsia="Arial" w:hAnsi="Arial"/>
                <w:sz w:val="16"/>
                <w:szCs w:val="16"/>
                <w:color w:val="auto"/>
              </w:rPr>
              <w:t>Name:Ronald C. Foster</w:t>
            </w:r>
          </w:p>
        </w:tc>
      </w:tr>
      <w:tr>
        <w:trPr>
          <w:trHeight w:val="190"/>
        </w:trPr>
        <w:tc>
          <w:tcPr>
            <w:tcW w:w="5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960" w:type="dxa"/>
            <w:vAlign w:val="bottom"/>
          </w:tcPr>
          <w:p>
            <w:pPr>
              <w:ind w:left="1520"/>
              <w:spacing w:after="0"/>
              <w:rPr>
                <w:sz w:val="20"/>
                <w:szCs w:val="20"/>
                <w:color w:val="auto"/>
              </w:rPr>
            </w:pPr>
            <w:r>
              <w:rPr>
                <w:rFonts w:ascii="Arial" w:cs="Arial" w:eastAsia="Arial" w:hAnsi="Arial"/>
                <w:sz w:val="16"/>
                <w:szCs w:val="16"/>
                <w:color w:val="auto"/>
              </w:rPr>
              <w:t>Title:</w:t>
            </w:r>
          </w:p>
        </w:tc>
        <w:tc>
          <w:tcPr>
            <w:tcW w:w="3480" w:type="dxa"/>
            <w:vAlign w:val="bottom"/>
          </w:tcPr>
          <w:p>
            <w:pPr>
              <w:spacing w:after="0"/>
              <w:rPr>
                <w:sz w:val="20"/>
                <w:szCs w:val="20"/>
                <w:color w:val="auto"/>
              </w:rPr>
            </w:pPr>
            <w:r>
              <w:rPr>
                <w:rFonts w:ascii="Arial" w:cs="Arial" w:eastAsia="Arial" w:hAnsi="Arial"/>
                <w:sz w:val="16"/>
                <w:szCs w:val="16"/>
                <w:color w:val="auto"/>
              </w:rPr>
              <w:t>Chief Financial Officer and</w:t>
            </w:r>
          </w:p>
        </w:tc>
      </w:tr>
      <w:tr>
        <w:trPr>
          <w:trHeight w:val="201"/>
        </w:trPr>
        <w:tc>
          <w:tcPr>
            <w:tcW w:w="5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480" w:type="dxa"/>
            <w:vAlign w:val="bottom"/>
          </w:tcPr>
          <w:p>
            <w:pPr>
              <w:spacing w:after="0"/>
              <w:rPr>
                <w:sz w:val="20"/>
                <w:szCs w:val="20"/>
                <w:color w:val="auto"/>
              </w:rPr>
            </w:pPr>
            <w:r>
              <w:rPr>
                <w:rFonts w:ascii="Arial" w:cs="Arial" w:eastAsia="Arial" w:hAnsi="Arial"/>
                <w:sz w:val="16"/>
                <w:szCs w:val="16"/>
                <w:color w:val="auto"/>
              </w:rPr>
              <w:t>Vice President of Finance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100"/>
          </w:cols>
          <w:pgMar w:left="240" w:top="1109" w:right="5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INDEX TO EXHIBITS FILED WITH</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CURRENT REPORT ON FORM 8-K DATED DECEMBER 2, 2014</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No.Description</w:t>
      </w:r>
    </w:p>
    <w:p>
      <w:pPr>
        <w:spacing w:after="0" w:line="200" w:lineRule="exact"/>
        <w:rPr>
          <w:sz w:val="20"/>
          <w:szCs w:val="20"/>
          <w:color w:val="auto"/>
        </w:rPr>
      </w:pPr>
    </w:p>
    <w:p>
      <w:pPr>
        <w:ind w:left="780" w:hanging="541"/>
        <w:spacing w:after="0" w:line="277" w:lineRule="auto"/>
        <w:tabs>
          <w:tab w:leader="none" w:pos="76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5"/>
          <w:szCs w:val="15"/>
          <w:color w:val="auto"/>
        </w:rPr>
        <w:t>Credit Agreement dated as of December 2, 2014 among Micron Technology, Inc. and Micron Semiconductor Products, Inc., as Borrowers, HSBC Bank USA, N.A., as Administrative Agent, Co-Collateral Agent, Joint Lead Arranger and Joint Book Runner, JPMorgan Chase Bank, N.A., as Co-Collateral Agent and Syndication Agent, J.P. Morgan Securities LLC, as Joint Lead Arranger and Joint Book Runner, Bank of America, N.A., Citigroup Global Markets, Inc. and Wells Fargo Bank, N.A., as Joint Book Runners and Co-Documentation Agents, and certain financial institutions, as lenders.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212725</wp:posOffset>
            </wp:positionV>
            <wp:extent cx="726821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40005"/>
                    </a:xfrm>
                    <a:prstGeom prst="rect">
                      <a:avLst/>
                    </a:prstGeom>
                    <a:noFill/>
                  </pic:spPr>
                </pic:pic>
              </a:graphicData>
            </a:graphic>
          </wp:anchor>
        </w:drawing>
      </w:r>
    </w:p>
    <w:p>
      <w:pPr>
        <w:sectPr>
          <w:pgSz w:w="11900" w:h="16838" w:orient="portrait"/>
          <w:cols w:equalWidth="0" w:num="1">
            <w:col w:w="11360"/>
          </w:cols>
          <w:pgMar w:left="260" w:top="1109"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9"/>
          <w:szCs w:val="19"/>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CREDIT AGREEMENT</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dated as of</w:t>
      </w:r>
    </w:p>
    <w:p>
      <w:pPr>
        <w:spacing w:after="0" w:line="220"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December 2, 2014</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among</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MICRON SEMICONDUCTOR PRODUCTS, INC.,</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MICRON TECHNOLOGY, INC.,</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as Borrowers</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The Lenders Party Hereto</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HSBC BANK USA, N.A.,</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as Administrative Agent</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HSBC BANK USA, N.A. and JPMORGAN CHASE BANK, N.A.,</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as Co-Collateral Agents</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HSBC BANK USA, N.A. and J.P. MORGAN SECURITIES LLC,</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as Joint Lead Arrangers</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and</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HSBC BANK USA, N.A., J.P. MORGAN SECURITIES LLC,</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BANK OF AMERICA, N.A., CITIGROUP GLOBAL MARKETS, INC. and</w:t>
      </w:r>
    </w:p>
    <w:p>
      <w:pPr>
        <w:spacing w:after="0" w:line="23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WELLS FARGO BANK, N.A.,</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as Joint Bookrunners</w:t>
      </w:r>
    </w:p>
    <w:p>
      <w:pPr>
        <w:spacing w:after="0" w:line="220"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spacing w:after="0" w:line="234" w:lineRule="exact"/>
        <w:rPr>
          <w:sz w:val="20"/>
          <w:szCs w:val="20"/>
          <w:color w:val="auto"/>
        </w:rPr>
      </w:pPr>
    </w:p>
    <w:p>
      <w:pPr>
        <w:ind w:left="3360"/>
        <w:spacing w:after="0"/>
        <w:rPr>
          <w:sz w:val="20"/>
          <w:szCs w:val="20"/>
          <w:color w:val="auto"/>
        </w:rPr>
      </w:pPr>
      <w:r>
        <w:rPr>
          <w:rFonts w:ascii="Arial" w:cs="Arial" w:eastAsia="Arial" w:hAnsi="Arial"/>
          <w:sz w:val="16"/>
          <w:szCs w:val="16"/>
          <w:color w:val="auto"/>
        </w:rPr>
        <w:t>JPMORGAN CHASE BANK, N.A.,</w:t>
      </w:r>
    </w:p>
    <w:p>
      <w:pPr>
        <w:spacing w:after="0" w:line="200" w:lineRule="exact"/>
        <w:rPr>
          <w:sz w:val="20"/>
          <w:szCs w:val="20"/>
          <w:color w:val="auto"/>
        </w:rPr>
      </w:pPr>
    </w:p>
    <w:p>
      <w:pPr>
        <w:spacing w:after="0" w:line="234"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as Syndication Agent</w:t>
      </w: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and</w:t>
      </w:r>
    </w:p>
    <w:p>
      <w:pPr>
        <w:spacing w:after="0" w:line="200" w:lineRule="exact"/>
        <w:rPr>
          <w:sz w:val="20"/>
          <w:szCs w:val="20"/>
          <w:color w:val="auto"/>
        </w:rPr>
      </w:pPr>
    </w:p>
    <w:p>
      <w:pPr>
        <w:spacing w:after="0" w:line="234"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BANK OF AMERICA, N.A., CITIGROUP GLOBAL MARKETS, INC. and</w:t>
      </w:r>
    </w:p>
    <w:p>
      <w:pPr>
        <w:spacing w:after="0" w:line="200" w:lineRule="exact"/>
        <w:rPr>
          <w:sz w:val="20"/>
          <w:szCs w:val="20"/>
          <w:color w:val="auto"/>
        </w:rPr>
      </w:pPr>
    </w:p>
    <w:p>
      <w:pPr>
        <w:spacing w:after="0" w:line="234"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WELLS FARGO BANK, N.A.,</w:t>
      </w:r>
    </w:p>
    <w:p>
      <w:pPr>
        <w:spacing w:after="0" w:line="200" w:lineRule="exact"/>
        <w:rPr>
          <w:sz w:val="20"/>
          <w:szCs w:val="20"/>
          <w:color w:val="auto"/>
        </w:rPr>
      </w:pPr>
    </w:p>
    <w:p>
      <w:pPr>
        <w:spacing w:after="0" w:line="234" w:lineRule="exact"/>
        <w:rPr>
          <w:sz w:val="20"/>
          <w:szCs w:val="20"/>
          <w:color w:val="auto"/>
        </w:rPr>
      </w:pPr>
    </w:p>
    <w:p>
      <w:pPr>
        <w:ind w:left="3580"/>
        <w:spacing w:after="0"/>
        <w:rPr>
          <w:sz w:val="20"/>
          <w:szCs w:val="20"/>
          <w:color w:val="auto"/>
        </w:rPr>
      </w:pPr>
      <w:r>
        <w:rPr>
          <w:rFonts w:ascii="Arial" w:cs="Arial" w:eastAsia="Arial" w:hAnsi="Arial"/>
          <w:sz w:val="16"/>
          <w:szCs w:val="16"/>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951865</wp:posOffset>
            </wp:positionV>
            <wp:extent cx="726821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20"/>
                <w:szCs w:val="20"/>
                <w:color w:val="auto"/>
              </w:rPr>
            </w:pPr>
            <w:r>
              <w:rPr>
                <w:rFonts w:ascii="Arial" w:cs="Arial" w:eastAsia="Arial" w:hAnsi="Arial"/>
                <w:sz w:val="16"/>
                <w:szCs w:val="16"/>
                <w:color w:val="auto"/>
              </w:rPr>
              <w:t>ARTICLE I</w:t>
            </w:r>
          </w:p>
        </w:tc>
        <w:tc>
          <w:tcPr>
            <w:tcW w:w="7360" w:type="dxa"/>
            <w:vAlign w:val="bottom"/>
          </w:tcPr>
          <w:p>
            <w:pPr>
              <w:ind w:left="740"/>
              <w:spacing w:after="0"/>
              <w:rPr>
                <w:sz w:val="20"/>
                <w:szCs w:val="20"/>
                <w:color w:val="auto"/>
              </w:rPr>
            </w:pPr>
            <w:r>
              <w:rPr>
                <w:rFonts w:ascii="Arial" w:cs="Arial" w:eastAsia="Arial" w:hAnsi="Arial"/>
                <w:sz w:val="16"/>
                <w:szCs w:val="16"/>
                <w:color w:val="auto"/>
              </w:rPr>
              <w:t>Definitions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1.01.</w:t>
            </w:r>
          </w:p>
        </w:tc>
        <w:tc>
          <w:tcPr>
            <w:tcW w:w="7360" w:type="dxa"/>
            <w:vAlign w:val="bottom"/>
          </w:tcPr>
          <w:p>
            <w:pPr>
              <w:ind w:left="740"/>
              <w:spacing w:after="0"/>
              <w:rPr>
                <w:sz w:val="20"/>
                <w:szCs w:val="20"/>
                <w:color w:val="auto"/>
              </w:rPr>
            </w:pPr>
            <w:r>
              <w:rPr>
                <w:rFonts w:ascii="Arial" w:cs="Arial" w:eastAsia="Arial" w:hAnsi="Arial"/>
                <w:sz w:val="16"/>
                <w:szCs w:val="16"/>
                <w:color w:val="auto"/>
              </w:rPr>
              <w:t>Defined Terms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1.02.</w:t>
            </w:r>
          </w:p>
        </w:tc>
        <w:tc>
          <w:tcPr>
            <w:tcW w:w="7360" w:type="dxa"/>
            <w:vAlign w:val="bottom"/>
          </w:tcPr>
          <w:p>
            <w:pPr>
              <w:ind w:left="740"/>
              <w:spacing w:after="0"/>
              <w:rPr>
                <w:sz w:val="20"/>
                <w:szCs w:val="20"/>
                <w:color w:val="auto"/>
              </w:rPr>
            </w:pPr>
            <w:r>
              <w:rPr>
                <w:rFonts w:ascii="Arial" w:cs="Arial" w:eastAsia="Arial" w:hAnsi="Arial"/>
                <w:sz w:val="16"/>
                <w:szCs w:val="16"/>
                <w:color w:val="auto"/>
              </w:rPr>
              <w:t>Classification of Loans and Borrowings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30</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1.03.</w:t>
            </w:r>
          </w:p>
        </w:tc>
        <w:tc>
          <w:tcPr>
            <w:tcW w:w="7360" w:type="dxa"/>
            <w:vAlign w:val="bottom"/>
          </w:tcPr>
          <w:p>
            <w:pPr>
              <w:ind w:left="740"/>
              <w:spacing w:after="0"/>
              <w:rPr>
                <w:sz w:val="20"/>
                <w:szCs w:val="20"/>
                <w:color w:val="auto"/>
              </w:rPr>
            </w:pPr>
            <w:r>
              <w:rPr>
                <w:rFonts w:ascii="Arial" w:cs="Arial" w:eastAsia="Arial" w:hAnsi="Arial"/>
                <w:sz w:val="16"/>
                <w:szCs w:val="16"/>
                <w:color w:val="auto"/>
              </w:rPr>
              <w:t>Terms Generally</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1.04.</w:t>
            </w:r>
          </w:p>
        </w:tc>
        <w:tc>
          <w:tcPr>
            <w:tcW w:w="7360" w:type="dxa"/>
            <w:vAlign w:val="bottom"/>
          </w:tcPr>
          <w:p>
            <w:pPr>
              <w:ind w:left="740"/>
              <w:spacing w:after="0"/>
              <w:rPr>
                <w:sz w:val="20"/>
                <w:szCs w:val="20"/>
                <w:color w:val="auto"/>
              </w:rPr>
            </w:pPr>
            <w:r>
              <w:rPr>
                <w:rFonts w:ascii="Arial" w:cs="Arial" w:eastAsia="Arial" w:hAnsi="Arial"/>
                <w:sz w:val="16"/>
                <w:szCs w:val="16"/>
                <w:color w:val="auto"/>
              </w:rPr>
              <w:t>Accounting Terms; GAAP</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31</w:t>
            </w:r>
          </w:p>
        </w:tc>
      </w:tr>
      <w:tr>
        <w:trPr>
          <w:trHeight w:val="190"/>
        </w:trPr>
        <w:tc>
          <w:tcPr>
            <w:tcW w:w="2420" w:type="dxa"/>
            <w:vAlign w:val="bottom"/>
          </w:tcPr>
          <w:p>
            <w:pPr>
              <w:spacing w:after="0"/>
              <w:rPr>
                <w:sz w:val="20"/>
                <w:szCs w:val="20"/>
                <w:color w:val="auto"/>
              </w:rPr>
            </w:pPr>
            <w:r>
              <w:rPr>
                <w:rFonts w:ascii="Arial" w:cs="Arial" w:eastAsia="Arial" w:hAnsi="Arial"/>
                <w:sz w:val="16"/>
                <w:szCs w:val="16"/>
                <w:color w:val="auto"/>
              </w:rPr>
              <w:t>ARTICLE II</w:t>
            </w:r>
          </w:p>
        </w:tc>
        <w:tc>
          <w:tcPr>
            <w:tcW w:w="7360" w:type="dxa"/>
            <w:vAlign w:val="bottom"/>
          </w:tcPr>
          <w:p>
            <w:pPr>
              <w:ind w:left="740"/>
              <w:spacing w:after="0"/>
              <w:rPr>
                <w:sz w:val="20"/>
                <w:szCs w:val="20"/>
                <w:color w:val="auto"/>
              </w:rPr>
            </w:pPr>
            <w:r>
              <w:rPr>
                <w:rFonts w:ascii="Arial" w:cs="Arial" w:eastAsia="Arial" w:hAnsi="Arial"/>
                <w:sz w:val="16"/>
                <w:szCs w:val="16"/>
                <w:color w:val="auto"/>
              </w:rPr>
              <w:t>The Credits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2.01.</w:t>
            </w:r>
          </w:p>
        </w:tc>
        <w:tc>
          <w:tcPr>
            <w:tcW w:w="7360" w:type="dxa"/>
            <w:vAlign w:val="bottom"/>
          </w:tcPr>
          <w:p>
            <w:pPr>
              <w:ind w:left="740"/>
              <w:spacing w:after="0"/>
              <w:rPr>
                <w:sz w:val="20"/>
                <w:szCs w:val="20"/>
                <w:color w:val="auto"/>
              </w:rPr>
            </w:pPr>
            <w:r>
              <w:rPr>
                <w:rFonts w:ascii="Arial" w:cs="Arial" w:eastAsia="Arial" w:hAnsi="Arial"/>
                <w:sz w:val="16"/>
                <w:szCs w:val="16"/>
                <w:color w:val="auto"/>
              </w:rPr>
              <w:t>Revolving Commitment</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2.02.</w:t>
            </w:r>
          </w:p>
        </w:tc>
        <w:tc>
          <w:tcPr>
            <w:tcW w:w="7360" w:type="dxa"/>
            <w:vAlign w:val="bottom"/>
          </w:tcPr>
          <w:p>
            <w:pPr>
              <w:ind w:left="740"/>
              <w:spacing w:after="0"/>
              <w:rPr>
                <w:sz w:val="20"/>
                <w:szCs w:val="20"/>
                <w:color w:val="auto"/>
              </w:rPr>
            </w:pPr>
            <w:r>
              <w:rPr>
                <w:rFonts w:ascii="Arial" w:cs="Arial" w:eastAsia="Arial" w:hAnsi="Arial"/>
                <w:sz w:val="16"/>
                <w:szCs w:val="16"/>
                <w:color w:val="auto"/>
              </w:rPr>
              <w:t>Loans and Borrowings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32</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2.03.</w:t>
            </w:r>
          </w:p>
        </w:tc>
        <w:tc>
          <w:tcPr>
            <w:tcW w:w="7360" w:type="dxa"/>
            <w:vAlign w:val="bottom"/>
          </w:tcPr>
          <w:p>
            <w:pPr>
              <w:ind w:left="740"/>
              <w:spacing w:after="0"/>
              <w:rPr>
                <w:sz w:val="20"/>
                <w:szCs w:val="20"/>
                <w:color w:val="auto"/>
              </w:rPr>
            </w:pPr>
            <w:r>
              <w:rPr>
                <w:rFonts w:ascii="Arial" w:cs="Arial" w:eastAsia="Arial" w:hAnsi="Arial"/>
                <w:sz w:val="16"/>
                <w:szCs w:val="16"/>
                <w:color w:val="auto"/>
              </w:rPr>
              <w:t>Requests for Revolving Borrowings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32</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2.04.</w:t>
            </w:r>
          </w:p>
        </w:tc>
        <w:tc>
          <w:tcPr>
            <w:tcW w:w="7360" w:type="dxa"/>
            <w:vAlign w:val="bottom"/>
          </w:tcPr>
          <w:p>
            <w:pPr>
              <w:ind w:left="740"/>
              <w:spacing w:after="0"/>
              <w:rPr>
                <w:sz w:val="20"/>
                <w:szCs w:val="20"/>
                <w:color w:val="auto"/>
              </w:rPr>
            </w:pPr>
            <w:r>
              <w:rPr>
                <w:rFonts w:ascii="Arial" w:cs="Arial" w:eastAsia="Arial" w:hAnsi="Arial"/>
                <w:sz w:val="16"/>
                <w:szCs w:val="16"/>
                <w:color w:val="auto"/>
              </w:rPr>
              <w:t>Protective Advances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33</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2.05.</w:t>
            </w:r>
          </w:p>
        </w:tc>
        <w:tc>
          <w:tcPr>
            <w:tcW w:w="7360" w:type="dxa"/>
            <w:vAlign w:val="bottom"/>
          </w:tcPr>
          <w:p>
            <w:pPr>
              <w:ind w:left="740"/>
              <w:spacing w:after="0"/>
              <w:rPr>
                <w:sz w:val="20"/>
                <w:szCs w:val="20"/>
                <w:color w:val="auto"/>
              </w:rPr>
            </w:pPr>
            <w:r>
              <w:rPr>
                <w:rFonts w:ascii="Arial" w:cs="Arial" w:eastAsia="Arial" w:hAnsi="Arial"/>
                <w:sz w:val="16"/>
                <w:szCs w:val="16"/>
                <w:color w:val="auto"/>
              </w:rPr>
              <w:t>Swingline Loans and Overadvances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34</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2.06.</w:t>
            </w:r>
          </w:p>
        </w:tc>
        <w:tc>
          <w:tcPr>
            <w:tcW w:w="7360" w:type="dxa"/>
            <w:vAlign w:val="bottom"/>
          </w:tcPr>
          <w:p>
            <w:pPr>
              <w:ind w:left="740"/>
              <w:spacing w:after="0"/>
              <w:rPr>
                <w:sz w:val="20"/>
                <w:szCs w:val="20"/>
                <w:color w:val="auto"/>
              </w:rPr>
            </w:pPr>
            <w:r>
              <w:rPr>
                <w:rFonts w:ascii="Arial" w:cs="Arial" w:eastAsia="Arial" w:hAnsi="Arial"/>
                <w:sz w:val="16"/>
                <w:szCs w:val="16"/>
                <w:color w:val="auto"/>
              </w:rPr>
              <w:t>Letters of Credit</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35</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2.07.</w:t>
            </w:r>
          </w:p>
        </w:tc>
        <w:tc>
          <w:tcPr>
            <w:tcW w:w="7360" w:type="dxa"/>
            <w:vAlign w:val="bottom"/>
          </w:tcPr>
          <w:p>
            <w:pPr>
              <w:ind w:left="740"/>
              <w:spacing w:after="0"/>
              <w:rPr>
                <w:sz w:val="20"/>
                <w:szCs w:val="20"/>
                <w:color w:val="auto"/>
              </w:rPr>
            </w:pPr>
            <w:r>
              <w:rPr>
                <w:rFonts w:ascii="Arial" w:cs="Arial" w:eastAsia="Arial" w:hAnsi="Arial"/>
                <w:sz w:val="16"/>
                <w:szCs w:val="16"/>
                <w:color w:val="auto"/>
              </w:rPr>
              <w:t>Funding of Borrowings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40</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2.08.</w:t>
            </w:r>
          </w:p>
        </w:tc>
        <w:tc>
          <w:tcPr>
            <w:tcW w:w="7360" w:type="dxa"/>
            <w:vAlign w:val="bottom"/>
          </w:tcPr>
          <w:p>
            <w:pPr>
              <w:ind w:left="740"/>
              <w:spacing w:after="0"/>
              <w:rPr>
                <w:sz w:val="20"/>
                <w:szCs w:val="20"/>
                <w:color w:val="auto"/>
              </w:rPr>
            </w:pPr>
            <w:r>
              <w:rPr>
                <w:rFonts w:ascii="Arial" w:cs="Arial" w:eastAsia="Arial" w:hAnsi="Arial"/>
                <w:sz w:val="16"/>
                <w:szCs w:val="16"/>
                <w:color w:val="auto"/>
              </w:rPr>
              <w:t>Interest Elections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40</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2.09.</w:t>
            </w:r>
          </w:p>
        </w:tc>
        <w:tc>
          <w:tcPr>
            <w:tcW w:w="7360" w:type="dxa"/>
            <w:vAlign w:val="bottom"/>
          </w:tcPr>
          <w:p>
            <w:pPr>
              <w:ind w:left="740"/>
              <w:spacing w:after="0"/>
              <w:rPr>
                <w:sz w:val="20"/>
                <w:szCs w:val="20"/>
                <w:color w:val="auto"/>
              </w:rPr>
            </w:pPr>
            <w:r>
              <w:rPr>
                <w:rFonts w:ascii="Arial" w:cs="Arial" w:eastAsia="Arial" w:hAnsi="Arial"/>
                <w:sz w:val="16"/>
                <w:szCs w:val="16"/>
                <w:color w:val="auto"/>
              </w:rPr>
              <w:t>Termination and Reduction of Commitments; Increase in Revolving Commitments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42</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2.10.</w:t>
            </w:r>
          </w:p>
        </w:tc>
        <w:tc>
          <w:tcPr>
            <w:tcW w:w="7360" w:type="dxa"/>
            <w:vAlign w:val="bottom"/>
          </w:tcPr>
          <w:p>
            <w:pPr>
              <w:ind w:left="740"/>
              <w:spacing w:after="0"/>
              <w:rPr>
                <w:sz w:val="20"/>
                <w:szCs w:val="20"/>
                <w:color w:val="auto"/>
              </w:rPr>
            </w:pPr>
            <w:r>
              <w:rPr>
                <w:rFonts w:ascii="Arial" w:cs="Arial" w:eastAsia="Arial" w:hAnsi="Arial"/>
                <w:sz w:val="16"/>
                <w:szCs w:val="16"/>
                <w:color w:val="auto"/>
              </w:rPr>
              <w:t>Repayment of Loans; Evidence of Debt</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43</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2.11.</w:t>
            </w:r>
          </w:p>
        </w:tc>
        <w:tc>
          <w:tcPr>
            <w:tcW w:w="7360" w:type="dxa"/>
            <w:vAlign w:val="bottom"/>
          </w:tcPr>
          <w:p>
            <w:pPr>
              <w:ind w:left="740"/>
              <w:spacing w:after="0"/>
              <w:rPr>
                <w:sz w:val="20"/>
                <w:szCs w:val="20"/>
                <w:color w:val="auto"/>
              </w:rPr>
            </w:pPr>
            <w:r>
              <w:rPr>
                <w:rFonts w:ascii="Arial" w:cs="Arial" w:eastAsia="Arial" w:hAnsi="Arial"/>
                <w:sz w:val="16"/>
                <w:szCs w:val="16"/>
                <w:color w:val="auto"/>
              </w:rPr>
              <w:t>Prepayment of Loans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44</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2.12.</w:t>
            </w:r>
          </w:p>
        </w:tc>
        <w:tc>
          <w:tcPr>
            <w:tcW w:w="7360" w:type="dxa"/>
            <w:vAlign w:val="bottom"/>
          </w:tcPr>
          <w:p>
            <w:pPr>
              <w:ind w:left="740"/>
              <w:spacing w:after="0"/>
              <w:rPr>
                <w:sz w:val="20"/>
                <w:szCs w:val="20"/>
                <w:color w:val="auto"/>
              </w:rPr>
            </w:pPr>
            <w:r>
              <w:rPr>
                <w:rFonts w:ascii="Arial" w:cs="Arial" w:eastAsia="Arial" w:hAnsi="Arial"/>
                <w:sz w:val="16"/>
                <w:szCs w:val="16"/>
                <w:color w:val="auto"/>
              </w:rPr>
              <w:t>Fees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45</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2.13.</w:t>
            </w:r>
          </w:p>
        </w:tc>
        <w:tc>
          <w:tcPr>
            <w:tcW w:w="7360" w:type="dxa"/>
            <w:vAlign w:val="bottom"/>
          </w:tcPr>
          <w:p>
            <w:pPr>
              <w:ind w:left="740"/>
              <w:spacing w:after="0"/>
              <w:rPr>
                <w:sz w:val="20"/>
                <w:szCs w:val="20"/>
                <w:color w:val="auto"/>
              </w:rPr>
            </w:pPr>
            <w:r>
              <w:rPr>
                <w:rFonts w:ascii="Arial" w:cs="Arial" w:eastAsia="Arial" w:hAnsi="Arial"/>
                <w:sz w:val="16"/>
                <w:szCs w:val="16"/>
                <w:color w:val="auto"/>
              </w:rPr>
              <w:t>Interest</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46</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2.14.</w:t>
            </w:r>
          </w:p>
        </w:tc>
        <w:tc>
          <w:tcPr>
            <w:tcW w:w="7360" w:type="dxa"/>
            <w:vAlign w:val="bottom"/>
          </w:tcPr>
          <w:p>
            <w:pPr>
              <w:ind w:left="740"/>
              <w:spacing w:after="0"/>
              <w:rPr>
                <w:sz w:val="20"/>
                <w:szCs w:val="20"/>
                <w:color w:val="auto"/>
              </w:rPr>
            </w:pPr>
            <w:r>
              <w:rPr>
                <w:rFonts w:ascii="Arial" w:cs="Arial" w:eastAsia="Arial" w:hAnsi="Arial"/>
                <w:sz w:val="16"/>
                <w:szCs w:val="16"/>
                <w:color w:val="auto"/>
              </w:rPr>
              <w:t>Alternate Rate of Interest</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47</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2.15.</w:t>
            </w:r>
          </w:p>
        </w:tc>
        <w:tc>
          <w:tcPr>
            <w:tcW w:w="7360" w:type="dxa"/>
            <w:vAlign w:val="bottom"/>
          </w:tcPr>
          <w:p>
            <w:pPr>
              <w:ind w:left="740"/>
              <w:spacing w:after="0"/>
              <w:rPr>
                <w:sz w:val="20"/>
                <w:szCs w:val="20"/>
                <w:color w:val="auto"/>
              </w:rPr>
            </w:pPr>
            <w:r>
              <w:rPr>
                <w:rFonts w:ascii="Arial" w:cs="Arial" w:eastAsia="Arial" w:hAnsi="Arial"/>
                <w:sz w:val="16"/>
                <w:szCs w:val="16"/>
                <w:color w:val="auto"/>
              </w:rPr>
              <w:t>Increased Costs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47</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2.16.</w:t>
            </w:r>
          </w:p>
        </w:tc>
        <w:tc>
          <w:tcPr>
            <w:tcW w:w="7360" w:type="dxa"/>
            <w:vAlign w:val="bottom"/>
          </w:tcPr>
          <w:p>
            <w:pPr>
              <w:ind w:left="740"/>
              <w:spacing w:after="0"/>
              <w:rPr>
                <w:sz w:val="20"/>
                <w:szCs w:val="20"/>
                <w:color w:val="auto"/>
              </w:rPr>
            </w:pPr>
            <w:r>
              <w:rPr>
                <w:rFonts w:ascii="Arial" w:cs="Arial" w:eastAsia="Arial" w:hAnsi="Arial"/>
                <w:sz w:val="16"/>
                <w:szCs w:val="16"/>
                <w:color w:val="auto"/>
              </w:rPr>
              <w:t>Break Funding Payments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48</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2.17.</w:t>
            </w:r>
          </w:p>
        </w:tc>
        <w:tc>
          <w:tcPr>
            <w:tcW w:w="7360" w:type="dxa"/>
            <w:vAlign w:val="bottom"/>
          </w:tcPr>
          <w:p>
            <w:pPr>
              <w:ind w:left="740"/>
              <w:spacing w:after="0"/>
              <w:rPr>
                <w:sz w:val="20"/>
                <w:szCs w:val="20"/>
                <w:color w:val="auto"/>
              </w:rPr>
            </w:pPr>
            <w:r>
              <w:rPr>
                <w:rFonts w:ascii="Arial" w:cs="Arial" w:eastAsia="Arial" w:hAnsi="Arial"/>
                <w:sz w:val="16"/>
                <w:szCs w:val="16"/>
                <w:color w:val="auto"/>
              </w:rPr>
              <w:t>Taxes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49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2.18.</w:t>
            </w:r>
          </w:p>
        </w:tc>
        <w:tc>
          <w:tcPr>
            <w:tcW w:w="7360" w:type="dxa"/>
            <w:vAlign w:val="bottom"/>
          </w:tcPr>
          <w:p>
            <w:pPr>
              <w:ind w:left="740"/>
              <w:spacing w:after="0"/>
              <w:rPr>
                <w:sz w:val="20"/>
                <w:szCs w:val="20"/>
                <w:color w:val="auto"/>
              </w:rPr>
            </w:pPr>
            <w:r>
              <w:rPr>
                <w:rFonts w:ascii="Arial" w:cs="Arial" w:eastAsia="Arial" w:hAnsi="Arial"/>
                <w:sz w:val="16"/>
                <w:szCs w:val="16"/>
                <w:color w:val="auto"/>
              </w:rPr>
              <w:t>Payments Generally; Allocation of Proceeds; Sharing of Set-offs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52</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2.19.</w:t>
            </w:r>
          </w:p>
        </w:tc>
        <w:tc>
          <w:tcPr>
            <w:tcW w:w="7360" w:type="dxa"/>
            <w:vAlign w:val="bottom"/>
          </w:tcPr>
          <w:p>
            <w:pPr>
              <w:ind w:left="740"/>
              <w:spacing w:after="0"/>
              <w:rPr>
                <w:sz w:val="20"/>
                <w:szCs w:val="20"/>
                <w:color w:val="auto"/>
              </w:rPr>
            </w:pPr>
            <w:r>
              <w:rPr>
                <w:rFonts w:ascii="Arial" w:cs="Arial" w:eastAsia="Arial" w:hAnsi="Arial"/>
                <w:sz w:val="16"/>
                <w:szCs w:val="16"/>
                <w:color w:val="auto"/>
              </w:rPr>
              <w:t>Mitigation Obligations; Replacement of Lenders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55</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2.20.</w:t>
            </w:r>
          </w:p>
        </w:tc>
        <w:tc>
          <w:tcPr>
            <w:tcW w:w="7360" w:type="dxa"/>
            <w:vAlign w:val="bottom"/>
          </w:tcPr>
          <w:p>
            <w:pPr>
              <w:ind w:left="740"/>
              <w:spacing w:after="0"/>
              <w:rPr>
                <w:sz w:val="20"/>
                <w:szCs w:val="20"/>
                <w:color w:val="auto"/>
              </w:rPr>
            </w:pPr>
            <w:r>
              <w:rPr>
                <w:rFonts w:ascii="Arial" w:cs="Arial" w:eastAsia="Arial" w:hAnsi="Arial"/>
                <w:sz w:val="16"/>
                <w:szCs w:val="16"/>
                <w:color w:val="auto"/>
              </w:rPr>
              <w:t>Defaulting Lenders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56</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2.21.</w:t>
            </w:r>
          </w:p>
        </w:tc>
        <w:tc>
          <w:tcPr>
            <w:tcW w:w="7360" w:type="dxa"/>
            <w:vAlign w:val="bottom"/>
          </w:tcPr>
          <w:p>
            <w:pPr>
              <w:ind w:left="740"/>
              <w:spacing w:after="0"/>
              <w:rPr>
                <w:sz w:val="20"/>
                <w:szCs w:val="20"/>
                <w:color w:val="auto"/>
              </w:rPr>
            </w:pPr>
            <w:r>
              <w:rPr>
                <w:rFonts w:ascii="Arial" w:cs="Arial" w:eastAsia="Arial" w:hAnsi="Arial"/>
                <w:sz w:val="16"/>
                <w:szCs w:val="16"/>
                <w:color w:val="auto"/>
              </w:rPr>
              <w:t>Returned Payments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57</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2.22.</w:t>
            </w:r>
          </w:p>
        </w:tc>
        <w:tc>
          <w:tcPr>
            <w:tcW w:w="7360" w:type="dxa"/>
            <w:vAlign w:val="bottom"/>
          </w:tcPr>
          <w:p>
            <w:pPr>
              <w:ind w:left="740"/>
              <w:spacing w:after="0"/>
              <w:rPr>
                <w:sz w:val="20"/>
                <w:szCs w:val="20"/>
                <w:color w:val="auto"/>
              </w:rPr>
            </w:pPr>
            <w:r>
              <w:rPr>
                <w:rFonts w:ascii="Arial" w:cs="Arial" w:eastAsia="Arial" w:hAnsi="Arial"/>
                <w:sz w:val="16"/>
                <w:szCs w:val="16"/>
                <w:color w:val="auto"/>
              </w:rPr>
              <w:t>Banking Services and Swap Agreements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57</w:t>
            </w:r>
          </w:p>
        </w:tc>
      </w:tr>
      <w:tr>
        <w:trPr>
          <w:trHeight w:val="190"/>
        </w:trPr>
        <w:tc>
          <w:tcPr>
            <w:tcW w:w="2420" w:type="dxa"/>
            <w:vAlign w:val="bottom"/>
          </w:tcPr>
          <w:p>
            <w:pPr>
              <w:spacing w:after="0"/>
              <w:rPr>
                <w:sz w:val="20"/>
                <w:szCs w:val="20"/>
                <w:color w:val="auto"/>
              </w:rPr>
            </w:pPr>
            <w:r>
              <w:rPr>
                <w:rFonts w:ascii="Arial" w:cs="Arial" w:eastAsia="Arial" w:hAnsi="Arial"/>
                <w:sz w:val="16"/>
                <w:szCs w:val="16"/>
                <w:color w:val="auto"/>
              </w:rPr>
              <w:t>ARTICLE III</w:t>
            </w:r>
          </w:p>
        </w:tc>
        <w:tc>
          <w:tcPr>
            <w:tcW w:w="7360" w:type="dxa"/>
            <w:vAlign w:val="bottom"/>
          </w:tcPr>
          <w:p>
            <w:pPr>
              <w:ind w:left="740"/>
              <w:spacing w:after="0"/>
              <w:rPr>
                <w:sz w:val="20"/>
                <w:szCs w:val="20"/>
                <w:color w:val="auto"/>
              </w:rPr>
            </w:pPr>
            <w:r>
              <w:rPr>
                <w:rFonts w:ascii="Arial" w:cs="Arial" w:eastAsia="Arial" w:hAnsi="Arial"/>
                <w:sz w:val="16"/>
                <w:szCs w:val="16"/>
                <w:color w:val="auto"/>
              </w:rPr>
              <w:t>Representations and Warranties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58</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3.01.</w:t>
            </w:r>
          </w:p>
        </w:tc>
        <w:tc>
          <w:tcPr>
            <w:tcW w:w="7360" w:type="dxa"/>
            <w:vAlign w:val="bottom"/>
          </w:tcPr>
          <w:p>
            <w:pPr>
              <w:ind w:left="740"/>
              <w:spacing w:after="0"/>
              <w:rPr>
                <w:sz w:val="20"/>
                <w:szCs w:val="20"/>
                <w:color w:val="auto"/>
              </w:rPr>
            </w:pPr>
            <w:r>
              <w:rPr>
                <w:rFonts w:ascii="Arial" w:cs="Arial" w:eastAsia="Arial" w:hAnsi="Arial"/>
                <w:sz w:val="16"/>
                <w:szCs w:val="16"/>
                <w:color w:val="auto"/>
              </w:rPr>
              <w:t>Organization; Powers</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58</w:t>
            </w:r>
          </w:p>
        </w:tc>
      </w:tr>
      <w:tr>
        <w:trPr>
          <w:trHeight w:val="201"/>
        </w:trPr>
        <w:tc>
          <w:tcPr>
            <w:tcW w:w="2420" w:type="dxa"/>
            <w:vAlign w:val="bottom"/>
          </w:tcPr>
          <w:p>
            <w:pPr>
              <w:ind w:left="680"/>
              <w:spacing w:after="0"/>
              <w:rPr>
                <w:sz w:val="20"/>
                <w:szCs w:val="20"/>
                <w:color w:val="auto"/>
              </w:rPr>
            </w:pPr>
            <w:r>
              <w:rPr>
                <w:rFonts w:ascii="Arial" w:cs="Arial" w:eastAsia="Arial" w:hAnsi="Arial"/>
                <w:sz w:val="16"/>
                <w:szCs w:val="16"/>
                <w:color w:val="auto"/>
              </w:rPr>
              <w:t>SECTION 3.02.</w:t>
            </w:r>
          </w:p>
        </w:tc>
        <w:tc>
          <w:tcPr>
            <w:tcW w:w="7360" w:type="dxa"/>
            <w:vAlign w:val="bottom"/>
          </w:tcPr>
          <w:p>
            <w:pPr>
              <w:ind w:left="740"/>
              <w:spacing w:after="0"/>
              <w:rPr>
                <w:sz w:val="20"/>
                <w:szCs w:val="20"/>
                <w:color w:val="auto"/>
              </w:rPr>
            </w:pPr>
            <w:r>
              <w:rPr>
                <w:rFonts w:ascii="Arial" w:cs="Arial" w:eastAsia="Arial" w:hAnsi="Arial"/>
                <w:sz w:val="16"/>
                <w:szCs w:val="16"/>
                <w:color w:val="auto"/>
              </w:rPr>
              <w:t>Authorization; Enforceability</w:t>
            </w:r>
          </w:p>
        </w:tc>
        <w:tc>
          <w:tcPr>
            <w:tcW w:w="1660" w:type="dxa"/>
            <w:vAlign w:val="bottom"/>
          </w:tcPr>
          <w:p>
            <w:pPr>
              <w:jc w:val="right"/>
              <w:ind w:right="61"/>
              <w:spacing w:after="0"/>
              <w:rPr>
                <w:sz w:val="20"/>
                <w:szCs w:val="20"/>
                <w:color w:val="auto"/>
              </w:rPr>
            </w:pPr>
            <w:r>
              <w:rPr>
                <w:rFonts w:ascii="Arial" w:cs="Arial" w:eastAsia="Arial" w:hAnsi="Arial"/>
                <w:sz w:val="16"/>
                <w:szCs w:val="16"/>
                <w:color w:val="auto"/>
              </w:rPr>
              <w:t>58</w:t>
            </w:r>
          </w:p>
        </w:tc>
      </w:tr>
      <w:tr>
        <w:trPr>
          <w:trHeight w:val="1066"/>
        </w:trPr>
        <w:tc>
          <w:tcPr>
            <w:tcW w:w="2420" w:type="dxa"/>
            <w:vAlign w:val="bottom"/>
            <w:tcBorders>
              <w:bottom w:val="single" w:sz="8" w:color="808080"/>
            </w:tcBorders>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3.03.</w:t>
            </w:r>
          </w:p>
        </w:tc>
        <w:tc>
          <w:tcPr>
            <w:tcW w:w="7720" w:type="dxa"/>
            <w:vAlign w:val="bottom"/>
          </w:tcPr>
          <w:p>
            <w:pPr>
              <w:ind w:left="740"/>
              <w:spacing w:after="0"/>
              <w:rPr>
                <w:sz w:val="20"/>
                <w:szCs w:val="20"/>
                <w:color w:val="auto"/>
              </w:rPr>
            </w:pPr>
            <w:r>
              <w:rPr>
                <w:rFonts w:ascii="Arial" w:cs="Arial" w:eastAsia="Arial" w:hAnsi="Arial"/>
                <w:sz w:val="16"/>
                <w:szCs w:val="16"/>
                <w:color w:val="auto"/>
              </w:rPr>
              <w:t>Governmental Approvals; No Conflicts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58</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3.04.</w:t>
            </w:r>
          </w:p>
        </w:tc>
        <w:tc>
          <w:tcPr>
            <w:tcW w:w="7720" w:type="dxa"/>
            <w:vAlign w:val="bottom"/>
          </w:tcPr>
          <w:p>
            <w:pPr>
              <w:ind w:left="740"/>
              <w:spacing w:after="0"/>
              <w:rPr>
                <w:sz w:val="20"/>
                <w:szCs w:val="20"/>
                <w:color w:val="auto"/>
              </w:rPr>
            </w:pPr>
            <w:r>
              <w:rPr>
                <w:rFonts w:ascii="Arial" w:cs="Arial" w:eastAsia="Arial" w:hAnsi="Arial"/>
                <w:sz w:val="16"/>
                <w:szCs w:val="16"/>
                <w:color w:val="auto"/>
              </w:rPr>
              <w:t>Litigation</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58</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3.05.</w:t>
            </w:r>
          </w:p>
        </w:tc>
        <w:tc>
          <w:tcPr>
            <w:tcW w:w="7720" w:type="dxa"/>
            <w:vAlign w:val="bottom"/>
          </w:tcPr>
          <w:p>
            <w:pPr>
              <w:ind w:left="740"/>
              <w:spacing w:after="0"/>
              <w:rPr>
                <w:sz w:val="20"/>
                <w:szCs w:val="20"/>
                <w:color w:val="auto"/>
              </w:rPr>
            </w:pPr>
            <w:r>
              <w:rPr>
                <w:rFonts w:ascii="Arial" w:cs="Arial" w:eastAsia="Arial" w:hAnsi="Arial"/>
                <w:sz w:val="16"/>
                <w:szCs w:val="16"/>
                <w:color w:val="auto"/>
              </w:rPr>
              <w:t>Financial Condition; No Material Adverse Change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3.06.</w:t>
            </w:r>
          </w:p>
        </w:tc>
        <w:tc>
          <w:tcPr>
            <w:tcW w:w="7720" w:type="dxa"/>
            <w:vAlign w:val="bottom"/>
          </w:tcPr>
          <w:p>
            <w:pPr>
              <w:ind w:left="740"/>
              <w:spacing w:after="0"/>
              <w:rPr>
                <w:sz w:val="20"/>
                <w:szCs w:val="20"/>
                <w:color w:val="auto"/>
              </w:rPr>
            </w:pPr>
            <w:r>
              <w:rPr>
                <w:rFonts w:ascii="Arial" w:cs="Arial" w:eastAsia="Arial" w:hAnsi="Arial"/>
                <w:sz w:val="16"/>
                <w:szCs w:val="16"/>
                <w:color w:val="auto"/>
              </w:rPr>
              <w:t>Compliance with Laws and Agreements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3.07.</w:t>
            </w:r>
          </w:p>
        </w:tc>
        <w:tc>
          <w:tcPr>
            <w:tcW w:w="7720" w:type="dxa"/>
            <w:vAlign w:val="bottom"/>
          </w:tcPr>
          <w:p>
            <w:pPr>
              <w:ind w:left="740"/>
              <w:spacing w:after="0"/>
              <w:rPr>
                <w:sz w:val="20"/>
                <w:szCs w:val="20"/>
                <w:color w:val="auto"/>
              </w:rPr>
            </w:pPr>
            <w:r>
              <w:rPr>
                <w:rFonts w:ascii="Arial" w:cs="Arial" w:eastAsia="Arial" w:hAnsi="Arial"/>
                <w:sz w:val="16"/>
                <w:szCs w:val="16"/>
                <w:color w:val="auto"/>
              </w:rPr>
              <w:t>Investment Company Status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3.08.</w:t>
            </w:r>
          </w:p>
        </w:tc>
        <w:tc>
          <w:tcPr>
            <w:tcW w:w="7720" w:type="dxa"/>
            <w:vAlign w:val="bottom"/>
          </w:tcPr>
          <w:p>
            <w:pPr>
              <w:ind w:left="740"/>
              <w:spacing w:after="0"/>
              <w:rPr>
                <w:sz w:val="20"/>
                <w:szCs w:val="20"/>
                <w:color w:val="auto"/>
              </w:rPr>
            </w:pPr>
            <w:r>
              <w:rPr>
                <w:rFonts w:ascii="Arial" w:cs="Arial" w:eastAsia="Arial" w:hAnsi="Arial"/>
                <w:sz w:val="16"/>
                <w:szCs w:val="16"/>
                <w:color w:val="auto"/>
              </w:rPr>
              <w:t>Taxes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3.09.</w:t>
            </w:r>
          </w:p>
        </w:tc>
        <w:tc>
          <w:tcPr>
            <w:tcW w:w="7720" w:type="dxa"/>
            <w:vAlign w:val="bottom"/>
          </w:tcPr>
          <w:p>
            <w:pPr>
              <w:ind w:left="740"/>
              <w:spacing w:after="0"/>
              <w:rPr>
                <w:sz w:val="20"/>
                <w:szCs w:val="20"/>
                <w:color w:val="auto"/>
              </w:rPr>
            </w:pPr>
            <w:r>
              <w:rPr>
                <w:rFonts w:ascii="Arial" w:cs="Arial" w:eastAsia="Arial" w:hAnsi="Arial"/>
                <w:sz w:val="16"/>
                <w:szCs w:val="16"/>
                <w:color w:val="auto"/>
              </w:rPr>
              <w:t>Disclosure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59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3.10.</w:t>
            </w:r>
          </w:p>
        </w:tc>
        <w:tc>
          <w:tcPr>
            <w:tcW w:w="7720" w:type="dxa"/>
            <w:vAlign w:val="bottom"/>
          </w:tcPr>
          <w:p>
            <w:pPr>
              <w:ind w:left="740"/>
              <w:spacing w:after="0"/>
              <w:rPr>
                <w:sz w:val="20"/>
                <w:szCs w:val="20"/>
                <w:color w:val="auto"/>
              </w:rPr>
            </w:pPr>
            <w:r>
              <w:rPr>
                <w:rFonts w:ascii="Arial" w:cs="Arial" w:eastAsia="Arial" w:hAnsi="Arial"/>
                <w:sz w:val="16"/>
                <w:szCs w:val="16"/>
                <w:color w:val="auto"/>
              </w:rPr>
              <w:t>Solvency</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60</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3.11.</w:t>
            </w:r>
          </w:p>
        </w:tc>
        <w:tc>
          <w:tcPr>
            <w:tcW w:w="7720" w:type="dxa"/>
            <w:vAlign w:val="bottom"/>
          </w:tcPr>
          <w:p>
            <w:pPr>
              <w:ind w:left="740"/>
              <w:spacing w:after="0"/>
              <w:rPr>
                <w:sz w:val="20"/>
                <w:szCs w:val="20"/>
                <w:color w:val="auto"/>
              </w:rPr>
            </w:pPr>
            <w:r>
              <w:rPr>
                <w:rFonts w:ascii="Arial" w:cs="Arial" w:eastAsia="Arial" w:hAnsi="Arial"/>
                <w:sz w:val="16"/>
                <w:szCs w:val="16"/>
                <w:color w:val="auto"/>
              </w:rPr>
              <w:t>Capitalization</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60</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3.12.</w:t>
            </w:r>
          </w:p>
        </w:tc>
        <w:tc>
          <w:tcPr>
            <w:tcW w:w="7720" w:type="dxa"/>
            <w:vAlign w:val="bottom"/>
          </w:tcPr>
          <w:p>
            <w:pPr>
              <w:ind w:left="740"/>
              <w:spacing w:after="0"/>
              <w:rPr>
                <w:sz w:val="20"/>
                <w:szCs w:val="20"/>
                <w:color w:val="auto"/>
              </w:rPr>
            </w:pPr>
            <w:r>
              <w:rPr>
                <w:rFonts w:ascii="Arial" w:cs="Arial" w:eastAsia="Arial" w:hAnsi="Arial"/>
                <w:sz w:val="16"/>
                <w:szCs w:val="16"/>
                <w:color w:val="auto"/>
              </w:rPr>
              <w:t>Security Interest in Collateral</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60</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3.13.</w:t>
            </w:r>
          </w:p>
        </w:tc>
        <w:tc>
          <w:tcPr>
            <w:tcW w:w="7720" w:type="dxa"/>
            <w:vAlign w:val="bottom"/>
          </w:tcPr>
          <w:p>
            <w:pPr>
              <w:ind w:left="740"/>
              <w:spacing w:after="0"/>
              <w:rPr>
                <w:sz w:val="20"/>
                <w:szCs w:val="20"/>
                <w:color w:val="auto"/>
              </w:rPr>
            </w:pPr>
            <w:r>
              <w:rPr>
                <w:rFonts w:ascii="Arial" w:cs="Arial" w:eastAsia="Arial" w:hAnsi="Arial"/>
                <w:sz w:val="16"/>
                <w:szCs w:val="16"/>
                <w:color w:val="auto"/>
              </w:rPr>
              <w:t>Sanctions Laws and Regulations; Anti-Corruptions Laws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3.14.</w:t>
            </w:r>
          </w:p>
        </w:tc>
        <w:tc>
          <w:tcPr>
            <w:tcW w:w="7720" w:type="dxa"/>
            <w:vAlign w:val="bottom"/>
          </w:tcPr>
          <w:p>
            <w:pPr>
              <w:ind w:left="740"/>
              <w:spacing w:after="0"/>
              <w:rPr>
                <w:sz w:val="20"/>
                <w:szCs w:val="20"/>
                <w:color w:val="auto"/>
              </w:rPr>
            </w:pPr>
            <w:r>
              <w:rPr>
                <w:rFonts w:ascii="Arial" w:cs="Arial" w:eastAsia="Arial" w:hAnsi="Arial"/>
                <w:sz w:val="16"/>
                <w:szCs w:val="16"/>
                <w:color w:val="auto"/>
              </w:rPr>
              <w:t>Environmental Matters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3.15.</w:t>
            </w:r>
          </w:p>
        </w:tc>
        <w:tc>
          <w:tcPr>
            <w:tcW w:w="7720" w:type="dxa"/>
            <w:vAlign w:val="bottom"/>
          </w:tcPr>
          <w:p>
            <w:pPr>
              <w:ind w:left="740"/>
              <w:spacing w:after="0"/>
              <w:rPr>
                <w:sz w:val="20"/>
                <w:szCs w:val="20"/>
                <w:color w:val="auto"/>
              </w:rPr>
            </w:pPr>
            <w:r>
              <w:rPr>
                <w:rFonts w:ascii="Arial" w:cs="Arial" w:eastAsia="Arial" w:hAnsi="Arial"/>
                <w:sz w:val="16"/>
                <w:szCs w:val="16"/>
                <w:color w:val="auto"/>
              </w:rPr>
              <w:t>Properties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3.16.</w:t>
            </w:r>
          </w:p>
        </w:tc>
        <w:tc>
          <w:tcPr>
            <w:tcW w:w="7720" w:type="dxa"/>
            <w:vAlign w:val="bottom"/>
          </w:tcPr>
          <w:p>
            <w:pPr>
              <w:ind w:left="740"/>
              <w:spacing w:after="0"/>
              <w:rPr>
                <w:sz w:val="20"/>
                <w:szCs w:val="20"/>
                <w:color w:val="auto"/>
              </w:rPr>
            </w:pPr>
            <w:r>
              <w:rPr>
                <w:rFonts w:ascii="Arial" w:cs="Arial" w:eastAsia="Arial" w:hAnsi="Arial"/>
                <w:sz w:val="16"/>
                <w:szCs w:val="16"/>
                <w:color w:val="auto"/>
              </w:rPr>
              <w:t>Insurance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61</w:t>
            </w:r>
          </w:p>
        </w:tc>
      </w:tr>
      <w:tr>
        <w:trPr>
          <w:trHeight w:val="190"/>
        </w:trPr>
        <w:tc>
          <w:tcPr>
            <w:tcW w:w="2420" w:type="dxa"/>
            <w:vAlign w:val="bottom"/>
          </w:tcPr>
          <w:p>
            <w:pPr>
              <w:spacing w:after="0"/>
              <w:rPr>
                <w:sz w:val="20"/>
                <w:szCs w:val="20"/>
                <w:color w:val="auto"/>
              </w:rPr>
            </w:pPr>
            <w:r>
              <w:rPr>
                <w:rFonts w:ascii="Arial" w:cs="Arial" w:eastAsia="Arial" w:hAnsi="Arial"/>
                <w:sz w:val="16"/>
                <w:szCs w:val="16"/>
                <w:color w:val="auto"/>
              </w:rPr>
              <w:t>ARTICLE IV</w:t>
            </w:r>
          </w:p>
        </w:tc>
        <w:tc>
          <w:tcPr>
            <w:tcW w:w="7720" w:type="dxa"/>
            <w:vAlign w:val="bottom"/>
          </w:tcPr>
          <w:p>
            <w:pPr>
              <w:ind w:left="740"/>
              <w:spacing w:after="0"/>
              <w:rPr>
                <w:sz w:val="20"/>
                <w:szCs w:val="20"/>
                <w:color w:val="auto"/>
              </w:rPr>
            </w:pPr>
            <w:r>
              <w:rPr>
                <w:rFonts w:ascii="Arial" w:cs="Arial" w:eastAsia="Arial" w:hAnsi="Arial"/>
                <w:sz w:val="16"/>
                <w:szCs w:val="16"/>
                <w:color w:val="auto"/>
              </w:rPr>
              <w:t>Conditions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62</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4.01.</w:t>
            </w:r>
          </w:p>
        </w:tc>
        <w:tc>
          <w:tcPr>
            <w:tcW w:w="7720" w:type="dxa"/>
            <w:vAlign w:val="bottom"/>
          </w:tcPr>
          <w:p>
            <w:pPr>
              <w:ind w:left="740"/>
              <w:spacing w:after="0"/>
              <w:rPr>
                <w:sz w:val="20"/>
                <w:szCs w:val="20"/>
                <w:color w:val="auto"/>
              </w:rPr>
            </w:pPr>
            <w:r>
              <w:rPr>
                <w:rFonts w:ascii="Arial" w:cs="Arial" w:eastAsia="Arial" w:hAnsi="Arial"/>
                <w:sz w:val="16"/>
                <w:szCs w:val="16"/>
                <w:color w:val="auto"/>
              </w:rPr>
              <w:t>Effective Date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62</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4.02.</w:t>
            </w:r>
          </w:p>
        </w:tc>
        <w:tc>
          <w:tcPr>
            <w:tcW w:w="7720" w:type="dxa"/>
            <w:vAlign w:val="bottom"/>
          </w:tcPr>
          <w:p>
            <w:pPr>
              <w:ind w:left="740"/>
              <w:spacing w:after="0"/>
              <w:rPr>
                <w:sz w:val="20"/>
                <w:szCs w:val="20"/>
                <w:color w:val="auto"/>
              </w:rPr>
            </w:pPr>
            <w:r>
              <w:rPr>
                <w:rFonts w:ascii="Arial" w:cs="Arial" w:eastAsia="Arial" w:hAnsi="Arial"/>
                <w:sz w:val="16"/>
                <w:szCs w:val="16"/>
                <w:color w:val="auto"/>
              </w:rPr>
              <w:t>Each Credit Event</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65</w:t>
            </w:r>
          </w:p>
        </w:tc>
      </w:tr>
      <w:tr>
        <w:trPr>
          <w:trHeight w:val="190"/>
        </w:trPr>
        <w:tc>
          <w:tcPr>
            <w:tcW w:w="2420" w:type="dxa"/>
            <w:vAlign w:val="bottom"/>
          </w:tcPr>
          <w:p>
            <w:pPr>
              <w:spacing w:after="0"/>
              <w:rPr>
                <w:sz w:val="20"/>
                <w:szCs w:val="20"/>
                <w:color w:val="auto"/>
              </w:rPr>
            </w:pPr>
            <w:r>
              <w:rPr>
                <w:rFonts w:ascii="Arial" w:cs="Arial" w:eastAsia="Arial" w:hAnsi="Arial"/>
                <w:sz w:val="16"/>
                <w:szCs w:val="16"/>
                <w:color w:val="auto"/>
              </w:rPr>
              <w:t>ARTICLE V</w:t>
            </w:r>
          </w:p>
        </w:tc>
        <w:tc>
          <w:tcPr>
            <w:tcW w:w="7720" w:type="dxa"/>
            <w:vAlign w:val="bottom"/>
          </w:tcPr>
          <w:p>
            <w:pPr>
              <w:ind w:left="740"/>
              <w:spacing w:after="0"/>
              <w:rPr>
                <w:sz w:val="20"/>
                <w:szCs w:val="20"/>
                <w:color w:val="auto"/>
              </w:rPr>
            </w:pPr>
            <w:r>
              <w:rPr>
                <w:rFonts w:ascii="Arial" w:cs="Arial" w:eastAsia="Arial" w:hAnsi="Arial"/>
                <w:sz w:val="16"/>
                <w:szCs w:val="16"/>
                <w:color w:val="auto"/>
              </w:rPr>
              <w:t>Affirmative Covenants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65</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5.01.</w:t>
            </w:r>
          </w:p>
        </w:tc>
        <w:tc>
          <w:tcPr>
            <w:tcW w:w="7720" w:type="dxa"/>
            <w:vAlign w:val="bottom"/>
          </w:tcPr>
          <w:p>
            <w:pPr>
              <w:ind w:left="740"/>
              <w:spacing w:after="0"/>
              <w:rPr>
                <w:sz w:val="20"/>
                <w:szCs w:val="20"/>
                <w:color w:val="auto"/>
              </w:rPr>
            </w:pPr>
            <w:r>
              <w:rPr>
                <w:rFonts w:ascii="Arial" w:cs="Arial" w:eastAsia="Arial" w:hAnsi="Arial"/>
                <w:sz w:val="16"/>
                <w:szCs w:val="16"/>
                <w:color w:val="auto"/>
              </w:rPr>
              <w:t>Financial Statements; Borrowing Base and Other Information</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65</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5.02.</w:t>
            </w:r>
          </w:p>
        </w:tc>
        <w:tc>
          <w:tcPr>
            <w:tcW w:w="7720" w:type="dxa"/>
            <w:vAlign w:val="bottom"/>
          </w:tcPr>
          <w:p>
            <w:pPr>
              <w:ind w:left="740"/>
              <w:spacing w:after="0"/>
              <w:rPr>
                <w:sz w:val="20"/>
                <w:szCs w:val="20"/>
                <w:color w:val="auto"/>
              </w:rPr>
            </w:pPr>
            <w:r>
              <w:rPr>
                <w:rFonts w:ascii="Arial" w:cs="Arial" w:eastAsia="Arial" w:hAnsi="Arial"/>
                <w:sz w:val="16"/>
                <w:szCs w:val="16"/>
                <w:color w:val="auto"/>
              </w:rPr>
              <w:t>Notices of Material Events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68</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5.03.</w:t>
            </w:r>
          </w:p>
        </w:tc>
        <w:tc>
          <w:tcPr>
            <w:tcW w:w="7720" w:type="dxa"/>
            <w:vAlign w:val="bottom"/>
          </w:tcPr>
          <w:p>
            <w:pPr>
              <w:ind w:left="740"/>
              <w:spacing w:after="0"/>
              <w:rPr>
                <w:sz w:val="20"/>
                <w:szCs w:val="20"/>
                <w:color w:val="auto"/>
              </w:rPr>
            </w:pPr>
            <w:r>
              <w:rPr>
                <w:rFonts w:ascii="Arial" w:cs="Arial" w:eastAsia="Arial" w:hAnsi="Arial"/>
                <w:sz w:val="16"/>
                <w:szCs w:val="16"/>
                <w:color w:val="auto"/>
              </w:rPr>
              <w:t>Existence; Conduct of Business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5.04.</w:t>
            </w:r>
          </w:p>
        </w:tc>
        <w:tc>
          <w:tcPr>
            <w:tcW w:w="7720" w:type="dxa"/>
            <w:vAlign w:val="bottom"/>
          </w:tcPr>
          <w:p>
            <w:pPr>
              <w:ind w:left="740"/>
              <w:spacing w:after="0"/>
              <w:rPr>
                <w:sz w:val="20"/>
                <w:szCs w:val="20"/>
                <w:color w:val="auto"/>
              </w:rPr>
            </w:pPr>
            <w:r>
              <w:rPr>
                <w:rFonts w:ascii="Arial" w:cs="Arial" w:eastAsia="Arial" w:hAnsi="Arial"/>
                <w:sz w:val="16"/>
                <w:szCs w:val="16"/>
                <w:color w:val="auto"/>
              </w:rPr>
              <w:t>Payment of Taxes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5.05.</w:t>
            </w:r>
          </w:p>
        </w:tc>
        <w:tc>
          <w:tcPr>
            <w:tcW w:w="7720" w:type="dxa"/>
            <w:vAlign w:val="bottom"/>
          </w:tcPr>
          <w:p>
            <w:pPr>
              <w:ind w:left="740"/>
              <w:spacing w:after="0"/>
              <w:rPr>
                <w:sz w:val="20"/>
                <w:szCs w:val="20"/>
                <w:color w:val="auto"/>
              </w:rPr>
            </w:pPr>
            <w:r>
              <w:rPr>
                <w:rFonts w:ascii="Arial" w:cs="Arial" w:eastAsia="Arial" w:hAnsi="Arial"/>
                <w:sz w:val="16"/>
                <w:szCs w:val="16"/>
                <w:color w:val="auto"/>
              </w:rPr>
              <w:t>Books and Records; Inspection Rights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5.06.</w:t>
            </w:r>
          </w:p>
        </w:tc>
        <w:tc>
          <w:tcPr>
            <w:tcW w:w="7720" w:type="dxa"/>
            <w:vAlign w:val="bottom"/>
          </w:tcPr>
          <w:p>
            <w:pPr>
              <w:ind w:left="740"/>
              <w:spacing w:after="0"/>
              <w:rPr>
                <w:sz w:val="20"/>
                <w:szCs w:val="20"/>
                <w:color w:val="auto"/>
              </w:rPr>
            </w:pPr>
            <w:r>
              <w:rPr>
                <w:rFonts w:ascii="Arial" w:cs="Arial" w:eastAsia="Arial" w:hAnsi="Arial"/>
                <w:sz w:val="16"/>
                <w:szCs w:val="16"/>
                <w:color w:val="auto"/>
              </w:rPr>
              <w:t>Compliance with Laws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69</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5.07.</w:t>
            </w:r>
          </w:p>
        </w:tc>
        <w:tc>
          <w:tcPr>
            <w:tcW w:w="7720" w:type="dxa"/>
            <w:vAlign w:val="bottom"/>
          </w:tcPr>
          <w:p>
            <w:pPr>
              <w:ind w:left="740"/>
              <w:spacing w:after="0"/>
              <w:rPr>
                <w:sz w:val="20"/>
                <w:szCs w:val="20"/>
                <w:color w:val="auto"/>
              </w:rPr>
            </w:pPr>
            <w:r>
              <w:rPr>
                <w:rFonts w:ascii="Arial" w:cs="Arial" w:eastAsia="Arial" w:hAnsi="Arial"/>
                <w:sz w:val="16"/>
                <w:szCs w:val="16"/>
                <w:color w:val="auto"/>
              </w:rPr>
              <w:t>Use of Proceeds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70</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5.08.</w:t>
            </w:r>
          </w:p>
        </w:tc>
        <w:tc>
          <w:tcPr>
            <w:tcW w:w="7720" w:type="dxa"/>
            <w:vAlign w:val="bottom"/>
          </w:tcPr>
          <w:p>
            <w:pPr>
              <w:ind w:left="740"/>
              <w:spacing w:after="0"/>
              <w:rPr>
                <w:sz w:val="20"/>
                <w:szCs w:val="20"/>
                <w:color w:val="auto"/>
              </w:rPr>
            </w:pPr>
            <w:r>
              <w:rPr>
                <w:rFonts w:ascii="Arial" w:cs="Arial" w:eastAsia="Arial" w:hAnsi="Arial"/>
                <w:sz w:val="16"/>
                <w:szCs w:val="16"/>
                <w:color w:val="auto"/>
              </w:rPr>
              <w:t>Cash Management Banks; Collateral Deposit Accounts; Deposit Account Control Agreements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70</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5.09.</w:t>
            </w:r>
          </w:p>
        </w:tc>
        <w:tc>
          <w:tcPr>
            <w:tcW w:w="7720" w:type="dxa"/>
            <w:vAlign w:val="bottom"/>
          </w:tcPr>
          <w:p>
            <w:pPr>
              <w:ind w:left="740"/>
              <w:spacing w:after="0"/>
              <w:rPr>
                <w:sz w:val="20"/>
                <w:szCs w:val="20"/>
                <w:color w:val="auto"/>
              </w:rPr>
            </w:pPr>
            <w:r>
              <w:rPr>
                <w:rFonts w:ascii="Arial" w:cs="Arial" w:eastAsia="Arial" w:hAnsi="Arial"/>
                <w:sz w:val="16"/>
                <w:szCs w:val="16"/>
                <w:color w:val="auto"/>
              </w:rPr>
              <w:t>Further Assurances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5.10.</w:t>
            </w:r>
          </w:p>
        </w:tc>
        <w:tc>
          <w:tcPr>
            <w:tcW w:w="7720" w:type="dxa"/>
            <w:vAlign w:val="bottom"/>
          </w:tcPr>
          <w:p>
            <w:pPr>
              <w:ind w:left="740"/>
              <w:spacing w:after="0"/>
              <w:rPr>
                <w:sz w:val="20"/>
                <w:szCs w:val="20"/>
                <w:color w:val="auto"/>
              </w:rPr>
            </w:pPr>
            <w:r>
              <w:rPr>
                <w:rFonts w:ascii="Arial" w:cs="Arial" w:eastAsia="Arial" w:hAnsi="Arial"/>
                <w:sz w:val="16"/>
                <w:szCs w:val="16"/>
                <w:color w:val="auto"/>
              </w:rPr>
              <w:t>Sanctions Laws and Regulations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71</w:t>
            </w:r>
          </w:p>
        </w:tc>
      </w:tr>
      <w:tr>
        <w:trPr>
          <w:trHeight w:val="190"/>
        </w:trPr>
        <w:tc>
          <w:tcPr>
            <w:tcW w:w="2420" w:type="dxa"/>
            <w:vAlign w:val="bottom"/>
          </w:tcPr>
          <w:p>
            <w:pPr>
              <w:ind w:left="680"/>
              <w:spacing w:after="0"/>
              <w:rPr>
                <w:sz w:val="20"/>
                <w:szCs w:val="20"/>
                <w:color w:val="auto"/>
              </w:rPr>
            </w:pPr>
            <w:r>
              <w:rPr>
                <w:rFonts w:ascii="Arial" w:cs="Arial" w:eastAsia="Arial" w:hAnsi="Arial"/>
                <w:sz w:val="16"/>
                <w:szCs w:val="16"/>
                <w:color w:val="auto"/>
              </w:rPr>
              <w:t>SECTION 5.11.</w:t>
            </w:r>
          </w:p>
        </w:tc>
        <w:tc>
          <w:tcPr>
            <w:tcW w:w="7720" w:type="dxa"/>
            <w:vAlign w:val="bottom"/>
          </w:tcPr>
          <w:p>
            <w:pPr>
              <w:ind w:left="740"/>
              <w:spacing w:after="0"/>
              <w:rPr>
                <w:sz w:val="20"/>
                <w:szCs w:val="20"/>
                <w:color w:val="auto"/>
              </w:rPr>
            </w:pPr>
            <w:r>
              <w:rPr>
                <w:rFonts w:ascii="Arial" w:cs="Arial" w:eastAsia="Arial" w:hAnsi="Arial"/>
                <w:sz w:val="16"/>
                <w:szCs w:val="16"/>
                <w:color w:val="auto"/>
              </w:rPr>
              <w:t>Insurance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71</w:t>
            </w:r>
          </w:p>
        </w:tc>
      </w:tr>
      <w:tr>
        <w:trPr>
          <w:trHeight w:val="190"/>
        </w:trPr>
        <w:tc>
          <w:tcPr>
            <w:tcW w:w="2420" w:type="dxa"/>
            <w:vAlign w:val="bottom"/>
          </w:tcPr>
          <w:p>
            <w:pPr>
              <w:spacing w:after="0"/>
              <w:rPr>
                <w:sz w:val="20"/>
                <w:szCs w:val="20"/>
                <w:color w:val="auto"/>
              </w:rPr>
            </w:pPr>
            <w:r>
              <w:rPr>
                <w:rFonts w:ascii="Arial" w:cs="Arial" w:eastAsia="Arial" w:hAnsi="Arial"/>
                <w:sz w:val="16"/>
                <w:szCs w:val="16"/>
                <w:color w:val="auto"/>
              </w:rPr>
              <w:t>ARTICLE VI</w:t>
            </w:r>
          </w:p>
        </w:tc>
        <w:tc>
          <w:tcPr>
            <w:tcW w:w="7720" w:type="dxa"/>
            <w:vAlign w:val="bottom"/>
          </w:tcPr>
          <w:p>
            <w:pPr>
              <w:ind w:left="740"/>
              <w:spacing w:after="0"/>
              <w:rPr>
                <w:sz w:val="20"/>
                <w:szCs w:val="20"/>
                <w:color w:val="auto"/>
              </w:rPr>
            </w:pPr>
            <w:r>
              <w:rPr>
                <w:rFonts w:ascii="Arial" w:cs="Arial" w:eastAsia="Arial" w:hAnsi="Arial"/>
                <w:sz w:val="16"/>
                <w:szCs w:val="16"/>
                <w:color w:val="auto"/>
              </w:rPr>
              <w:t>Negative Covenants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72</w:t>
            </w:r>
          </w:p>
        </w:tc>
      </w:tr>
      <w:tr>
        <w:trPr>
          <w:trHeight w:val="201"/>
        </w:trPr>
        <w:tc>
          <w:tcPr>
            <w:tcW w:w="2420" w:type="dxa"/>
            <w:vAlign w:val="bottom"/>
          </w:tcPr>
          <w:p>
            <w:pPr>
              <w:ind w:left="680"/>
              <w:spacing w:after="0"/>
              <w:rPr>
                <w:sz w:val="20"/>
                <w:szCs w:val="20"/>
                <w:color w:val="auto"/>
              </w:rPr>
            </w:pPr>
            <w:r>
              <w:rPr>
                <w:rFonts w:ascii="Arial" w:cs="Arial" w:eastAsia="Arial" w:hAnsi="Arial"/>
                <w:sz w:val="16"/>
                <w:szCs w:val="16"/>
                <w:color w:val="auto"/>
              </w:rPr>
              <w:t>SECTION 6.01.</w:t>
            </w:r>
          </w:p>
        </w:tc>
        <w:tc>
          <w:tcPr>
            <w:tcW w:w="7720" w:type="dxa"/>
            <w:vAlign w:val="bottom"/>
          </w:tcPr>
          <w:p>
            <w:pPr>
              <w:ind w:left="740"/>
              <w:spacing w:after="0"/>
              <w:rPr>
                <w:sz w:val="20"/>
                <w:szCs w:val="20"/>
                <w:color w:val="auto"/>
              </w:rPr>
            </w:pPr>
            <w:r>
              <w:rPr>
                <w:rFonts w:ascii="Arial" w:cs="Arial" w:eastAsia="Arial" w:hAnsi="Arial"/>
                <w:sz w:val="16"/>
                <w:szCs w:val="16"/>
                <w:color w:val="auto"/>
              </w:rPr>
              <w:t>Indebtedness</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72</w:t>
            </w:r>
          </w:p>
        </w:tc>
      </w:tr>
      <w:tr>
        <w:trPr>
          <w:trHeight w:val="1066"/>
        </w:trPr>
        <w:tc>
          <w:tcPr>
            <w:tcW w:w="2420" w:type="dxa"/>
            <w:vAlign w:val="bottom"/>
            <w:tcBorders>
              <w:bottom w:val="single" w:sz="8" w:color="808080"/>
            </w:tcBorders>
          </w:tcPr>
          <w:p>
            <w:pPr>
              <w:spacing w:after="0"/>
              <w:rPr>
                <w:sz w:val="24"/>
                <w:szCs w:val="24"/>
                <w:color w:val="auto"/>
              </w:rPr>
            </w:pPr>
          </w:p>
        </w:tc>
        <w:tc>
          <w:tcPr>
            <w:tcW w:w="77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6.02.</w:t>
            </w:r>
          </w:p>
        </w:tc>
        <w:tc>
          <w:tcPr>
            <w:tcW w:w="6580" w:type="dxa"/>
            <w:vAlign w:val="bottom"/>
          </w:tcPr>
          <w:p>
            <w:pPr>
              <w:ind w:left="700"/>
              <w:spacing w:after="0"/>
              <w:rPr>
                <w:sz w:val="20"/>
                <w:szCs w:val="20"/>
                <w:color w:val="auto"/>
              </w:rPr>
            </w:pPr>
            <w:r>
              <w:rPr>
                <w:rFonts w:ascii="Arial" w:cs="Arial" w:eastAsia="Arial" w:hAnsi="Arial"/>
                <w:sz w:val="16"/>
                <w:szCs w:val="16"/>
                <w:color w:val="auto"/>
              </w:rPr>
              <w:t>Liens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72</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6.03.</w:t>
            </w:r>
          </w:p>
        </w:tc>
        <w:tc>
          <w:tcPr>
            <w:tcW w:w="6580" w:type="dxa"/>
            <w:vAlign w:val="bottom"/>
          </w:tcPr>
          <w:p>
            <w:pPr>
              <w:ind w:left="700"/>
              <w:spacing w:after="0"/>
              <w:rPr>
                <w:sz w:val="20"/>
                <w:szCs w:val="20"/>
                <w:color w:val="auto"/>
              </w:rPr>
            </w:pPr>
            <w:r>
              <w:rPr>
                <w:rFonts w:ascii="Arial" w:cs="Arial" w:eastAsia="Arial" w:hAnsi="Arial"/>
                <w:sz w:val="16"/>
                <w:szCs w:val="16"/>
                <w:color w:val="auto"/>
              </w:rPr>
              <w:t>Fundamental Changes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72</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6.04.</w:t>
            </w:r>
          </w:p>
        </w:tc>
        <w:tc>
          <w:tcPr>
            <w:tcW w:w="6580" w:type="dxa"/>
            <w:vAlign w:val="bottom"/>
          </w:tcPr>
          <w:p>
            <w:pPr>
              <w:ind w:left="700"/>
              <w:spacing w:after="0"/>
              <w:rPr>
                <w:sz w:val="20"/>
                <w:szCs w:val="20"/>
                <w:color w:val="auto"/>
              </w:rPr>
            </w:pPr>
            <w:r>
              <w:rPr>
                <w:rFonts w:ascii="Arial" w:cs="Arial" w:eastAsia="Arial" w:hAnsi="Arial"/>
                <w:sz w:val="16"/>
                <w:szCs w:val="16"/>
                <w:color w:val="auto"/>
              </w:rPr>
              <w:t>Asset Sales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73</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6.05.</w:t>
            </w:r>
          </w:p>
        </w:tc>
        <w:tc>
          <w:tcPr>
            <w:tcW w:w="6580" w:type="dxa"/>
            <w:vAlign w:val="bottom"/>
          </w:tcPr>
          <w:p>
            <w:pPr>
              <w:ind w:left="700"/>
              <w:spacing w:after="0"/>
              <w:rPr>
                <w:sz w:val="20"/>
                <w:szCs w:val="20"/>
                <w:color w:val="auto"/>
              </w:rPr>
            </w:pPr>
            <w:r>
              <w:rPr>
                <w:rFonts w:ascii="Arial" w:cs="Arial" w:eastAsia="Arial" w:hAnsi="Arial"/>
                <w:sz w:val="16"/>
                <w:szCs w:val="16"/>
                <w:color w:val="auto"/>
              </w:rPr>
              <w:t>Restrictive Agreements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73</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6.06.</w:t>
            </w:r>
          </w:p>
        </w:tc>
        <w:tc>
          <w:tcPr>
            <w:tcW w:w="6580" w:type="dxa"/>
            <w:vAlign w:val="bottom"/>
          </w:tcPr>
          <w:p>
            <w:pPr>
              <w:ind w:left="700"/>
              <w:spacing w:after="0"/>
              <w:rPr>
                <w:sz w:val="20"/>
                <w:szCs w:val="20"/>
                <w:color w:val="auto"/>
              </w:rPr>
            </w:pPr>
            <w:r>
              <w:rPr>
                <w:rFonts w:ascii="Arial" w:cs="Arial" w:eastAsia="Arial" w:hAnsi="Arial"/>
                <w:sz w:val="16"/>
                <w:szCs w:val="16"/>
                <w:color w:val="auto"/>
              </w:rPr>
              <w:t>Amendment of Material Documents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73</w:t>
            </w:r>
          </w:p>
        </w:tc>
      </w:tr>
      <w:tr>
        <w:trPr>
          <w:trHeight w:val="190"/>
        </w:trPr>
        <w:tc>
          <w:tcPr>
            <w:tcW w:w="2460" w:type="dxa"/>
            <w:vAlign w:val="bottom"/>
          </w:tcPr>
          <w:p>
            <w:pPr>
              <w:spacing w:after="0"/>
              <w:rPr>
                <w:sz w:val="20"/>
                <w:szCs w:val="20"/>
                <w:color w:val="auto"/>
              </w:rPr>
            </w:pPr>
            <w:r>
              <w:rPr>
                <w:rFonts w:ascii="Arial" w:cs="Arial" w:eastAsia="Arial" w:hAnsi="Arial"/>
                <w:sz w:val="16"/>
                <w:szCs w:val="16"/>
                <w:color w:val="auto"/>
              </w:rPr>
              <w:t>ARTICLE VII</w:t>
            </w:r>
          </w:p>
        </w:tc>
        <w:tc>
          <w:tcPr>
            <w:tcW w:w="6580" w:type="dxa"/>
            <w:vAlign w:val="bottom"/>
          </w:tcPr>
          <w:p>
            <w:pPr>
              <w:ind w:left="700"/>
              <w:spacing w:after="0"/>
              <w:rPr>
                <w:sz w:val="20"/>
                <w:szCs w:val="20"/>
                <w:color w:val="auto"/>
              </w:rPr>
            </w:pPr>
            <w:r>
              <w:rPr>
                <w:rFonts w:ascii="Arial" w:cs="Arial" w:eastAsia="Arial" w:hAnsi="Arial"/>
                <w:sz w:val="16"/>
                <w:szCs w:val="16"/>
                <w:color w:val="auto"/>
              </w:rPr>
              <w:t>Events of Default</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74</w:t>
            </w:r>
          </w:p>
        </w:tc>
      </w:tr>
      <w:tr>
        <w:trPr>
          <w:trHeight w:val="190"/>
        </w:trPr>
        <w:tc>
          <w:tcPr>
            <w:tcW w:w="2460" w:type="dxa"/>
            <w:vAlign w:val="bottom"/>
          </w:tcPr>
          <w:p>
            <w:pPr>
              <w:spacing w:after="0"/>
              <w:rPr>
                <w:sz w:val="20"/>
                <w:szCs w:val="20"/>
                <w:color w:val="auto"/>
              </w:rPr>
            </w:pPr>
            <w:r>
              <w:rPr>
                <w:rFonts w:ascii="Arial" w:cs="Arial" w:eastAsia="Arial" w:hAnsi="Arial"/>
                <w:sz w:val="16"/>
                <w:szCs w:val="16"/>
                <w:color w:val="auto"/>
              </w:rPr>
              <w:t>ARTICLE VIII</w:t>
            </w:r>
          </w:p>
        </w:tc>
        <w:tc>
          <w:tcPr>
            <w:tcW w:w="6580" w:type="dxa"/>
            <w:vAlign w:val="bottom"/>
          </w:tcPr>
          <w:p>
            <w:pPr>
              <w:ind w:left="700"/>
              <w:spacing w:after="0"/>
              <w:rPr>
                <w:sz w:val="20"/>
                <w:szCs w:val="20"/>
                <w:color w:val="auto"/>
              </w:rPr>
            </w:pPr>
            <w:r>
              <w:rPr>
                <w:rFonts w:ascii="Arial" w:cs="Arial" w:eastAsia="Arial" w:hAnsi="Arial"/>
                <w:sz w:val="16"/>
                <w:szCs w:val="16"/>
                <w:color w:val="auto"/>
              </w:rPr>
              <w:t>The Administrative Agent</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76</w:t>
            </w:r>
          </w:p>
        </w:tc>
      </w:tr>
      <w:tr>
        <w:trPr>
          <w:trHeight w:val="190"/>
        </w:trPr>
        <w:tc>
          <w:tcPr>
            <w:tcW w:w="2460" w:type="dxa"/>
            <w:vAlign w:val="bottom"/>
          </w:tcPr>
          <w:p>
            <w:pPr>
              <w:spacing w:after="0"/>
              <w:rPr>
                <w:sz w:val="20"/>
                <w:szCs w:val="20"/>
                <w:color w:val="auto"/>
              </w:rPr>
            </w:pPr>
            <w:r>
              <w:rPr>
                <w:rFonts w:ascii="Arial" w:cs="Arial" w:eastAsia="Arial" w:hAnsi="Arial"/>
                <w:sz w:val="16"/>
                <w:szCs w:val="16"/>
                <w:color w:val="auto"/>
              </w:rPr>
              <w:t>ARTICLE IX</w:t>
            </w:r>
          </w:p>
        </w:tc>
        <w:tc>
          <w:tcPr>
            <w:tcW w:w="6580" w:type="dxa"/>
            <w:vAlign w:val="bottom"/>
          </w:tcPr>
          <w:p>
            <w:pPr>
              <w:ind w:left="700"/>
              <w:spacing w:after="0"/>
              <w:rPr>
                <w:sz w:val="20"/>
                <w:szCs w:val="20"/>
                <w:color w:val="auto"/>
              </w:rPr>
            </w:pPr>
            <w:r>
              <w:rPr>
                <w:rFonts w:ascii="Arial" w:cs="Arial" w:eastAsia="Arial" w:hAnsi="Arial"/>
                <w:sz w:val="16"/>
                <w:szCs w:val="16"/>
                <w:color w:val="auto"/>
              </w:rPr>
              <w:t>Miscellaneous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78</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9.01.</w:t>
            </w:r>
          </w:p>
        </w:tc>
        <w:tc>
          <w:tcPr>
            <w:tcW w:w="6580" w:type="dxa"/>
            <w:vAlign w:val="bottom"/>
          </w:tcPr>
          <w:p>
            <w:pPr>
              <w:ind w:left="700"/>
              <w:spacing w:after="0"/>
              <w:rPr>
                <w:sz w:val="20"/>
                <w:szCs w:val="20"/>
                <w:color w:val="auto"/>
              </w:rPr>
            </w:pPr>
            <w:r>
              <w:rPr>
                <w:rFonts w:ascii="Arial" w:cs="Arial" w:eastAsia="Arial" w:hAnsi="Arial"/>
                <w:sz w:val="16"/>
                <w:szCs w:val="16"/>
                <w:color w:val="auto"/>
              </w:rPr>
              <w:t>Notices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78</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9.02.</w:t>
            </w:r>
          </w:p>
        </w:tc>
        <w:tc>
          <w:tcPr>
            <w:tcW w:w="6580" w:type="dxa"/>
            <w:vAlign w:val="bottom"/>
          </w:tcPr>
          <w:p>
            <w:pPr>
              <w:ind w:left="700"/>
              <w:spacing w:after="0"/>
              <w:rPr>
                <w:sz w:val="20"/>
                <w:szCs w:val="20"/>
                <w:color w:val="auto"/>
              </w:rPr>
            </w:pPr>
            <w:r>
              <w:rPr>
                <w:rFonts w:ascii="Arial" w:cs="Arial" w:eastAsia="Arial" w:hAnsi="Arial"/>
                <w:sz w:val="16"/>
                <w:szCs w:val="16"/>
                <w:color w:val="auto"/>
              </w:rPr>
              <w:t>Waivers; Amendments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80</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9.03.</w:t>
            </w:r>
          </w:p>
        </w:tc>
        <w:tc>
          <w:tcPr>
            <w:tcW w:w="6580" w:type="dxa"/>
            <w:vAlign w:val="bottom"/>
          </w:tcPr>
          <w:p>
            <w:pPr>
              <w:ind w:left="700"/>
              <w:spacing w:after="0"/>
              <w:rPr>
                <w:sz w:val="20"/>
                <w:szCs w:val="20"/>
                <w:color w:val="auto"/>
              </w:rPr>
            </w:pPr>
            <w:r>
              <w:rPr>
                <w:rFonts w:ascii="Arial" w:cs="Arial" w:eastAsia="Arial" w:hAnsi="Arial"/>
                <w:sz w:val="16"/>
                <w:szCs w:val="16"/>
                <w:color w:val="auto"/>
              </w:rPr>
              <w:t>Expenses; Indemnity; Damage Waiver</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82</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9.04.</w:t>
            </w:r>
          </w:p>
        </w:tc>
        <w:tc>
          <w:tcPr>
            <w:tcW w:w="6580" w:type="dxa"/>
            <w:vAlign w:val="bottom"/>
          </w:tcPr>
          <w:p>
            <w:pPr>
              <w:ind w:left="700"/>
              <w:spacing w:after="0"/>
              <w:rPr>
                <w:sz w:val="20"/>
                <w:szCs w:val="20"/>
                <w:color w:val="auto"/>
              </w:rPr>
            </w:pPr>
            <w:r>
              <w:rPr>
                <w:rFonts w:ascii="Arial" w:cs="Arial" w:eastAsia="Arial" w:hAnsi="Arial"/>
                <w:sz w:val="16"/>
                <w:szCs w:val="16"/>
                <w:color w:val="auto"/>
              </w:rPr>
              <w:t>Successors and Assigns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84</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9.05.</w:t>
            </w:r>
          </w:p>
        </w:tc>
        <w:tc>
          <w:tcPr>
            <w:tcW w:w="6580" w:type="dxa"/>
            <w:vAlign w:val="bottom"/>
          </w:tcPr>
          <w:p>
            <w:pPr>
              <w:ind w:left="700"/>
              <w:spacing w:after="0"/>
              <w:rPr>
                <w:sz w:val="20"/>
                <w:szCs w:val="20"/>
                <w:color w:val="auto"/>
              </w:rPr>
            </w:pPr>
            <w:r>
              <w:rPr>
                <w:rFonts w:ascii="Arial" w:cs="Arial" w:eastAsia="Arial" w:hAnsi="Arial"/>
                <w:sz w:val="16"/>
                <w:szCs w:val="16"/>
                <w:color w:val="auto"/>
              </w:rPr>
              <w:t>Survival</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88</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9.06.</w:t>
            </w:r>
          </w:p>
        </w:tc>
        <w:tc>
          <w:tcPr>
            <w:tcW w:w="6580" w:type="dxa"/>
            <w:vAlign w:val="bottom"/>
          </w:tcPr>
          <w:p>
            <w:pPr>
              <w:ind w:left="700"/>
              <w:spacing w:after="0"/>
              <w:rPr>
                <w:sz w:val="20"/>
                <w:szCs w:val="20"/>
                <w:color w:val="auto"/>
              </w:rPr>
            </w:pPr>
            <w:r>
              <w:rPr>
                <w:rFonts w:ascii="Arial" w:cs="Arial" w:eastAsia="Arial" w:hAnsi="Arial"/>
                <w:sz w:val="16"/>
                <w:szCs w:val="16"/>
                <w:color w:val="auto"/>
              </w:rPr>
              <w:t>Counterparts; Integration; Effectiveness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88</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9.07.</w:t>
            </w:r>
          </w:p>
        </w:tc>
        <w:tc>
          <w:tcPr>
            <w:tcW w:w="6580" w:type="dxa"/>
            <w:vAlign w:val="bottom"/>
          </w:tcPr>
          <w:p>
            <w:pPr>
              <w:ind w:left="700"/>
              <w:spacing w:after="0"/>
              <w:rPr>
                <w:sz w:val="20"/>
                <w:szCs w:val="20"/>
                <w:color w:val="auto"/>
              </w:rPr>
            </w:pPr>
            <w:r>
              <w:rPr>
                <w:rFonts w:ascii="Arial" w:cs="Arial" w:eastAsia="Arial" w:hAnsi="Arial"/>
                <w:sz w:val="16"/>
                <w:szCs w:val="16"/>
                <w:color w:val="auto"/>
              </w:rPr>
              <w:t>Severability</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89</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9.08.</w:t>
            </w:r>
          </w:p>
        </w:tc>
        <w:tc>
          <w:tcPr>
            <w:tcW w:w="6580" w:type="dxa"/>
            <w:vAlign w:val="bottom"/>
          </w:tcPr>
          <w:p>
            <w:pPr>
              <w:ind w:left="700"/>
              <w:spacing w:after="0"/>
              <w:rPr>
                <w:sz w:val="20"/>
                <w:szCs w:val="20"/>
                <w:color w:val="auto"/>
              </w:rPr>
            </w:pPr>
            <w:r>
              <w:rPr>
                <w:rFonts w:ascii="Arial" w:cs="Arial" w:eastAsia="Arial" w:hAnsi="Arial"/>
                <w:sz w:val="16"/>
                <w:szCs w:val="16"/>
                <w:color w:val="auto"/>
              </w:rPr>
              <w:t>Right of Setoff</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89</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9.09.</w:t>
            </w:r>
          </w:p>
        </w:tc>
        <w:tc>
          <w:tcPr>
            <w:tcW w:w="6580" w:type="dxa"/>
            <w:vAlign w:val="bottom"/>
          </w:tcPr>
          <w:p>
            <w:pPr>
              <w:ind w:left="700"/>
              <w:spacing w:after="0"/>
              <w:rPr>
                <w:sz w:val="20"/>
                <w:szCs w:val="20"/>
                <w:color w:val="auto"/>
              </w:rPr>
            </w:pPr>
            <w:r>
              <w:rPr>
                <w:rFonts w:ascii="Arial" w:cs="Arial" w:eastAsia="Arial" w:hAnsi="Arial"/>
                <w:sz w:val="16"/>
                <w:szCs w:val="16"/>
                <w:color w:val="auto"/>
              </w:rPr>
              <w:t>Governing Law; Jurisdiction; Consent to Service of Process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89</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9.10.</w:t>
            </w:r>
          </w:p>
        </w:tc>
        <w:tc>
          <w:tcPr>
            <w:tcW w:w="6580" w:type="dxa"/>
            <w:vAlign w:val="bottom"/>
          </w:tcPr>
          <w:p>
            <w:pPr>
              <w:ind w:left="700"/>
              <w:spacing w:after="0"/>
              <w:rPr>
                <w:sz w:val="20"/>
                <w:szCs w:val="20"/>
                <w:color w:val="auto"/>
              </w:rPr>
            </w:pPr>
            <w:r>
              <w:rPr>
                <w:rFonts w:ascii="Arial" w:cs="Arial" w:eastAsia="Arial" w:hAnsi="Arial"/>
                <w:sz w:val="16"/>
                <w:szCs w:val="16"/>
                <w:color w:val="auto"/>
              </w:rPr>
              <w:t>WAIVER OF JURY TRIAL</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90</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9.11.</w:t>
            </w:r>
          </w:p>
        </w:tc>
        <w:tc>
          <w:tcPr>
            <w:tcW w:w="6580" w:type="dxa"/>
            <w:vAlign w:val="bottom"/>
          </w:tcPr>
          <w:p>
            <w:pPr>
              <w:ind w:left="700"/>
              <w:spacing w:after="0"/>
              <w:rPr>
                <w:sz w:val="20"/>
                <w:szCs w:val="20"/>
                <w:color w:val="auto"/>
              </w:rPr>
            </w:pPr>
            <w:r>
              <w:rPr>
                <w:rFonts w:ascii="Arial" w:cs="Arial" w:eastAsia="Arial" w:hAnsi="Arial"/>
                <w:sz w:val="16"/>
                <w:szCs w:val="16"/>
                <w:color w:val="auto"/>
              </w:rPr>
              <w:t>Headings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90</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9.12.</w:t>
            </w:r>
          </w:p>
        </w:tc>
        <w:tc>
          <w:tcPr>
            <w:tcW w:w="6580" w:type="dxa"/>
            <w:vAlign w:val="bottom"/>
          </w:tcPr>
          <w:p>
            <w:pPr>
              <w:ind w:left="700"/>
              <w:spacing w:after="0"/>
              <w:rPr>
                <w:sz w:val="20"/>
                <w:szCs w:val="20"/>
                <w:color w:val="auto"/>
              </w:rPr>
            </w:pPr>
            <w:r>
              <w:rPr>
                <w:rFonts w:ascii="Arial" w:cs="Arial" w:eastAsia="Arial" w:hAnsi="Arial"/>
                <w:sz w:val="16"/>
                <w:szCs w:val="16"/>
                <w:color w:val="auto"/>
              </w:rPr>
              <w:t>Confidentiality</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90</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9.13.</w:t>
            </w:r>
          </w:p>
        </w:tc>
        <w:tc>
          <w:tcPr>
            <w:tcW w:w="6580" w:type="dxa"/>
            <w:vAlign w:val="bottom"/>
          </w:tcPr>
          <w:p>
            <w:pPr>
              <w:ind w:left="700"/>
              <w:spacing w:after="0"/>
              <w:rPr>
                <w:sz w:val="20"/>
                <w:szCs w:val="20"/>
                <w:color w:val="auto"/>
              </w:rPr>
            </w:pPr>
            <w:r>
              <w:rPr>
                <w:rFonts w:ascii="Arial" w:cs="Arial" w:eastAsia="Arial" w:hAnsi="Arial"/>
                <w:sz w:val="16"/>
                <w:szCs w:val="16"/>
                <w:color w:val="auto"/>
              </w:rPr>
              <w:t>Several Obligations; Nonreliance; Violation of Law</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91</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9.14.</w:t>
            </w:r>
          </w:p>
        </w:tc>
        <w:tc>
          <w:tcPr>
            <w:tcW w:w="6580" w:type="dxa"/>
            <w:vAlign w:val="bottom"/>
          </w:tcPr>
          <w:p>
            <w:pPr>
              <w:ind w:left="700"/>
              <w:spacing w:after="0"/>
              <w:rPr>
                <w:sz w:val="20"/>
                <w:szCs w:val="20"/>
                <w:color w:val="auto"/>
              </w:rPr>
            </w:pPr>
            <w:r>
              <w:rPr>
                <w:rFonts w:ascii="Arial" w:cs="Arial" w:eastAsia="Arial" w:hAnsi="Arial"/>
                <w:sz w:val="16"/>
                <w:szCs w:val="16"/>
                <w:color w:val="auto"/>
              </w:rPr>
              <w:t>USA PATRIOT Act</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91</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9.15.</w:t>
            </w:r>
          </w:p>
        </w:tc>
        <w:tc>
          <w:tcPr>
            <w:tcW w:w="6580" w:type="dxa"/>
            <w:vAlign w:val="bottom"/>
          </w:tcPr>
          <w:p>
            <w:pPr>
              <w:ind w:left="700"/>
              <w:spacing w:after="0"/>
              <w:rPr>
                <w:sz w:val="20"/>
                <w:szCs w:val="20"/>
                <w:color w:val="auto"/>
              </w:rPr>
            </w:pPr>
            <w:r>
              <w:rPr>
                <w:rFonts w:ascii="Arial" w:cs="Arial" w:eastAsia="Arial" w:hAnsi="Arial"/>
                <w:sz w:val="16"/>
                <w:szCs w:val="16"/>
                <w:color w:val="auto"/>
              </w:rPr>
              <w:t>Disclosure</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92</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9.16.</w:t>
            </w:r>
          </w:p>
        </w:tc>
        <w:tc>
          <w:tcPr>
            <w:tcW w:w="6580" w:type="dxa"/>
            <w:vAlign w:val="bottom"/>
          </w:tcPr>
          <w:p>
            <w:pPr>
              <w:ind w:left="700"/>
              <w:spacing w:after="0"/>
              <w:rPr>
                <w:sz w:val="20"/>
                <w:szCs w:val="20"/>
                <w:color w:val="auto"/>
              </w:rPr>
            </w:pPr>
            <w:r>
              <w:rPr>
                <w:rFonts w:ascii="Arial" w:cs="Arial" w:eastAsia="Arial" w:hAnsi="Arial"/>
                <w:sz w:val="16"/>
                <w:szCs w:val="16"/>
                <w:color w:val="auto"/>
              </w:rPr>
              <w:t>Appointment for Perfection</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92</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9.17.</w:t>
            </w:r>
          </w:p>
        </w:tc>
        <w:tc>
          <w:tcPr>
            <w:tcW w:w="6580" w:type="dxa"/>
            <w:vAlign w:val="bottom"/>
          </w:tcPr>
          <w:p>
            <w:pPr>
              <w:ind w:left="700"/>
              <w:spacing w:after="0"/>
              <w:rPr>
                <w:sz w:val="20"/>
                <w:szCs w:val="20"/>
                <w:color w:val="auto"/>
              </w:rPr>
            </w:pPr>
            <w:r>
              <w:rPr>
                <w:rFonts w:ascii="Arial" w:cs="Arial" w:eastAsia="Arial" w:hAnsi="Arial"/>
                <w:sz w:val="16"/>
                <w:szCs w:val="16"/>
                <w:color w:val="auto"/>
              </w:rPr>
              <w:t>Interest Rate Limitation</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92</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9.18.</w:t>
            </w:r>
          </w:p>
        </w:tc>
        <w:tc>
          <w:tcPr>
            <w:tcW w:w="6580" w:type="dxa"/>
            <w:vAlign w:val="bottom"/>
          </w:tcPr>
          <w:p>
            <w:pPr>
              <w:ind w:left="700"/>
              <w:spacing w:after="0"/>
              <w:rPr>
                <w:sz w:val="20"/>
                <w:szCs w:val="20"/>
                <w:color w:val="auto"/>
              </w:rPr>
            </w:pPr>
            <w:r>
              <w:rPr>
                <w:rFonts w:ascii="Arial" w:cs="Arial" w:eastAsia="Arial" w:hAnsi="Arial"/>
                <w:sz w:val="16"/>
                <w:szCs w:val="16"/>
                <w:color w:val="auto"/>
              </w:rPr>
              <w:t>No Fiduciary Duty or Economic Conflicts of Interest</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92</w:t>
            </w:r>
          </w:p>
        </w:tc>
      </w:tr>
      <w:tr>
        <w:trPr>
          <w:trHeight w:val="190"/>
        </w:trPr>
        <w:tc>
          <w:tcPr>
            <w:tcW w:w="2460" w:type="dxa"/>
            <w:vAlign w:val="bottom"/>
          </w:tcPr>
          <w:p>
            <w:pPr>
              <w:spacing w:after="0"/>
              <w:rPr>
                <w:sz w:val="20"/>
                <w:szCs w:val="20"/>
                <w:color w:val="auto"/>
              </w:rPr>
            </w:pPr>
            <w:r>
              <w:rPr>
                <w:rFonts w:ascii="Arial" w:cs="Arial" w:eastAsia="Arial" w:hAnsi="Arial"/>
                <w:sz w:val="16"/>
                <w:szCs w:val="16"/>
                <w:color w:val="auto"/>
              </w:rPr>
              <w:t>ARTICLE X</w:t>
            </w:r>
          </w:p>
        </w:tc>
        <w:tc>
          <w:tcPr>
            <w:tcW w:w="6580" w:type="dxa"/>
            <w:vAlign w:val="bottom"/>
          </w:tcPr>
          <w:p>
            <w:pPr>
              <w:ind w:left="700"/>
              <w:spacing w:after="0"/>
              <w:rPr>
                <w:sz w:val="20"/>
                <w:szCs w:val="20"/>
                <w:color w:val="auto"/>
              </w:rPr>
            </w:pPr>
            <w:r>
              <w:rPr>
                <w:rFonts w:ascii="Arial" w:cs="Arial" w:eastAsia="Arial" w:hAnsi="Arial"/>
                <w:sz w:val="16"/>
                <w:szCs w:val="16"/>
                <w:color w:val="auto"/>
              </w:rPr>
              <w:t>Loan Guaranty</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93</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10.01.</w:t>
            </w:r>
          </w:p>
        </w:tc>
        <w:tc>
          <w:tcPr>
            <w:tcW w:w="6580" w:type="dxa"/>
            <w:vAlign w:val="bottom"/>
          </w:tcPr>
          <w:p>
            <w:pPr>
              <w:ind w:left="700"/>
              <w:spacing w:after="0"/>
              <w:rPr>
                <w:sz w:val="20"/>
                <w:szCs w:val="20"/>
                <w:color w:val="auto"/>
              </w:rPr>
            </w:pPr>
            <w:r>
              <w:rPr>
                <w:rFonts w:ascii="Arial" w:cs="Arial" w:eastAsia="Arial" w:hAnsi="Arial"/>
                <w:sz w:val="16"/>
                <w:szCs w:val="16"/>
                <w:color w:val="auto"/>
              </w:rPr>
              <w:t>Guaranty</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93</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10.02.</w:t>
            </w:r>
          </w:p>
        </w:tc>
        <w:tc>
          <w:tcPr>
            <w:tcW w:w="6580" w:type="dxa"/>
            <w:vAlign w:val="bottom"/>
          </w:tcPr>
          <w:p>
            <w:pPr>
              <w:ind w:left="700"/>
              <w:spacing w:after="0"/>
              <w:rPr>
                <w:sz w:val="20"/>
                <w:szCs w:val="20"/>
                <w:color w:val="auto"/>
              </w:rPr>
            </w:pPr>
            <w:r>
              <w:rPr>
                <w:rFonts w:ascii="Arial" w:cs="Arial" w:eastAsia="Arial" w:hAnsi="Arial"/>
                <w:sz w:val="16"/>
                <w:szCs w:val="16"/>
                <w:color w:val="auto"/>
              </w:rPr>
              <w:t>Guaranty of Payment</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93</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10.03.</w:t>
            </w:r>
          </w:p>
        </w:tc>
        <w:tc>
          <w:tcPr>
            <w:tcW w:w="6580" w:type="dxa"/>
            <w:vAlign w:val="bottom"/>
          </w:tcPr>
          <w:p>
            <w:pPr>
              <w:ind w:left="700"/>
              <w:spacing w:after="0"/>
              <w:rPr>
                <w:sz w:val="20"/>
                <w:szCs w:val="20"/>
                <w:color w:val="auto"/>
              </w:rPr>
            </w:pPr>
            <w:r>
              <w:rPr>
                <w:rFonts w:ascii="Arial" w:cs="Arial" w:eastAsia="Arial" w:hAnsi="Arial"/>
                <w:sz w:val="16"/>
                <w:szCs w:val="16"/>
                <w:color w:val="auto"/>
              </w:rPr>
              <w:t>No Discharge or Diminishment of Loan Guaranty</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93</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10.04.</w:t>
            </w:r>
          </w:p>
        </w:tc>
        <w:tc>
          <w:tcPr>
            <w:tcW w:w="6580" w:type="dxa"/>
            <w:vAlign w:val="bottom"/>
          </w:tcPr>
          <w:p>
            <w:pPr>
              <w:ind w:left="700"/>
              <w:spacing w:after="0"/>
              <w:rPr>
                <w:sz w:val="20"/>
                <w:szCs w:val="20"/>
                <w:color w:val="auto"/>
              </w:rPr>
            </w:pPr>
            <w:r>
              <w:rPr>
                <w:rFonts w:ascii="Arial" w:cs="Arial" w:eastAsia="Arial" w:hAnsi="Arial"/>
                <w:sz w:val="16"/>
                <w:szCs w:val="16"/>
                <w:color w:val="auto"/>
              </w:rPr>
              <w:t>Defenses Waived</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94</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10.05.</w:t>
            </w:r>
          </w:p>
        </w:tc>
        <w:tc>
          <w:tcPr>
            <w:tcW w:w="6580" w:type="dxa"/>
            <w:vAlign w:val="bottom"/>
          </w:tcPr>
          <w:p>
            <w:pPr>
              <w:ind w:left="700"/>
              <w:spacing w:after="0"/>
              <w:rPr>
                <w:sz w:val="20"/>
                <w:szCs w:val="20"/>
                <w:color w:val="auto"/>
              </w:rPr>
            </w:pPr>
            <w:r>
              <w:rPr>
                <w:rFonts w:ascii="Arial" w:cs="Arial" w:eastAsia="Arial" w:hAnsi="Arial"/>
                <w:sz w:val="16"/>
                <w:szCs w:val="16"/>
                <w:color w:val="auto"/>
              </w:rPr>
              <w:t>Rights of Subrogation</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95</w:t>
            </w:r>
          </w:p>
        </w:tc>
      </w:tr>
      <w:tr>
        <w:trPr>
          <w:trHeight w:val="201"/>
        </w:trPr>
        <w:tc>
          <w:tcPr>
            <w:tcW w:w="2460" w:type="dxa"/>
            <w:vAlign w:val="bottom"/>
          </w:tcPr>
          <w:p>
            <w:pPr>
              <w:ind w:left="680"/>
              <w:spacing w:after="0"/>
              <w:rPr>
                <w:sz w:val="20"/>
                <w:szCs w:val="20"/>
                <w:color w:val="auto"/>
              </w:rPr>
            </w:pPr>
            <w:r>
              <w:rPr>
                <w:rFonts w:ascii="Arial" w:cs="Arial" w:eastAsia="Arial" w:hAnsi="Arial"/>
                <w:sz w:val="16"/>
                <w:szCs w:val="16"/>
                <w:color w:val="auto"/>
              </w:rPr>
              <w:t>SECTION 10.06.</w:t>
            </w:r>
          </w:p>
        </w:tc>
        <w:tc>
          <w:tcPr>
            <w:tcW w:w="6580" w:type="dxa"/>
            <w:vAlign w:val="bottom"/>
          </w:tcPr>
          <w:p>
            <w:pPr>
              <w:ind w:left="700"/>
              <w:spacing w:after="0"/>
              <w:rPr>
                <w:sz w:val="20"/>
                <w:szCs w:val="20"/>
                <w:color w:val="auto"/>
              </w:rPr>
            </w:pPr>
            <w:r>
              <w:rPr>
                <w:rFonts w:ascii="Arial" w:cs="Arial" w:eastAsia="Arial" w:hAnsi="Arial"/>
                <w:sz w:val="16"/>
                <w:szCs w:val="16"/>
                <w:color w:val="auto"/>
              </w:rPr>
              <w:t>Reinstatement; Stay of Acceleration</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95</w:t>
            </w:r>
          </w:p>
        </w:tc>
      </w:tr>
      <w:tr>
        <w:trPr>
          <w:trHeight w:val="404"/>
        </w:trPr>
        <w:tc>
          <w:tcPr>
            <w:tcW w:w="2460" w:type="dxa"/>
            <w:vAlign w:val="bottom"/>
          </w:tcPr>
          <w:p>
            <w:pPr>
              <w:spacing w:after="0"/>
              <w:rPr>
                <w:sz w:val="20"/>
                <w:szCs w:val="20"/>
                <w:color w:val="auto"/>
              </w:rPr>
            </w:pPr>
            <w:r>
              <w:rPr>
                <w:rFonts w:ascii="Arial" w:cs="Arial" w:eastAsia="Arial" w:hAnsi="Arial"/>
                <w:sz w:val="16"/>
                <w:szCs w:val="16"/>
                <w:color w:val="auto"/>
              </w:rPr>
              <w:t>DB2/ 25376840.21</w:t>
            </w:r>
          </w:p>
        </w:tc>
        <w:tc>
          <w:tcPr>
            <w:tcW w:w="65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853"/>
        </w:trPr>
        <w:tc>
          <w:tcPr>
            <w:tcW w:w="2460" w:type="dxa"/>
            <w:vAlign w:val="bottom"/>
            <w:tcBorders>
              <w:bottom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10.07.</w:t>
            </w:r>
          </w:p>
        </w:tc>
        <w:tc>
          <w:tcPr>
            <w:tcW w:w="6580" w:type="dxa"/>
            <w:vAlign w:val="bottom"/>
          </w:tcPr>
          <w:p>
            <w:pPr>
              <w:ind w:left="700"/>
              <w:spacing w:after="0"/>
              <w:rPr>
                <w:sz w:val="20"/>
                <w:szCs w:val="20"/>
                <w:color w:val="auto"/>
              </w:rPr>
            </w:pPr>
            <w:r>
              <w:rPr>
                <w:rFonts w:ascii="Arial" w:cs="Arial" w:eastAsia="Arial" w:hAnsi="Arial"/>
                <w:sz w:val="16"/>
                <w:szCs w:val="16"/>
                <w:color w:val="auto"/>
              </w:rPr>
              <w:t>Information</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95</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10.08.</w:t>
            </w:r>
          </w:p>
        </w:tc>
        <w:tc>
          <w:tcPr>
            <w:tcW w:w="6580" w:type="dxa"/>
            <w:vAlign w:val="bottom"/>
          </w:tcPr>
          <w:p>
            <w:pPr>
              <w:ind w:left="700"/>
              <w:spacing w:after="0"/>
              <w:rPr>
                <w:sz w:val="20"/>
                <w:szCs w:val="20"/>
                <w:color w:val="auto"/>
              </w:rPr>
            </w:pPr>
            <w:r>
              <w:rPr>
                <w:rFonts w:ascii="Arial" w:cs="Arial" w:eastAsia="Arial" w:hAnsi="Arial"/>
                <w:sz w:val="16"/>
                <w:szCs w:val="16"/>
                <w:color w:val="auto"/>
              </w:rPr>
              <w:t>Termination</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95</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10.09.</w:t>
            </w:r>
          </w:p>
        </w:tc>
        <w:tc>
          <w:tcPr>
            <w:tcW w:w="6580" w:type="dxa"/>
            <w:vAlign w:val="bottom"/>
          </w:tcPr>
          <w:p>
            <w:pPr>
              <w:ind w:left="700"/>
              <w:spacing w:after="0"/>
              <w:rPr>
                <w:sz w:val="20"/>
                <w:szCs w:val="20"/>
                <w:color w:val="auto"/>
              </w:rPr>
            </w:pPr>
            <w:r>
              <w:rPr>
                <w:rFonts w:ascii="Arial" w:cs="Arial" w:eastAsia="Arial" w:hAnsi="Arial"/>
                <w:sz w:val="16"/>
                <w:szCs w:val="16"/>
                <w:color w:val="auto"/>
              </w:rPr>
              <w:t>Intentionally Omitted</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95</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10.10.</w:t>
            </w:r>
          </w:p>
        </w:tc>
        <w:tc>
          <w:tcPr>
            <w:tcW w:w="6580" w:type="dxa"/>
            <w:vAlign w:val="bottom"/>
          </w:tcPr>
          <w:p>
            <w:pPr>
              <w:ind w:left="700"/>
              <w:spacing w:after="0"/>
              <w:rPr>
                <w:sz w:val="20"/>
                <w:szCs w:val="20"/>
                <w:color w:val="auto"/>
              </w:rPr>
            </w:pPr>
            <w:r>
              <w:rPr>
                <w:rFonts w:ascii="Arial" w:cs="Arial" w:eastAsia="Arial" w:hAnsi="Arial"/>
                <w:sz w:val="16"/>
                <w:szCs w:val="16"/>
                <w:color w:val="auto"/>
              </w:rPr>
              <w:t>Maximum Liability</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95</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10.11.</w:t>
            </w:r>
          </w:p>
        </w:tc>
        <w:tc>
          <w:tcPr>
            <w:tcW w:w="6580" w:type="dxa"/>
            <w:vAlign w:val="bottom"/>
          </w:tcPr>
          <w:p>
            <w:pPr>
              <w:ind w:left="700"/>
              <w:spacing w:after="0"/>
              <w:rPr>
                <w:sz w:val="20"/>
                <w:szCs w:val="20"/>
                <w:color w:val="auto"/>
              </w:rPr>
            </w:pPr>
            <w:r>
              <w:rPr>
                <w:rFonts w:ascii="Arial" w:cs="Arial" w:eastAsia="Arial" w:hAnsi="Arial"/>
                <w:sz w:val="16"/>
                <w:szCs w:val="16"/>
                <w:color w:val="auto"/>
              </w:rPr>
              <w:t>Contribution</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96</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10.12.</w:t>
            </w:r>
          </w:p>
        </w:tc>
        <w:tc>
          <w:tcPr>
            <w:tcW w:w="6580" w:type="dxa"/>
            <w:vAlign w:val="bottom"/>
          </w:tcPr>
          <w:p>
            <w:pPr>
              <w:ind w:left="700"/>
              <w:spacing w:after="0"/>
              <w:rPr>
                <w:sz w:val="20"/>
                <w:szCs w:val="20"/>
                <w:color w:val="auto"/>
              </w:rPr>
            </w:pPr>
            <w:r>
              <w:rPr>
                <w:rFonts w:ascii="Arial" w:cs="Arial" w:eastAsia="Arial" w:hAnsi="Arial"/>
                <w:sz w:val="16"/>
                <w:szCs w:val="16"/>
                <w:color w:val="auto"/>
              </w:rPr>
              <w:t>Liability Cumulative</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96</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10.13.</w:t>
            </w:r>
          </w:p>
        </w:tc>
        <w:tc>
          <w:tcPr>
            <w:tcW w:w="6580" w:type="dxa"/>
            <w:vAlign w:val="bottom"/>
          </w:tcPr>
          <w:p>
            <w:pPr>
              <w:ind w:left="700"/>
              <w:spacing w:after="0"/>
              <w:rPr>
                <w:sz w:val="20"/>
                <w:szCs w:val="20"/>
                <w:color w:val="auto"/>
              </w:rPr>
            </w:pPr>
            <w:r>
              <w:rPr>
                <w:rFonts w:ascii="Arial" w:cs="Arial" w:eastAsia="Arial" w:hAnsi="Arial"/>
                <w:sz w:val="16"/>
                <w:szCs w:val="16"/>
                <w:color w:val="auto"/>
              </w:rPr>
              <w:t>Keepwell</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96</w:t>
            </w:r>
          </w:p>
        </w:tc>
      </w:tr>
      <w:tr>
        <w:trPr>
          <w:trHeight w:val="190"/>
        </w:trPr>
        <w:tc>
          <w:tcPr>
            <w:tcW w:w="2460" w:type="dxa"/>
            <w:vAlign w:val="bottom"/>
          </w:tcPr>
          <w:p>
            <w:pPr>
              <w:spacing w:after="0"/>
              <w:rPr>
                <w:sz w:val="20"/>
                <w:szCs w:val="20"/>
                <w:color w:val="auto"/>
              </w:rPr>
            </w:pPr>
            <w:r>
              <w:rPr>
                <w:rFonts w:ascii="Arial" w:cs="Arial" w:eastAsia="Arial" w:hAnsi="Arial"/>
                <w:sz w:val="16"/>
                <w:szCs w:val="16"/>
                <w:color w:val="auto"/>
              </w:rPr>
              <w:t>ARTICLE XI</w:t>
            </w:r>
          </w:p>
        </w:tc>
        <w:tc>
          <w:tcPr>
            <w:tcW w:w="6580" w:type="dxa"/>
            <w:vAlign w:val="bottom"/>
          </w:tcPr>
          <w:p>
            <w:pPr>
              <w:ind w:left="700"/>
              <w:spacing w:after="0"/>
              <w:rPr>
                <w:sz w:val="20"/>
                <w:szCs w:val="20"/>
                <w:color w:val="auto"/>
              </w:rPr>
            </w:pPr>
            <w:r>
              <w:rPr>
                <w:rFonts w:ascii="Arial" w:cs="Arial" w:eastAsia="Arial" w:hAnsi="Arial"/>
                <w:sz w:val="16"/>
                <w:szCs w:val="16"/>
                <w:color w:val="auto"/>
              </w:rPr>
              <w:t>The Borrower Representative</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97</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11.01.</w:t>
            </w:r>
          </w:p>
        </w:tc>
        <w:tc>
          <w:tcPr>
            <w:tcW w:w="6580" w:type="dxa"/>
            <w:vAlign w:val="bottom"/>
          </w:tcPr>
          <w:p>
            <w:pPr>
              <w:ind w:left="700"/>
              <w:spacing w:after="0"/>
              <w:rPr>
                <w:sz w:val="20"/>
                <w:szCs w:val="20"/>
                <w:color w:val="auto"/>
              </w:rPr>
            </w:pPr>
            <w:r>
              <w:rPr>
                <w:rFonts w:ascii="Arial" w:cs="Arial" w:eastAsia="Arial" w:hAnsi="Arial"/>
                <w:sz w:val="16"/>
                <w:szCs w:val="16"/>
                <w:color w:val="auto"/>
              </w:rPr>
              <w:t>Appointment; Nature of Relationship</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97</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11.02.</w:t>
            </w:r>
          </w:p>
        </w:tc>
        <w:tc>
          <w:tcPr>
            <w:tcW w:w="6580" w:type="dxa"/>
            <w:vAlign w:val="bottom"/>
          </w:tcPr>
          <w:p>
            <w:pPr>
              <w:ind w:left="700"/>
              <w:spacing w:after="0"/>
              <w:rPr>
                <w:sz w:val="20"/>
                <w:szCs w:val="20"/>
                <w:color w:val="auto"/>
              </w:rPr>
            </w:pPr>
            <w:r>
              <w:rPr>
                <w:rFonts w:ascii="Arial" w:cs="Arial" w:eastAsia="Arial" w:hAnsi="Arial"/>
                <w:sz w:val="16"/>
                <w:szCs w:val="16"/>
                <w:color w:val="auto"/>
              </w:rPr>
              <w:t>Powers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97</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11.03.</w:t>
            </w:r>
          </w:p>
        </w:tc>
        <w:tc>
          <w:tcPr>
            <w:tcW w:w="6580" w:type="dxa"/>
            <w:vAlign w:val="bottom"/>
          </w:tcPr>
          <w:p>
            <w:pPr>
              <w:ind w:left="700"/>
              <w:spacing w:after="0"/>
              <w:rPr>
                <w:sz w:val="20"/>
                <w:szCs w:val="20"/>
                <w:color w:val="auto"/>
              </w:rPr>
            </w:pPr>
            <w:r>
              <w:rPr>
                <w:rFonts w:ascii="Arial" w:cs="Arial" w:eastAsia="Arial" w:hAnsi="Arial"/>
                <w:sz w:val="16"/>
                <w:szCs w:val="16"/>
                <w:color w:val="auto"/>
              </w:rPr>
              <w:t>Employment of Agents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97</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11.04.</w:t>
            </w:r>
          </w:p>
        </w:tc>
        <w:tc>
          <w:tcPr>
            <w:tcW w:w="6580" w:type="dxa"/>
            <w:vAlign w:val="bottom"/>
          </w:tcPr>
          <w:p>
            <w:pPr>
              <w:ind w:left="700"/>
              <w:spacing w:after="0"/>
              <w:rPr>
                <w:sz w:val="20"/>
                <w:szCs w:val="20"/>
                <w:color w:val="auto"/>
              </w:rPr>
            </w:pPr>
            <w:r>
              <w:rPr>
                <w:rFonts w:ascii="Arial" w:cs="Arial" w:eastAsia="Arial" w:hAnsi="Arial"/>
                <w:sz w:val="16"/>
                <w:szCs w:val="16"/>
                <w:color w:val="auto"/>
              </w:rPr>
              <w:t>Notices</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97</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11.05.</w:t>
            </w:r>
          </w:p>
        </w:tc>
        <w:tc>
          <w:tcPr>
            <w:tcW w:w="6580" w:type="dxa"/>
            <w:vAlign w:val="bottom"/>
          </w:tcPr>
          <w:p>
            <w:pPr>
              <w:ind w:left="700"/>
              <w:spacing w:after="0"/>
              <w:rPr>
                <w:sz w:val="20"/>
                <w:szCs w:val="20"/>
                <w:color w:val="auto"/>
              </w:rPr>
            </w:pPr>
            <w:r>
              <w:rPr>
                <w:rFonts w:ascii="Arial" w:cs="Arial" w:eastAsia="Arial" w:hAnsi="Arial"/>
                <w:sz w:val="16"/>
                <w:szCs w:val="16"/>
                <w:color w:val="auto"/>
              </w:rPr>
              <w:t>Successor Borrower Representative</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98</w:t>
            </w:r>
          </w:p>
        </w:tc>
      </w:tr>
      <w:tr>
        <w:trPr>
          <w:trHeight w:val="190"/>
        </w:trPr>
        <w:tc>
          <w:tcPr>
            <w:tcW w:w="2460" w:type="dxa"/>
            <w:vAlign w:val="bottom"/>
          </w:tcPr>
          <w:p>
            <w:pPr>
              <w:ind w:left="680"/>
              <w:spacing w:after="0"/>
              <w:rPr>
                <w:sz w:val="20"/>
                <w:szCs w:val="20"/>
                <w:color w:val="auto"/>
              </w:rPr>
            </w:pPr>
            <w:r>
              <w:rPr>
                <w:rFonts w:ascii="Arial" w:cs="Arial" w:eastAsia="Arial" w:hAnsi="Arial"/>
                <w:sz w:val="16"/>
                <w:szCs w:val="16"/>
                <w:color w:val="auto"/>
              </w:rPr>
              <w:t>SECTION 11.06.</w:t>
            </w:r>
          </w:p>
        </w:tc>
        <w:tc>
          <w:tcPr>
            <w:tcW w:w="6580" w:type="dxa"/>
            <w:vAlign w:val="bottom"/>
          </w:tcPr>
          <w:p>
            <w:pPr>
              <w:ind w:left="700"/>
              <w:spacing w:after="0"/>
              <w:rPr>
                <w:sz w:val="20"/>
                <w:szCs w:val="20"/>
                <w:color w:val="auto"/>
              </w:rPr>
            </w:pPr>
            <w:r>
              <w:rPr>
                <w:rFonts w:ascii="Arial" w:cs="Arial" w:eastAsia="Arial" w:hAnsi="Arial"/>
                <w:sz w:val="16"/>
                <w:szCs w:val="16"/>
                <w:color w:val="auto"/>
              </w:rPr>
              <w:t>Execution of Loan Documents; Borrowing Base Certificate</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98</w:t>
            </w:r>
          </w:p>
        </w:tc>
      </w:tr>
      <w:tr>
        <w:trPr>
          <w:trHeight w:val="201"/>
        </w:trPr>
        <w:tc>
          <w:tcPr>
            <w:tcW w:w="2460" w:type="dxa"/>
            <w:vAlign w:val="bottom"/>
          </w:tcPr>
          <w:p>
            <w:pPr>
              <w:ind w:left="680"/>
              <w:spacing w:after="0"/>
              <w:rPr>
                <w:sz w:val="20"/>
                <w:szCs w:val="20"/>
                <w:color w:val="auto"/>
              </w:rPr>
            </w:pPr>
            <w:r>
              <w:rPr>
                <w:rFonts w:ascii="Arial" w:cs="Arial" w:eastAsia="Arial" w:hAnsi="Arial"/>
                <w:sz w:val="16"/>
                <w:szCs w:val="16"/>
                <w:color w:val="auto"/>
              </w:rPr>
              <w:t>SECTION 11.07.</w:t>
            </w:r>
          </w:p>
        </w:tc>
        <w:tc>
          <w:tcPr>
            <w:tcW w:w="6580" w:type="dxa"/>
            <w:vAlign w:val="bottom"/>
          </w:tcPr>
          <w:p>
            <w:pPr>
              <w:ind w:left="700"/>
              <w:spacing w:after="0"/>
              <w:rPr>
                <w:sz w:val="20"/>
                <w:szCs w:val="20"/>
                <w:color w:val="auto"/>
              </w:rPr>
            </w:pPr>
            <w:r>
              <w:rPr>
                <w:rFonts w:ascii="Arial" w:cs="Arial" w:eastAsia="Arial" w:hAnsi="Arial"/>
                <w:sz w:val="16"/>
                <w:szCs w:val="16"/>
                <w:color w:val="auto"/>
              </w:rPr>
              <w:t>Reporting</w:t>
            </w:r>
          </w:p>
        </w:tc>
        <w:tc>
          <w:tcPr>
            <w:tcW w:w="2400" w:type="dxa"/>
            <w:vAlign w:val="bottom"/>
          </w:tcPr>
          <w:p>
            <w:pPr>
              <w:jc w:val="right"/>
              <w:ind w:right="61"/>
              <w:spacing w:after="0"/>
              <w:rPr>
                <w:sz w:val="20"/>
                <w:szCs w:val="20"/>
                <w:color w:val="auto"/>
              </w:rPr>
            </w:pPr>
            <w:r>
              <w:rPr>
                <w:rFonts w:ascii="Arial" w:cs="Arial" w:eastAsia="Arial" w:hAnsi="Arial"/>
                <w:sz w:val="16"/>
                <w:szCs w:val="16"/>
                <w:color w:val="auto"/>
              </w:rPr>
              <w:t>98</w:t>
            </w:r>
          </w:p>
        </w:tc>
      </w:tr>
      <w:tr>
        <w:trPr>
          <w:trHeight w:val="1304"/>
        </w:trPr>
        <w:tc>
          <w:tcPr>
            <w:tcW w:w="2460" w:type="dxa"/>
            <w:vAlign w:val="bottom"/>
            <w:tcBorders>
              <w:bottom w:val="single" w:sz="8" w:color="808080"/>
            </w:tcBorders>
          </w:tcPr>
          <w:p>
            <w:pPr>
              <w:spacing w:after="0"/>
              <w:rPr>
                <w:sz w:val="24"/>
                <w:szCs w:val="24"/>
                <w:color w:val="auto"/>
              </w:rPr>
            </w:pPr>
          </w:p>
        </w:tc>
        <w:tc>
          <w:tcPr>
            <w:tcW w:w="65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auto"/>
        </w:rPr>
        <w:t>SCHEDULES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Commitment Schedule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Schedule 1.01 — Collateral Deposit Accounts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Schedule 3.11 — Capitalization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Schedule 3.15 — Properties</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Schedule 3.16 — Insurance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EXHIBITS</w:t>
      </w:r>
      <w:r>
        <w:rPr>
          <w:rFonts w:ascii="Arial" w:cs="Arial" w:eastAsia="Arial" w:hAnsi="Arial"/>
          <w:sz w:val="16"/>
          <w:szCs w:val="16"/>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Exhibit A — Form of Assignment and Assumption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Exhibit B — Form of Borrowing Base Certificate</w:t>
      </w:r>
    </w:p>
    <w:p>
      <w:pPr>
        <w:spacing w:after="0" w:line="6" w:lineRule="exact"/>
        <w:rPr>
          <w:sz w:val="20"/>
          <w:szCs w:val="20"/>
          <w:color w:val="auto"/>
        </w:rPr>
      </w:pPr>
    </w:p>
    <w:p>
      <w:pPr>
        <w:spacing w:after="0"/>
        <w:tabs>
          <w:tab w:leader="none" w:pos="6260" w:val="left"/>
        </w:tabs>
        <w:rPr>
          <w:sz w:val="20"/>
          <w:szCs w:val="20"/>
          <w:color w:val="auto"/>
        </w:rPr>
      </w:pPr>
      <w:r>
        <w:rPr>
          <w:rFonts w:ascii="Arial" w:cs="Arial" w:eastAsia="Arial" w:hAnsi="Arial"/>
          <w:sz w:val="16"/>
          <w:szCs w:val="16"/>
          <w:color w:val="auto"/>
        </w:rPr>
        <w:t>Exhibit C-1— Form of U.S. Tax Compliance Certificate (for Non-U.S. Lenders and Participants</w:t>
      </w:r>
      <w:r>
        <w:rPr>
          <w:sz w:val="20"/>
          <w:szCs w:val="20"/>
          <w:color w:val="auto"/>
        </w:rPr>
        <w:tab/>
      </w:r>
      <w:r>
        <w:rPr>
          <w:rFonts w:ascii="Arial" w:cs="Arial" w:eastAsia="Arial" w:hAnsi="Arial"/>
          <w:sz w:val="12"/>
          <w:szCs w:val="12"/>
          <w:color w:val="auto"/>
        </w:rPr>
        <w:t>that are not Partnerships)</w:t>
      </w:r>
    </w:p>
    <w:p>
      <w:pPr>
        <w:spacing w:after="0" w:line="6" w:lineRule="exact"/>
        <w:rPr>
          <w:sz w:val="20"/>
          <w:szCs w:val="20"/>
          <w:color w:val="auto"/>
        </w:rPr>
      </w:pPr>
    </w:p>
    <w:p>
      <w:pPr>
        <w:spacing w:after="0"/>
        <w:tabs>
          <w:tab w:leader="none" w:pos="6260" w:val="left"/>
        </w:tabs>
        <w:rPr>
          <w:sz w:val="20"/>
          <w:szCs w:val="20"/>
          <w:color w:val="auto"/>
        </w:rPr>
      </w:pPr>
      <w:r>
        <w:rPr>
          <w:rFonts w:ascii="Arial" w:cs="Arial" w:eastAsia="Arial" w:hAnsi="Arial"/>
          <w:sz w:val="16"/>
          <w:szCs w:val="16"/>
          <w:color w:val="auto"/>
        </w:rPr>
        <w:t>Exhibit C-2— Form of U.S. Tax Compliance Certificate (for Non-U.S. Lenders and Participants</w:t>
      </w:r>
      <w:r>
        <w:rPr>
          <w:sz w:val="20"/>
          <w:szCs w:val="20"/>
          <w:color w:val="auto"/>
        </w:rPr>
        <w:tab/>
      </w:r>
      <w:r>
        <w:rPr>
          <w:rFonts w:ascii="Arial" w:cs="Arial" w:eastAsia="Arial" w:hAnsi="Arial"/>
          <w:sz w:val="12"/>
          <w:szCs w:val="12"/>
          <w:color w:val="auto"/>
        </w:rPr>
        <w:t>that are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26821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219"/>
          </w:cols>
          <w:pgMar w:left="240" w:top="471" w:right="1440" w:bottom="1440" w:gutter="0" w:footer="0" w:header="0"/>
        </w:sectPr>
      </w:pPr>
    </w:p>
    <w:bookmarkStart w:id="11" w:name="page12"/>
    <w:bookmarkEnd w:id="11"/>
    <w:p>
      <w:pPr>
        <w:jc w:val="both"/>
        <w:ind w:firstLine="570"/>
        <w:spacing w:after="0" w:line="255" w:lineRule="auto"/>
        <w:rPr>
          <w:sz w:val="20"/>
          <w:szCs w:val="20"/>
          <w:color w:val="auto"/>
        </w:rPr>
      </w:pPr>
      <w:r>
        <w:rPr>
          <w:rFonts w:ascii="Arial" w:cs="Arial" w:eastAsia="Arial" w:hAnsi="Arial"/>
          <w:sz w:val="16"/>
          <w:szCs w:val="16"/>
          <w:color w:val="auto"/>
        </w:rPr>
        <w:t>CREDIT AGREEMENT dated as of December 2, 2014 (as it may be amended,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among MICRON TECHNOLOGY, INC., a Delaware corporation (“</w:t>
      </w:r>
      <w:r>
        <w:rPr>
          <w:rFonts w:ascii="Arial" w:cs="Arial" w:eastAsia="Arial" w:hAnsi="Arial"/>
          <w:sz w:val="16"/>
          <w:szCs w:val="16"/>
          <w:u w:val="single" w:color="auto"/>
          <w:color w:val="auto"/>
        </w:rPr>
        <w:t>Micron</w:t>
      </w:r>
      <w:r>
        <w:rPr>
          <w:rFonts w:ascii="Arial" w:cs="Arial" w:eastAsia="Arial" w:hAnsi="Arial"/>
          <w:sz w:val="16"/>
          <w:szCs w:val="16"/>
          <w:color w:val="auto"/>
        </w:rPr>
        <w:t>”), MICRON SEMICONDUCTOR PRODUCTS, INC., an Idaho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together with Micron and any other Person that becomes a borrower hereunder, collectively and individually, the “</w:t>
      </w:r>
      <w:r>
        <w:rPr>
          <w:rFonts w:ascii="Arial" w:cs="Arial" w:eastAsia="Arial" w:hAnsi="Arial"/>
          <w:sz w:val="16"/>
          <w:szCs w:val="16"/>
          <w:u w:val="single" w:color="auto"/>
          <w:color w:val="auto"/>
        </w:rPr>
        <w:t>Borrowers</w:t>
      </w:r>
      <w:r>
        <w:rPr>
          <w:rFonts w:ascii="Arial" w:cs="Arial" w:eastAsia="Arial" w:hAnsi="Arial"/>
          <w:sz w:val="16"/>
          <w:szCs w:val="16"/>
          <w:color w:val="auto"/>
        </w:rPr>
        <w:t>”), the Lenders party hereto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HSBC BANK USA, N.A., as Administrative Agent.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parties hereto agree as follows:</w:t>
      </w:r>
    </w:p>
    <w:p>
      <w:pPr>
        <w:spacing w:after="0" w:line="220"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ARTICLE I</w:t>
      </w:r>
    </w:p>
    <w:p>
      <w:pPr>
        <w:spacing w:after="0" w:line="17" w:lineRule="exact"/>
        <w:rPr>
          <w:sz w:val="20"/>
          <w:szCs w:val="20"/>
          <w:color w:val="auto"/>
        </w:rPr>
      </w:pPr>
    </w:p>
    <w:p>
      <w:pPr>
        <w:ind w:left="5360"/>
        <w:spacing w:after="0"/>
        <w:rPr>
          <w:sz w:val="20"/>
          <w:szCs w:val="20"/>
          <w:color w:val="auto"/>
        </w:rPr>
      </w:pPr>
      <w:r>
        <w:rPr>
          <w:rFonts w:ascii="Arial" w:cs="Arial" w:eastAsia="Arial" w:hAnsi="Arial"/>
          <w:sz w:val="16"/>
          <w:szCs w:val="16"/>
          <w:u w:val="single" w:color="auto"/>
          <w:color w:val="auto"/>
        </w:rPr>
        <w:t>Definitions</w:t>
      </w:r>
    </w:p>
    <w:p>
      <w:pPr>
        <w:spacing w:after="0" w:line="233"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1.01.</w:t>
      </w:r>
      <w:r>
        <w:rPr>
          <w:sz w:val="20"/>
          <w:szCs w:val="20"/>
          <w:color w:val="auto"/>
        </w:rPr>
        <w:tab/>
      </w:r>
      <w:r>
        <w:rPr>
          <w:rFonts w:ascii="Arial" w:cs="Arial" w:eastAsia="Arial" w:hAnsi="Arial"/>
          <w:sz w:val="14"/>
          <w:szCs w:val="14"/>
          <w:u w:val="single" w:color="auto"/>
          <w:color w:val="auto"/>
        </w:rPr>
        <w:t>Defined Terms</w:t>
      </w:r>
      <w:r>
        <w:rPr>
          <w:rFonts w:ascii="Arial" w:cs="Arial" w:eastAsia="Arial" w:hAnsi="Arial"/>
          <w:sz w:val="14"/>
          <w:szCs w:val="14"/>
          <w:color w:val="auto"/>
        </w:rPr>
        <w:t>. As used in this Agreement, the following terms have the meanings specified below:</w:t>
      </w:r>
    </w:p>
    <w:p>
      <w:pPr>
        <w:spacing w:after="0" w:line="22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ABR</w:t>
      </w:r>
      <w:r>
        <w:rPr>
          <w:rFonts w:ascii="Arial" w:cs="Arial" w:eastAsia="Arial" w:hAnsi="Arial"/>
          <w:sz w:val="16"/>
          <w:szCs w:val="16"/>
          <w:color w:val="auto"/>
        </w:rPr>
        <w:t>”, when used in reference to any Loan or Borrowing, refers to whether such Loan, or the Loans comprising such Borrowing, are bearing interest at a rate determined by reference to the Alternate Base Rate.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has the meaning assigned to such term in the applicable Security Agreement.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 Debtor</w:t>
      </w:r>
      <w:r>
        <w:rPr>
          <w:rFonts w:ascii="Arial" w:cs="Arial" w:eastAsia="Arial" w:hAnsi="Arial"/>
          <w:sz w:val="16"/>
          <w:szCs w:val="16"/>
          <w:color w:val="auto"/>
        </w:rPr>
        <w:t>” means any Person obligated on an Account.</w:t>
      </w:r>
    </w:p>
    <w:p>
      <w:pPr>
        <w:spacing w:after="0" w:line="22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LIBO Rate</w:t>
      </w:r>
      <w:r>
        <w:rPr>
          <w:rFonts w:ascii="Arial" w:cs="Arial" w:eastAsia="Arial" w:hAnsi="Arial"/>
          <w:sz w:val="16"/>
          <w:szCs w:val="16"/>
          <w:color w:val="auto"/>
        </w:rPr>
        <w:t>” means, with respect to any Eurodollar Borrowing for any Interest Period or for any ABR Borrowing, an interest rate per annum (rounded upwards, if necessary, to the next 1/16 of 1%) equal to (a) the LIBO Rate for such Interest Period multiplied by (b) the Statutory Reserve Rate.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means HSBC Bank USA, N.A., in its capacity as administrative agent and collateral agent for the Lenders hereunder.</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Questionnaire</w:t>
      </w:r>
      <w:r>
        <w:rPr>
          <w:rFonts w:ascii="Arial" w:cs="Arial" w:eastAsia="Arial" w:hAnsi="Arial"/>
          <w:sz w:val="16"/>
          <w:szCs w:val="16"/>
          <w:color w:val="auto"/>
        </w:rPr>
        <w:t>” means an Administrative Questionnaire in a form supplied by the Administrative Agent.</w:t>
      </w:r>
    </w:p>
    <w:p>
      <w:pPr>
        <w:spacing w:after="0" w:line="22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 specified Person, another Person that directly, or indirectly through one or more intermediaries, Controls or is Controlled by or is under common Control with the Person specified.</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Credit Exposure</w:t>
      </w:r>
      <w:r>
        <w:rPr>
          <w:rFonts w:ascii="Arial" w:cs="Arial" w:eastAsia="Arial" w:hAnsi="Arial"/>
          <w:sz w:val="16"/>
          <w:szCs w:val="16"/>
          <w:color w:val="auto"/>
        </w:rPr>
        <w:t>” means, at any time, the aggregate Credit Exposure of all the Lenders.</w:t>
      </w:r>
    </w:p>
    <w:p>
      <w:pPr>
        <w:spacing w:after="0" w:line="22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Revolving Commitments</w:t>
      </w:r>
      <w:r>
        <w:rPr>
          <w:rFonts w:ascii="Arial" w:cs="Arial" w:eastAsia="Arial" w:hAnsi="Arial"/>
          <w:sz w:val="16"/>
          <w:szCs w:val="16"/>
          <w:color w:val="auto"/>
        </w:rPr>
        <w:t>” means the aggregate Revolving Commitments of all Lenders. The initial amount of the Aggregate Revolving Commitments in effect on the Effective Date is $600,000,000.</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Revolving Exposure</w:t>
      </w:r>
      <w:r>
        <w:rPr>
          <w:rFonts w:ascii="Arial" w:cs="Arial" w:eastAsia="Arial" w:hAnsi="Arial"/>
          <w:sz w:val="16"/>
          <w:szCs w:val="16"/>
          <w:color w:val="auto"/>
        </w:rPr>
        <w:t>” means, at any time, the aggregate Revolving Exposure of all the Lenders.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2" w:name="page13"/>
    <w:bookmarkEnd w:id="12"/>
    <w:p>
      <w:pPr>
        <w:jc w:val="both"/>
        <w:ind w:firstLine="570"/>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Alternate Base Rate</w:t>
      </w:r>
      <w:r>
        <w:rPr>
          <w:rFonts w:ascii="Arial" w:cs="Arial" w:eastAsia="Arial" w:hAnsi="Arial"/>
          <w:sz w:val="14"/>
          <w:szCs w:val="14"/>
          <w:color w:val="auto"/>
        </w:rPr>
        <w:t>” means, for any day, a rate per annum equal to the greatest of (a) the Prime Rate in effect on such day, (b) the Federal Funds Effective Rate in effect on such day plus ½ of 1% and (c) the Adjusted LIBO Rate for a one month interest period in effect on such day (or if such day is not a Business Day, the immediately preceding Business Day) plus 1%, provided that, for the avoidance of doubt, for purposes of this definition, the Adjusted LIBO Rate for any day shall be based on the rate appearing on the Reuters Screen LIBOR01 Page (or on any successor or substitute page) at approximately 11:00 a.m. London time on such day (or if such day is not a Business Day, the immediately preceding Business Day) (without any rounding).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38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all laws, rules, and regulations of any jurisdiction applicable to any Borrower or its Subsidiaries from time to time concerning or relating to bribery or corruption.</w:t>
      </w:r>
    </w:p>
    <w:p>
      <w:pPr>
        <w:spacing w:after="0" w:line="18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Commitment Fee Rate</w:t>
      </w:r>
      <w:r>
        <w:rPr>
          <w:rFonts w:ascii="Arial" w:cs="Arial" w:eastAsia="Arial" w:hAnsi="Arial"/>
          <w:sz w:val="16"/>
          <w:szCs w:val="16"/>
          <w:color w:val="auto"/>
        </w:rPr>
        <w:t>” means, for any day, with respect to the commitment fees payable hereunder, the applicable rate per annum set forth below, based upon the Average Utilization during the calendar month most recently ended: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700" w:type="dxa"/>
            <w:vAlign w:val="bottom"/>
            <w:tcBorders>
              <w:bottom w:val="single" w:sz="8" w:color="auto"/>
            </w:tcBorders>
          </w:tcPr>
          <w:p>
            <w:pPr>
              <w:jc w:val="center"/>
              <w:ind w:right="601"/>
              <w:spacing w:after="0"/>
              <w:rPr>
                <w:sz w:val="20"/>
                <w:szCs w:val="20"/>
                <w:color w:val="auto"/>
              </w:rPr>
            </w:pPr>
            <w:r>
              <w:rPr>
                <w:rFonts w:ascii="Arial" w:cs="Arial" w:eastAsia="Arial" w:hAnsi="Arial"/>
                <w:sz w:val="16"/>
                <w:szCs w:val="16"/>
                <w:color w:val="auto"/>
                <w:w w:val="89"/>
              </w:rPr>
              <w:t>Category</w:t>
            </w:r>
          </w:p>
        </w:tc>
        <w:tc>
          <w:tcPr>
            <w:tcW w:w="480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2"/>
              </w:rPr>
              <w:t>Average Utilization</w:t>
            </w:r>
          </w:p>
        </w:tc>
        <w:tc>
          <w:tcPr>
            <w:tcW w:w="3940" w:type="dxa"/>
            <w:vAlign w:val="bottom"/>
            <w:tcBorders>
              <w:bottom w:val="single" w:sz="8" w:color="auto"/>
            </w:tcBorders>
          </w:tcPr>
          <w:p>
            <w:pPr>
              <w:jc w:val="center"/>
              <w:ind w:left="661"/>
              <w:spacing w:after="0"/>
              <w:rPr>
                <w:sz w:val="20"/>
                <w:szCs w:val="20"/>
                <w:color w:val="auto"/>
              </w:rPr>
            </w:pPr>
            <w:r>
              <w:rPr>
                <w:rFonts w:ascii="Arial" w:cs="Arial" w:eastAsia="Arial" w:hAnsi="Arial"/>
                <w:sz w:val="16"/>
                <w:szCs w:val="16"/>
                <w:color w:val="auto"/>
                <w:w w:val="90"/>
              </w:rPr>
              <w:t>Applicable Commitment Fee Rate</w:t>
            </w:r>
          </w:p>
        </w:tc>
      </w:tr>
      <w:tr>
        <w:trPr>
          <w:trHeight w:val="178"/>
        </w:trPr>
        <w:tc>
          <w:tcPr>
            <w:tcW w:w="2700" w:type="dxa"/>
            <w:vAlign w:val="bottom"/>
          </w:tcPr>
          <w:p>
            <w:pPr>
              <w:jc w:val="center"/>
              <w:ind w:right="601"/>
              <w:spacing w:after="0" w:line="178" w:lineRule="exact"/>
              <w:rPr>
                <w:sz w:val="20"/>
                <w:szCs w:val="20"/>
                <w:color w:val="auto"/>
              </w:rPr>
            </w:pPr>
            <w:r>
              <w:rPr>
                <w:rFonts w:ascii="Arial" w:cs="Arial" w:eastAsia="Arial" w:hAnsi="Arial"/>
                <w:sz w:val="16"/>
                <w:szCs w:val="16"/>
                <w:color w:val="auto"/>
                <w:w w:val="89"/>
              </w:rPr>
              <w:t>Category 1</w:t>
            </w:r>
          </w:p>
        </w:tc>
        <w:tc>
          <w:tcPr>
            <w:tcW w:w="4800" w:type="dxa"/>
            <w:vAlign w:val="bottom"/>
          </w:tcPr>
          <w:p>
            <w:pPr>
              <w:jc w:val="center"/>
              <w:spacing w:after="0" w:line="178" w:lineRule="exact"/>
              <w:rPr>
                <w:sz w:val="20"/>
                <w:szCs w:val="20"/>
                <w:color w:val="auto"/>
              </w:rPr>
            </w:pPr>
            <w:r>
              <w:rPr>
                <w:rFonts w:ascii="Arial" w:cs="Arial" w:eastAsia="Arial" w:hAnsi="Arial"/>
                <w:sz w:val="16"/>
                <w:szCs w:val="16"/>
                <w:color w:val="auto"/>
                <w:w w:val="91"/>
              </w:rPr>
              <w:t>≥ 50% of the Aggregate Revolving</w:t>
            </w:r>
          </w:p>
        </w:tc>
        <w:tc>
          <w:tcPr>
            <w:tcW w:w="3940" w:type="dxa"/>
            <w:vAlign w:val="bottom"/>
          </w:tcPr>
          <w:p>
            <w:pPr>
              <w:spacing w:after="0"/>
              <w:rPr>
                <w:sz w:val="15"/>
                <w:szCs w:val="15"/>
                <w:color w:val="auto"/>
              </w:rPr>
            </w:pPr>
          </w:p>
        </w:tc>
      </w:tr>
      <w:tr>
        <w:trPr>
          <w:trHeight w:val="190"/>
        </w:trPr>
        <w:tc>
          <w:tcPr>
            <w:tcW w:w="2700" w:type="dxa"/>
            <w:vAlign w:val="bottom"/>
          </w:tcPr>
          <w:p>
            <w:pPr>
              <w:spacing w:after="0"/>
              <w:rPr>
                <w:sz w:val="16"/>
                <w:szCs w:val="16"/>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1"/>
              </w:rPr>
              <w:t>Commitments</w:t>
            </w:r>
          </w:p>
        </w:tc>
        <w:tc>
          <w:tcPr>
            <w:tcW w:w="3940" w:type="dxa"/>
            <w:vAlign w:val="bottom"/>
          </w:tcPr>
          <w:p>
            <w:pPr>
              <w:jc w:val="center"/>
              <w:ind w:left="661"/>
              <w:spacing w:after="0"/>
              <w:rPr>
                <w:sz w:val="20"/>
                <w:szCs w:val="20"/>
                <w:color w:val="auto"/>
              </w:rPr>
            </w:pPr>
            <w:r>
              <w:rPr>
                <w:rFonts w:ascii="Arial" w:cs="Arial" w:eastAsia="Arial" w:hAnsi="Arial"/>
                <w:sz w:val="16"/>
                <w:szCs w:val="16"/>
                <w:color w:val="auto"/>
                <w:w w:val="88"/>
              </w:rPr>
              <w:t>0.250%</w:t>
            </w:r>
          </w:p>
        </w:tc>
      </w:tr>
      <w:tr>
        <w:trPr>
          <w:trHeight w:val="190"/>
        </w:trPr>
        <w:tc>
          <w:tcPr>
            <w:tcW w:w="2700" w:type="dxa"/>
            <w:vAlign w:val="bottom"/>
          </w:tcPr>
          <w:p>
            <w:pPr>
              <w:jc w:val="center"/>
              <w:ind w:right="601"/>
              <w:spacing w:after="0"/>
              <w:rPr>
                <w:sz w:val="20"/>
                <w:szCs w:val="20"/>
                <w:color w:val="auto"/>
              </w:rPr>
            </w:pPr>
            <w:r>
              <w:rPr>
                <w:rFonts w:ascii="Arial" w:cs="Arial" w:eastAsia="Arial" w:hAnsi="Arial"/>
                <w:sz w:val="16"/>
                <w:szCs w:val="16"/>
                <w:color w:val="auto"/>
                <w:w w:val="89"/>
              </w:rPr>
              <w:t>Category 2</w:t>
            </w:r>
          </w:p>
        </w:tc>
        <w:tc>
          <w:tcPr>
            <w:tcW w:w="4800" w:type="dxa"/>
            <w:vAlign w:val="bottom"/>
          </w:tcPr>
          <w:p>
            <w:pPr>
              <w:jc w:val="center"/>
              <w:spacing w:after="0"/>
              <w:rPr>
                <w:sz w:val="20"/>
                <w:szCs w:val="20"/>
                <w:color w:val="auto"/>
              </w:rPr>
            </w:pPr>
            <w:r>
              <w:rPr>
                <w:rFonts w:ascii="Arial" w:cs="Arial" w:eastAsia="Arial" w:hAnsi="Arial"/>
                <w:sz w:val="16"/>
                <w:szCs w:val="16"/>
                <w:color w:val="auto"/>
                <w:w w:val="91"/>
              </w:rPr>
              <w:t>&lt; 50% of the Aggregate Revolving</w:t>
            </w:r>
          </w:p>
        </w:tc>
        <w:tc>
          <w:tcPr>
            <w:tcW w:w="3940" w:type="dxa"/>
            <w:vAlign w:val="bottom"/>
          </w:tcPr>
          <w:p>
            <w:pPr>
              <w:spacing w:after="0"/>
              <w:rPr>
                <w:sz w:val="16"/>
                <w:szCs w:val="16"/>
                <w:color w:val="auto"/>
              </w:rPr>
            </w:pPr>
          </w:p>
        </w:tc>
      </w:tr>
      <w:tr>
        <w:trPr>
          <w:trHeight w:val="201"/>
        </w:trPr>
        <w:tc>
          <w:tcPr>
            <w:tcW w:w="2700" w:type="dxa"/>
            <w:vAlign w:val="bottom"/>
          </w:tcPr>
          <w:p>
            <w:pPr>
              <w:spacing w:after="0"/>
              <w:rPr>
                <w:sz w:val="17"/>
                <w:szCs w:val="17"/>
                <w:color w:val="auto"/>
              </w:rPr>
            </w:pPr>
          </w:p>
        </w:tc>
        <w:tc>
          <w:tcPr>
            <w:tcW w:w="4800" w:type="dxa"/>
            <w:vAlign w:val="bottom"/>
          </w:tcPr>
          <w:p>
            <w:pPr>
              <w:jc w:val="center"/>
              <w:spacing w:after="0"/>
              <w:rPr>
                <w:sz w:val="20"/>
                <w:szCs w:val="20"/>
                <w:color w:val="auto"/>
              </w:rPr>
            </w:pPr>
            <w:r>
              <w:rPr>
                <w:rFonts w:ascii="Arial" w:cs="Arial" w:eastAsia="Arial" w:hAnsi="Arial"/>
                <w:sz w:val="16"/>
                <w:szCs w:val="16"/>
                <w:color w:val="auto"/>
                <w:w w:val="91"/>
              </w:rPr>
              <w:t>Commitments</w:t>
            </w:r>
          </w:p>
        </w:tc>
        <w:tc>
          <w:tcPr>
            <w:tcW w:w="3940" w:type="dxa"/>
            <w:vAlign w:val="bottom"/>
          </w:tcPr>
          <w:p>
            <w:pPr>
              <w:jc w:val="center"/>
              <w:ind w:left="661"/>
              <w:spacing w:after="0"/>
              <w:rPr>
                <w:sz w:val="20"/>
                <w:szCs w:val="20"/>
                <w:color w:val="auto"/>
              </w:rPr>
            </w:pPr>
            <w:r>
              <w:rPr>
                <w:rFonts w:ascii="Arial" w:cs="Arial" w:eastAsia="Arial" w:hAnsi="Arial"/>
                <w:sz w:val="16"/>
                <w:szCs w:val="16"/>
                <w:color w:val="auto"/>
                <w:w w:val="88"/>
              </w:rPr>
              <w:t>0.375%</w:t>
            </w:r>
          </w:p>
        </w:tc>
      </w:tr>
    </w:tbl>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For purposes of the foregoing, until the fifth Business Day following the end of the first full calendar month after the Effective Date, the “Applicable Commitment Fee Rate” shall be deemed to be Category 2 and thereafter the Applicable Commitment Fee Rate shall be adjusted on the fifth Business Day following each calendar month end; provided that the Applicable Commitment Fee Rate shall be deemed to be in Category 2 (a) at any time that an Event of Default has occurred and is continuing (other than an Event of Default arising from the failure to deliver any Borrowing Base Certificate) or (b) at the option of the Administrative Agent or at the request of the Required Lenders if the Borrowers fail to deliver any Borrowing Base Certificate that is required to be delivered by them pursuant to </w:t>
      </w:r>
      <w:r>
        <w:rPr>
          <w:rFonts w:ascii="Arial" w:cs="Arial" w:eastAsia="Arial" w:hAnsi="Arial"/>
          <w:sz w:val="16"/>
          <w:szCs w:val="16"/>
          <w:u w:val="single" w:color="auto"/>
          <w:color w:val="auto"/>
        </w:rPr>
        <w:t>Section 5.01(f)</w:t>
      </w:r>
      <w:r>
        <w:rPr>
          <w:rFonts w:ascii="Arial" w:cs="Arial" w:eastAsia="Arial" w:hAnsi="Arial"/>
          <w:sz w:val="16"/>
          <w:szCs w:val="16"/>
          <w:color w:val="auto"/>
        </w:rPr>
        <w:t>, during the period from the expiration of the time for delivery thereof until each such Borrowing Base Certificate is so delivered.</w:t>
      </w:r>
    </w:p>
    <w:p>
      <w:pPr>
        <w:spacing w:after="0" w:line="195"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means, with respect to any Lender, (a) with respect to Revolving Loans, LC Exposure, Swingline Loans or Overadvances, a percentage equal to a fraction the numerator of which is such Lender’s Revolving Commitment and the denominator of which is the aggregate Revolving Commitments or, if the Revolving Commitments have terminated or expired, the Applicable Percentages shall be determined based upon such Lender’s share of the Aggregate Revolving Exposures at that time), and (b) with respect to Protective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3" w:name="page14"/>
    <w:bookmarkEnd w:id="13"/>
    <w:p>
      <w:pPr>
        <w:jc w:val="both"/>
        <w:ind w:right="20"/>
        <w:spacing w:after="0" w:line="259" w:lineRule="auto"/>
        <w:rPr>
          <w:sz w:val="20"/>
          <w:szCs w:val="20"/>
          <w:color w:val="auto"/>
        </w:rPr>
      </w:pPr>
      <w:r>
        <w:rPr>
          <w:rFonts w:ascii="Arial" w:cs="Arial" w:eastAsia="Arial" w:hAnsi="Arial"/>
          <w:sz w:val="16"/>
          <w:szCs w:val="16"/>
          <w:color w:val="auto"/>
        </w:rPr>
        <w:t xml:space="preserve">Advances or with respect to the Aggregate Credit Exposure, a percentage based upon its share of the Aggregate Credit Exposure and the unused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accordance with </w:t>
      </w:r>
      <w:r>
        <w:rPr>
          <w:rFonts w:ascii="Arial" w:cs="Arial" w:eastAsia="Arial" w:hAnsi="Arial"/>
          <w:sz w:val="16"/>
          <w:szCs w:val="16"/>
          <w:u w:val="single" w:color="auto"/>
          <w:color w:val="auto"/>
        </w:rPr>
        <w:t>Section 2.20</w:t>
      </w:r>
      <w:r>
        <w:rPr>
          <w:rFonts w:ascii="Arial" w:cs="Arial" w:eastAsia="Arial" w:hAnsi="Arial"/>
          <w:sz w:val="16"/>
          <w:szCs w:val="16"/>
          <w:color w:val="auto"/>
        </w:rPr>
        <w:t>, so long as any Lender shall be a Defaulting Lender, such Defaulting Lender’s Commitment shall be disregarded in the calculations under clauses (a) and (b) above.</w:t>
      </w:r>
    </w:p>
    <w:p>
      <w:pPr>
        <w:spacing w:after="0" w:line="200" w:lineRule="exact"/>
        <w:rPr>
          <w:sz w:val="20"/>
          <w:szCs w:val="20"/>
          <w:color w:val="auto"/>
        </w:rPr>
      </w:pPr>
    </w:p>
    <w:p>
      <w:pPr>
        <w:spacing w:after="0" w:line="202"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xml:space="preserve">” means, for any day, with respect to any Eurodollar Loan, ABR Loan, or LC Disbursement, as the case may be, the applicable rate per annum set forth below under the caption “Eurodollar Spread” or “ABR Spread”, as the case may be, based upon Average Monthly Availability during the most recently completed calendar month of the Borrowers;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until the fifth Business Day following the end of the first full six calendar months after the Effective Date, the “Applicable Rate” shall be the applicable spreads set forth below for Category 1:</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00" w:type="dxa"/>
            <w:vAlign w:val="bottom"/>
          </w:tcPr>
          <w:p>
            <w:pPr>
              <w:jc w:val="center"/>
              <w:ind w:right="201"/>
              <w:spacing w:after="0"/>
              <w:rPr>
                <w:sz w:val="20"/>
                <w:szCs w:val="20"/>
                <w:color w:val="auto"/>
              </w:rPr>
            </w:pPr>
            <w:r>
              <w:rPr>
                <w:rFonts w:ascii="Arial" w:cs="Arial" w:eastAsia="Arial" w:hAnsi="Arial"/>
                <w:sz w:val="16"/>
                <w:szCs w:val="16"/>
                <w:color w:val="auto"/>
                <w:w w:val="89"/>
              </w:rPr>
              <w:t>Category</w:t>
            </w:r>
          </w:p>
        </w:tc>
        <w:tc>
          <w:tcPr>
            <w:tcW w:w="7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3"/>
              </w:rPr>
              <w:t>Average Monthly</w:t>
            </w:r>
          </w:p>
        </w:tc>
        <w:tc>
          <w:tcPr>
            <w:tcW w:w="7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6"/>
        </w:trPr>
        <w:tc>
          <w:tcPr>
            <w:tcW w:w="210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Availability</w:t>
            </w:r>
          </w:p>
        </w:tc>
        <w:tc>
          <w:tcPr>
            <w:tcW w:w="720" w:type="dxa"/>
            <w:vAlign w:val="bottom"/>
          </w:tcPr>
          <w:p>
            <w:pPr>
              <w:spacing w:after="0"/>
              <w:rPr>
                <w:sz w:val="17"/>
                <w:szCs w:val="17"/>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Eurodollar Spread</w:t>
            </w:r>
          </w:p>
        </w:tc>
        <w:tc>
          <w:tcPr>
            <w:tcW w:w="7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ABR Spread</w:t>
            </w:r>
          </w:p>
        </w:tc>
      </w:tr>
      <w:tr>
        <w:trPr>
          <w:trHeight w:val="178"/>
        </w:trPr>
        <w:tc>
          <w:tcPr>
            <w:tcW w:w="2100" w:type="dxa"/>
            <w:vAlign w:val="bottom"/>
          </w:tcPr>
          <w:p>
            <w:pPr>
              <w:jc w:val="center"/>
              <w:ind w:right="201"/>
              <w:spacing w:after="0" w:line="178" w:lineRule="exact"/>
              <w:rPr>
                <w:sz w:val="20"/>
                <w:szCs w:val="20"/>
                <w:color w:val="auto"/>
              </w:rPr>
            </w:pPr>
            <w:r>
              <w:rPr>
                <w:rFonts w:ascii="Arial" w:cs="Arial" w:eastAsia="Arial" w:hAnsi="Arial"/>
                <w:sz w:val="16"/>
                <w:szCs w:val="16"/>
                <w:color w:val="auto"/>
                <w:w w:val="89"/>
              </w:rPr>
              <w:t>Category 1</w:t>
            </w:r>
          </w:p>
        </w:tc>
        <w:tc>
          <w:tcPr>
            <w:tcW w:w="700" w:type="dxa"/>
            <w:vAlign w:val="bottom"/>
          </w:tcPr>
          <w:p>
            <w:pPr>
              <w:spacing w:after="0"/>
              <w:rPr>
                <w:sz w:val="15"/>
                <w:szCs w:val="15"/>
                <w:color w:val="auto"/>
              </w:rPr>
            </w:pPr>
          </w:p>
        </w:tc>
        <w:tc>
          <w:tcPr>
            <w:tcW w:w="3160" w:type="dxa"/>
            <w:vAlign w:val="bottom"/>
          </w:tcPr>
          <w:p>
            <w:pPr>
              <w:jc w:val="center"/>
              <w:spacing w:after="0" w:line="178" w:lineRule="exact"/>
              <w:rPr>
                <w:sz w:val="20"/>
                <w:szCs w:val="20"/>
                <w:color w:val="auto"/>
              </w:rPr>
            </w:pPr>
            <w:r>
              <w:rPr>
                <w:rFonts w:ascii="Arial" w:cs="Arial" w:eastAsia="Arial" w:hAnsi="Arial"/>
                <w:sz w:val="16"/>
                <w:szCs w:val="16"/>
                <w:color w:val="auto"/>
                <w:w w:val="89"/>
              </w:rPr>
              <w:t>≥ an amount equal to 66.66% of the Aggregate</w:t>
            </w:r>
          </w:p>
        </w:tc>
        <w:tc>
          <w:tcPr>
            <w:tcW w:w="7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0"/>
        </w:trPr>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2"/>
              </w:rPr>
              <w:t>Revolving Commitments</w:t>
            </w:r>
          </w:p>
        </w:tc>
        <w:tc>
          <w:tcPr>
            <w:tcW w:w="3720" w:type="dxa"/>
            <w:vAlign w:val="bottom"/>
            <w:gridSpan w:val="2"/>
          </w:tcPr>
          <w:p>
            <w:pPr>
              <w:jc w:val="center"/>
              <w:ind w:left="621"/>
              <w:spacing w:after="0"/>
              <w:rPr>
                <w:sz w:val="20"/>
                <w:szCs w:val="20"/>
                <w:color w:val="auto"/>
              </w:rPr>
            </w:pPr>
            <w:r>
              <w:rPr>
                <w:rFonts w:ascii="Arial" w:cs="Arial" w:eastAsia="Arial" w:hAnsi="Arial"/>
                <w:sz w:val="16"/>
                <w:szCs w:val="16"/>
                <w:color w:val="auto"/>
                <w:w w:val="92"/>
              </w:rPr>
              <w:t>1.25%</w:t>
            </w:r>
          </w:p>
        </w:tc>
        <w:tc>
          <w:tcPr>
            <w:tcW w:w="1760" w:type="dxa"/>
            <w:vAlign w:val="bottom"/>
            <w:gridSpan w:val="2"/>
          </w:tcPr>
          <w:p>
            <w:pPr>
              <w:jc w:val="center"/>
              <w:ind w:left="601"/>
              <w:spacing w:after="0"/>
              <w:rPr>
                <w:sz w:val="20"/>
                <w:szCs w:val="20"/>
                <w:color w:val="auto"/>
              </w:rPr>
            </w:pPr>
            <w:r>
              <w:rPr>
                <w:rFonts w:ascii="Arial" w:cs="Arial" w:eastAsia="Arial" w:hAnsi="Arial"/>
                <w:sz w:val="16"/>
                <w:szCs w:val="16"/>
                <w:color w:val="auto"/>
                <w:w w:val="88"/>
              </w:rPr>
              <w:t>0.25%</w:t>
            </w:r>
          </w:p>
        </w:tc>
      </w:tr>
      <w:tr>
        <w:trPr>
          <w:trHeight w:val="190"/>
        </w:trPr>
        <w:tc>
          <w:tcPr>
            <w:tcW w:w="2100" w:type="dxa"/>
            <w:vAlign w:val="bottom"/>
          </w:tcPr>
          <w:p>
            <w:pPr>
              <w:jc w:val="center"/>
              <w:ind w:right="201"/>
              <w:spacing w:after="0"/>
              <w:rPr>
                <w:sz w:val="20"/>
                <w:szCs w:val="20"/>
                <w:color w:val="auto"/>
              </w:rPr>
            </w:pPr>
            <w:r>
              <w:rPr>
                <w:rFonts w:ascii="Arial" w:cs="Arial" w:eastAsia="Arial" w:hAnsi="Arial"/>
                <w:sz w:val="16"/>
                <w:szCs w:val="16"/>
                <w:color w:val="auto"/>
                <w:w w:val="89"/>
              </w:rPr>
              <w:t>Category 2</w:t>
            </w:r>
          </w:p>
        </w:tc>
        <w:tc>
          <w:tcPr>
            <w:tcW w:w="7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89"/>
              </w:rPr>
              <w:t>&lt; an amount equal to 66.66% of the Aggregate</w:t>
            </w:r>
          </w:p>
        </w:tc>
        <w:tc>
          <w:tcPr>
            <w:tcW w:w="7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0"/>
        </w:trPr>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1"/>
              </w:rPr>
              <w:t>Revolving Commitments but</w:t>
            </w:r>
          </w:p>
        </w:tc>
        <w:tc>
          <w:tcPr>
            <w:tcW w:w="7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0"/>
        </w:trPr>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0"/>
              </w:rPr>
              <w:t>≥ an amount equal to 33.33% of the Aggregate</w:t>
            </w:r>
          </w:p>
        </w:tc>
        <w:tc>
          <w:tcPr>
            <w:tcW w:w="7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0"/>
        </w:trPr>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2"/>
              </w:rPr>
              <w:t>Revolving Commitments</w:t>
            </w:r>
          </w:p>
        </w:tc>
        <w:tc>
          <w:tcPr>
            <w:tcW w:w="3720" w:type="dxa"/>
            <w:vAlign w:val="bottom"/>
            <w:gridSpan w:val="2"/>
          </w:tcPr>
          <w:p>
            <w:pPr>
              <w:jc w:val="center"/>
              <w:ind w:left="621"/>
              <w:spacing w:after="0"/>
              <w:rPr>
                <w:sz w:val="20"/>
                <w:szCs w:val="20"/>
                <w:color w:val="auto"/>
              </w:rPr>
            </w:pPr>
            <w:r>
              <w:rPr>
                <w:rFonts w:ascii="Arial" w:cs="Arial" w:eastAsia="Arial" w:hAnsi="Arial"/>
                <w:sz w:val="16"/>
                <w:szCs w:val="16"/>
                <w:color w:val="auto"/>
                <w:w w:val="92"/>
              </w:rPr>
              <w:t>1.50%</w:t>
            </w:r>
          </w:p>
        </w:tc>
        <w:tc>
          <w:tcPr>
            <w:tcW w:w="1760" w:type="dxa"/>
            <w:vAlign w:val="bottom"/>
            <w:gridSpan w:val="2"/>
          </w:tcPr>
          <w:p>
            <w:pPr>
              <w:jc w:val="center"/>
              <w:ind w:left="601"/>
              <w:spacing w:after="0"/>
              <w:rPr>
                <w:sz w:val="20"/>
                <w:szCs w:val="20"/>
                <w:color w:val="auto"/>
              </w:rPr>
            </w:pPr>
            <w:r>
              <w:rPr>
                <w:rFonts w:ascii="Arial" w:cs="Arial" w:eastAsia="Arial" w:hAnsi="Arial"/>
                <w:sz w:val="16"/>
                <w:szCs w:val="16"/>
                <w:color w:val="auto"/>
                <w:w w:val="88"/>
              </w:rPr>
              <w:t>0.50%</w:t>
            </w:r>
          </w:p>
        </w:tc>
      </w:tr>
      <w:tr>
        <w:trPr>
          <w:trHeight w:val="190"/>
        </w:trPr>
        <w:tc>
          <w:tcPr>
            <w:tcW w:w="2100" w:type="dxa"/>
            <w:vAlign w:val="bottom"/>
          </w:tcPr>
          <w:p>
            <w:pPr>
              <w:jc w:val="center"/>
              <w:ind w:right="201"/>
              <w:spacing w:after="0"/>
              <w:rPr>
                <w:sz w:val="20"/>
                <w:szCs w:val="20"/>
                <w:color w:val="auto"/>
              </w:rPr>
            </w:pPr>
            <w:r>
              <w:rPr>
                <w:rFonts w:ascii="Arial" w:cs="Arial" w:eastAsia="Arial" w:hAnsi="Arial"/>
                <w:sz w:val="16"/>
                <w:szCs w:val="16"/>
                <w:color w:val="auto"/>
                <w:w w:val="89"/>
              </w:rPr>
              <w:t>Category 3</w:t>
            </w:r>
          </w:p>
        </w:tc>
        <w:tc>
          <w:tcPr>
            <w:tcW w:w="7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89"/>
              </w:rPr>
              <w:t>&lt; an amount equal to 33.33% of the Aggregate</w:t>
            </w:r>
          </w:p>
        </w:tc>
        <w:tc>
          <w:tcPr>
            <w:tcW w:w="7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1"/>
        </w:trPr>
        <w:tc>
          <w:tcPr>
            <w:tcW w:w="2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160" w:type="dxa"/>
            <w:vAlign w:val="bottom"/>
          </w:tcPr>
          <w:p>
            <w:pPr>
              <w:jc w:val="center"/>
              <w:spacing w:after="0"/>
              <w:rPr>
                <w:sz w:val="20"/>
                <w:szCs w:val="20"/>
                <w:color w:val="auto"/>
              </w:rPr>
            </w:pPr>
            <w:r>
              <w:rPr>
                <w:rFonts w:ascii="Arial" w:cs="Arial" w:eastAsia="Arial" w:hAnsi="Arial"/>
                <w:sz w:val="16"/>
                <w:szCs w:val="16"/>
                <w:color w:val="auto"/>
                <w:w w:val="92"/>
              </w:rPr>
              <w:t>Revolving Commitments</w:t>
            </w:r>
          </w:p>
        </w:tc>
        <w:tc>
          <w:tcPr>
            <w:tcW w:w="3720" w:type="dxa"/>
            <w:vAlign w:val="bottom"/>
            <w:gridSpan w:val="2"/>
          </w:tcPr>
          <w:p>
            <w:pPr>
              <w:jc w:val="center"/>
              <w:ind w:left="621"/>
              <w:spacing w:after="0"/>
              <w:rPr>
                <w:sz w:val="20"/>
                <w:szCs w:val="20"/>
                <w:color w:val="auto"/>
              </w:rPr>
            </w:pPr>
            <w:r>
              <w:rPr>
                <w:rFonts w:ascii="Arial" w:cs="Arial" w:eastAsia="Arial" w:hAnsi="Arial"/>
                <w:sz w:val="16"/>
                <w:szCs w:val="16"/>
                <w:color w:val="auto"/>
                <w:w w:val="92"/>
              </w:rPr>
              <w:t>1.75%</w:t>
            </w:r>
          </w:p>
        </w:tc>
        <w:tc>
          <w:tcPr>
            <w:tcW w:w="1760" w:type="dxa"/>
            <w:vAlign w:val="bottom"/>
            <w:gridSpan w:val="2"/>
          </w:tcPr>
          <w:p>
            <w:pPr>
              <w:jc w:val="center"/>
              <w:ind w:left="601"/>
              <w:spacing w:after="0"/>
              <w:rPr>
                <w:sz w:val="20"/>
                <w:szCs w:val="20"/>
                <w:color w:val="auto"/>
              </w:rPr>
            </w:pPr>
            <w:r>
              <w:rPr>
                <w:rFonts w:ascii="Arial" w:cs="Arial" w:eastAsia="Arial" w:hAnsi="Arial"/>
                <w:sz w:val="16"/>
                <w:szCs w:val="16"/>
                <w:color w:val="auto"/>
                <w:w w:val="88"/>
              </w:rPr>
              <w:t>0.75%</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For purposes of the foregoing, the Applicable Rate shall be determined by the Administrative Agent as of the end of each calendar month of the Borrowers based upon the Borrowing Base Certificates that are delivered from time to time pursuant to </w:t>
      </w:r>
      <w:r>
        <w:rPr>
          <w:rFonts w:ascii="Arial" w:cs="Arial" w:eastAsia="Arial" w:hAnsi="Arial"/>
          <w:sz w:val="14"/>
          <w:szCs w:val="14"/>
          <w:u w:val="single" w:color="auto"/>
          <w:color w:val="auto"/>
        </w:rPr>
        <w:t>Section 5.01(f</w:t>
      </w:r>
      <w:r>
        <w:rPr>
          <w:rFonts w:ascii="Arial" w:cs="Arial" w:eastAsia="Arial" w:hAnsi="Arial"/>
          <w:sz w:val="14"/>
          <w:szCs w:val="14"/>
          <w:color w:val="auto"/>
        </w:rPr>
        <w:t xml:space="preserve">) during such calendar month, with any changes to the Applicable Rate resulting from changes in the Average Monthly Availability to be effective on the fifth Business Day after the end of each calendar month;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Applicable Rate shall be the applicable spreads set forth above for Category 3 (A) at any time that any Event of Default has occurred and is continuing (other than an Event of Default arising from the failure to deliver any Borrowing Base Certificate) or (B) if the Borrowers fail to deliver any Borrowing Base Certificate that is required to be delivered pursuant to </w:t>
      </w:r>
      <w:r>
        <w:rPr>
          <w:rFonts w:ascii="Arial" w:cs="Arial" w:eastAsia="Arial" w:hAnsi="Arial"/>
          <w:sz w:val="14"/>
          <w:szCs w:val="14"/>
          <w:u w:val="single" w:color="auto"/>
          <w:color w:val="auto"/>
        </w:rPr>
        <w:t>Section 5.01(f)</w:t>
      </w:r>
      <w:r>
        <w:rPr>
          <w:rFonts w:ascii="Arial" w:cs="Arial" w:eastAsia="Arial" w:hAnsi="Arial"/>
          <w:sz w:val="14"/>
          <w:szCs w:val="14"/>
          <w:color w:val="auto"/>
        </w:rPr>
        <w:t xml:space="preserve">, during the period from the expiration of the time for delivery thereof until five Business Days after such Borrowing Base Certificate is delivered;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if any Borrowing Base Certificate is at any time restated or otherwise revised or if the information set forth in any Borrowing Base Certificate otherwise proves to be false or incorrect such that the Applicable Rate would have been higher than was otherwise in effect during any period, without constituting a waiver of any Default or Event of Default arising as a result thereof, interest due under this Agreement shall be immediately recalculated at such higher rate for any such applicable periods and shall be due and payable on demand.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4" w:name="page15"/>
    <w:bookmarkEnd w:id="14"/>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9.04(b)</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Approved Jurisdiction</w:t>
      </w:r>
      <w:r>
        <w:rPr>
          <w:rFonts w:ascii="Arial" w:cs="Arial" w:eastAsia="Arial" w:hAnsi="Arial"/>
          <w:sz w:val="14"/>
          <w:szCs w:val="14"/>
          <w:color w:val="auto"/>
        </w:rPr>
        <w:t>” means the United Kingdom, Singapore, the Netherlands, the Republic of Ireland and any other jurisdiction which is acceptable to the Required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Lenders.</w:t>
      </w:r>
    </w:p>
    <w:p>
      <w:pPr>
        <w:spacing w:after="0" w:line="209" w:lineRule="exact"/>
        <w:rPr>
          <w:sz w:val="20"/>
          <w:szCs w:val="20"/>
          <w:color w:val="auto"/>
        </w:rPr>
      </w:pPr>
    </w:p>
    <w:p>
      <w:pPr>
        <w:jc w:val="both"/>
        <w:ind w:right="20" w:firstLine="570"/>
        <w:spacing w:after="0" w:line="34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Assignment and Assumption</w:t>
      </w:r>
      <w:r>
        <w:rPr>
          <w:rFonts w:ascii="Arial" w:cs="Arial" w:eastAsia="Arial" w:hAnsi="Arial"/>
          <w:sz w:val="14"/>
          <w:szCs w:val="14"/>
          <w:color w:val="auto"/>
        </w:rPr>
        <w:t xml:space="preserve">” means an assignment and assumption entered into by a Lender and an assignee (with the consent of any party whose consent is required by </w:t>
      </w:r>
      <w:r>
        <w:rPr>
          <w:rFonts w:ascii="Arial" w:cs="Arial" w:eastAsia="Arial" w:hAnsi="Arial"/>
          <w:sz w:val="14"/>
          <w:szCs w:val="14"/>
          <w:u w:val="single" w:color="auto"/>
          <w:color w:val="auto"/>
        </w:rPr>
        <w:t>Section 9.04</w:t>
      </w:r>
      <w:r>
        <w:rPr>
          <w:rFonts w:ascii="Arial" w:cs="Arial" w:eastAsia="Arial" w:hAnsi="Arial"/>
          <w:sz w:val="14"/>
          <w:szCs w:val="14"/>
          <w:color w:val="auto"/>
        </w:rPr>
        <w:t xml:space="preserve">), and accepted by the Administrative Agent, in the form of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or any other form approved by the Administrative Agent in its reasonable discretion.</w:t>
      </w:r>
    </w:p>
    <w:p>
      <w:pPr>
        <w:spacing w:after="0" w:line="134"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w:t>
      </w:r>
      <w:r>
        <w:rPr>
          <w:rFonts w:ascii="Arial" w:cs="Arial" w:eastAsia="Arial" w:hAnsi="Arial"/>
          <w:sz w:val="16"/>
          <w:szCs w:val="16"/>
          <w:color w:val="auto"/>
        </w:rPr>
        <w:t xml:space="preserve">” means, at any time, an amount equal to (a) the lesser of (i) the Aggregate Revolving Commitments minus the Availability Block and (ii) the Borrowing Base </w:t>
      </w:r>
      <w:r>
        <w:rPr>
          <w:rFonts w:ascii="Arial" w:cs="Arial" w:eastAsia="Arial" w:hAnsi="Arial"/>
          <w:sz w:val="16"/>
          <w:szCs w:val="16"/>
          <w:i w:val="1"/>
          <w:iCs w:val="1"/>
          <w:u w:val="single" w:color="auto"/>
          <w:color w:val="auto"/>
        </w:rPr>
        <w:t>minus</w:t>
      </w:r>
      <w:r>
        <w:rPr>
          <w:rFonts w:ascii="Arial" w:cs="Arial" w:eastAsia="Arial" w:hAnsi="Arial"/>
          <w:sz w:val="16"/>
          <w:szCs w:val="16"/>
          <w:i w:val="1"/>
          <w:iCs w:val="1"/>
          <w:color w:val="auto"/>
        </w:rPr>
        <w:t xml:space="preserve"> </w:t>
      </w:r>
      <w:r>
        <w:rPr>
          <w:rFonts w:ascii="Arial" w:cs="Arial" w:eastAsia="Arial" w:hAnsi="Arial"/>
          <w:sz w:val="16"/>
          <w:szCs w:val="16"/>
          <w:color w:val="auto"/>
        </w:rPr>
        <w:t>(b) the Aggregate Revolving Exposure (calculated, with respect to any Defaulting Lender, as if such Defaulting Lender had funded its Applicable Percentage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Borrowings).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Block</w:t>
      </w:r>
      <w:r>
        <w:rPr>
          <w:rFonts w:ascii="Arial" w:cs="Arial" w:eastAsia="Arial" w:hAnsi="Arial"/>
          <w:sz w:val="16"/>
          <w:szCs w:val="16"/>
          <w:color w:val="auto"/>
        </w:rPr>
        <w:t>” means an amount equal to 10.0% of the Aggregate Revolving Commitments.</w:t>
      </w:r>
    </w:p>
    <w:p>
      <w:pPr>
        <w:spacing w:after="0" w:line="22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means the period from and including the Effective Date to but excluding the earlier of the Maturity Date and the date of termination of the Commitments.</w:t>
      </w:r>
    </w:p>
    <w:p>
      <w:pPr>
        <w:spacing w:after="0" w:line="18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Revolving Commitment</w:t>
      </w:r>
      <w:r>
        <w:rPr>
          <w:rFonts w:ascii="Arial" w:cs="Arial" w:eastAsia="Arial" w:hAnsi="Arial"/>
          <w:sz w:val="16"/>
          <w:szCs w:val="16"/>
          <w:color w:val="auto"/>
        </w:rPr>
        <w:t xml:space="preserve">” means, at any time, the aggregate Revolving Commitments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the Aggregate Revolving Exposure (calculated, with respect to any Defaulting Lender, as if such Defaulting Lender had funded its Applicable Percentage of all outstanding Borrowings).</w:t>
      </w:r>
    </w:p>
    <w:p>
      <w:pPr>
        <w:spacing w:after="0" w:line="394"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Monthly Availability</w:t>
      </w:r>
      <w:r>
        <w:rPr>
          <w:rFonts w:ascii="Arial" w:cs="Arial" w:eastAsia="Arial" w:hAnsi="Arial"/>
          <w:sz w:val="16"/>
          <w:szCs w:val="16"/>
          <w:color w:val="auto"/>
        </w:rPr>
        <w:t>” means, for any calendar month, the average daily Availability for such calendar month. Average Monthly Availability shall be calculated by the Borrower Representative in a manner reasonably acceptable to the Administrative Agent.</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Utilization</w:t>
      </w:r>
      <w:r>
        <w:rPr>
          <w:rFonts w:ascii="Arial" w:cs="Arial" w:eastAsia="Arial" w:hAnsi="Arial"/>
          <w:sz w:val="16"/>
          <w:szCs w:val="16"/>
          <w:color w:val="auto"/>
        </w:rPr>
        <w:t>” means, for any period, the average total daily Revolving Exposure of all Lenders during such period. Average Utilization shall be calculated by the Borrower Representative in a manner reasonably acceptable to the Administrative Agent.</w:t>
      </w:r>
    </w:p>
    <w:p>
      <w:pPr>
        <w:spacing w:after="0" w:line="180" w:lineRule="exact"/>
        <w:rPr>
          <w:sz w:val="20"/>
          <w:szCs w:val="20"/>
          <w:color w:val="auto"/>
        </w:rPr>
      </w:pPr>
    </w:p>
    <w:p>
      <w:pPr>
        <w:jc w:val="both"/>
        <w:ind w:firstLine="57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Banking Services</w:t>
      </w:r>
      <w:r>
        <w:rPr>
          <w:rFonts w:ascii="Arial" w:cs="Arial" w:eastAsia="Arial" w:hAnsi="Arial"/>
          <w:sz w:val="15"/>
          <w:szCs w:val="15"/>
          <w:color w:val="auto"/>
        </w:rPr>
        <w:t>” means each and any of the following bank products or services provided to any Loan Party or Subsidiary by any Lender or any of its Affiliates: (a) credit cards for commercial customers (including, without limitation, “commercial credit cards” and purchasing cards), (b) stored value cards and debit cards, (c) treasury management services (including, without limitation, controlled disbursement, automated clearinghouse transactions, return items, overdrafts, e-payable and interstate depository network services) or any similar transaction, and (d) other banking or credit products or services. Notwithstanding the foregoing, no bank service shall constitute “Banking Services” hereunder unless the Borrower Representative has notified the Administrative Agent and the applicable Lender (or Affiliate of a</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15" w:name="page16"/>
    <w:bookmarkEnd w:id="15"/>
    <w:p>
      <w:pPr>
        <w:jc w:val="both"/>
        <w:ind w:right="20"/>
        <w:spacing w:after="0" w:line="259" w:lineRule="auto"/>
        <w:rPr>
          <w:sz w:val="20"/>
          <w:szCs w:val="20"/>
          <w:color w:val="auto"/>
        </w:rPr>
      </w:pPr>
      <w:r>
        <w:rPr>
          <w:rFonts w:ascii="Arial" w:cs="Arial" w:eastAsia="Arial" w:hAnsi="Arial"/>
          <w:sz w:val="16"/>
          <w:szCs w:val="16"/>
          <w:color w:val="auto"/>
        </w:rPr>
        <w:t>Lender) in a writing signed by a Financial Officer that it has consented to such bank service constituting “Banking Services” hereunder (it being understood that as to a particular bank service, once such consent is granted by the Borrower Representative it shall be irrevocable unless otherwise approved by the Lender or Affiliate providing such bank service).</w:t>
      </w:r>
    </w:p>
    <w:p>
      <w:pPr>
        <w:spacing w:after="0" w:line="188"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 Obligations</w:t>
      </w:r>
      <w:r>
        <w:rPr>
          <w:rFonts w:ascii="Arial" w:cs="Arial" w:eastAsia="Arial" w:hAnsi="Arial"/>
          <w:sz w:val="16"/>
          <w:szCs w:val="16"/>
          <w:color w:val="auto"/>
        </w:rPr>
        <w:t>” of the Loan Parties and their Subsidiaries means any and all obligations of such Loan Party or Subsidiary whether absolute or contingent and howsoever and whensoever created, arising, evidenced or acquired (including all renewals, extensions and modifications thereof and substitutions therefor) in connection with Banking Services.</w:t>
      </w:r>
    </w:p>
    <w:p>
      <w:pPr>
        <w:spacing w:after="0" w:line="188"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 Reserves</w:t>
      </w:r>
      <w:r>
        <w:rPr>
          <w:rFonts w:ascii="Arial" w:cs="Arial" w:eastAsia="Arial" w:hAnsi="Arial"/>
          <w:sz w:val="16"/>
          <w:szCs w:val="16"/>
          <w:color w:val="auto"/>
        </w:rPr>
        <w:t>” means all Reserves which the Administrative Agent from time to time establishes in its Permitted Discretion for Banking Services then provided or outstanding.</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Bankruptcy Code</w:t>
      </w:r>
      <w:r>
        <w:rPr>
          <w:rFonts w:ascii="Arial" w:cs="Arial" w:eastAsia="Arial" w:hAnsi="Arial"/>
          <w:sz w:val="14"/>
          <w:szCs w:val="14"/>
          <w:color w:val="auto"/>
        </w:rPr>
        <w:t xml:space="preserve">” means the provisions of Title 11 of the United States Code, 11 USC. §§ 101 </w:t>
      </w:r>
      <w:r>
        <w:rPr>
          <w:rFonts w:ascii="Arial" w:cs="Arial" w:eastAsia="Arial" w:hAnsi="Arial"/>
          <w:sz w:val="14"/>
          <w:szCs w:val="14"/>
          <w:u w:val="single" w:color="auto"/>
          <w:color w:val="auto"/>
        </w:rPr>
        <w:t>et seq</w:t>
      </w:r>
      <w:r>
        <w:rPr>
          <w:rFonts w:ascii="Arial" w:cs="Arial" w:eastAsia="Arial" w:hAnsi="Arial"/>
          <w:sz w:val="14"/>
          <w:szCs w:val="14"/>
          <w:color w:val="auto"/>
        </w:rPr>
        <w:t>., as amended, or any similar federal or state law for the relief of</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debtors.</w:t>
      </w:r>
    </w:p>
    <w:p>
      <w:pPr>
        <w:spacing w:after="0" w:line="209" w:lineRule="exact"/>
        <w:rPr>
          <w:sz w:val="20"/>
          <w:szCs w:val="20"/>
          <w:color w:val="auto"/>
        </w:rPr>
      </w:pPr>
    </w:p>
    <w:p>
      <w:pPr>
        <w:jc w:val="both"/>
        <w:ind w:firstLine="570"/>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Bankruptcy Event</w:t>
      </w:r>
      <w:r>
        <w:rPr>
          <w:rFonts w:ascii="Arial" w:cs="Arial" w:eastAsia="Arial" w:hAnsi="Arial"/>
          <w:sz w:val="15"/>
          <w:szCs w:val="15"/>
          <w:color w:val="auto"/>
        </w:rPr>
        <w:t xml:space="preserve">” means, with respect to any Person, such Person becomes the subject of a bankruptcy or insolvency proceeding, or has had a receiver, liquidator, conservator, trustee, administrator, administrative receiver, custodian, assignee for the benefit of creditors or similar Person charged with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5"/>
          <w:szCs w:val="15"/>
          <w:u w:val="single" w:color="auto"/>
          <w:color w:val="auto"/>
        </w:rPr>
        <w:t>provided</w:t>
      </w:r>
      <w:r>
        <w:rPr>
          <w:rFonts w:ascii="Arial" w:cs="Arial" w:eastAsia="Arial" w:hAnsi="Arial"/>
          <w:sz w:val="15"/>
          <w:szCs w:val="15"/>
          <w:color w:val="auto"/>
        </w:rPr>
        <w:t>,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Governors of the Federal Reserve System of the United States (or any successor thereto).</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or “</w:t>
      </w:r>
      <w:r>
        <w:rPr>
          <w:rFonts w:ascii="Arial" w:cs="Arial" w:eastAsia="Arial" w:hAnsi="Arial"/>
          <w:sz w:val="16"/>
          <w:szCs w:val="16"/>
          <w:u w:val="single" w:color="auto"/>
          <w:color w:val="auto"/>
        </w:rPr>
        <w:t>Borrowers</w:t>
      </w:r>
      <w:r>
        <w:rPr>
          <w:rFonts w:ascii="Arial" w:cs="Arial" w:eastAsia="Arial" w:hAnsi="Arial"/>
          <w:sz w:val="16"/>
          <w:szCs w:val="16"/>
          <w:color w:val="auto"/>
        </w:rPr>
        <w:t>” has the meaning assigned to such terms in the recitals.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Representative</w:t>
      </w:r>
      <w:r>
        <w:rPr>
          <w:rFonts w:ascii="Arial" w:cs="Arial" w:eastAsia="Arial" w:hAnsi="Arial"/>
          <w:sz w:val="16"/>
          <w:szCs w:val="16"/>
          <w:color w:val="auto"/>
        </w:rPr>
        <w:t>” means Micron, in its capacity as contractual representative of the Borrowers pursuant to Article XI.</w:t>
      </w:r>
    </w:p>
    <w:p>
      <w:pPr>
        <w:spacing w:after="0" w:line="22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w:t>
      </w:r>
      <w:r>
        <w:rPr>
          <w:rFonts w:ascii="Arial" w:cs="Arial" w:eastAsia="Arial" w:hAnsi="Arial"/>
          <w:sz w:val="16"/>
          <w:szCs w:val="16"/>
          <w:color w:val="auto"/>
        </w:rPr>
        <w:t>” means (a) Revolving Loans of the same Type, made, converted or continued on the same date and, in the case of Eurodollar Loans, as to which a single Interest Period is in effect, (b) a Swingline Loan, (c) a Protective Advance and (d) an Overadvance.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w:t>
      </w:r>
      <w:r>
        <w:rPr>
          <w:rFonts w:ascii="Arial" w:cs="Arial" w:eastAsia="Arial" w:hAnsi="Arial"/>
          <w:sz w:val="16"/>
          <w:szCs w:val="16"/>
          <w:color w:val="auto"/>
        </w:rPr>
        <w:t>” means, at any time, the result of:</w:t>
      </w:r>
    </w:p>
    <w:p>
      <w:pPr>
        <w:spacing w:after="0" w:line="244" w:lineRule="exact"/>
        <w:rPr>
          <w:sz w:val="20"/>
          <w:szCs w:val="20"/>
          <w:color w:val="auto"/>
        </w:rPr>
      </w:pPr>
    </w:p>
    <w:p>
      <w:pPr>
        <w:ind w:left="5680" w:right="4240" w:hanging="5115"/>
        <w:spacing w:after="0" w:line="719" w:lineRule="auto"/>
        <w:tabs>
          <w:tab w:leader="none" w:pos="93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85% of the Borrowers’ Eligible Accounts (other than Eligible Foreign Accounts) at such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6821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6" w:name="page17"/>
    <w:bookmarkEnd w:id="16"/>
    <w:p>
      <w:pPr>
        <w:ind w:left="940" w:hanging="375"/>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lesser of (i) 85% of the Borrowers’ Eligible Foreign Accounts at such time and (ii) 10.0% of the Aggregate Revolving Commitments, </w:t>
      </w:r>
      <w:r>
        <w:rPr>
          <w:rFonts w:ascii="Arial" w:cs="Arial" w:eastAsia="Arial" w:hAnsi="Arial"/>
          <w:sz w:val="16"/>
          <w:szCs w:val="16"/>
          <w:i w:val="1"/>
          <w:iCs w:val="1"/>
          <w:u w:val="single" w:color="auto"/>
          <w:color w:val="auto"/>
        </w:rPr>
        <w:t>plus</w:t>
      </w:r>
    </w:p>
    <w:p>
      <w:pPr>
        <w:spacing w:after="0" w:line="243" w:lineRule="exact"/>
        <w:rPr>
          <w:rFonts w:ascii="Arial" w:cs="Arial" w:eastAsia="Arial" w:hAnsi="Arial"/>
          <w:sz w:val="16"/>
          <w:szCs w:val="16"/>
          <w:color w:val="auto"/>
        </w:rPr>
      </w:pPr>
    </w:p>
    <w:p>
      <w:pPr>
        <w:jc w:val="both"/>
        <w:ind w:firstLine="565"/>
        <w:spacing w:after="0" w:line="253" w:lineRule="auto"/>
        <w:tabs>
          <w:tab w:leader="none" w:pos="936"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least of (i) the sum of (A) the product of 50%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Value of the Borrowers’ Eligible Raw Materials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product of 50%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Value of the Borrowers’ Eligible Finished Goods Inventory </w:t>
      </w:r>
      <w:r>
        <w:rPr>
          <w:rFonts w:ascii="Arial" w:cs="Arial" w:eastAsia="Arial" w:hAnsi="Arial"/>
          <w:sz w:val="16"/>
          <w:szCs w:val="16"/>
          <w:i w:val="1"/>
          <w:iCs w:val="1"/>
          <w:color w:val="auto"/>
        </w:rPr>
        <w:t>plus</w:t>
      </w:r>
      <w:r>
        <w:rPr>
          <w:rFonts w:ascii="Arial" w:cs="Arial" w:eastAsia="Arial" w:hAnsi="Arial"/>
          <w:sz w:val="16"/>
          <w:szCs w:val="16"/>
          <w:color w:val="auto"/>
        </w:rPr>
        <w:t xml:space="preserve"> (C) the product of 50%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Value of the Borrowers’ Eligible WIP, (ii) the sum of (A) the product of 85%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Net Orderly Liquidation Value Factor of the Borrowers’ Eligible Raw Materials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product of 85%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Net Orderly Liquidation Value Factor of the Borrowers’ Eligible Finished Goods Inventory </w:t>
      </w:r>
      <w:r>
        <w:rPr>
          <w:rFonts w:ascii="Arial" w:cs="Arial" w:eastAsia="Arial" w:hAnsi="Arial"/>
          <w:sz w:val="16"/>
          <w:szCs w:val="16"/>
          <w:i w:val="1"/>
          <w:iCs w:val="1"/>
          <w:color w:val="auto"/>
        </w:rPr>
        <w:t>plus</w:t>
      </w:r>
      <w:r>
        <w:rPr>
          <w:rFonts w:ascii="Arial" w:cs="Arial" w:eastAsia="Arial" w:hAnsi="Arial"/>
          <w:sz w:val="16"/>
          <w:szCs w:val="16"/>
          <w:color w:val="auto"/>
        </w:rPr>
        <w:t xml:space="preserve"> (C) the product of 85%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the Net Orderly Liquidation Value Factor of the Borrowers’ Eligible WIP and (iii) an amount equal to 35% of the Aggregate Revolving Commitments, </w:t>
      </w:r>
      <w:r>
        <w:rPr>
          <w:rFonts w:ascii="Arial" w:cs="Arial" w:eastAsia="Arial" w:hAnsi="Arial"/>
          <w:sz w:val="16"/>
          <w:szCs w:val="16"/>
          <w:i w:val="1"/>
          <w:iCs w:val="1"/>
          <w:u w:val="single" w:color="auto"/>
          <w:color w:val="auto"/>
        </w:rPr>
        <w:t>minus</w:t>
      </w:r>
    </w:p>
    <w:p>
      <w:pPr>
        <w:spacing w:after="0" w:line="217" w:lineRule="exact"/>
        <w:rPr>
          <w:rFonts w:ascii="Arial" w:cs="Arial" w:eastAsia="Arial" w:hAnsi="Arial"/>
          <w:sz w:val="16"/>
          <w:szCs w:val="16"/>
          <w:color w:val="auto"/>
        </w:rPr>
      </w:pPr>
    </w:p>
    <w:p>
      <w:pPr>
        <w:ind w:left="940" w:hanging="375"/>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Reserves, </w:t>
      </w:r>
      <w:r>
        <w:rPr>
          <w:rFonts w:ascii="Arial" w:cs="Arial" w:eastAsia="Arial" w:hAnsi="Arial"/>
          <w:sz w:val="16"/>
          <w:szCs w:val="16"/>
          <w:i w:val="1"/>
          <w:iCs w:val="1"/>
          <w:u w:val="single" w:color="auto"/>
          <w:color w:val="auto"/>
        </w:rPr>
        <w:t>minus</w:t>
      </w:r>
    </w:p>
    <w:p>
      <w:pPr>
        <w:spacing w:after="0" w:line="243" w:lineRule="exact"/>
        <w:rPr>
          <w:rFonts w:ascii="Arial" w:cs="Arial" w:eastAsia="Arial" w:hAnsi="Arial"/>
          <w:sz w:val="16"/>
          <w:szCs w:val="16"/>
          <w:color w:val="auto"/>
        </w:rPr>
      </w:pPr>
    </w:p>
    <w:p>
      <w:pPr>
        <w:ind w:left="940" w:hanging="375"/>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Availability Block.</w:t>
      </w:r>
    </w:p>
    <w:p>
      <w:pPr>
        <w:spacing w:after="0" w:line="22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xml:space="preserve">” means a certificate, signed and certified as accurate and complete by a Financial Officer of the Borrower Representative, in substantially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B or another form which is acceptable to the Administrative Agent in its sole discretion exercised in good faith.</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Request</w:t>
      </w:r>
      <w:r>
        <w:rPr>
          <w:rFonts w:ascii="Arial" w:cs="Arial" w:eastAsia="Arial" w:hAnsi="Arial"/>
          <w:sz w:val="16"/>
          <w:szCs w:val="16"/>
          <w:color w:val="auto"/>
        </w:rPr>
        <w:t xml:space="preserve">” means a request by the Borrower Representative for a Revolving Borrowing in accordance with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200" w:lineRule="exact"/>
        <w:rPr>
          <w:sz w:val="20"/>
          <w:szCs w:val="20"/>
          <w:color w:val="auto"/>
        </w:rPr>
      </w:pPr>
    </w:p>
    <w:p>
      <w:pPr>
        <w:spacing w:after="0" w:line="234"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means any day that is not a Saturday, Sunday or other day on which commercial banks in New York City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when used in connection with a Eurodollar Loan, the term “</w:t>
      </w:r>
      <w:r>
        <w:rPr>
          <w:rFonts w:ascii="Arial" w:cs="Arial" w:eastAsia="Arial" w:hAnsi="Arial"/>
          <w:sz w:val="16"/>
          <w:szCs w:val="16"/>
          <w:u w:val="single" w:color="auto"/>
          <w:color w:val="auto"/>
        </w:rPr>
        <w:t>Business Day</w:t>
      </w:r>
      <w:r>
        <w:rPr>
          <w:rFonts w:ascii="Arial" w:cs="Arial" w:eastAsia="Arial" w:hAnsi="Arial"/>
          <w:sz w:val="16"/>
          <w:szCs w:val="16"/>
          <w:color w:val="auto"/>
        </w:rPr>
        <w:t>” shall also exclude any day on which banks are not open for dealings in dollar deposits in the London interbank market.</w:t>
      </w:r>
    </w:p>
    <w:p>
      <w:pPr>
        <w:spacing w:after="0" w:line="188" w:lineRule="exact"/>
        <w:rPr>
          <w:sz w:val="20"/>
          <w:szCs w:val="20"/>
          <w:color w:val="auto"/>
        </w:rPr>
      </w:pPr>
    </w:p>
    <w:p>
      <w:pPr>
        <w:jc w:val="both"/>
        <w:ind w:firstLine="570"/>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Capital Lease Obligations</w:t>
      </w:r>
      <w:r>
        <w:rPr>
          <w:rFonts w:ascii="Arial" w:cs="Arial" w:eastAsia="Arial" w:hAnsi="Arial"/>
          <w:sz w:val="15"/>
          <w:szCs w:val="15"/>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172" w:lineRule="exact"/>
        <w:rPr>
          <w:sz w:val="20"/>
          <w:szCs w:val="20"/>
          <w:color w:val="auto"/>
        </w:rPr>
      </w:pPr>
    </w:p>
    <w:p>
      <w:pPr>
        <w:jc w:val="both"/>
        <w:ind w:firstLine="570"/>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Cash Dominion Trigger Period</w:t>
      </w:r>
      <w:r>
        <w:rPr>
          <w:rFonts w:ascii="Arial" w:cs="Arial" w:eastAsia="Arial" w:hAnsi="Arial"/>
          <w:sz w:val="15"/>
          <w:szCs w:val="15"/>
          <w:color w:val="auto"/>
        </w:rPr>
        <w:t xml:space="preserve">” means the period commencing on such day as determined by the Administrative Agent in its discretion (or upon the direction of the Required Lenders) following the occurrence and continuance of an Event of Default and continuing until the date on which the Borrower Representative requests that the Cash Dominion Trigger Period cease, and the Administrative Agent has had a reasonable period of time to effect such cessation,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Borrower Representative may only request a cessation of a Cash Dominion Trigger Period if at the time of such request no Event of Default has occurred and is continuing.</w:t>
      </w:r>
    </w:p>
    <w:p>
      <w:pPr>
        <w:spacing w:after="0" w:line="178"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Bank</w:t>
      </w:r>
      <w:r>
        <w:rPr>
          <w:rFonts w:ascii="Arial" w:cs="Arial" w:eastAsia="Arial" w:hAnsi="Arial"/>
          <w:sz w:val="16"/>
          <w:szCs w:val="16"/>
          <w:color w:val="auto"/>
        </w:rPr>
        <w:t xml:space="preserve">” means each of Bank of America, N.A., U.S. Bank National Association and any other bank selected by the Borrowers (other than Micron) to maintain any Collateral Deposit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Person shall be a “Cash Management Bank” unless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17" w:name="page18"/>
    <w:bookmarkEnd w:id="17"/>
    <w:p>
      <w:pPr>
        <w:jc w:val="right"/>
        <w:ind w:left="220"/>
        <w:spacing w:after="0" w:line="270" w:lineRule="auto"/>
        <w:rPr>
          <w:sz w:val="20"/>
          <w:szCs w:val="20"/>
          <w:color w:val="auto"/>
        </w:rPr>
      </w:pPr>
      <w:r>
        <w:rPr>
          <w:rFonts w:ascii="Arial" w:cs="Arial" w:eastAsia="Arial" w:hAnsi="Arial"/>
          <w:sz w:val="16"/>
          <w:szCs w:val="16"/>
          <w:color w:val="auto"/>
        </w:rPr>
        <w:t>and until such Person shall have entered into a Deposit Account Control Agreement with the Borrowers (other than Micron) and the Administrative Agent in form and substance reasonably acceptable to the Administrative Agent.</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Micron shall cease to own, directly or indirectly, free and clear of all Liens or other encumbrances, 50.1% of the outstanding voting Equity Interests of the Borrowers (other than Micron) on a fully diluted basis.</w:t>
      </w:r>
    </w:p>
    <w:p>
      <w:pPr>
        <w:spacing w:after="0" w:line="180" w:lineRule="exact"/>
        <w:rPr>
          <w:sz w:val="20"/>
          <w:szCs w:val="20"/>
          <w:color w:val="auto"/>
        </w:rPr>
      </w:pPr>
    </w:p>
    <w:p>
      <w:pPr>
        <w:jc w:val="both"/>
        <w:ind w:firstLine="570"/>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Change in Law</w:t>
      </w:r>
      <w:r>
        <w:rPr>
          <w:rFonts w:ascii="Arial" w:cs="Arial" w:eastAsia="Arial" w:hAnsi="Arial"/>
          <w:sz w:val="15"/>
          <w:szCs w:val="15"/>
          <w:color w:val="auto"/>
        </w:rPr>
        <w:t xml:space="preserve">” means (a) the adoption of any law, rule, regulation, practice, concession or treaty (including any rules or regulations issued under or implementing any existing law) after the date of this Agreement, (b) any change in any law, rule, regulation, practice, concession, or treaty or in the interpretation or application thereof by any Governmental Authority after the date of this Agreement or (c) compliance by any Lender or the Issuing Bank (or, for purposes of </w:t>
      </w:r>
      <w:r>
        <w:rPr>
          <w:rFonts w:ascii="Arial" w:cs="Arial" w:eastAsia="Arial" w:hAnsi="Arial"/>
          <w:sz w:val="15"/>
          <w:szCs w:val="15"/>
          <w:u w:val="single" w:color="auto"/>
          <w:color w:val="auto"/>
        </w:rPr>
        <w:t>Section 2.15(b</w:t>
      </w:r>
      <w:r>
        <w:rPr>
          <w:rFonts w:ascii="Arial" w:cs="Arial" w:eastAsia="Arial" w:hAnsi="Arial"/>
          <w:sz w:val="15"/>
          <w:szCs w:val="15"/>
          <w:color w:val="auto"/>
        </w:rPr>
        <w:t>), by any lending office of such Lender or by such Lender’s or the Issuing Bank’s holding company, if any) with any request, guideline, directive, notice, ruling, statement or policy or practice statement (whether or not having the force of law) of any Governmental Authority made or issued after the date of this Agreement; provided that notwithstanding anything herein to the contrary, (i) the Dodd-Frank Wall Street Reform and Consumer Protection Act and all requests, rules, guidelines or directives thereunder, issued in connection therewith or in implementation thereof, and (ii) all requests, rules, guidelines and directives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issued or implemented.</w:t>
      </w:r>
    </w:p>
    <w:p>
      <w:pPr>
        <w:spacing w:after="0" w:line="184"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w:t>
      </w:r>
      <w:r>
        <w:rPr>
          <w:rFonts w:ascii="Arial" w:cs="Arial" w:eastAsia="Arial" w:hAnsi="Arial"/>
          <w:sz w:val="16"/>
          <w:szCs w:val="16"/>
          <w:color w:val="auto"/>
        </w:rPr>
        <w:t>”, when used in reference to any Loan or Borrowing, refers to whether such Loan, or the Loans comprising such Borrowing, are Revolving Loans, Swingline Loans or Protective Advances or Overadvances.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220"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all of the “</w:t>
      </w:r>
      <w:r>
        <w:rPr>
          <w:rFonts w:ascii="Arial" w:cs="Arial" w:eastAsia="Arial" w:hAnsi="Arial"/>
          <w:sz w:val="16"/>
          <w:szCs w:val="16"/>
          <w:u w:val="single" w:color="auto"/>
          <w:color w:val="auto"/>
        </w:rPr>
        <w:t>Collateral</w:t>
      </w:r>
      <w:r>
        <w:rPr>
          <w:rFonts w:ascii="Arial" w:cs="Arial" w:eastAsia="Arial" w:hAnsi="Arial"/>
          <w:sz w:val="16"/>
          <w:szCs w:val="16"/>
          <w:color w:val="auto"/>
        </w:rPr>
        <w:t>” as defined and set forth in the applicable Collateral Documents to which each Borrower (or Loan Guarantor, as applicable) is a party, in each case, now existing or hereafter acquired, that may at any time be or become subject to a security interest or Lien in favor of the Administrative Agent, on behalf of itself and the Lenders, and other holders of the Secured Obligations, to secure the Secured Obligations.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Access Agreement</w:t>
      </w:r>
      <w:r>
        <w:rPr>
          <w:rFonts w:ascii="Arial" w:cs="Arial" w:eastAsia="Arial" w:hAnsi="Arial"/>
          <w:sz w:val="16"/>
          <w:szCs w:val="16"/>
          <w:color w:val="auto"/>
        </w:rPr>
        <w:t>” has the meaning assigned to such term in the Security Agreement.</w:t>
      </w:r>
    </w:p>
    <w:p>
      <w:pPr>
        <w:spacing w:after="0" w:line="220"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Deposit Accounts</w:t>
      </w:r>
      <w:r>
        <w:rPr>
          <w:rFonts w:ascii="Arial" w:cs="Arial" w:eastAsia="Arial" w:hAnsi="Arial"/>
          <w:sz w:val="16"/>
          <w:szCs w:val="16"/>
          <w:color w:val="auto"/>
        </w:rPr>
        <w:t xml:space="preserve">” means each Deposit Account maintained by each Borrower (other than Micron) into which cash, checks or other similar payments relating or consisting of payments made in respect of Receivables are deposited as required under the terms hereof. Each Collateral Deposit Account is identified on </w:t>
      </w:r>
      <w:r>
        <w:rPr>
          <w:rFonts w:ascii="Arial" w:cs="Arial" w:eastAsia="Arial" w:hAnsi="Arial"/>
          <w:sz w:val="16"/>
          <w:szCs w:val="16"/>
          <w:u w:val="single" w:color="auto"/>
          <w:color w:val="auto"/>
        </w:rPr>
        <w:t>Schedule 1.01</w:t>
      </w:r>
      <w:r>
        <w:rPr>
          <w:rFonts w:ascii="Arial" w:cs="Arial" w:eastAsia="Arial" w:hAnsi="Arial"/>
          <w:sz w:val="16"/>
          <w:szCs w:val="16"/>
          <w:color w:val="auto"/>
        </w:rPr>
        <w:t xml:space="preserve"> attached hereto (as such Schedule may be updated pursuant to the terms set forth herein).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8" w:name="page19"/>
    <w:bookmarkEnd w:id="18"/>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individually and collectively, the Security Agreement, and each other document granting a Lien upon any of the Collateral as security for payment of the Secured Obligations.</w:t>
      </w:r>
    </w:p>
    <w:p>
      <w:pPr>
        <w:spacing w:after="0" w:line="180" w:lineRule="exact"/>
        <w:rPr>
          <w:sz w:val="20"/>
          <w:szCs w:val="20"/>
          <w:color w:val="auto"/>
        </w:rPr>
      </w:pPr>
    </w:p>
    <w:p>
      <w:pPr>
        <w:jc w:val="both"/>
        <w:ind w:right="20" w:firstLine="570"/>
        <w:spacing w:after="0" w:line="34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Collateralized Revolving Commitments</w:t>
      </w:r>
      <w:r>
        <w:rPr>
          <w:rFonts w:ascii="Arial" w:cs="Arial" w:eastAsia="Arial" w:hAnsi="Arial"/>
          <w:sz w:val="14"/>
          <w:szCs w:val="14"/>
          <w:color w:val="auto"/>
        </w:rPr>
        <w:t xml:space="preserve">” means, at any time, an amount equal to the lesser of (a) the sum of the Borrowing Base at such time plus the Availability Block </w:t>
      </w:r>
      <w:r>
        <w:rPr>
          <w:rFonts w:ascii="Arial" w:cs="Arial" w:eastAsia="Arial" w:hAnsi="Arial"/>
          <w:sz w:val="14"/>
          <w:szCs w:val="14"/>
          <w:i w:val="1"/>
          <w:iCs w:val="1"/>
          <w:u w:val="single" w:color="auto"/>
          <w:color w:val="auto"/>
        </w:rPr>
        <w:t>minus</w:t>
      </w:r>
      <w:r>
        <w:rPr>
          <w:rFonts w:ascii="Arial" w:cs="Arial" w:eastAsia="Arial" w:hAnsi="Arial"/>
          <w:sz w:val="14"/>
          <w:szCs w:val="14"/>
          <w:i w:val="1"/>
          <w:iCs w:val="1"/>
          <w:color w:val="auto"/>
        </w:rPr>
        <w:t xml:space="preserve"> </w:t>
      </w:r>
      <w:r>
        <w:rPr>
          <w:rFonts w:ascii="Arial" w:cs="Arial" w:eastAsia="Arial" w:hAnsi="Arial"/>
          <w:sz w:val="14"/>
          <w:szCs w:val="14"/>
          <w:color w:val="auto"/>
        </w:rPr>
        <w:t>the Aggregate Revolving Exposure at such time and (b) the Aggregate Revolving Commitments at such time</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auto"/>
        </w:rPr>
        <w:t>minus</w:t>
      </w:r>
      <w:r>
        <w:rPr>
          <w:rFonts w:ascii="Arial" w:cs="Arial" w:eastAsia="Arial" w:hAnsi="Arial"/>
          <w:sz w:val="14"/>
          <w:szCs w:val="14"/>
          <w:i w:val="1"/>
          <w:iCs w:val="1"/>
          <w:color w:val="auto"/>
        </w:rPr>
        <w:t xml:space="preserve"> </w:t>
      </w:r>
      <w:r>
        <w:rPr>
          <w:rFonts w:ascii="Arial" w:cs="Arial" w:eastAsia="Arial" w:hAnsi="Arial"/>
          <w:sz w:val="14"/>
          <w:szCs w:val="14"/>
          <w:color w:val="auto"/>
        </w:rPr>
        <w:t>the Aggregate Revolving Exposure at such time.</w:t>
      </w:r>
    </w:p>
    <w:p>
      <w:pPr>
        <w:spacing w:after="0" w:line="134"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Collection Account</w:t>
      </w:r>
      <w:r>
        <w:rPr>
          <w:rFonts w:ascii="Arial" w:cs="Arial" w:eastAsia="Arial" w:hAnsi="Arial"/>
          <w:sz w:val="16"/>
          <w:szCs w:val="16"/>
          <w:color w:val="auto"/>
        </w:rPr>
        <w:t>” means, the account at HSBC so designated by the Administrative Agent, in a written notice delivered to the Borrower Representative, to be the “Collection Account”, to which funds on deposit in any Collateral Deposit Account maintained by the Borrowers (other than Micron) with a Cash Management Bank and all collections and other payments received in respect of the Receivables of the Borrowers (other than Micron) by a Cash Management Bank shall be remitted at all times during a Cash Dominion Trigger Period.</w:t>
      </w:r>
    </w:p>
    <w:p>
      <w:pPr>
        <w:spacing w:after="0" w:line="192"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Commercial LC Exposure</w:t>
      </w:r>
      <w:r>
        <w:rPr>
          <w:rFonts w:ascii="Arial" w:cs="Arial" w:eastAsia="Arial" w:hAnsi="Arial"/>
          <w:sz w:val="16"/>
          <w:szCs w:val="16"/>
          <w:color w:val="auto"/>
        </w:rPr>
        <w:t xml:space="preserve">” means, at any time, the sum of (a) the aggregate undrawn amount of all outstanding commercial Letters of Credit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aggregate amount of all LC Disbursements relating to commercial Letters of Credit that have not yet been reimbursed by or on behalf of the Borrowers. The Commercial LC Exposure of any Revolving Lender at any time shall be its Applicable Percentage of the aggregate Commercial LC Exposure at such time.</w:t>
      </w:r>
    </w:p>
    <w:p>
      <w:pPr>
        <w:spacing w:after="0" w:line="188"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xml:space="preserve">” means, with respect to each Lender, such Lender’s Revolving Commitment, together with the commitment of such Lender to acquire participations in Protective Advances hereunder. The initial amount of each Lender’s Commitment is set forth on the </w:t>
      </w:r>
      <w:r>
        <w:rPr>
          <w:rFonts w:ascii="Arial" w:cs="Arial" w:eastAsia="Arial" w:hAnsi="Arial"/>
          <w:sz w:val="16"/>
          <w:szCs w:val="16"/>
          <w:u w:val="single" w:color="auto"/>
          <w:color w:val="auto"/>
        </w:rPr>
        <w:t>Commitment Schedule</w:t>
      </w:r>
      <w:r>
        <w:rPr>
          <w:rFonts w:ascii="Arial" w:cs="Arial" w:eastAsia="Arial" w:hAnsi="Arial"/>
          <w:sz w:val="16"/>
          <w:szCs w:val="16"/>
          <w:color w:val="auto"/>
        </w:rPr>
        <w:t>, or in the Assignment and Assumption pursuant to which such Lender shall have assumed its Commitment, as applicable.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 Schedule</w:t>
      </w:r>
      <w:r>
        <w:rPr>
          <w:rFonts w:ascii="Arial" w:cs="Arial" w:eastAsia="Arial" w:hAnsi="Arial"/>
          <w:sz w:val="16"/>
          <w:szCs w:val="16"/>
          <w:color w:val="auto"/>
        </w:rPr>
        <w:t>” means the Schedule attached hereto identified as such.</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assigned to such term in the recitals.</w:t>
      </w:r>
    </w:p>
    <w:p>
      <w:pPr>
        <w:spacing w:after="0" w:line="220" w:lineRule="exact"/>
        <w:rPr>
          <w:sz w:val="20"/>
          <w:szCs w:val="20"/>
          <w:color w:val="auto"/>
        </w:rPr>
      </w:pPr>
    </w:p>
    <w:p>
      <w:pPr>
        <w:jc w:val="both"/>
        <w:ind w:right="20" w:firstLine="570"/>
        <w:spacing w:after="0" w:line="34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Competitor</w:t>
      </w:r>
      <w:r>
        <w:rPr>
          <w:rFonts w:ascii="Arial" w:cs="Arial" w:eastAsia="Arial" w:hAnsi="Arial"/>
          <w:sz w:val="14"/>
          <w:szCs w:val="14"/>
          <w:color w:val="auto"/>
        </w:rPr>
        <w:t xml:space="preserve">” means any Person that Controls the operation of a Semiconductor Business or Controls any entity that controls the operation of a Semiconductor Business; </w:t>
      </w:r>
      <w:r>
        <w:rPr>
          <w:rFonts w:ascii="Arial" w:cs="Arial" w:eastAsia="Arial" w:hAnsi="Arial"/>
          <w:sz w:val="14"/>
          <w:szCs w:val="14"/>
          <w:u w:val="single" w:color="auto"/>
          <w:color w:val="auto"/>
        </w:rPr>
        <w:t>provided</w:t>
      </w:r>
      <w:r>
        <w:rPr>
          <w:rFonts w:ascii="Arial" w:cs="Arial" w:eastAsia="Arial" w:hAnsi="Arial"/>
          <w:sz w:val="14"/>
          <w:szCs w:val="14"/>
          <w:color w:val="auto"/>
        </w:rPr>
        <w:t>, that the foregoing, shall not include commercial or corporate banks or financial institutions generally in the business of providing working capital facilities.</w:t>
      </w:r>
    </w:p>
    <w:p>
      <w:pPr>
        <w:spacing w:after="0" w:line="134"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Contractual Debt Obligation</w:t>
      </w:r>
      <w:r>
        <w:rPr>
          <w:rFonts w:ascii="Arial" w:cs="Arial" w:eastAsia="Arial" w:hAnsi="Arial"/>
          <w:sz w:val="16"/>
          <w:szCs w:val="16"/>
          <w:color w:val="auto"/>
        </w:rPr>
        <w:t>” means, as to any Person, any indenture, agreement or other instrument to which such Person is a party or by which it is bound with respect to any obligations of such Person for borrowed money.</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9" w:name="page20"/>
    <w:bookmarkEnd w:id="19"/>
    <w:p>
      <w:pPr>
        <w:jc w:val="both"/>
        <w:ind w:right="20" w:firstLine="570"/>
        <w:spacing w:after="0" w:line="270" w:lineRule="auto"/>
        <w:rPr>
          <w:sz w:val="20"/>
          <w:szCs w:val="20"/>
          <w:color w:val="auto"/>
        </w:rPr>
      </w:pPr>
      <w:r>
        <w:rPr>
          <w:rFonts w:ascii="Arial" w:cs="Arial" w:eastAsia="Arial" w:hAnsi="Arial"/>
          <w:sz w:val="16"/>
          <w:szCs w:val="16"/>
          <w:u w:val="single" w:color="auto"/>
          <w:color w:val="auto"/>
        </w:rPr>
        <w:t>Credit Exposure</w:t>
      </w:r>
      <w:r>
        <w:rPr>
          <w:rFonts w:ascii="Arial" w:cs="Arial" w:eastAsia="Arial" w:hAnsi="Arial"/>
          <w:sz w:val="16"/>
          <w:szCs w:val="16"/>
          <w:color w:val="auto"/>
        </w:rPr>
        <w:t xml:space="preserve">” means, as to any Lender at any time, the sum of (a) such Lender’s Revolving Exposure,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an amount equal to its Applicable Percentage, if any, of the aggregate principal amount of Protective Advances outstanding at such time.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Party</w:t>
      </w:r>
      <w:r>
        <w:rPr>
          <w:rFonts w:ascii="Arial" w:cs="Arial" w:eastAsia="Arial" w:hAnsi="Arial"/>
          <w:sz w:val="16"/>
          <w:szCs w:val="16"/>
          <w:color w:val="auto"/>
        </w:rPr>
        <w:t>” means the Administrative Agent, the Issuing Bank, the Swingline Lender or any other Lender.</w:t>
      </w:r>
    </w:p>
    <w:p>
      <w:pPr>
        <w:spacing w:after="0" w:line="22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any event or condition which constitutes an Event of Default or which upon notice, lapse of time or both would, unless cured or waived, become an Event of Default.</w:t>
      </w:r>
    </w:p>
    <w:p>
      <w:pPr>
        <w:spacing w:after="0" w:line="180"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Defaulting Lender</w:t>
      </w:r>
      <w:r>
        <w:rPr>
          <w:rFonts w:ascii="Arial" w:cs="Arial" w:eastAsia="Arial" w:hAnsi="Arial"/>
          <w:sz w:val="15"/>
          <w:szCs w:val="15"/>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to funding a Loan under this Agreement (specifically identified and including the particular Default, if any)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a Bankruptcy Event.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 Account</w:t>
      </w:r>
      <w:r>
        <w:rPr>
          <w:rFonts w:ascii="Arial" w:cs="Arial" w:eastAsia="Arial" w:hAnsi="Arial"/>
          <w:sz w:val="16"/>
          <w:szCs w:val="16"/>
          <w:color w:val="auto"/>
        </w:rPr>
        <w:t>” shall have the meaning set forth in Article 9 of the UCC.</w:t>
      </w:r>
    </w:p>
    <w:p>
      <w:pPr>
        <w:spacing w:after="0" w:line="220"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 Account Control Agreement</w:t>
      </w:r>
      <w:r>
        <w:rPr>
          <w:rFonts w:ascii="Arial" w:cs="Arial" w:eastAsia="Arial" w:hAnsi="Arial"/>
          <w:sz w:val="16"/>
          <w:szCs w:val="16"/>
          <w:color w:val="auto"/>
        </w:rPr>
        <w:t>” shall have the meaning set forth in the applicable Security Agreement and/or any similar agreements, documentation or requirement necessary or desirable to perfect the security interest of the Administrative Agent or to effect control over the Deposit Accounts in which a Lien is created in the applicable Security Agreement.</w:t>
      </w:r>
    </w:p>
    <w:p>
      <w:pPr>
        <w:spacing w:after="0" w:line="188"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Persons</w:t>
      </w:r>
      <w:r>
        <w:rPr>
          <w:rFonts w:ascii="Arial" w:cs="Arial" w:eastAsia="Arial" w:hAnsi="Arial"/>
          <w:sz w:val="16"/>
          <w:szCs w:val="16"/>
          <w:color w:val="auto"/>
        </w:rPr>
        <w:t>” means any Person: (a) listed in the annex to, or otherwise the subject of the provisions of, any Executive Order, (b) named as a “Specially Designated National and Blocked Person” (“</w:t>
      </w:r>
      <w:r>
        <w:rPr>
          <w:rFonts w:ascii="Arial" w:cs="Arial" w:eastAsia="Arial" w:hAnsi="Arial"/>
          <w:sz w:val="16"/>
          <w:szCs w:val="16"/>
          <w:u w:val="single" w:color="auto"/>
          <w:color w:val="auto"/>
        </w:rPr>
        <w:t>SDN</w:t>
      </w:r>
      <w:r>
        <w:rPr>
          <w:rFonts w:ascii="Arial" w:cs="Arial" w:eastAsia="Arial" w:hAnsi="Arial"/>
          <w:sz w:val="16"/>
          <w:szCs w:val="16"/>
          <w:color w:val="auto"/>
        </w:rPr>
        <w:t>”) on the most current list published by OFAC at its official website or any replacement website or other replacement official publication of such list; or is otherwise the subject of any Sanctions Laws and Regulations, and (c) in which an entity or person on the SDN List has 50% or greater ownership interest or that is otherwise controlled by an SDN.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Dollars</w:t>
      </w:r>
      <w:r>
        <w:rPr>
          <w:rFonts w:ascii="Arial" w:cs="Arial" w:eastAsia="Arial" w:hAnsi="Arial"/>
          <w:sz w:val="16"/>
          <w:szCs w:val="16"/>
          <w:color w:val="auto"/>
        </w:rPr>
        <w:t>” or “</w:t>
      </w:r>
      <w:r>
        <w:rPr>
          <w:rFonts w:ascii="Arial" w:cs="Arial" w:eastAsia="Arial" w:hAnsi="Arial"/>
          <w:sz w:val="16"/>
          <w:szCs w:val="16"/>
          <w:u w:val="single" w:color="auto"/>
          <w:color w:val="auto"/>
        </w:rPr>
        <w:t>$</w:t>
      </w:r>
      <w:r>
        <w:rPr>
          <w:rFonts w:ascii="Arial" w:cs="Arial" w:eastAsia="Arial" w:hAnsi="Arial"/>
          <w:sz w:val="16"/>
          <w:szCs w:val="16"/>
          <w:color w:val="auto"/>
        </w:rPr>
        <w:t>” refers to lawful money of the United States.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20" w:name="page21"/>
    <w:bookmarkEnd w:id="20"/>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Draft Borrowing Base Certificate</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5.01(f)</w:t>
      </w:r>
      <w:r>
        <w:rPr>
          <w:rFonts w:ascii="Arial" w:cs="Arial" w:eastAsia="Arial" w:hAnsi="Arial"/>
          <w:sz w:val="16"/>
          <w:szCs w:val="16"/>
          <w:color w:val="auto"/>
        </w:rPr>
        <w:t>.</w:t>
      </w:r>
    </w:p>
    <w:p>
      <w:pPr>
        <w:spacing w:after="0" w:line="220"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ECP</w:t>
      </w:r>
      <w:r>
        <w:rPr>
          <w:rFonts w:ascii="Arial" w:cs="Arial" w:eastAsia="Arial" w:hAnsi="Arial"/>
          <w:sz w:val="16"/>
          <w:szCs w:val="16"/>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means the date on which the conditions specified in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Electronic Delivery</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5.01(a)</w:t>
      </w:r>
      <w:r>
        <w:rPr>
          <w:rFonts w:ascii="Arial" w:cs="Arial" w:eastAsia="Arial" w:hAnsi="Arial"/>
          <w:sz w:val="16"/>
          <w:szCs w:val="16"/>
          <w:color w:val="auto"/>
        </w:rPr>
        <w:t>.</w:t>
      </w:r>
    </w:p>
    <w:p>
      <w:pPr>
        <w:spacing w:after="0" w:line="220"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Accounts</w:t>
      </w:r>
      <w:r>
        <w:rPr>
          <w:rFonts w:ascii="Arial" w:cs="Arial" w:eastAsia="Arial" w:hAnsi="Arial"/>
          <w:sz w:val="16"/>
          <w:szCs w:val="16"/>
          <w:color w:val="auto"/>
        </w:rPr>
        <w:t>” means, at any time, the Accounts of a Borrower (other than Micron) arising in the ordinary course of business; provided that, Eligible Accounts shall not include any Account of a Borrower:</w:t>
      </w:r>
    </w:p>
    <w:p>
      <w:pPr>
        <w:spacing w:after="0" w:line="204" w:lineRule="exact"/>
        <w:rPr>
          <w:sz w:val="20"/>
          <w:szCs w:val="20"/>
          <w:color w:val="auto"/>
        </w:rPr>
      </w:pPr>
    </w:p>
    <w:p>
      <w:pPr>
        <w:ind w:left="2080" w:hanging="375"/>
        <w:spacing w:after="0"/>
        <w:tabs>
          <w:tab w:leader="none" w:pos="2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which is not subject to a first priority perfected security interest in favor of the Administrative Agent;</w:t>
      </w:r>
    </w:p>
    <w:p>
      <w:pPr>
        <w:spacing w:after="0" w:line="243" w:lineRule="exact"/>
        <w:rPr>
          <w:rFonts w:ascii="Arial" w:cs="Arial" w:eastAsia="Arial" w:hAnsi="Arial"/>
          <w:sz w:val="16"/>
          <w:szCs w:val="16"/>
          <w:color w:val="auto"/>
        </w:rPr>
      </w:pPr>
    </w:p>
    <w:p>
      <w:pPr>
        <w:ind w:left="560" w:right="20" w:firstLine="1145"/>
        <w:spacing w:after="0" w:line="270" w:lineRule="auto"/>
        <w:tabs>
          <w:tab w:leader="none" w:pos="2087" w:val="left"/>
        </w:tabs>
        <w:numPr>
          <w:ilvl w:val="0"/>
          <w:numId w:val="5"/>
        </w:numPr>
        <w:rPr>
          <w:rFonts w:ascii="Arial" w:cs="Arial" w:eastAsia="Arial" w:hAnsi="Arial"/>
          <w:sz w:val="16"/>
          <w:szCs w:val="16"/>
          <w:color w:val="auto"/>
        </w:rPr>
      </w:pPr>
      <w:r>
        <w:rPr>
          <w:rFonts w:ascii="Arial" w:cs="Arial" w:eastAsia="Arial" w:hAnsi="Arial"/>
          <w:sz w:val="16"/>
          <w:szCs w:val="16"/>
          <w:color w:val="auto"/>
        </w:rPr>
        <w:t>which is subject to any Lien other than (i) a Lien in favor of the Administrative Agent and (ii) a Permitted Encumbrance which does not have priority over the Lien in favor of the Administrative Agent;</w:t>
      </w:r>
    </w:p>
    <w:p>
      <w:pPr>
        <w:spacing w:after="0" w:line="203" w:lineRule="exact"/>
        <w:rPr>
          <w:rFonts w:ascii="Arial" w:cs="Arial" w:eastAsia="Arial" w:hAnsi="Arial"/>
          <w:sz w:val="16"/>
          <w:szCs w:val="16"/>
          <w:color w:val="auto"/>
        </w:rPr>
      </w:pPr>
    </w:p>
    <w:p>
      <w:pPr>
        <w:ind w:left="560" w:right="20" w:firstLine="1145"/>
        <w:spacing w:after="0" w:line="270" w:lineRule="auto"/>
        <w:tabs>
          <w:tab w:leader="none" w:pos="2066" w:val="left"/>
        </w:tabs>
        <w:numPr>
          <w:ilvl w:val="0"/>
          <w:numId w:val="5"/>
        </w:numPr>
        <w:rPr>
          <w:rFonts w:ascii="Arial" w:cs="Arial" w:eastAsia="Arial" w:hAnsi="Arial"/>
          <w:sz w:val="16"/>
          <w:szCs w:val="16"/>
          <w:color w:val="auto"/>
        </w:rPr>
      </w:pPr>
      <w:r>
        <w:rPr>
          <w:rFonts w:ascii="Arial" w:cs="Arial" w:eastAsia="Arial" w:hAnsi="Arial"/>
          <w:sz w:val="16"/>
          <w:szCs w:val="16"/>
          <w:color w:val="auto"/>
        </w:rPr>
        <w:t>(i) which is unpaid more than 120 days after the date of the original invoice therefor or more than 60 days after the original due date therefor, or (ii) which has been written off the books of such Borrower or otherwise designated as uncollectible;</w:t>
      </w:r>
    </w:p>
    <w:p>
      <w:pPr>
        <w:spacing w:after="0" w:line="203" w:lineRule="exact"/>
        <w:rPr>
          <w:rFonts w:ascii="Arial" w:cs="Arial" w:eastAsia="Arial" w:hAnsi="Arial"/>
          <w:sz w:val="16"/>
          <w:szCs w:val="16"/>
          <w:color w:val="auto"/>
        </w:rPr>
      </w:pPr>
    </w:p>
    <w:p>
      <w:pPr>
        <w:ind w:left="560" w:right="20" w:firstLine="1145"/>
        <w:spacing w:after="0" w:line="270" w:lineRule="auto"/>
        <w:tabs>
          <w:tab w:leader="none" w:pos="2075" w:val="left"/>
        </w:tabs>
        <w:numPr>
          <w:ilvl w:val="0"/>
          <w:numId w:val="5"/>
        </w:numPr>
        <w:rPr>
          <w:rFonts w:ascii="Arial" w:cs="Arial" w:eastAsia="Arial" w:hAnsi="Arial"/>
          <w:sz w:val="16"/>
          <w:szCs w:val="16"/>
          <w:color w:val="auto"/>
        </w:rPr>
      </w:pPr>
      <w:r>
        <w:rPr>
          <w:rFonts w:ascii="Arial" w:cs="Arial" w:eastAsia="Arial" w:hAnsi="Arial"/>
          <w:sz w:val="16"/>
          <w:szCs w:val="16"/>
          <w:color w:val="auto"/>
        </w:rPr>
        <w:t>which is owing by an Account Debtor for which more than 50% of the Accounts owing from such Account Debtor and its Affiliates are ineligible pursuant to clause (c) above;</w:t>
      </w:r>
    </w:p>
    <w:p>
      <w:pPr>
        <w:spacing w:after="0" w:line="203" w:lineRule="exact"/>
        <w:rPr>
          <w:rFonts w:ascii="Arial" w:cs="Arial" w:eastAsia="Arial" w:hAnsi="Arial"/>
          <w:sz w:val="16"/>
          <w:szCs w:val="16"/>
          <w:color w:val="auto"/>
        </w:rPr>
      </w:pPr>
    </w:p>
    <w:p>
      <w:pPr>
        <w:jc w:val="both"/>
        <w:ind w:left="560" w:firstLine="1145"/>
        <w:spacing w:after="0" w:line="293" w:lineRule="auto"/>
        <w:tabs>
          <w:tab w:leader="none" w:pos="2066"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which is owing by (i) an Account Debtor (other than HP and Kingston) to the extent the aggregate amount of Accounts owing from such Account Debtor and its Affiliates to all Borrowers (other than Micron) exceeds 20% of the aggregate amount of Eligible Accounts of all Borrowers, (ii) HP to the extent that the aggregate amount of Accounts owing from HP to all Borrowers (other than Micron) exceeds 35% of the aggregate amount of Eligible Accounts of all Borrowers, and (iii) Kingston to the extent that the aggregate amount of Accounts owing from Kingston to all Borrowers (other than Micron) exceeds 35% of the aggregate amount of Eligible Accounts of all Borrowers;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Eligible Accounts shall not include any Accounts owing by HP and, Kingston to all Borrowers (other than Micron) to the extent the aggregate amount of such Accounts of HP and Kingston (not including any amounts already excluded pursuant to the preceding individual limits set forth in clauses (ii) and (iii) hereof, as applicable, for each of HP and Kingston) exceeds 55% of the aggregate amount of Eligible Accounts of all Borrowers;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21" w:name="page22"/>
    <w:bookmarkEnd w:id="21"/>
    <w:p>
      <w:pPr>
        <w:ind w:left="-640" w:right="20" w:firstLine="1185"/>
        <w:spacing w:after="0" w:line="270" w:lineRule="auto"/>
        <w:tabs>
          <w:tab w:leader="none" w:pos="880" w:val="left"/>
        </w:tabs>
        <w:numPr>
          <w:ilvl w:val="1"/>
          <w:numId w:val="6"/>
        </w:numPr>
        <w:rPr>
          <w:rFonts w:ascii="Arial" w:cs="Arial" w:eastAsia="Arial" w:hAnsi="Arial"/>
          <w:sz w:val="16"/>
          <w:szCs w:val="16"/>
          <w:color w:val="auto"/>
        </w:rPr>
      </w:pPr>
      <w:r>
        <w:rPr>
          <w:rFonts w:ascii="Arial" w:cs="Arial" w:eastAsia="Arial" w:hAnsi="Arial"/>
          <w:sz w:val="16"/>
          <w:szCs w:val="16"/>
          <w:color w:val="auto"/>
        </w:rPr>
        <w:t>with respect to which any covenant, representation or warranty contained in this Agreement or in the applicable Security Agreement to which such Borrower is a party has been breached in any material respect or is not true in any material respect;</w:t>
      </w:r>
    </w:p>
    <w:p>
      <w:pPr>
        <w:spacing w:after="0" w:line="203" w:lineRule="exact"/>
        <w:rPr>
          <w:rFonts w:ascii="Arial" w:cs="Arial" w:eastAsia="Arial" w:hAnsi="Arial"/>
          <w:sz w:val="16"/>
          <w:szCs w:val="16"/>
          <w:color w:val="auto"/>
        </w:rPr>
      </w:pPr>
    </w:p>
    <w:p>
      <w:pPr>
        <w:jc w:val="both"/>
        <w:ind w:left="-640" w:firstLine="1145"/>
        <w:spacing w:after="0" w:line="277" w:lineRule="auto"/>
        <w:tabs>
          <w:tab w:leader="none" w:pos="875" w:val="left"/>
        </w:tabs>
        <w:numPr>
          <w:ilvl w:val="0"/>
          <w:numId w:val="7"/>
        </w:numPr>
        <w:rPr>
          <w:rFonts w:ascii="Arial" w:cs="Arial" w:eastAsia="Arial" w:hAnsi="Arial"/>
          <w:sz w:val="15"/>
          <w:szCs w:val="15"/>
          <w:color w:val="auto"/>
        </w:rPr>
      </w:pPr>
      <w:r>
        <w:rPr>
          <w:rFonts w:ascii="Arial" w:cs="Arial" w:eastAsia="Arial" w:hAnsi="Arial"/>
          <w:sz w:val="15"/>
          <w:szCs w:val="15"/>
          <w:color w:val="auto"/>
        </w:rPr>
        <w:t>which (i) does not arise from the sale of goods or performance of services in the ordinary course of business, (ii) is not evidenced by an invoice or other documentation reasonably satisfactory to the Administrative Agent which has been sent to the Account Debtor, (iii) represents a progress billing, (iv) is contingent upon such Borrower’s completion of any further performance, (v) represents a sale on a bill-and-hold, guaranteed sale, sale-and-return, sale on approval, consignment, cash-on-delivery or any other repurchase or return basis or (vi) relates to payments of interest or service or finance charges;</w:t>
      </w:r>
    </w:p>
    <w:p>
      <w:pPr>
        <w:spacing w:after="0" w:line="201" w:lineRule="exact"/>
        <w:rPr>
          <w:rFonts w:ascii="Arial" w:cs="Arial" w:eastAsia="Arial" w:hAnsi="Arial"/>
          <w:sz w:val="15"/>
          <w:szCs w:val="15"/>
          <w:color w:val="auto"/>
        </w:rPr>
      </w:pPr>
    </w:p>
    <w:p>
      <w:pPr>
        <w:jc w:val="both"/>
        <w:ind w:left="-640" w:firstLine="1145"/>
        <w:spacing w:after="0" w:line="259" w:lineRule="auto"/>
        <w:tabs>
          <w:tab w:leader="none" w:pos="875"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which the goods giving rise to such Account have not been shipped to the Account Debtor or for which the services giving rise to such Account have not been performed by such Borrower or which is otherwise recorded as deferred revenue or if such Account was invoiced more than once (other than in connection with a customer deduction and rebill related to such invoice);</w:t>
      </w:r>
    </w:p>
    <w:p>
      <w:pPr>
        <w:spacing w:after="0" w:line="212" w:lineRule="exact"/>
        <w:rPr>
          <w:rFonts w:ascii="Arial" w:cs="Arial" w:eastAsia="Arial" w:hAnsi="Arial"/>
          <w:sz w:val="16"/>
          <w:szCs w:val="16"/>
          <w:color w:val="auto"/>
        </w:rPr>
      </w:pPr>
    </w:p>
    <w:p>
      <w:pPr>
        <w:ind w:left="840" w:hanging="335"/>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with respect to which any check or other instrument of payment has been returned uncollected for any reason;</w:t>
      </w:r>
    </w:p>
    <w:p>
      <w:pPr>
        <w:spacing w:after="0" w:line="243" w:lineRule="exact"/>
        <w:rPr>
          <w:rFonts w:ascii="Arial" w:cs="Arial" w:eastAsia="Arial" w:hAnsi="Arial"/>
          <w:sz w:val="16"/>
          <w:szCs w:val="16"/>
          <w:color w:val="auto"/>
        </w:rPr>
      </w:pPr>
    </w:p>
    <w:p>
      <w:pPr>
        <w:jc w:val="both"/>
        <w:ind w:left="-640" w:firstLine="1145"/>
        <w:spacing w:after="0" w:line="270" w:lineRule="auto"/>
        <w:tabs>
          <w:tab w:leader="none" w:pos="851" w:val="left"/>
        </w:tabs>
        <w:numPr>
          <w:ilvl w:val="0"/>
          <w:numId w:val="7"/>
        </w:numPr>
        <w:rPr>
          <w:rFonts w:ascii="Arial" w:cs="Arial" w:eastAsia="Arial" w:hAnsi="Arial"/>
          <w:sz w:val="15"/>
          <w:szCs w:val="15"/>
          <w:color w:val="auto"/>
        </w:rPr>
      </w:pPr>
      <w:r>
        <w:rPr>
          <w:rFonts w:ascii="Arial" w:cs="Arial" w:eastAsia="Arial" w:hAnsi="Arial"/>
          <w:sz w:val="15"/>
          <w:szCs w:val="15"/>
          <w:color w:val="auto"/>
        </w:rPr>
        <w:t>which is owed by an Account Debtor that (i) has applied for, or been the subject of a petition or application for, suffered, or consented to the appointment of any receiver, custodian, trustee, administrator, administrative receiver, liquidator or similar official for such Account Debtor of its assets, (ii) has had possession of all or a material part of its property taken by any receiver, custodian, trustee or liquidator, (iii) has filed, or had filed against it under any Insolvency Laws, any assignment, application, request or petition for liquidation, administration, reorganization, compromise, arrangement, adjustment of debts, stay of proceedings, adjudication as bankrupt, winding-up, or voluntary or involuntary case or proceeding under any Insolvency Laws (other than post-petition accounts payable of an Account Debtor that is a debtor-in-possession under the Bankruptcy Code and reasonably acceptable to the Administrative Agent), (iv) admitted in writing its inability, or is generally unable to, pay its debts as they become due, (v) become insolvent, (vi) ceased operation of its business or (vii) is insolvent by reason of the value of the assets of the Account Debtor is less than its liabilities (taking into account contingent and prospective liabilities);</w:t>
      </w:r>
    </w:p>
    <w:p>
      <w:pPr>
        <w:spacing w:after="0" w:line="205" w:lineRule="exact"/>
        <w:rPr>
          <w:rFonts w:ascii="Arial" w:cs="Arial" w:eastAsia="Arial" w:hAnsi="Arial"/>
          <w:sz w:val="15"/>
          <w:szCs w:val="15"/>
          <w:color w:val="auto"/>
        </w:rPr>
      </w:pPr>
    </w:p>
    <w:p>
      <w:pPr>
        <w:ind w:left="880" w:hanging="375"/>
        <w:spacing w:after="0"/>
        <w:tabs>
          <w:tab w:leader="none" w:pos="8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which is owed by any Account Debtor which has sold all or a substantially all of its assets;</w:t>
      </w:r>
    </w:p>
    <w:p>
      <w:pPr>
        <w:spacing w:after="0" w:line="243" w:lineRule="exact"/>
        <w:rPr>
          <w:rFonts w:ascii="Arial" w:cs="Arial" w:eastAsia="Arial" w:hAnsi="Arial"/>
          <w:sz w:val="16"/>
          <w:szCs w:val="16"/>
          <w:color w:val="auto"/>
        </w:rPr>
      </w:pPr>
    </w:p>
    <w:p>
      <w:pPr>
        <w:jc w:val="both"/>
        <w:ind w:left="-640" w:firstLine="1145"/>
        <w:spacing w:after="0" w:line="313" w:lineRule="auto"/>
        <w:tabs>
          <w:tab w:leader="none" w:pos="8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which is owed by an Account Debtor which (i) does not maintain its chief executive office in the United States or Canada, or (ii) is not organized under any applicable law of the United States, any state of the United States, Canada, or any province of Canada, unless, in each case, such Account is backed by a letter of credit reasonably acceptable to the Administrative Agent which is in the possession of, has been assigned to and is directly drawable by, the Administrative Agent;</w:t>
      </w: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69850</wp:posOffset>
            </wp:positionV>
            <wp:extent cx="726821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240"/>
          </w:cols>
          <w:pgMar w:left="1440" w:top="317" w:right="219" w:bottom="1440" w:gutter="0" w:footer="0" w:header="0"/>
        </w:sectPr>
      </w:pPr>
    </w:p>
    <w:bookmarkStart w:id="22" w:name="page23"/>
    <w:bookmarkEnd w:id="22"/>
    <w:p>
      <w:pPr>
        <w:ind w:left="1555" w:hanging="415"/>
        <w:spacing w:after="0"/>
        <w:tabs>
          <w:tab w:leader="none" w:pos="1555" w:val="left"/>
        </w:tabs>
        <w:numPr>
          <w:ilvl w:val="1"/>
          <w:numId w:val="8"/>
        </w:numPr>
        <w:rPr>
          <w:rFonts w:ascii="Arial" w:cs="Arial" w:eastAsia="Arial" w:hAnsi="Arial"/>
          <w:sz w:val="16"/>
          <w:szCs w:val="16"/>
          <w:color w:val="auto"/>
        </w:rPr>
      </w:pPr>
      <w:r>
        <w:rPr>
          <w:rFonts w:ascii="Arial" w:cs="Arial" w:eastAsia="Arial" w:hAnsi="Arial"/>
          <w:sz w:val="16"/>
          <w:szCs w:val="16"/>
          <w:color w:val="auto"/>
        </w:rPr>
        <w:t>which is owed in any currency other than Dollars;</w:t>
      </w:r>
    </w:p>
    <w:p>
      <w:pPr>
        <w:spacing w:after="0" w:line="243" w:lineRule="exact"/>
        <w:rPr>
          <w:rFonts w:ascii="Arial" w:cs="Arial" w:eastAsia="Arial" w:hAnsi="Arial"/>
          <w:sz w:val="16"/>
          <w:szCs w:val="16"/>
          <w:color w:val="auto"/>
        </w:rPr>
      </w:pPr>
    </w:p>
    <w:p>
      <w:pPr>
        <w:jc w:val="both"/>
        <w:ind w:left="-5" w:right="20" w:firstLine="1145"/>
        <w:spacing w:after="0" w:line="253" w:lineRule="auto"/>
        <w:tabs>
          <w:tab w:leader="none" w:pos="1521" w:val="left"/>
        </w:tabs>
        <w:numPr>
          <w:ilvl w:val="1"/>
          <w:numId w:val="8"/>
        </w:numPr>
        <w:rPr>
          <w:rFonts w:ascii="Arial" w:cs="Arial" w:eastAsia="Arial" w:hAnsi="Arial"/>
          <w:sz w:val="16"/>
          <w:szCs w:val="16"/>
          <w:color w:val="auto"/>
        </w:rPr>
      </w:pPr>
      <w:r>
        <w:rPr>
          <w:rFonts w:ascii="Arial" w:cs="Arial" w:eastAsia="Arial" w:hAnsi="Arial"/>
          <w:sz w:val="16"/>
          <w:szCs w:val="16"/>
          <w:color w:val="auto"/>
        </w:rPr>
        <w:t>which is owed by (i) the government (or any department, agency, public corporation, or instrumentality thereof) of any country other than the United States unless such Account is backed by a Letter of Credit acceptable to the Administrative Agent which is in the possession of, and is directly drawable by, the Administrative Agent, or (ii) the government of the United States, or any department, agency, public corporation, or instrumentality thereof, unless the Federal Assignment of Claims Act of 1940, as amended (31 U.S.C. § 3727 et seq. and 41 U.S.C. § 15 et seq.) or any other steps necessary to perfect the Lien of the Administrative Agent in such Account have been complied with to the Administrative Agent’s satisfaction;</w:t>
      </w:r>
    </w:p>
    <w:p>
      <w:pPr>
        <w:spacing w:after="0" w:line="217" w:lineRule="exact"/>
        <w:rPr>
          <w:rFonts w:ascii="Arial" w:cs="Arial" w:eastAsia="Arial" w:hAnsi="Arial"/>
          <w:sz w:val="16"/>
          <w:szCs w:val="16"/>
          <w:color w:val="auto"/>
        </w:rPr>
      </w:pPr>
    </w:p>
    <w:p>
      <w:pPr>
        <w:ind w:left="1515" w:hanging="375"/>
        <w:spacing w:after="0"/>
        <w:tabs>
          <w:tab w:leader="none" w:pos="1515" w:val="left"/>
        </w:tabs>
        <w:numPr>
          <w:ilvl w:val="1"/>
          <w:numId w:val="8"/>
        </w:numPr>
        <w:rPr>
          <w:rFonts w:ascii="Arial" w:cs="Arial" w:eastAsia="Arial" w:hAnsi="Arial"/>
          <w:sz w:val="16"/>
          <w:szCs w:val="16"/>
          <w:color w:val="auto"/>
        </w:rPr>
      </w:pPr>
      <w:r>
        <w:rPr>
          <w:rFonts w:ascii="Arial" w:cs="Arial" w:eastAsia="Arial" w:hAnsi="Arial"/>
          <w:sz w:val="16"/>
          <w:szCs w:val="16"/>
          <w:color w:val="auto"/>
        </w:rPr>
        <w:t>which is owed by any Affiliate or any employee, officer, director, agent or stockholder of any Borrower;</w:t>
      </w:r>
    </w:p>
    <w:p>
      <w:pPr>
        <w:spacing w:after="0" w:line="243" w:lineRule="exact"/>
        <w:rPr>
          <w:rFonts w:ascii="Arial" w:cs="Arial" w:eastAsia="Arial" w:hAnsi="Arial"/>
          <w:sz w:val="16"/>
          <w:szCs w:val="16"/>
          <w:color w:val="auto"/>
        </w:rPr>
      </w:pPr>
    </w:p>
    <w:p>
      <w:pPr>
        <w:ind w:left="1515" w:hanging="375"/>
        <w:spacing w:after="0"/>
        <w:tabs>
          <w:tab w:leader="none" w:pos="1515" w:val="left"/>
        </w:tabs>
        <w:numPr>
          <w:ilvl w:val="1"/>
          <w:numId w:val="8"/>
        </w:numPr>
        <w:rPr>
          <w:rFonts w:ascii="Arial" w:cs="Arial" w:eastAsia="Arial" w:hAnsi="Arial"/>
          <w:sz w:val="16"/>
          <w:szCs w:val="16"/>
          <w:color w:val="auto"/>
        </w:rPr>
      </w:pPr>
      <w:r>
        <w:rPr>
          <w:rFonts w:ascii="Arial" w:cs="Arial" w:eastAsia="Arial" w:hAnsi="Arial"/>
          <w:sz w:val="16"/>
          <w:szCs w:val="16"/>
          <w:color w:val="auto"/>
        </w:rPr>
        <w:t>[intentionally omitted]</w:t>
      </w:r>
    </w:p>
    <w:p>
      <w:pPr>
        <w:spacing w:after="0" w:line="243" w:lineRule="exact"/>
        <w:rPr>
          <w:rFonts w:ascii="Arial" w:cs="Arial" w:eastAsia="Arial" w:hAnsi="Arial"/>
          <w:sz w:val="16"/>
          <w:szCs w:val="16"/>
          <w:color w:val="auto"/>
        </w:rPr>
      </w:pPr>
    </w:p>
    <w:p>
      <w:pPr>
        <w:jc w:val="both"/>
        <w:ind w:left="-5" w:firstLine="1145"/>
        <w:spacing w:after="0" w:line="259" w:lineRule="auto"/>
        <w:tabs>
          <w:tab w:leader="none" w:pos="1509" w:val="left"/>
        </w:tabs>
        <w:numPr>
          <w:ilvl w:val="1"/>
          <w:numId w:val="8"/>
        </w:numPr>
        <w:rPr>
          <w:rFonts w:ascii="Arial" w:cs="Arial" w:eastAsia="Arial" w:hAnsi="Arial"/>
          <w:sz w:val="16"/>
          <w:szCs w:val="16"/>
          <w:color w:val="auto"/>
        </w:rPr>
      </w:pPr>
      <w:r>
        <w:rPr>
          <w:rFonts w:ascii="Arial" w:cs="Arial" w:eastAsia="Arial" w:hAnsi="Arial"/>
          <w:sz w:val="16"/>
          <w:szCs w:val="16"/>
          <w:color w:val="auto"/>
        </w:rPr>
        <w:t>which is owed by an Account Debtor or any Affiliate of such Account Debtor to which such Borrower or any of its Affiliates is indebted, but only to the extent of such indebtedness, or is subject to any security, deposit, progress payment, retainage or other similar advance made by or for the benefit of an Account Debtor, in each case to the extent thereof;</w:t>
      </w:r>
    </w:p>
    <w:p>
      <w:pPr>
        <w:spacing w:after="0" w:line="212" w:lineRule="exact"/>
        <w:rPr>
          <w:rFonts w:ascii="Arial" w:cs="Arial" w:eastAsia="Arial" w:hAnsi="Arial"/>
          <w:sz w:val="16"/>
          <w:szCs w:val="16"/>
          <w:color w:val="auto"/>
        </w:rPr>
      </w:pPr>
    </w:p>
    <w:p>
      <w:pPr>
        <w:ind w:left="1495" w:hanging="355"/>
        <w:spacing w:after="0"/>
        <w:tabs>
          <w:tab w:leader="none" w:pos="1495" w:val="left"/>
        </w:tabs>
        <w:numPr>
          <w:ilvl w:val="1"/>
          <w:numId w:val="8"/>
        </w:numPr>
        <w:rPr>
          <w:rFonts w:ascii="Arial" w:cs="Arial" w:eastAsia="Arial" w:hAnsi="Arial"/>
          <w:sz w:val="16"/>
          <w:szCs w:val="16"/>
          <w:color w:val="auto"/>
        </w:rPr>
      </w:pPr>
      <w:r>
        <w:rPr>
          <w:rFonts w:ascii="Arial" w:cs="Arial" w:eastAsia="Arial" w:hAnsi="Arial"/>
          <w:sz w:val="16"/>
          <w:szCs w:val="16"/>
          <w:color w:val="auto"/>
        </w:rPr>
        <w:t>which is evidenced by any promissory note, chattel paper or instrument;</w:t>
      </w:r>
    </w:p>
    <w:p>
      <w:pPr>
        <w:spacing w:after="0" w:line="243" w:lineRule="exact"/>
        <w:rPr>
          <w:rFonts w:ascii="Arial" w:cs="Arial" w:eastAsia="Arial" w:hAnsi="Arial"/>
          <w:sz w:val="16"/>
          <w:szCs w:val="16"/>
          <w:color w:val="auto"/>
        </w:rPr>
      </w:pPr>
    </w:p>
    <w:p>
      <w:pPr>
        <w:jc w:val="both"/>
        <w:ind w:left="-5" w:firstLine="1145"/>
        <w:spacing w:after="0" w:line="259" w:lineRule="auto"/>
        <w:tabs>
          <w:tab w:leader="none" w:pos="1516" w:val="left"/>
        </w:tabs>
        <w:numPr>
          <w:ilvl w:val="1"/>
          <w:numId w:val="8"/>
        </w:numPr>
        <w:rPr>
          <w:rFonts w:ascii="Arial" w:cs="Arial" w:eastAsia="Arial" w:hAnsi="Arial"/>
          <w:sz w:val="16"/>
          <w:szCs w:val="16"/>
          <w:color w:val="auto"/>
        </w:rPr>
      </w:pPr>
      <w:r>
        <w:rPr>
          <w:rFonts w:ascii="Arial" w:cs="Arial" w:eastAsia="Arial" w:hAnsi="Arial"/>
          <w:sz w:val="16"/>
          <w:szCs w:val="16"/>
          <w:color w:val="auto"/>
        </w:rPr>
        <w:t>with respect to which such Borrower has made any agreement with the Account Debtor for any reduction thereof, other than discounts and adjustments given in the ordinary course of business, or any Account which was partially paid and such Borrower created a new receivable for the unpaid portion of such Account;</w:t>
      </w:r>
    </w:p>
    <w:p>
      <w:pPr>
        <w:spacing w:after="0" w:line="212" w:lineRule="exact"/>
        <w:rPr>
          <w:rFonts w:ascii="Arial" w:cs="Arial" w:eastAsia="Arial" w:hAnsi="Arial"/>
          <w:sz w:val="16"/>
          <w:szCs w:val="16"/>
          <w:color w:val="auto"/>
        </w:rPr>
      </w:pPr>
    </w:p>
    <w:p>
      <w:pPr>
        <w:ind w:left="-5" w:firstLine="1145"/>
        <w:spacing w:after="0" w:line="270" w:lineRule="auto"/>
        <w:tabs>
          <w:tab w:leader="none" w:pos="1498" w:val="left"/>
        </w:tabs>
        <w:numPr>
          <w:ilvl w:val="1"/>
          <w:numId w:val="8"/>
        </w:numPr>
        <w:rPr>
          <w:rFonts w:ascii="Arial" w:cs="Arial" w:eastAsia="Arial" w:hAnsi="Arial"/>
          <w:sz w:val="16"/>
          <w:szCs w:val="16"/>
          <w:color w:val="auto"/>
        </w:rPr>
      </w:pPr>
      <w:r>
        <w:rPr>
          <w:rFonts w:ascii="Arial" w:cs="Arial" w:eastAsia="Arial" w:hAnsi="Arial"/>
          <w:sz w:val="16"/>
          <w:szCs w:val="16"/>
          <w:color w:val="auto"/>
        </w:rPr>
        <w:t>which does not comply in all material respects with the requirements of all applicable laws and regulations, whether Federal, state or local, including without limitation the Federal Consumer Credit Protection Act, the Federal Truth in Lending Act and Regulation Z of the Board;</w:t>
      </w:r>
    </w:p>
    <w:p>
      <w:pPr>
        <w:spacing w:after="0" w:line="203" w:lineRule="exact"/>
        <w:rPr>
          <w:rFonts w:ascii="Arial" w:cs="Arial" w:eastAsia="Arial" w:hAnsi="Arial"/>
          <w:sz w:val="16"/>
          <w:szCs w:val="16"/>
          <w:color w:val="auto"/>
        </w:rPr>
      </w:pPr>
    </w:p>
    <w:p>
      <w:pPr>
        <w:jc w:val="both"/>
        <w:ind w:left="-5" w:right="20" w:firstLine="1145"/>
        <w:spacing w:after="0" w:line="259" w:lineRule="auto"/>
        <w:tabs>
          <w:tab w:leader="none" w:pos="1509" w:val="left"/>
        </w:tabs>
        <w:numPr>
          <w:ilvl w:val="1"/>
          <w:numId w:val="8"/>
        </w:numPr>
        <w:rPr>
          <w:rFonts w:ascii="Arial" w:cs="Arial" w:eastAsia="Arial" w:hAnsi="Arial"/>
          <w:sz w:val="16"/>
          <w:szCs w:val="16"/>
          <w:color w:val="auto"/>
        </w:rPr>
      </w:pPr>
      <w:r>
        <w:rPr>
          <w:rFonts w:ascii="Arial" w:cs="Arial" w:eastAsia="Arial" w:hAnsi="Arial"/>
          <w:sz w:val="16"/>
          <w:szCs w:val="16"/>
          <w:color w:val="auto"/>
        </w:rPr>
        <w:t>which is for goods that have been sold under a purchase order or pursuant to the terms of a contract or other agreement or understanding (written or oral) that indicates or purports that any Person other than such Borrower has or has had an ownership interest in such goods, or which indicates any party other than such Borrower as payee or remittance party;</w:t>
      </w:r>
    </w:p>
    <w:p>
      <w:pPr>
        <w:spacing w:after="0" w:line="212" w:lineRule="exact"/>
        <w:rPr>
          <w:rFonts w:ascii="Arial" w:cs="Arial" w:eastAsia="Arial" w:hAnsi="Arial"/>
          <w:sz w:val="16"/>
          <w:szCs w:val="16"/>
          <w:color w:val="auto"/>
        </w:rPr>
      </w:pPr>
    </w:p>
    <w:p>
      <w:pPr>
        <w:ind w:left="1515" w:hanging="375"/>
        <w:spacing w:after="0"/>
        <w:tabs>
          <w:tab w:leader="none" w:pos="1515" w:val="left"/>
        </w:tabs>
        <w:numPr>
          <w:ilvl w:val="1"/>
          <w:numId w:val="8"/>
        </w:numPr>
        <w:rPr>
          <w:rFonts w:ascii="Arial" w:cs="Arial" w:eastAsia="Arial" w:hAnsi="Arial"/>
          <w:sz w:val="16"/>
          <w:szCs w:val="16"/>
          <w:color w:val="auto"/>
        </w:rPr>
      </w:pPr>
      <w:r>
        <w:rPr>
          <w:rFonts w:ascii="Arial" w:cs="Arial" w:eastAsia="Arial" w:hAnsi="Arial"/>
          <w:sz w:val="16"/>
          <w:szCs w:val="16"/>
          <w:color w:val="auto"/>
        </w:rPr>
        <w:t>which was created on cash on delivery terms;</w:t>
      </w:r>
    </w:p>
    <w:p>
      <w:pPr>
        <w:spacing w:after="0" w:line="243" w:lineRule="exact"/>
        <w:rPr>
          <w:rFonts w:ascii="Arial" w:cs="Arial" w:eastAsia="Arial" w:hAnsi="Arial"/>
          <w:sz w:val="16"/>
          <w:szCs w:val="16"/>
          <w:color w:val="auto"/>
        </w:rPr>
      </w:pPr>
    </w:p>
    <w:p>
      <w:pPr>
        <w:ind w:left="1555" w:hanging="415"/>
        <w:spacing w:after="0"/>
        <w:tabs>
          <w:tab w:leader="none" w:pos="1555" w:val="left"/>
        </w:tabs>
        <w:numPr>
          <w:ilvl w:val="1"/>
          <w:numId w:val="8"/>
        </w:numPr>
        <w:rPr>
          <w:rFonts w:ascii="Arial" w:cs="Arial" w:eastAsia="Arial" w:hAnsi="Arial"/>
          <w:sz w:val="14"/>
          <w:szCs w:val="14"/>
          <w:color w:val="auto"/>
        </w:rPr>
      </w:pPr>
      <w:r>
        <w:rPr>
          <w:rFonts w:ascii="Arial" w:cs="Arial" w:eastAsia="Arial" w:hAnsi="Arial"/>
          <w:sz w:val="14"/>
          <w:szCs w:val="14"/>
          <w:color w:val="auto"/>
        </w:rPr>
        <w:t>the terms of which are governed by the laws of any jurisdiction other than (i) the United States, or any state thereof, or the District of Columbia,</w:t>
      </w:r>
    </w:p>
    <w:p>
      <w:pPr>
        <w:spacing w:after="0" w:line="40" w:lineRule="exact"/>
        <w:rPr>
          <w:rFonts w:ascii="Arial" w:cs="Arial" w:eastAsia="Arial" w:hAnsi="Arial"/>
          <w:sz w:val="14"/>
          <w:szCs w:val="14"/>
          <w:color w:val="auto"/>
        </w:rPr>
      </w:pPr>
    </w:p>
    <w:p>
      <w:pPr>
        <w:ind w:left="-5" w:firstLine="5"/>
        <w:spacing w:after="0" w:line="255"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Canada or any province thereof, or (iii) any Approved Jurisdiction to the extent that the aggregate amount of all such Accounts do not exceed an amount equal to 10.0% of the Aggregate Revolving Commitments;</w:t>
      </w:r>
    </w:p>
    <w:p>
      <w:pPr>
        <w:spacing w:after="0" w:line="323" w:lineRule="exact"/>
        <w:rPr>
          <w:sz w:val="20"/>
          <w:szCs w:val="20"/>
          <w:color w:val="auto"/>
        </w:rPr>
      </w:pPr>
    </w:p>
    <w:p>
      <w:pPr>
        <w:ind w:left="5075"/>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69850</wp:posOffset>
            </wp:positionV>
            <wp:extent cx="726821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75"/>
          </w:cols>
          <w:pgMar w:left="805" w:top="281" w:right="219" w:bottom="1440" w:gutter="0" w:footer="0" w:header="0"/>
        </w:sectPr>
      </w:pPr>
    </w:p>
    <w:bookmarkStart w:id="23" w:name="page24"/>
    <w:bookmarkEnd w:id="23"/>
    <w:p>
      <w:pPr>
        <w:jc w:val="both"/>
        <w:ind w:left="560" w:firstLine="1145"/>
        <w:spacing w:after="0" w:line="259" w:lineRule="auto"/>
        <w:tabs>
          <w:tab w:leader="none" w:pos="20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which is subject to any limitation on security interests (whether arising by operation of law, by agreement or otherwise) to the extent such limitation adversely effects or impairs the validity, perfection, enforceability or priority of the Administrative Agent’s Liens therein, unless the Administrative Agent has reasonably determined that such limitation is not enforceable;</w:t>
      </w:r>
    </w:p>
    <w:p>
      <w:pPr>
        <w:spacing w:after="0" w:line="212" w:lineRule="exact"/>
        <w:rPr>
          <w:rFonts w:ascii="Arial" w:cs="Arial" w:eastAsia="Arial" w:hAnsi="Arial"/>
          <w:sz w:val="16"/>
          <w:szCs w:val="16"/>
          <w:color w:val="auto"/>
        </w:rPr>
      </w:pPr>
    </w:p>
    <w:p>
      <w:pPr>
        <w:jc w:val="both"/>
        <w:ind w:left="560" w:right="20" w:firstLine="1145"/>
        <w:spacing w:after="0" w:line="259" w:lineRule="auto"/>
        <w:tabs>
          <w:tab w:leader="none" w:pos="2087"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which is owed by an Account Debtor in respect of which any Borrower has received notice of any proceedings or actions which are pending against such Account Debtor which would reasonably be expected to affect the material value of the Account as Collateral or the likelihood of payment by the Account Debtor;</w:t>
      </w:r>
    </w:p>
    <w:p>
      <w:pPr>
        <w:spacing w:after="0" w:line="212" w:lineRule="exact"/>
        <w:rPr>
          <w:rFonts w:ascii="Arial" w:cs="Arial" w:eastAsia="Arial" w:hAnsi="Arial"/>
          <w:sz w:val="16"/>
          <w:szCs w:val="16"/>
          <w:color w:val="auto"/>
        </w:rPr>
      </w:pPr>
    </w:p>
    <w:p>
      <w:pPr>
        <w:ind w:left="2080" w:hanging="375"/>
        <w:spacing w:after="0"/>
        <w:tabs>
          <w:tab w:leader="none" w:pos="2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which is not owned by such Borrower or such Borrower does not have good or marketable title to such Account; or</w:t>
      </w:r>
    </w:p>
    <w:p>
      <w:pPr>
        <w:spacing w:after="0" w:line="244" w:lineRule="exact"/>
        <w:rPr>
          <w:sz w:val="20"/>
          <w:szCs w:val="20"/>
          <w:color w:val="auto"/>
        </w:rPr>
      </w:pPr>
    </w:p>
    <w:p>
      <w:pPr>
        <w:jc w:val="both"/>
        <w:ind w:left="560" w:right="20" w:firstLine="1145"/>
        <w:spacing w:after="0" w:line="259" w:lineRule="auto"/>
        <w:tabs>
          <w:tab w:leader="none" w:pos="21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which falls into a category of ineligibility established by the Administrative Agent from time to time in its Permitted Discretion based on any material fact or circumstance which was not known on or prior to the Effective Date and arises after the Effective Date or which otherwise first becomes known to the Administrative Agent after the Effective Date.</w:t>
      </w:r>
    </w:p>
    <w:p>
      <w:pPr>
        <w:spacing w:after="0" w:line="188" w:lineRule="exact"/>
        <w:rPr>
          <w:sz w:val="20"/>
          <w:szCs w:val="20"/>
          <w:color w:val="auto"/>
        </w:rPr>
      </w:pPr>
    </w:p>
    <w:p>
      <w:pPr>
        <w:jc w:val="both"/>
        <w:ind w:firstLine="570"/>
        <w:spacing w:after="0" w:line="251" w:lineRule="auto"/>
        <w:rPr>
          <w:sz w:val="20"/>
          <w:szCs w:val="20"/>
          <w:color w:val="auto"/>
        </w:rPr>
      </w:pPr>
      <w:r>
        <w:rPr>
          <w:rFonts w:ascii="Arial" w:cs="Arial" w:eastAsia="Arial" w:hAnsi="Arial"/>
          <w:sz w:val="16"/>
          <w:szCs w:val="16"/>
          <w:color w:val="auto"/>
        </w:rPr>
        <w:t xml:space="preserve">In the event that an Account of a Borrower which was previously an Eligible Account ceases to be an Eligible Account hereunder, the Borrower Representative shall notify the Administrative Agent thereof on and at the time of submission to the Administrative Agent of the next Borrowing Base Certificate. If (i) the Collateralized Revolving Commitments are less than $50,000,000 as of the end of any fiscal month, (ii) the Borrower Representative has reported pursuant to </w:t>
      </w:r>
      <w:r>
        <w:rPr>
          <w:rFonts w:ascii="Arial" w:cs="Arial" w:eastAsia="Arial" w:hAnsi="Arial"/>
          <w:sz w:val="16"/>
          <w:szCs w:val="16"/>
          <w:u w:val="single" w:color="auto"/>
          <w:color w:val="auto"/>
        </w:rPr>
        <w:t>Section 5.01(g)</w:t>
      </w:r>
      <w:r>
        <w:rPr>
          <w:rFonts w:ascii="Arial" w:cs="Arial" w:eastAsia="Arial" w:hAnsi="Arial"/>
          <w:sz w:val="16"/>
          <w:szCs w:val="16"/>
          <w:color w:val="auto"/>
        </w:rPr>
        <w:t xml:space="preserve"> a credit memo in excess of five percent (5%) of the Aggregate Revolving Commitments, and (iii) the existing dilution Reserves for Accounts and Receivables established by the Administrative Agent do not already reflect, in the Administrative Agent’s reasonable determination, the dilution factors with respect to such credit memo, then the Administrative Agent may, in the Administrative Agent’s Permitted Discretion, establish additional Reserves for dilution relating to such credit memo, but only to the extent not already reflected in the existing dilution Reserves.</w:t>
      </w:r>
    </w:p>
    <w:p>
      <w:pPr>
        <w:spacing w:after="0" w:line="197"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Finished Goods Inventory</w:t>
      </w:r>
      <w:r>
        <w:rPr>
          <w:rFonts w:ascii="Arial" w:cs="Arial" w:eastAsia="Arial" w:hAnsi="Arial"/>
          <w:sz w:val="16"/>
          <w:szCs w:val="16"/>
          <w:color w:val="auto"/>
        </w:rPr>
        <w:t>” means, Eligible Inventory constituting finished goods available for sale by a Borrower in the ordinary course of business of such Borrower, excluding Eligible Raw Materials and Eligible WIP of such Borrower.</w:t>
      </w:r>
    </w:p>
    <w:p>
      <w:pPr>
        <w:spacing w:after="0" w:line="180"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Foreign Accounts</w:t>
      </w:r>
      <w:r>
        <w:rPr>
          <w:rFonts w:ascii="Arial" w:cs="Arial" w:eastAsia="Arial" w:hAnsi="Arial"/>
          <w:sz w:val="16"/>
          <w:szCs w:val="16"/>
          <w:color w:val="auto"/>
        </w:rPr>
        <w:t xml:space="preserve">” means Accounts which would be deemed Eligible Accounts but for the exclusionary criteria set forth in </w:t>
      </w:r>
      <w:r>
        <w:rPr>
          <w:rFonts w:ascii="Arial" w:cs="Arial" w:eastAsia="Arial" w:hAnsi="Arial"/>
          <w:sz w:val="16"/>
          <w:szCs w:val="16"/>
          <w:u w:val="single" w:color="auto"/>
          <w:color w:val="auto"/>
        </w:rPr>
        <w:t>clause (l)</w:t>
      </w:r>
      <w:r>
        <w:rPr>
          <w:rFonts w:ascii="Arial" w:cs="Arial" w:eastAsia="Arial" w:hAnsi="Arial"/>
          <w:sz w:val="16"/>
          <w:szCs w:val="16"/>
          <w:color w:val="auto"/>
        </w:rPr>
        <w:t xml:space="preserve"> of the definition of Eligible Accounts and solely to the extent the Account Debtor is in an Approved Jurisdiction. Without limiting the Administrative Agent’s discretion provided herein, any Eligible Foreign Account may be deemed ineligible and excluded from the calculation of the Borrowing Base to the extent determined, by the Administrative Agent in its commercially reasonable discretion, that any such Account Debtor does not have a material presence in an Approved Jurisdiction.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Eligible Inventory</w:t>
      </w:r>
      <w:r>
        <w:rPr>
          <w:rFonts w:ascii="Arial" w:cs="Arial" w:eastAsia="Arial" w:hAnsi="Arial"/>
          <w:sz w:val="15"/>
          <w:szCs w:val="15"/>
          <w:color w:val="auto"/>
        </w:rPr>
        <w:t>” means, at any time, the Inventory of a Borrower arising in the ordinary course of business; provided that Eligible Inventory shall not include 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Inventory:</w:t>
      </w:r>
    </w:p>
    <w:p>
      <w:pPr>
        <w:spacing w:after="0" w:line="185" w:lineRule="exact"/>
        <w:rPr>
          <w:sz w:val="20"/>
          <w:szCs w:val="20"/>
          <w:color w:val="auto"/>
        </w:rPr>
      </w:pPr>
    </w:p>
    <w:p>
      <w:pPr>
        <w:ind w:left="5640" w:right="4080" w:hanging="3579"/>
        <w:spacing w:after="0" w:line="719" w:lineRule="auto"/>
        <w:tabs>
          <w:tab w:leader="none" w:pos="2282"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which is not subject to a first priority Lien in favor of the Administrative Agent;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6821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24" w:name="page25"/>
    <w:bookmarkEnd w:id="24"/>
    <w:p>
      <w:pPr>
        <w:jc w:val="both"/>
        <w:ind w:left="-640" w:firstLine="1145"/>
        <w:spacing w:after="0" w:line="255" w:lineRule="auto"/>
        <w:tabs>
          <w:tab w:leader="none" w:pos="8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which is subject to any Lien other than (i) a Lien in favor of the Administrative Agent and (ii) a Permitted Encumbrance which does not have priority over the Lien in favor of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in its Permitted Discretion deem as Eligible Inventory on a case-by-case basis, any Inventory subject to a Permitted Encumbrance with priority over the Administrative Agent’s Liens in respect of which the Administrative Agent has or shall have established an appropriate Reserve;</w:t>
      </w:r>
    </w:p>
    <w:p>
      <w:pPr>
        <w:spacing w:after="0" w:line="215" w:lineRule="exact"/>
        <w:rPr>
          <w:rFonts w:ascii="Arial" w:cs="Arial" w:eastAsia="Arial" w:hAnsi="Arial"/>
          <w:sz w:val="16"/>
          <w:szCs w:val="16"/>
          <w:color w:val="auto"/>
        </w:rPr>
      </w:pPr>
    </w:p>
    <w:p>
      <w:pPr>
        <w:ind w:left="-640" w:right="20" w:firstLine="1145"/>
        <w:spacing w:after="0" w:line="304" w:lineRule="auto"/>
        <w:tabs>
          <w:tab w:leader="none" w:pos="878" w:val="left"/>
        </w:tabs>
        <w:numPr>
          <w:ilvl w:val="0"/>
          <w:numId w:val="13"/>
        </w:numPr>
        <w:rPr>
          <w:rFonts w:ascii="Arial" w:cs="Arial" w:eastAsia="Arial" w:hAnsi="Arial"/>
          <w:sz w:val="15"/>
          <w:szCs w:val="15"/>
          <w:color w:val="auto"/>
        </w:rPr>
      </w:pPr>
      <w:r>
        <w:rPr>
          <w:rFonts w:ascii="Arial" w:cs="Arial" w:eastAsia="Arial" w:hAnsi="Arial"/>
          <w:sz w:val="15"/>
          <w:szCs w:val="15"/>
          <w:color w:val="auto"/>
        </w:rPr>
        <w:t>which is reflected on the Borrowers’ books and records as slow moving, obsolete, unmerchantable, defective, used, unfit for sale, not salable at prices approximating at least the cost of such Inventory in the ordinary course of business or unacceptable due to age, type, category and/or quantity;</w:t>
      </w:r>
    </w:p>
    <w:p>
      <w:pPr>
        <w:spacing w:after="0" w:line="180" w:lineRule="exact"/>
        <w:rPr>
          <w:rFonts w:ascii="Arial" w:cs="Arial" w:eastAsia="Arial" w:hAnsi="Arial"/>
          <w:sz w:val="15"/>
          <w:szCs w:val="15"/>
          <w:color w:val="auto"/>
        </w:rPr>
      </w:pPr>
    </w:p>
    <w:p>
      <w:pPr>
        <w:jc w:val="both"/>
        <w:ind w:left="-640" w:firstLine="1145"/>
        <w:spacing w:after="0" w:line="313" w:lineRule="auto"/>
        <w:tabs>
          <w:tab w:leader="none" w:pos="875" w:val="left"/>
        </w:tabs>
        <w:numPr>
          <w:ilvl w:val="0"/>
          <w:numId w:val="13"/>
        </w:numPr>
        <w:rPr>
          <w:rFonts w:ascii="Arial" w:cs="Arial" w:eastAsia="Arial" w:hAnsi="Arial"/>
          <w:sz w:val="14"/>
          <w:szCs w:val="14"/>
          <w:color w:val="auto"/>
        </w:rPr>
      </w:pPr>
      <w:r>
        <w:rPr>
          <w:rFonts w:ascii="Arial" w:cs="Arial" w:eastAsia="Arial" w:hAnsi="Arial"/>
          <w:sz w:val="14"/>
          <w:szCs w:val="14"/>
          <w:color w:val="auto"/>
        </w:rPr>
        <w:t>with respect to which any covenant, representation or warranty contained in this Agreement or in the applicable Security Agreement to which such Borrower is a party has been breached in any material respect or is not true in any material respect and which does not conform in any material respect to standards imposed by any applicable Governmental Authority which has or purports to have regulatory authority over such Inventory or the manufacture, use or sale thereof;</w:t>
      </w:r>
    </w:p>
    <w:p>
      <w:pPr>
        <w:spacing w:after="0" w:line="177" w:lineRule="exact"/>
        <w:rPr>
          <w:rFonts w:ascii="Arial" w:cs="Arial" w:eastAsia="Arial" w:hAnsi="Arial"/>
          <w:sz w:val="14"/>
          <w:szCs w:val="14"/>
          <w:color w:val="auto"/>
        </w:rPr>
      </w:pPr>
    </w:p>
    <w:p>
      <w:pPr>
        <w:ind w:left="-640" w:right="20" w:firstLine="1145"/>
        <w:spacing w:after="0" w:line="270" w:lineRule="auto"/>
        <w:tabs>
          <w:tab w:leader="none" w:pos="866"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which any Person other than such Borrower shall (i) have any direct or indirect ownership, interest or title to such Inventory or (ii) be indicated on any purchase order or invoice with respect to such Inventory as having or purporting to have an interest therein;</w:t>
      </w:r>
    </w:p>
    <w:p>
      <w:pPr>
        <w:spacing w:after="0" w:line="203" w:lineRule="exact"/>
        <w:rPr>
          <w:rFonts w:ascii="Arial" w:cs="Arial" w:eastAsia="Arial" w:hAnsi="Arial"/>
          <w:sz w:val="16"/>
          <w:szCs w:val="16"/>
          <w:color w:val="auto"/>
        </w:rPr>
      </w:pPr>
    </w:p>
    <w:p>
      <w:pPr>
        <w:jc w:val="both"/>
        <w:ind w:left="-640" w:firstLine="1145"/>
        <w:spacing w:after="0" w:line="277" w:lineRule="auto"/>
        <w:tabs>
          <w:tab w:leader="none" w:pos="8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which is not finished goods or which constitutes work-in-process (other than Eligible WIP), raw materials (other than Eligible Raw Materials), spare or replacement parts, subassemblies, packaging and shipping material, manufacturing supplies, samples, prototypes, displays or display items, bill-and-hold or ship-in-place goods, goods that are returned or marked for return (but not held for resale and not otherwise constituting Eligible Inventory), repossessed goods, defective or damaged goods, goods held on consignment, or goods which are not of a type held for sale in the ordinary course of business;</w:t>
      </w:r>
    </w:p>
    <w:p>
      <w:pPr>
        <w:spacing w:after="0" w:line="201" w:lineRule="exact"/>
        <w:rPr>
          <w:rFonts w:ascii="Arial" w:cs="Arial" w:eastAsia="Arial" w:hAnsi="Arial"/>
          <w:sz w:val="15"/>
          <w:szCs w:val="15"/>
          <w:color w:val="auto"/>
        </w:rPr>
      </w:pPr>
    </w:p>
    <w:p>
      <w:pPr>
        <w:ind w:left="880" w:hanging="375"/>
        <w:spacing w:after="0"/>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which is not located in the U.S. or is in transit with a common carrier from vendors and suppliers;</w:t>
      </w:r>
    </w:p>
    <w:p>
      <w:pPr>
        <w:spacing w:after="0" w:line="243" w:lineRule="exact"/>
        <w:rPr>
          <w:rFonts w:ascii="Arial" w:cs="Arial" w:eastAsia="Arial" w:hAnsi="Arial"/>
          <w:sz w:val="16"/>
          <w:szCs w:val="16"/>
          <w:color w:val="auto"/>
        </w:rPr>
      </w:pPr>
    </w:p>
    <w:p>
      <w:pPr>
        <w:ind w:left="-640" w:right="20" w:firstLine="1145"/>
        <w:spacing w:after="0" w:line="270" w:lineRule="auto"/>
        <w:tabs>
          <w:tab w:leader="none" w:pos="8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which is located in any location leased by such Borrower unless (i) the lessor has delivered to the Administrative Agent a Collateral Access Agreement or (ii) an Inventory Reserve has been established by the Administrative Agent in accordance with the terms set forth herein;</w:t>
      </w:r>
    </w:p>
    <w:p>
      <w:pPr>
        <w:spacing w:after="0" w:line="203" w:lineRule="exact"/>
        <w:rPr>
          <w:rFonts w:ascii="Arial" w:cs="Arial" w:eastAsia="Arial" w:hAnsi="Arial"/>
          <w:sz w:val="16"/>
          <w:szCs w:val="16"/>
          <w:color w:val="auto"/>
        </w:rPr>
      </w:pPr>
    </w:p>
    <w:p>
      <w:pPr>
        <w:jc w:val="both"/>
        <w:ind w:left="-640" w:firstLine="1145"/>
        <w:spacing w:after="0" w:line="259"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which is located in any third party warehouse or is in the possession of a bailee (other than a third party processor), unless (i) such warehouseman or bailee has delivered to the Administrative Agent a Collateral Access Agreement or (ii) an Inventory Reserve has been established by the Administrative Agent in accordance with the terms set forth herein;</w:t>
      </w:r>
    </w:p>
    <w:p>
      <w:pPr>
        <w:spacing w:after="0" w:line="295"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69850</wp:posOffset>
            </wp:positionV>
            <wp:extent cx="726821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240"/>
          </w:cols>
          <w:pgMar w:left="1440" w:top="281" w:right="219" w:bottom="1440" w:gutter="0" w:footer="0" w:header="0"/>
        </w:sectPr>
      </w:pPr>
    </w:p>
    <w:bookmarkStart w:id="25" w:name="page26"/>
    <w:bookmarkEnd w:id="25"/>
    <w:p>
      <w:pPr>
        <w:jc w:val="both"/>
        <w:ind w:left="560" w:firstLine="1145"/>
        <w:spacing w:after="0" w:line="259" w:lineRule="auto"/>
        <w:tabs>
          <w:tab w:leader="none" w:pos="20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which is (i) being processed offsite at a third party location or outside processor unless (A) such bailee or processor has delivered to the Administrative Agent a Collateral Access Agreement or (B) an Inventory Reserve has been established by the Administrative Agent in accordance with the terms set forth herein, or (ii) in-transit to or from such third party location or outside processor;</w:t>
      </w:r>
    </w:p>
    <w:p>
      <w:pPr>
        <w:spacing w:after="0" w:line="212" w:lineRule="exact"/>
        <w:rPr>
          <w:rFonts w:ascii="Arial" w:cs="Arial" w:eastAsia="Arial" w:hAnsi="Arial"/>
          <w:sz w:val="16"/>
          <w:szCs w:val="16"/>
          <w:color w:val="auto"/>
        </w:rPr>
      </w:pPr>
    </w:p>
    <w:p>
      <w:pPr>
        <w:ind w:left="2080" w:hanging="375"/>
        <w:spacing w:after="0"/>
        <w:tabs>
          <w:tab w:leader="none" w:pos="2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[reserved];</w:t>
      </w:r>
    </w:p>
    <w:p>
      <w:pPr>
        <w:spacing w:after="0" w:line="243" w:lineRule="exact"/>
        <w:rPr>
          <w:rFonts w:ascii="Arial" w:cs="Arial" w:eastAsia="Arial" w:hAnsi="Arial"/>
          <w:sz w:val="16"/>
          <w:szCs w:val="16"/>
          <w:color w:val="auto"/>
        </w:rPr>
      </w:pPr>
    </w:p>
    <w:p>
      <w:pPr>
        <w:ind w:left="2040" w:hanging="335"/>
        <w:spacing w:after="0"/>
        <w:tabs>
          <w:tab w:leader="none" w:pos="2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which is the subject of a consignment by such Borrower as consignor;</w:t>
      </w:r>
    </w:p>
    <w:p>
      <w:pPr>
        <w:spacing w:after="0" w:line="243" w:lineRule="exact"/>
        <w:rPr>
          <w:rFonts w:ascii="Arial" w:cs="Arial" w:eastAsia="Arial" w:hAnsi="Arial"/>
          <w:sz w:val="16"/>
          <w:szCs w:val="16"/>
          <w:color w:val="auto"/>
        </w:rPr>
      </w:pPr>
    </w:p>
    <w:p>
      <w:pPr>
        <w:ind w:left="2120" w:hanging="415"/>
        <w:spacing w:after="0"/>
        <w:tabs>
          <w:tab w:leader="none" w:pos="2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which is perishable;</w:t>
      </w:r>
    </w:p>
    <w:p>
      <w:pPr>
        <w:spacing w:after="0" w:line="243" w:lineRule="exact"/>
        <w:rPr>
          <w:rFonts w:ascii="Arial" w:cs="Arial" w:eastAsia="Arial" w:hAnsi="Arial"/>
          <w:sz w:val="16"/>
          <w:szCs w:val="16"/>
          <w:color w:val="auto"/>
        </w:rPr>
      </w:pPr>
    </w:p>
    <w:p>
      <w:pPr>
        <w:jc w:val="both"/>
        <w:ind w:left="560" w:firstLine="1145"/>
        <w:spacing w:after="0" w:line="255" w:lineRule="auto"/>
        <w:tabs>
          <w:tab w:leader="none" w:pos="2098"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to which the Administrative Agent determines in its commercially reasonable discretion that it may not sell or otherwise dispose of such Inventory without (i) infringing the rights of a licensor of intellectual property licensed to the related Borrower(s), (ii) violating any contract with such licensor, or (iii) incurring any liability with respect to payment of royalties other than royalties incurred pursuant to sale of such Inventory under a license or other agreement entered into in the ordinary course of business;</w:t>
      </w:r>
    </w:p>
    <w:p>
      <w:pPr>
        <w:spacing w:after="0" w:line="215" w:lineRule="exact"/>
        <w:rPr>
          <w:rFonts w:ascii="Arial" w:cs="Arial" w:eastAsia="Arial" w:hAnsi="Arial"/>
          <w:sz w:val="16"/>
          <w:szCs w:val="16"/>
          <w:color w:val="auto"/>
        </w:rPr>
      </w:pPr>
    </w:p>
    <w:p>
      <w:pPr>
        <w:ind w:left="2080" w:hanging="375"/>
        <w:spacing w:after="0"/>
        <w:tabs>
          <w:tab w:leader="none" w:pos="2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which is not reflected in a current perpetual inventory report of such Borrower;</w:t>
      </w:r>
    </w:p>
    <w:p>
      <w:pPr>
        <w:spacing w:after="0" w:line="243" w:lineRule="exact"/>
        <w:rPr>
          <w:rFonts w:ascii="Arial" w:cs="Arial" w:eastAsia="Arial" w:hAnsi="Arial"/>
          <w:sz w:val="16"/>
          <w:szCs w:val="16"/>
          <w:color w:val="auto"/>
        </w:rPr>
      </w:pPr>
    </w:p>
    <w:p>
      <w:pPr>
        <w:ind w:left="2080" w:hanging="375"/>
        <w:spacing w:after="0"/>
        <w:tabs>
          <w:tab w:leader="none" w:pos="2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which reclamation rights have been asserted by the seller; or</w:t>
      </w:r>
    </w:p>
    <w:p>
      <w:pPr>
        <w:spacing w:after="0" w:line="243" w:lineRule="exact"/>
        <w:rPr>
          <w:rFonts w:ascii="Arial" w:cs="Arial" w:eastAsia="Arial" w:hAnsi="Arial"/>
          <w:sz w:val="16"/>
          <w:szCs w:val="16"/>
          <w:color w:val="auto"/>
        </w:rPr>
      </w:pPr>
    </w:p>
    <w:p>
      <w:pPr>
        <w:jc w:val="both"/>
        <w:ind w:left="560" w:right="20" w:firstLine="1145"/>
        <w:spacing w:after="0" w:line="259" w:lineRule="auto"/>
        <w:tabs>
          <w:tab w:leader="none" w:pos="2087" w:val="left"/>
        </w:tabs>
        <w:numPr>
          <w:ilvl w:val="0"/>
          <w:numId w:val="14"/>
        </w:numPr>
        <w:rPr>
          <w:rFonts w:ascii="Arial" w:cs="Arial" w:eastAsia="Arial" w:hAnsi="Arial"/>
          <w:sz w:val="16"/>
          <w:szCs w:val="16"/>
          <w:color w:val="auto"/>
        </w:rPr>
      </w:pPr>
      <w:r>
        <w:rPr>
          <w:rFonts w:ascii="Arial" w:cs="Arial" w:eastAsia="Arial" w:hAnsi="Arial"/>
          <w:sz w:val="16"/>
          <w:szCs w:val="16"/>
          <w:color w:val="auto"/>
        </w:rPr>
        <w:t>which falls into a category of ineligibility established by the Administrative Agent from time to time in its Permitted Discretion based on any material fact or circumstance which was not known on or prior to the Effective Date and arises after the Effective Date or which otherwise first becomes known to the Administrative Agent after the Effective Date.</w:t>
      </w:r>
    </w:p>
    <w:p>
      <w:pPr>
        <w:spacing w:after="0" w:line="188"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In the event that Inventory of a Borrower which was previously Eligible Inventory ceases to be Eligible Inventory hereunder, the Borrowers shall notify the Administrative Agent thereof on and at the time of submission to the Administrative Agent of the next Borrowing Base Certificate.</w:t>
      </w:r>
    </w:p>
    <w:p>
      <w:pPr>
        <w:spacing w:after="0" w:line="180"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Raw Materials</w:t>
      </w:r>
      <w:r>
        <w:rPr>
          <w:rFonts w:ascii="Arial" w:cs="Arial" w:eastAsia="Arial" w:hAnsi="Arial"/>
          <w:sz w:val="16"/>
          <w:szCs w:val="16"/>
          <w:color w:val="auto"/>
        </w:rPr>
        <w:t>” means Eligible Inventory of a Borrower constituting raw materials used or consumed by a Borrower in the ordinary course of business in the manufacture or production of other inventory, excluding Eligible Finished Goods Inventory and Eligible WIP of such Borrower.</w:t>
      </w:r>
    </w:p>
    <w:p>
      <w:pPr>
        <w:spacing w:after="0" w:line="180"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WIP</w:t>
      </w:r>
      <w:r>
        <w:rPr>
          <w:rFonts w:ascii="Arial" w:cs="Arial" w:eastAsia="Arial" w:hAnsi="Arial"/>
          <w:sz w:val="16"/>
          <w:szCs w:val="16"/>
          <w:color w:val="auto"/>
        </w:rPr>
        <w:t xml:space="preserve">” means Eligible Inventory of a Borrower constituting work-in-process, excluding Eligible Finished Goods Inventory and Eligible Raw Materials of such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Eligible WIP shall only include work-in-process included in the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555" w:right="21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t xml:space="preserve">modules, assembly and test categories as such categories exist as of the date hereof;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Eligible WIP shall not include any work-in-process:</w:t>
      </w:r>
    </w:p>
    <w:p>
      <w:pPr>
        <w:spacing w:after="0" w:line="231" w:lineRule="exact"/>
        <w:rPr>
          <w:sz w:val="20"/>
          <w:szCs w:val="20"/>
          <w:color w:val="auto"/>
        </w:rPr>
      </w:pPr>
    </w:p>
    <w:p>
      <w:pPr>
        <w:ind w:left="2080" w:hanging="375"/>
        <w:spacing w:after="0"/>
        <w:tabs>
          <w:tab w:leader="none" w:pos="2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included in the modules category considered to be in production and not a staged component;</w:t>
      </w:r>
    </w:p>
    <w:p>
      <w:pPr>
        <w:spacing w:after="0" w:line="243" w:lineRule="exact"/>
        <w:rPr>
          <w:rFonts w:ascii="Arial" w:cs="Arial" w:eastAsia="Arial" w:hAnsi="Arial"/>
          <w:sz w:val="16"/>
          <w:szCs w:val="16"/>
          <w:color w:val="auto"/>
        </w:rPr>
      </w:pPr>
    </w:p>
    <w:p>
      <w:pPr>
        <w:ind w:left="2080" w:hanging="375"/>
        <w:spacing w:after="0"/>
        <w:tabs>
          <w:tab w:leader="none" w:pos="2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included in the assembly category if such work in process is not in a die bank; or</w:t>
      </w:r>
    </w:p>
    <w:p>
      <w:pPr>
        <w:spacing w:after="0" w:line="243" w:lineRule="exact"/>
        <w:rPr>
          <w:rFonts w:ascii="Arial" w:cs="Arial" w:eastAsia="Arial" w:hAnsi="Arial"/>
          <w:sz w:val="16"/>
          <w:szCs w:val="16"/>
          <w:color w:val="auto"/>
        </w:rPr>
      </w:pPr>
    </w:p>
    <w:p>
      <w:pPr>
        <w:ind w:left="2080" w:hanging="375"/>
        <w:spacing w:after="0"/>
        <w:tabs>
          <w:tab w:leader="none" w:pos="20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the test category if such work-in-process is not in the awaiting reservation category and is outside of a two (2) week processing period.</w:t>
      </w:r>
    </w:p>
    <w:p>
      <w:pPr>
        <w:spacing w:after="0" w:line="243"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88" w:lineRule="exact"/>
        <w:rPr>
          <w:sz w:val="20"/>
          <w:szCs w:val="20"/>
          <w:color w:val="auto"/>
        </w:rPr>
      </w:pPr>
    </w:p>
    <w:p>
      <w:pPr>
        <w:jc w:val="both"/>
        <w:ind w:firstLine="570"/>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Liability</w:t>
      </w:r>
      <w:r>
        <w:rPr>
          <w:rFonts w:ascii="Arial" w:cs="Arial" w:eastAsia="Arial" w:hAnsi="Arial"/>
          <w:sz w:val="15"/>
          <w:szCs w:val="15"/>
          <w:color w:val="auto"/>
        </w:rPr>
        <w:t>” means any liability, contingent or otherwise (including any liability for damages, costs of environmental remediation, fines, penalties or indemnities), of any Borrower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8"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w:t>
      </w:r>
      <w:r>
        <w:rPr>
          <w:rFonts w:ascii="Arial" w:cs="Arial" w:eastAsia="Arial" w:hAnsi="Arial"/>
          <w:sz w:val="16"/>
          <w:szCs w:val="16"/>
          <w:color w:val="auto"/>
        </w:rPr>
        <w:t>”, when used in reference to any Loan or Borrowing, refers to whether such Loan, or the Loans comprising such Borrowing, are bearing interest at a rate determined by reference to the Adjusted LIBO Rate.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Default</w:t>
      </w:r>
      <w:r>
        <w:rPr>
          <w:rFonts w:ascii="Arial" w:cs="Arial" w:eastAsia="Arial" w:hAnsi="Arial"/>
          <w:sz w:val="16"/>
          <w:szCs w:val="16"/>
          <w:color w:val="auto"/>
        </w:rPr>
        <w:t>” has the meaning assigned to such term in Article VII.</w:t>
      </w:r>
    </w:p>
    <w:p>
      <w:pPr>
        <w:spacing w:after="0" w:line="220" w:lineRule="exact"/>
        <w:rPr>
          <w:sz w:val="20"/>
          <w:szCs w:val="20"/>
          <w:color w:val="auto"/>
        </w:rPr>
      </w:pPr>
    </w:p>
    <w:p>
      <w:pPr>
        <w:jc w:val="both"/>
        <w:ind w:firstLine="570"/>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Swap Obligation</w:t>
      </w:r>
      <w:r>
        <w:rPr>
          <w:rFonts w:ascii="Arial" w:cs="Arial" w:eastAsia="Arial" w:hAnsi="Arial"/>
          <w:sz w:val="15"/>
          <w:szCs w:val="15"/>
          <w:color w:val="auto"/>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27" w:name="page28"/>
    <w:bookmarkEnd w:id="27"/>
    <w:p>
      <w:pPr>
        <w:jc w:val="both"/>
        <w:ind w:firstLine="570"/>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with respect to any payment made by any Loan Party under any Loan Document, any of the following Taxes imposed on or with respect to a Recipient: (a) net income Taxes or franchise Taxes or branch profits Taxes, in each case, (i) imposed by the United States, or by the jurisdiction, or any political subdivision thereof, under the laws of which such Recipient is organized or in which its principal office is located or, in the case of any Lender, in which its applicable lending office is located or (ii) that are Other Connection Taxes, (b) in the case of a Non U.S. Lender (other than an assignee pursuant to a request by a Borrower under </w:t>
      </w:r>
      <w:r>
        <w:rPr>
          <w:rFonts w:ascii="Arial" w:cs="Arial" w:eastAsia="Arial" w:hAnsi="Arial"/>
          <w:sz w:val="16"/>
          <w:szCs w:val="16"/>
          <w:u w:val="single" w:color="auto"/>
          <w:color w:val="auto"/>
        </w:rPr>
        <w:t>Section 2.19(b))</w:t>
      </w:r>
      <w:r>
        <w:rPr>
          <w:rFonts w:ascii="Arial" w:cs="Arial" w:eastAsia="Arial" w:hAnsi="Arial"/>
          <w:sz w:val="16"/>
          <w:szCs w:val="16"/>
          <w:color w:val="auto"/>
        </w:rPr>
        <w:t xml:space="preserve">, any U.S. Federal withholding Taxes resulting from any law in effect on the date such Non U.S. Lender becomes a party to this Agreement (or designates a new lending office), except to the extent that such Non U.S. Lender (or its assignor, if any) was entitled, at the time of designation of a new lending office (or assignment), to receive additional amounts from the Borrowers with respect to such withholding Taxes pursuant to </w:t>
      </w:r>
      <w:r>
        <w:rPr>
          <w:rFonts w:ascii="Arial" w:cs="Arial" w:eastAsia="Arial" w:hAnsi="Arial"/>
          <w:sz w:val="16"/>
          <w:szCs w:val="16"/>
          <w:u w:val="single" w:color="auto"/>
          <w:color w:val="auto"/>
        </w:rPr>
        <w:t>Section 2.17(a)</w:t>
      </w:r>
      <w:r>
        <w:rPr>
          <w:rFonts w:ascii="Arial" w:cs="Arial" w:eastAsia="Arial" w:hAnsi="Arial"/>
          <w:sz w:val="16"/>
          <w:szCs w:val="16"/>
          <w:color w:val="auto"/>
        </w:rPr>
        <w:t>, (c) any Taxes imposed by FATCA, and (d) any Taxes attributable to such Recipient’s failure to comply with Section 2.17(f).</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Executed Borrowing Base Certificate</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5.01(f)</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Executive Order</w:t>
      </w:r>
      <w:r>
        <w:rPr>
          <w:rFonts w:ascii="Arial" w:cs="Arial" w:eastAsia="Arial" w:hAnsi="Arial"/>
          <w:sz w:val="16"/>
          <w:szCs w:val="16"/>
          <w:color w:val="auto"/>
        </w:rPr>
        <w:t>” has the meaning assigned to such term in the definition of “Sanctions Laws and Regulations.”</w:t>
      </w:r>
    </w:p>
    <w:p>
      <w:pPr>
        <w:spacing w:after="0" w:line="220" w:lineRule="exact"/>
        <w:rPr>
          <w:sz w:val="20"/>
          <w:szCs w:val="20"/>
          <w:color w:val="auto"/>
        </w:rPr>
      </w:pPr>
    </w:p>
    <w:p>
      <w:pPr>
        <w:jc w:val="both"/>
        <w:ind w:right="20" w:firstLine="570"/>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Existing Credit Agreement</w:t>
      </w:r>
      <w:r>
        <w:rPr>
          <w:rFonts w:ascii="Arial" w:cs="Arial" w:eastAsia="Arial" w:hAnsi="Arial"/>
          <w:sz w:val="15"/>
          <w:szCs w:val="15"/>
          <w:color w:val="auto"/>
        </w:rPr>
        <w:t>” means that certain Credit Agreement, dated as of June 27, 2013, by and among the Company, the lenders party thereto, and JPMorgan Chase Bank, N.A., as administrative agent, as amended, amended and restated, restated, supplemented, modified or otherwise in effect prior to the date hereof.</w:t>
      </w:r>
    </w:p>
    <w:p>
      <w:pPr>
        <w:spacing w:after="0" w:line="157" w:lineRule="exact"/>
        <w:rPr>
          <w:sz w:val="20"/>
          <w:szCs w:val="20"/>
          <w:color w:val="auto"/>
        </w:rPr>
      </w:pPr>
    </w:p>
    <w:p>
      <w:pPr>
        <w:jc w:val="both"/>
        <w:ind w:right="20" w:firstLine="570"/>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FATCA</w:t>
      </w:r>
      <w:r>
        <w:rPr>
          <w:rFonts w:ascii="Arial" w:cs="Arial" w:eastAsia="Arial" w:hAnsi="Arial"/>
          <w:sz w:val="15"/>
          <w:szCs w:val="15"/>
          <w:color w:val="auto"/>
        </w:rPr>
        <w:t>” means Sections 1471 through 1474 of the Code, as of the date of this Agreement (or any amended or successor version that is substantially comparable and not materially more onerous to comply with), any current or future regulations or official interpretations thereof and any agreements entered into pursuant to Section 1471(b)(1) of the Code, and any intergovernmental agreements with respect to the implementation of any of the foregoing (and any official interpretations thereof).</w:t>
      </w:r>
    </w:p>
    <w:p>
      <w:pPr>
        <w:spacing w:after="0" w:line="172" w:lineRule="exact"/>
        <w:rPr>
          <w:sz w:val="20"/>
          <w:szCs w:val="20"/>
          <w:color w:val="auto"/>
        </w:rPr>
      </w:pPr>
    </w:p>
    <w:p>
      <w:pPr>
        <w:jc w:val="both"/>
        <w:ind w:right="20" w:firstLine="570"/>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Federal Funds Effective Rate</w:t>
      </w:r>
      <w:r>
        <w:rPr>
          <w:rFonts w:ascii="Arial" w:cs="Arial" w:eastAsia="Arial" w:hAnsi="Arial"/>
          <w:sz w:val="15"/>
          <w:szCs w:val="15"/>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Officer</w:t>
      </w:r>
      <w:r>
        <w:rPr>
          <w:rFonts w:ascii="Arial" w:cs="Arial" w:eastAsia="Arial" w:hAnsi="Arial"/>
          <w:sz w:val="16"/>
          <w:szCs w:val="16"/>
          <w:color w:val="auto"/>
        </w:rPr>
        <w:t>” means the chief financial officer, principal accounting officer, treasurer, assistant treasurer or controller of a Borrower.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28" w:name="page29"/>
    <w:bookmarkEnd w:id="28"/>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Funding Accounts</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4.01(g)</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w:t>
      </w:r>
    </w:p>
    <w:p>
      <w:pPr>
        <w:spacing w:after="0" w:line="220"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the government of the United States, or any other nation or any political subdivision thereof, whether state, municipal or local and any agency, authority, instrumentality, regulatory body, court, central bank or other entity exercising executive, legislative, judicial, taxing, regulatory or administrative powers or functions of or pertaining to government.</w:t>
      </w:r>
    </w:p>
    <w:p>
      <w:pPr>
        <w:spacing w:after="0" w:line="188" w:lineRule="exact"/>
        <w:rPr>
          <w:sz w:val="20"/>
          <w:szCs w:val="20"/>
          <w:color w:val="auto"/>
        </w:rPr>
      </w:pPr>
    </w:p>
    <w:p>
      <w:pPr>
        <w:jc w:val="both"/>
        <w:ind w:firstLine="570"/>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Guarantee</w:t>
      </w:r>
      <w:r>
        <w:rPr>
          <w:rFonts w:ascii="Arial" w:cs="Arial" w:eastAsia="Arial" w:hAnsi="Arial"/>
          <w:sz w:val="14"/>
          <w:szCs w:val="14"/>
          <w:color w:val="auto"/>
        </w:rPr>
        <w:t>” of or by any Person (the “</w:t>
      </w:r>
      <w:r>
        <w:rPr>
          <w:rFonts w:ascii="Arial" w:cs="Arial" w:eastAsia="Arial" w:hAnsi="Arial"/>
          <w:sz w:val="14"/>
          <w:szCs w:val="14"/>
          <w:u w:val="single" w:color="auto"/>
          <w:color w:val="auto"/>
        </w:rPr>
        <w:t>guarantor</w:t>
      </w:r>
      <w:r>
        <w:rPr>
          <w:rFonts w:ascii="Arial" w:cs="Arial" w:eastAsia="Arial" w:hAnsi="Arial"/>
          <w:sz w:val="14"/>
          <w:szCs w:val="14"/>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4"/>
          <w:szCs w:val="14"/>
          <w:u w:val="single" w:color="auto"/>
          <w:color w:val="auto"/>
        </w:rPr>
        <w:t>primary obligor</w:t>
      </w:r>
      <w:r>
        <w:rPr>
          <w:rFonts w:ascii="Arial" w:cs="Arial" w:eastAsia="Arial" w:hAnsi="Arial"/>
          <w:sz w:val="14"/>
          <w:szCs w:val="14"/>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other obligation; </w:t>
      </w:r>
      <w:r>
        <w:rPr>
          <w:rFonts w:ascii="Arial" w:cs="Arial" w:eastAsia="Arial" w:hAnsi="Arial"/>
          <w:sz w:val="14"/>
          <w:szCs w:val="14"/>
          <w:u w:val="single" w:color="auto"/>
          <w:color w:val="auto"/>
        </w:rPr>
        <w:t>provided</w:t>
      </w:r>
      <w:r>
        <w:rPr>
          <w:rFonts w:ascii="Arial" w:cs="Arial" w:eastAsia="Arial" w:hAnsi="Arial"/>
          <w:sz w:val="14"/>
          <w:szCs w:val="14"/>
          <w:color w:val="auto"/>
        </w:rPr>
        <w:t>, that the term Guarantee shall not include endorsements for collection or deposit in the ordinary course of business.</w:t>
      </w:r>
    </w:p>
    <w:p>
      <w:pPr>
        <w:spacing w:after="0" w:line="168"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w:t>
      </w:r>
      <w:r>
        <w:rPr>
          <w:rFonts w:ascii="Arial" w:cs="Arial" w:eastAsia="Arial" w:hAnsi="Arial"/>
          <w:sz w:val="16"/>
          <w:szCs w:val="16"/>
          <w:color w:val="auto"/>
        </w:rPr>
        <w:t>” means (a) the Loan Guaranty, and (b) each other separate guaranty, if any, in form and substance reasonably satisfactory to the Administrative Agent delivered after the Effective Date pursuant to the terms of this Agreement.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10.01</w:t>
      </w:r>
      <w:r>
        <w:rPr>
          <w:rFonts w:ascii="Arial" w:cs="Arial" w:eastAsia="Arial" w:hAnsi="Arial"/>
          <w:sz w:val="16"/>
          <w:szCs w:val="16"/>
          <w:color w:val="auto"/>
        </w:rPr>
        <w:t>.</w:t>
      </w:r>
    </w:p>
    <w:p>
      <w:pPr>
        <w:spacing w:after="0" w:line="220"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HP</w:t>
      </w:r>
      <w:r>
        <w:rPr>
          <w:rFonts w:ascii="Arial" w:cs="Arial" w:eastAsia="Arial" w:hAnsi="Arial"/>
          <w:sz w:val="16"/>
          <w:szCs w:val="16"/>
          <w:color w:val="auto"/>
        </w:rPr>
        <w:t>” means Hewlett-Packard Company, a Delaware corporation, and its Affiliates.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HSBC</w:t>
      </w:r>
      <w:r>
        <w:rPr>
          <w:rFonts w:ascii="Arial" w:cs="Arial" w:eastAsia="Arial" w:hAnsi="Arial"/>
          <w:sz w:val="16"/>
          <w:szCs w:val="16"/>
          <w:color w:val="auto"/>
        </w:rPr>
        <w:t>” means HSBC Bank USA, N.A., a national banking association, in its individual capacity, and its successors.</w:t>
      </w:r>
    </w:p>
    <w:p>
      <w:pPr>
        <w:spacing w:after="0" w:line="220" w:lineRule="exact"/>
        <w:rPr>
          <w:sz w:val="20"/>
          <w:szCs w:val="20"/>
          <w:color w:val="auto"/>
        </w:rPr>
      </w:pPr>
    </w:p>
    <w:p>
      <w:pPr>
        <w:jc w:val="both"/>
        <w:ind w:firstLine="570"/>
        <w:spacing w:after="0" w:line="27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w:t>
      </w:r>
      <w:r>
        <w:rPr>
          <w:rFonts w:ascii="Arial" w:cs="Arial" w:eastAsia="Arial" w:hAnsi="Arial"/>
          <w:sz w:val="15"/>
          <w:szCs w:val="15"/>
          <w:color w:val="auto"/>
        </w:rPr>
        <w:t>s”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29" w:name="page30"/>
    <w:bookmarkEnd w:id="29"/>
    <w:p>
      <w:pPr>
        <w:jc w:val="both"/>
        <w:spacing w:after="0" w:line="271" w:lineRule="auto"/>
        <w:rPr>
          <w:sz w:val="20"/>
          <w:szCs w:val="20"/>
          <w:color w:val="auto"/>
        </w:rPr>
      </w:pPr>
      <w:r>
        <w:rPr>
          <w:rFonts w:ascii="Arial" w:cs="Arial" w:eastAsia="Arial" w:hAnsi="Arial"/>
          <w:sz w:val="15"/>
          <w:szCs w:val="15"/>
          <w:color w:val="auto"/>
        </w:rPr>
        <w:t>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any liquidated earn-out, and (l) any other Off-Balance Sheet Liability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1"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any Loan Party under any Loan Document and (b) to the extent not otherwise described in clause (a) above, Other Taxes.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Indenture</w:t>
      </w:r>
      <w:r>
        <w:rPr>
          <w:rFonts w:ascii="Arial" w:cs="Arial" w:eastAsia="Arial" w:hAnsi="Arial"/>
          <w:sz w:val="16"/>
          <w:szCs w:val="16"/>
          <w:color w:val="auto"/>
        </w:rPr>
        <w:t>” means that certain Indenture, dated as of July 28, 2014, by and between Micron and U.S. Bank National Association, as trustee.</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9.04(b)</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9.12</w:t>
      </w:r>
      <w:r>
        <w:rPr>
          <w:rFonts w:ascii="Arial" w:cs="Arial" w:eastAsia="Arial" w:hAnsi="Arial"/>
          <w:sz w:val="16"/>
          <w:szCs w:val="16"/>
          <w:color w:val="auto"/>
        </w:rPr>
        <w:t>.</w:t>
      </w:r>
    </w:p>
    <w:p>
      <w:pPr>
        <w:spacing w:after="0" w:line="220"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Laws</w:t>
      </w:r>
      <w:r>
        <w:rPr>
          <w:rFonts w:ascii="Arial" w:cs="Arial" w:eastAsia="Arial" w:hAnsi="Arial"/>
          <w:sz w:val="16"/>
          <w:szCs w:val="16"/>
          <w:color w:val="auto"/>
        </w:rPr>
        <w:t>” means each of the Bankruptcy Code, and any other applicable state, or federal bankruptcy laws, each as now and hereafter in effect, any successors to such statutes and any other applicable insolvency or other similar law of any jurisdiction, including any law of any jurisdiction permitting a debtor to obtain a stay or a compromise of the claims of its creditors against it and including any rules and regulations pursuant thereto.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Election Request</w:t>
      </w:r>
      <w:r>
        <w:rPr>
          <w:rFonts w:ascii="Arial" w:cs="Arial" w:eastAsia="Arial" w:hAnsi="Arial"/>
          <w:sz w:val="14"/>
          <w:szCs w:val="14"/>
          <w:color w:val="auto"/>
        </w:rPr>
        <w:t xml:space="preserve">” means a request by the Borrower Representative to convert or continue a Borrowing of Revolving Loans in accordance with </w:t>
      </w:r>
      <w:r>
        <w:rPr>
          <w:rFonts w:ascii="Arial" w:cs="Arial" w:eastAsia="Arial" w:hAnsi="Arial"/>
          <w:sz w:val="14"/>
          <w:szCs w:val="14"/>
          <w:u w:val="single" w:color="auto"/>
          <w:color w:val="auto"/>
        </w:rPr>
        <w:t>Section 2.08</w:t>
      </w:r>
      <w:r>
        <w:rPr>
          <w:rFonts w:ascii="Arial" w:cs="Arial" w:eastAsia="Arial" w:hAnsi="Arial"/>
          <w:sz w:val="14"/>
          <w:szCs w:val="14"/>
          <w:color w:val="auto"/>
        </w:rPr>
        <w:t>.</w:t>
      </w:r>
    </w:p>
    <w:p>
      <w:pPr>
        <w:spacing w:after="0" w:line="243" w:lineRule="exact"/>
        <w:rPr>
          <w:sz w:val="20"/>
          <w:szCs w:val="20"/>
          <w:color w:val="auto"/>
        </w:rPr>
      </w:pPr>
    </w:p>
    <w:p>
      <w:pPr>
        <w:jc w:val="both"/>
        <w:ind w:right="20" w:firstLine="570"/>
        <w:spacing w:after="0" w:line="30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Interest Payment Date</w:t>
      </w:r>
      <w:r>
        <w:rPr>
          <w:rFonts w:ascii="Arial" w:cs="Arial" w:eastAsia="Arial" w:hAnsi="Arial"/>
          <w:sz w:val="14"/>
          <w:szCs w:val="14"/>
          <w:color w:val="auto"/>
        </w:rPr>
        <w:t>” means (a) with respect to any ABR Loan (other than a Swingline Loan), the first Business Day of each calendar month,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(c) with respect to any Swingline Loan, the day that such Swingline Loan is required to be repaid, and (d) with respect to any Loan, the Maturity Date.</w:t>
      </w:r>
    </w:p>
    <w:p>
      <w:pPr>
        <w:spacing w:after="0" w:line="161"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Eurodollar Borrowing, the period commencing on the date of such Eurodollar Borrowing and ending on the numerically corresponding day in the calendar month that is one, two, three or six months thereafter, as the Borrower Representative may elect; </w:t>
      </w:r>
      <w:r>
        <w:rPr>
          <w:rFonts w:ascii="Arial" w:cs="Arial" w:eastAsia="Arial" w:hAnsi="Arial"/>
          <w:sz w:val="16"/>
          <w:szCs w:val="16"/>
          <w:u w:val="single" w:color="auto"/>
          <w:color w:val="auto"/>
        </w:rPr>
        <w:t>provided</w:t>
      </w:r>
      <w:r>
        <w:rPr>
          <w:rFonts w:ascii="Arial" w:cs="Arial" w:eastAsia="Arial" w:hAnsi="Arial"/>
          <w:sz w:val="16"/>
          <w:szCs w:val="16"/>
          <w:color w:val="auto"/>
        </w:rPr>
        <w:t>, that (a) if any Interest Period would end on a day other than a Business Day, such Interest Period shall be extended to the next succeeding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30" w:name="page31"/>
    <w:bookmarkEnd w:id="30"/>
    <w:p>
      <w:pPr>
        <w:jc w:val="both"/>
        <w:spacing w:after="0" w:line="274" w:lineRule="auto"/>
        <w:rPr>
          <w:sz w:val="20"/>
          <w:szCs w:val="20"/>
          <w:color w:val="auto"/>
        </w:rPr>
      </w:pPr>
      <w:r>
        <w:rPr>
          <w:rFonts w:ascii="Arial" w:cs="Arial" w:eastAsia="Arial" w:hAnsi="Arial"/>
          <w:sz w:val="15"/>
          <w:szCs w:val="15"/>
          <w:color w:val="auto"/>
        </w:rPr>
        <w:t>Business Day unless, in the case of a Eurodollar Borrowing only, such next succeeding Business Day would fall in the next calendar month, in which case such Interest Period shall end on the next preceding Business Day and (b)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Inventory</w:t>
      </w:r>
      <w:r>
        <w:rPr>
          <w:rFonts w:ascii="Arial" w:cs="Arial" w:eastAsia="Arial" w:hAnsi="Arial"/>
          <w:sz w:val="16"/>
          <w:szCs w:val="16"/>
          <w:color w:val="auto"/>
        </w:rPr>
        <w:t>” has the meaning assigned to such term in the applicable Security Agreement.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Inventory Reserves</w:t>
      </w:r>
      <w:r>
        <w:rPr>
          <w:rFonts w:ascii="Arial" w:cs="Arial" w:eastAsia="Arial" w:hAnsi="Arial"/>
          <w:sz w:val="14"/>
          <w:szCs w:val="14"/>
          <w:color w:val="auto"/>
        </w:rPr>
        <w:t>” means, without duplication of any other applicable Reserves or eligibility exclusions, reserves against Inventory equal to the sum of the following:</w:t>
      </w:r>
    </w:p>
    <w:p>
      <w:pPr>
        <w:spacing w:after="0" w:line="267" w:lineRule="exact"/>
        <w:rPr>
          <w:sz w:val="20"/>
          <w:szCs w:val="20"/>
          <w:color w:val="auto"/>
        </w:rPr>
      </w:pPr>
    </w:p>
    <w:p>
      <w:pPr>
        <w:jc w:val="both"/>
        <w:ind w:left="560" w:firstLine="1145"/>
        <w:spacing w:after="0" w:line="259" w:lineRule="auto"/>
        <w:tabs>
          <w:tab w:leader="none" w:pos="20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reserve for shrink, or discrepancies that arise pertaining to inventory quantities on hand between a Borrower’s perpetual accounting system, and physical counts of the inventory which will be equal to the greater of (i) 2.0% of the Value of the Borrowers’ Eligible Inventory and (ii) the results of the physical inventory counts taken over the past twelve (12) months with the variance expressed as a percentage of inventory;</w:t>
      </w:r>
    </w:p>
    <w:p>
      <w:pPr>
        <w:spacing w:after="0" w:line="212" w:lineRule="exact"/>
        <w:rPr>
          <w:rFonts w:ascii="Arial" w:cs="Arial" w:eastAsia="Arial" w:hAnsi="Arial"/>
          <w:sz w:val="16"/>
          <w:szCs w:val="16"/>
          <w:color w:val="auto"/>
        </w:rPr>
      </w:pPr>
    </w:p>
    <w:p>
      <w:pPr>
        <w:ind w:left="560" w:right="20" w:firstLine="1145"/>
        <w:spacing w:after="0" w:line="270" w:lineRule="auto"/>
        <w:tabs>
          <w:tab w:leader="none" w:pos="20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lower of the cost or market reserve for any differences between a Borrower’s actual cost to produce versus its selling price to third parties, determined on a product line basis; and</w:t>
      </w:r>
    </w:p>
    <w:p>
      <w:pPr>
        <w:spacing w:after="0" w:line="203" w:lineRule="exact"/>
        <w:rPr>
          <w:rFonts w:ascii="Arial" w:cs="Arial" w:eastAsia="Arial" w:hAnsi="Arial"/>
          <w:sz w:val="16"/>
          <w:szCs w:val="16"/>
          <w:color w:val="auto"/>
        </w:rPr>
      </w:pPr>
    </w:p>
    <w:p>
      <w:pPr>
        <w:jc w:val="both"/>
        <w:ind w:left="560" w:right="20" w:firstLine="1145"/>
        <w:spacing w:after="0" w:line="259" w:lineRule="auto"/>
        <w:tabs>
          <w:tab w:leader="none" w:pos="20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reserve for rent, processing charges or fees, and other charges and amounts due or to become due with respect to any location not owned directly by a Borrower at which Inventory of a Borrower is located to the extent the lessor, bailee, or warehouseman of such location has not delivered to the Administrative Agent a Collateral Access Agreement for such location.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IRS</w:t>
      </w:r>
      <w:r>
        <w:rPr>
          <w:rFonts w:ascii="Arial" w:cs="Arial" w:eastAsia="Arial" w:hAnsi="Arial"/>
          <w:sz w:val="16"/>
          <w:szCs w:val="16"/>
          <w:color w:val="auto"/>
        </w:rPr>
        <w:t>” means the United States Internal Revenue Service.</w:t>
      </w:r>
    </w:p>
    <w:p>
      <w:pPr>
        <w:spacing w:after="0" w:line="220"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means HSBC, or any other Lender, which Lender or Affiliate of a Lender has agreed in writing to serve as the issuer of Letters of Credit pursuant to this Agreement, that is mutually acceptable to the Borrowers and the Administrative Agent, in its capacity as the issuer of Letters of Credit, and its successors in such capacity as provided in </w:t>
      </w:r>
      <w:r>
        <w:rPr>
          <w:rFonts w:ascii="Arial" w:cs="Arial" w:eastAsia="Arial" w:hAnsi="Arial"/>
          <w:sz w:val="16"/>
          <w:szCs w:val="16"/>
          <w:u w:val="single" w:color="auto"/>
          <w:color w:val="auto"/>
        </w:rPr>
        <w:t>Section 2.06(i)</w:t>
      </w:r>
      <w:r>
        <w:rPr>
          <w:rFonts w:ascii="Arial" w:cs="Arial" w:eastAsia="Arial" w:hAnsi="Arial"/>
          <w:sz w:val="16"/>
          <w:szCs w:val="16"/>
          <w:color w:val="auto"/>
        </w:rPr>
        <w:t>. The Issuing Bank may, in its discretion, arrange for one or more Letters of Credit to be issued by Affiliates of the Issuing Bank, in which case the term “Issuing Bank” shall include any such Affiliate with respect to Letters of Credit issued by such Affiliate.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Kingston</w:t>
      </w:r>
      <w:r>
        <w:rPr>
          <w:rFonts w:ascii="Arial" w:cs="Arial" w:eastAsia="Arial" w:hAnsi="Arial"/>
          <w:sz w:val="16"/>
          <w:szCs w:val="16"/>
          <w:color w:val="auto"/>
        </w:rPr>
        <w:t>” means Kingston Technology International, Ltd., a private limited company organized in the Republic of Ireland, and its Affiliates.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2.06(j)</w:t>
      </w:r>
      <w:r>
        <w:rPr>
          <w:rFonts w:ascii="Arial" w:cs="Arial" w:eastAsia="Arial" w:hAnsi="Arial"/>
          <w:sz w:val="16"/>
          <w:szCs w:val="16"/>
          <w:color w:val="auto"/>
        </w:rPr>
        <w: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31" w:name="page32"/>
    <w:bookmarkEnd w:id="31"/>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Disbursement</w:t>
      </w:r>
      <w:r>
        <w:rPr>
          <w:rFonts w:ascii="Arial" w:cs="Arial" w:eastAsia="Arial" w:hAnsi="Arial"/>
          <w:sz w:val="16"/>
          <w:szCs w:val="16"/>
          <w:color w:val="auto"/>
        </w:rPr>
        <w:t>” means a payment made by the Issuing Bank pursuant to a Letter of Credit.</w:t>
      </w:r>
    </w:p>
    <w:p>
      <w:pPr>
        <w:spacing w:after="0" w:line="22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Exposure</w:t>
      </w:r>
      <w:r>
        <w:rPr>
          <w:rFonts w:ascii="Arial" w:cs="Arial" w:eastAsia="Arial" w:hAnsi="Arial"/>
          <w:sz w:val="16"/>
          <w:szCs w:val="16"/>
          <w:color w:val="auto"/>
        </w:rPr>
        <w:t>” means, at any time, the sum of the Commercial LC Exposure and the Standby LC Exposure. The LC Exposure of any Revolving Lender at any time shall be its Applicable Percentage of the aggregate LC Exposure.</w:t>
      </w:r>
    </w:p>
    <w:p>
      <w:pPr>
        <w:spacing w:after="0" w:line="180"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means the Persons listed on the </w:t>
      </w:r>
      <w:r>
        <w:rPr>
          <w:rFonts w:ascii="Arial" w:cs="Arial" w:eastAsia="Arial" w:hAnsi="Arial"/>
          <w:sz w:val="16"/>
          <w:szCs w:val="16"/>
          <w:u w:val="single" w:color="auto"/>
          <w:color w:val="auto"/>
        </w:rPr>
        <w:t>Commitment Schedule</w:t>
      </w:r>
      <w:r>
        <w:rPr>
          <w:rFonts w:ascii="Arial" w:cs="Arial" w:eastAsia="Arial" w:hAnsi="Arial"/>
          <w:sz w:val="16"/>
          <w:szCs w:val="16"/>
          <w:color w:val="auto"/>
        </w:rPr>
        <w:t xml:space="preserve"> and any other Person that shall have become a party hereto pursuant to an Assignment and Assumption, other than any such Person that ceases to be a party hereto pursuant to an Assignment and Assumption. Unless the context otherwise requires, the term “</w:t>
      </w:r>
      <w:r>
        <w:rPr>
          <w:rFonts w:ascii="Arial" w:cs="Arial" w:eastAsia="Arial" w:hAnsi="Arial"/>
          <w:sz w:val="16"/>
          <w:szCs w:val="16"/>
          <w:u w:val="single" w:color="auto"/>
          <w:color w:val="auto"/>
        </w:rPr>
        <w:t>Lenders</w:t>
      </w:r>
      <w:r>
        <w:rPr>
          <w:rFonts w:ascii="Arial" w:cs="Arial" w:eastAsia="Arial" w:hAnsi="Arial"/>
          <w:sz w:val="16"/>
          <w:szCs w:val="16"/>
          <w:color w:val="auto"/>
        </w:rPr>
        <w:t>” includes the Swingline Lender.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w:t>
      </w:r>
      <w:r>
        <w:rPr>
          <w:rFonts w:ascii="Arial" w:cs="Arial" w:eastAsia="Arial" w:hAnsi="Arial"/>
          <w:sz w:val="16"/>
          <w:szCs w:val="16"/>
          <w:color w:val="auto"/>
        </w:rPr>
        <w:t>” means any letter of credit issued pursuant to this Agreement.</w:t>
      </w:r>
    </w:p>
    <w:p>
      <w:pPr>
        <w:spacing w:after="0" w:line="220" w:lineRule="exact"/>
        <w:rPr>
          <w:sz w:val="20"/>
          <w:szCs w:val="20"/>
          <w:color w:val="auto"/>
        </w:rPr>
      </w:pPr>
    </w:p>
    <w:p>
      <w:pPr>
        <w:jc w:val="both"/>
        <w:ind w:firstLine="570"/>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LIBO Rate</w:t>
      </w:r>
      <w:r>
        <w:rPr>
          <w:rFonts w:ascii="Arial" w:cs="Arial" w:eastAsia="Arial" w:hAnsi="Arial"/>
          <w:sz w:val="15"/>
          <w:szCs w:val="15"/>
          <w:color w:val="auto"/>
        </w:rPr>
        <w:t>” means, with respect to any Eurodollar Borrowing for any Interest Period, the rate appearing on Reuters Screen LIBOR01 Page (or on any successor or substitute page on such screen) at approximately 11:00 a.m., London time, two Business Days prior to the commencement of such Interest Period, as the rate for deposits in the applicable currency in the London interbank market with a maturity comparable to such Interest Period. In the event that such rate does not appear on such page (or on any such successor or substitute page), the “</w:t>
      </w:r>
      <w:r>
        <w:rPr>
          <w:rFonts w:ascii="Arial" w:cs="Arial" w:eastAsia="Arial" w:hAnsi="Arial"/>
          <w:sz w:val="15"/>
          <w:szCs w:val="15"/>
          <w:u w:val="single" w:color="auto"/>
          <w:color w:val="auto"/>
        </w:rPr>
        <w:t>LIBO Rate</w:t>
      </w:r>
      <w:r>
        <w:rPr>
          <w:rFonts w:ascii="Arial" w:cs="Arial" w:eastAsia="Arial" w:hAnsi="Arial"/>
          <w:sz w:val="15"/>
          <w:szCs w:val="15"/>
          <w:color w:val="auto"/>
        </w:rPr>
        <w:t>” shall be determined by reference to such other publicly available service for displaying interest rates for Dollar deposits in the London interbank market as may be selected by the Administrative Agent or, in the absence of such availability, by reference to the rate at which Dollar deposits of $5,000,000 and for a maturity comparable to such Interest Period are offered by the principal London office of the Administrative Agent in immediately available funds in the London interbank market at approximately 11:00 a.m., London time, two Business Days prior to the commencement of such Interest Period.</w:t>
      </w:r>
    </w:p>
    <w:p>
      <w:pPr>
        <w:spacing w:after="0" w:line="181"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Collateral, any lien, pledge, mortgage, hypothecation, encumbrance, charge, assignment by way of security or security interest in, on or of such asset comprising a part of the Collateral.</w:t>
      </w:r>
    </w:p>
    <w:p>
      <w:pPr>
        <w:spacing w:after="0" w:line="180" w:lineRule="exact"/>
        <w:rPr>
          <w:sz w:val="20"/>
          <w:szCs w:val="20"/>
          <w:color w:val="auto"/>
        </w:rPr>
      </w:pPr>
    </w:p>
    <w:p>
      <w:pPr>
        <w:jc w:val="both"/>
        <w:ind w:firstLine="570"/>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 Documents</w:t>
      </w:r>
      <w:r>
        <w:rPr>
          <w:rFonts w:ascii="Arial" w:cs="Arial" w:eastAsia="Arial" w:hAnsi="Arial"/>
          <w:sz w:val="15"/>
          <w:szCs w:val="15"/>
          <w:color w:val="auto"/>
        </w:rPr>
        <w:t xml:space="preserve">” means this Agreement, any promissory notes issued pursuant to this Agreement, any Letter of Credit applications, the Collateral Documents, any Guaranty, and all other agreements, instruments, documents and certificates identified in </w:t>
      </w:r>
      <w:r>
        <w:rPr>
          <w:rFonts w:ascii="Arial" w:cs="Arial" w:eastAsia="Arial" w:hAnsi="Arial"/>
          <w:sz w:val="15"/>
          <w:szCs w:val="15"/>
          <w:u w:val="single" w:color="auto"/>
          <w:color w:val="auto"/>
        </w:rPr>
        <w:t>Section 4.01</w:t>
      </w:r>
      <w:r>
        <w:rPr>
          <w:rFonts w:ascii="Arial" w:cs="Arial" w:eastAsia="Arial" w:hAnsi="Arial"/>
          <w:sz w:val="15"/>
          <w:szCs w:val="15"/>
          <w:color w:val="auto"/>
        </w:rPr>
        <w:t xml:space="preserve"> executed and delivered to, or in favor of, the Administrative Agent or any Lenders and including all other pledges, powers of attorney, consents, assignments, contracts, notices, letter of credit agreements and all other written matter whether heretofore, now or hereafter executed by or on behalf of any Loan Party, or any Financial Officer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Guarantor</w:t>
      </w:r>
      <w:r>
        <w:rPr>
          <w:rFonts w:ascii="Arial" w:cs="Arial" w:eastAsia="Arial" w:hAnsi="Arial"/>
          <w:sz w:val="16"/>
          <w:szCs w:val="16"/>
          <w:color w:val="auto"/>
        </w:rPr>
        <w:t>” means each Loan Party.</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Guaranty</w:t>
      </w:r>
      <w:r>
        <w:rPr>
          <w:rFonts w:ascii="Arial" w:cs="Arial" w:eastAsia="Arial" w:hAnsi="Arial"/>
          <w:sz w:val="16"/>
          <w:szCs w:val="16"/>
          <w:color w:val="auto"/>
        </w:rPr>
        <w:t xml:space="preserve">” means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of this Agreement.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32" w:name="page33"/>
    <w:bookmarkEnd w:id="32"/>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Parties</w:t>
      </w:r>
      <w:r>
        <w:rPr>
          <w:rFonts w:ascii="Arial" w:cs="Arial" w:eastAsia="Arial" w:hAnsi="Arial"/>
          <w:sz w:val="16"/>
          <w:szCs w:val="16"/>
          <w:color w:val="auto"/>
        </w:rPr>
        <w:t>” means the Borrowers and any other Person who becomes a party to this Agreement as a Borrower or a Loan Guarantor in accordance with the terms hereof, and their successors and assigns.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Loans</w:t>
      </w:r>
      <w:r>
        <w:rPr>
          <w:rFonts w:ascii="Arial" w:cs="Arial" w:eastAsia="Arial" w:hAnsi="Arial"/>
          <w:sz w:val="15"/>
          <w:szCs w:val="15"/>
          <w:color w:val="auto"/>
        </w:rPr>
        <w:t>” means the loans and advances made by the Lenders pursuant to this Agreement, including Swingline Loans, Overadvances and Protective Advances.</w:t>
      </w:r>
    </w:p>
    <w:p>
      <w:pPr>
        <w:spacing w:after="0" w:line="231" w:lineRule="exact"/>
        <w:rPr>
          <w:sz w:val="20"/>
          <w:szCs w:val="20"/>
          <w:color w:val="auto"/>
        </w:rPr>
      </w:pPr>
    </w:p>
    <w:p>
      <w:pPr>
        <w:jc w:val="both"/>
        <w:ind w:firstLine="570"/>
        <w:spacing w:after="0" w:line="30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Local Time</w:t>
      </w:r>
      <w:r>
        <w:rPr>
          <w:rFonts w:ascii="Arial" w:cs="Arial" w:eastAsia="Arial" w:hAnsi="Arial"/>
          <w:sz w:val="14"/>
          <w:szCs w:val="14"/>
          <w:color w:val="auto"/>
        </w:rPr>
        <w:t>” means, (a) local time in New York, with respect to the times for the receipt of Borrowing Requests from the Borrower Representative for Revolving Loans, Letter of Credit requests to the Issuing Bank, for receipt and sending of notices by and disbursement by the Administrative Agent or any Lender and the Issuing Bank and for payment by the Borrowers with respect to Revolving Loans and reimbursement obligations in respect of Letters of Credit, (b) local time in London, with respect to the times for the determination of “</w:t>
      </w:r>
      <w:r>
        <w:rPr>
          <w:rFonts w:ascii="Arial" w:cs="Arial" w:eastAsia="Arial" w:hAnsi="Arial"/>
          <w:sz w:val="14"/>
          <w:szCs w:val="14"/>
          <w:u w:val="single" w:color="auto"/>
          <w:color w:val="auto"/>
        </w:rPr>
        <w:t>LIBO Rate</w:t>
      </w:r>
      <w:r>
        <w:rPr>
          <w:rFonts w:ascii="Arial" w:cs="Arial" w:eastAsia="Arial" w:hAnsi="Arial"/>
          <w:sz w:val="14"/>
          <w:szCs w:val="14"/>
          <w:color w:val="auto"/>
        </w:rPr>
        <w:t>”, (c) otherwise, if a place for any determination is specified herein, the local time at such place of determination, and (d) otherwise, New York time.</w:t>
      </w:r>
    </w:p>
    <w:p>
      <w:pPr>
        <w:spacing w:after="0" w:line="161" w:lineRule="exact"/>
        <w:rPr>
          <w:sz w:val="20"/>
          <w:szCs w:val="20"/>
          <w:color w:val="auto"/>
        </w:rPr>
      </w:pPr>
    </w:p>
    <w:p>
      <w:pPr>
        <w:jc w:val="both"/>
        <w:ind w:right="20" w:firstLine="570"/>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means a material adverse effect on (a) the business, assets, operations, prospects or condition, financial or otherwise, of Micron and its Subsidiaries taken as a whole, (b) the ability of any Loan Party to perform any of its obligations under the Loan Documents to which it is a party, or (c) the Administrative Agent’s Liens (on behalf of itself and the Lenders, and other holders of the Secured Obligations) on the Collateral or the priority of such Liens.</w:t>
      </w:r>
    </w:p>
    <w:p>
      <w:pPr>
        <w:spacing w:after="0" w:line="172" w:lineRule="exact"/>
        <w:rPr>
          <w:sz w:val="20"/>
          <w:szCs w:val="20"/>
          <w:color w:val="auto"/>
        </w:rPr>
      </w:pPr>
    </w:p>
    <w:p>
      <w:pPr>
        <w:jc w:val="both"/>
        <w:ind w:firstLine="57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Indebtedness (other than the Loans and Letters of Credit) or obligations in respect of one or more Swap Agreements (without giving effect to the last sentence of such definition), of any one or more of the Loan Parties in an aggregate principal amount exceeding $100,000,000. For purposes of determining Material Indebtedness, the “obligations” of any Loan Party in respect of any Swap Agreement (without giving effect to the last sentence of such definition) at any time shall be the maximum aggregate amount (giving effect to any netting agreements) that such Loan Party would be required to pay if such Swap Agreement (without giving effect to the last sentence of such definition) were terminated at such time.</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Maturity Date</w:t>
      </w:r>
      <w:r>
        <w:rPr>
          <w:rFonts w:ascii="Arial" w:cs="Arial" w:eastAsia="Arial" w:hAnsi="Arial"/>
          <w:sz w:val="15"/>
          <w:szCs w:val="15"/>
          <w:color w:val="auto"/>
        </w:rPr>
        <w:t>” means December 2, 2019 or any earlier date on which the Commitments are reduced to zero or otherwise terminated pursuant to the terms hereof.</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Liability</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10.10</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Rate</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9.17</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Micron</w:t>
      </w:r>
      <w:r>
        <w:rPr>
          <w:rFonts w:ascii="Arial" w:cs="Arial" w:eastAsia="Arial" w:hAnsi="Arial"/>
          <w:sz w:val="16"/>
          <w:szCs w:val="16"/>
          <w:color w:val="auto"/>
        </w:rPr>
        <w:t>” has the meaning assigned to such term in the recitals.</w:t>
      </w:r>
    </w:p>
    <w:p>
      <w:pPr>
        <w:spacing w:after="0" w:line="22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Micron Security Agreement</w:t>
      </w:r>
      <w:r>
        <w:rPr>
          <w:rFonts w:ascii="Arial" w:cs="Arial" w:eastAsia="Arial" w:hAnsi="Arial"/>
          <w:sz w:val="16"/>
          <w:szCs w:val="16"/>
          <w:color w:val="auto"/>
        </w:rPr>
        <w:t>” means that certain Pledge and Security Agreement, dated as of the date hereof, between Micron and the Administrative Agent, as the same may be amended, restated, or otherwise modified from time to time.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33" w:name="page34"/>
    <w:bookmarkEnd w:id="33"/>
    <w:p>
      <w:pPr>
        <w:jc w:val="both"/>
        <w:ind w:left="5"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MSP Security Agreement</w:t>
      </w:r>
      <w:r>
        <w:rPr>
          <w:rFonts w:ascii="Arial" w:cs="Arial" w:eastAsia="Arial" w:hAnsi="Arial"/>
          <w:sz w:val="16"/>
          <w:szCs w:val="16"/>
          <w:color w:val="auto"/>
        </w:rPr>
        <w:t>” means that certain Pledge and Security Agreement, dated as of the date hereof, between the Company and the Administrative Agent, as the same may be amended, restated, or otherwise modified from time to time.</w:t>
      </w:r>
    </w:p>
    <w:p>
      <w:pPr>
        <w:spacing w:after="0" w:line="180" w:lineRule="exact"/>
        <w:rPr>
          <w:sz w:val="20"/>
          <w:szCs w:val="20"/>
          <w:color w:val="auto"/>
        </w:rPr>
      </w:pPr>
    </w:p>
    <w:p>
      <w:pPr>
        <w:jc w:val="both"/>
        <w:ind w:left="5" w:firstLine="57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Net Orderly Liquidation Value Factor</w:t>
      </w:r>
      <w:r>
        <w:rPr>
          <w:rFonts w:ascii="Arial" w:cs="Arial" w:eastAsia="Arial" w:hAnsi="Arial"/>
          <w:sz w:val="15"/>
          <w:szCs w:val="15"/>
          <w:color w:val="auto"/>
        </w:rPr>
        <w:t>” means, with respect to (a) Eligible Finished Goods Inventory of any person, the quotient of the orderly liquidation value thereof as determined in a manner reasonably acceptable to the Administrative Agent by an appraiser reasonably acceptable to the Administrative Agent, net of all costs of liquidation thereof divided by the book value (valued at the lower of cost or market, calculated on a first-in, first-out basis) of Eligible Finished Goods Inventory, (b) Eligible Raw Materials of any person, the quotient of the orderly liquidation value thereof as determined in a manner reasonably acceptable to the Administrative Agent by an appraiser reasonably acceptable to the Administrative Agent, net of all costs of liquidation thereof divided by the book value (valued at the lower of cost or market, calculated on a first-in, first-out basis) of Eligible Raw Materials, and (c) Eligible WIP of any person, the quotient of the orderly liquidation value thereof as determined in a manner reasonably acceptable to the Administrative Agent by an appraiser reasonably acceptable to the Administrative Agent, net of all costs of liquidation thereof divided by the book value (valued at the lower of cost or market, calculated on a first-in, first-out basis) of Eligible WIP.</w:t>
      </w:r>
    </w:p>
    <w:p>
      <w:pPr>
        <w:spacing w:after="0" w:line="182"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9.02(d)</w:t>
      </w:r>
      <w:r>
        <w:rPr>
          <w:rFonts w:ascii="Arial" w:cs="Arial" w:eastAsia="Arial" w:hAnsi="Arial"/>
          <w:sz w:val="16"/>
          <w:szCs w:val="16"/>
          <w:color w:val="auto"/>
        </w:rPr>
        <w:t>.</w:t>
      </w:r>
    </w:p>
    <w:p>
      <w:pPr>
        <w:spacing w:after="0" w:line="220"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Non-U.S. Lender</w:t>
      </w:r>
      <w:r>
        <w:rPr>
          <w:rFonts w:ascii="Arial" w:cs="Arial" w:eastAsia="Arial" w:hAnsi="Arial"/>
          <w:sz w:val="16"/>
          <w:szCs w:val="16"/>
          <w:color w:val="auto"/>
        </w:rPr>
        <w:t>” means a Lender that is not a U.S. Person.</w:t>
      </w:r>
    </w:p>
    <w:p>
      <w:pPr>
        <w:spacing w:after="0" w:line="220"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Non-Paying Guarantor</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10.11</w:t>
      </w:r>
      <w:r>
        <w:rPr>
          <w:rFonts w:ascii="Arial" w:cs="Arial" w:eastAsia="Arial" w:hAnsi="Arial"/>
          <w:sz w:val="16"/>
          <w:szCs w:val="16"/>
          <w:color w:val="auto"/>
        </w:rPr>
        <w:t>.</w:t>
      </w:r>
    </w:p>
    <w:p>
      <w:pPr>
        <w:spacing w:after="0" w:line="220"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Obligated Party</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10.02</w:t>
      </w:r>
      <w:r>
        <w:rPr>
          <w:rFonts w:ascii="Arial" w:cs="Arial" w:eastAsia="Arial" w:hAnsi="Arial"/>
          <w:sz w:val="16"/>
          <w:szCs w:val="16"/>
          <w:color w:val="auto"/>
        </w:rPr>
        <w:t>.</w:t>
      </w:r>
    </w:p>
    <w:p>
      <w:pPr>
        <w:spacing w:after="0" w:line="220" w:lineRule="exact"/>
        <w:rPr>
          <w:sz w:val="20"/>
          <w:szCs w:val="20"/>
          <w:color w:val="auto"/>
        </w:rPr>
      </w:pPr>
    </w:p>
    <w:p>
      <w:pPr>
        <w:jc w:val="both"/>
        <w:ind w:left="5"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unpaid principal of and accrued and unpaid interest on the Loans, all LC Exposure, all accrued and unpaid fees and all expenses, reimbursements, indemnities and other obligations of the Loan Parties to the Lenders or to any Lender, the Administrative Agent, the Issuing Bank or any indemnified party arising under the Loan Documents.</w:t>
      </w:r>
    </w:p>
    <w:p>
      <w:pPr>
        <w:spacing w:after="0" w:line="188" w:lineRule="exact"/>
        <w:rPr>
          <w:sz w:val="20"/>
          <w:szCs w:val="20"/>
          <w:color w:val="auto"/>
        </w:rPr>
      </w:pPr>
    </w:p>
    <w:p>
      <w:pPr>
        <w:ind w:left="565"/>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OFAC</w:t>
      </w:r>
      <w:r>
        <w:rPr>
          <w:rFonts w:ascii="Arial" w:cs="Arial" w:eastAsia="Arial" w:hAnsi="Arial"/>
          <w:sz w:val="16"/>
          <w:szCs w:val="16"/>
          <w:color w:val="auto"/>
        </w:rPr>
        <w:t>” has the meaning assigned to such term in the definition of “Sanctions Laws and Regulations.”</w:t>
      </w:r>
    </w:p>
    <w:p>
      <w:pPr>
        <w:spacing w:after="0" w:line="220" w:lineRule="exact"/>
        <w:rPr>
          <w:sz w:val="20"/>
          <w:szCs w:val="20"/>
          <w:color w:val="auto"/>
        </w:rPr>
      </w:pPr>
    </w:p>
    <w:p>
      <w:pPr>
        <w:ind w:left="565"/>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Off-Balance Sheet Liability</w:t>
      </w:r>
      <w:r>
        <w:rPr>
          <w:rFonts w:ascii="Arial" w:cs="Arial" w:eastAsia="Arial" w:hAnsi="Arial"/>
          <w:sz w:val="14"/>
          <w:szCs w:val="14"/>
          <w:color w:val="auto"/>
        </w:rPr>
        <w:t>” of a Person means (a) any repurchase obligation or liability of such Person with respect to accounts or notes receivable sold by such Person,</w:t>
      </w:r>
    </w:p>
    <w:p>
      <w:pPr>
        <w:spacing w:after="0" w:line="40" w:lineRule="exact"/>
        <w:rPr>
          <w:sz w:val="20"/>
          <w:szCs w:val="20"/>
          <w:color w:val="auto"/>
        </w:rPr>
      </w:pPr>
    </w:p>
    <w:p>
      <w:pPr>
        <w:jc w:val="both"/>
        <w:ind w:left="5" w:hanging="5"/>
        <w:spacing w:after="0" w:line="251" w:lineRule="auto"/>
        <w:tabs>
          <w:tab w:leader="none" w:pos="23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w:t>
      </w:r>
    </w:p>
    <w:p>
      <w:pPr>
        <w:spacing w:after="0" w:line="196" w:lineRule="exact"/>
        <w:rPr>
          <w:sz w:val="20"/>
          <w:szCs w:val="20"/>
          <w:color w:val="auto"/>
        </w:rPr>
      </w:pPr>
    </w:p>
    <w:p>
      <w:pPr>
        <w:jc w:val="both"/>
        <w:ind w:left="5"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w:t>
      </w:r>
    </w:p>
    <w:p>
      <w:pPr>
        <w:spacing w:after="0" w:line="29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821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258" w:right="2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or perfected a security interest under, or engaged in any other transaction pursuant to, or enforced, any Loan Document, or sold or assigned an interest in any Loan Document).</w:t>
      </w:r>
    </w:p>
    <w:p>
      <w:pPr>
        <w:spacing w:after="0" w:line="243"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xml:space="preserve">” 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or other transfer (other than an assignment under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2.19(b))</w:t>
      </w:r>
      <w:r>
        <w:rPr>
          <w:rFonts w:ascii="Arial" w:cs="Arial" w:eastAsia="Arial" w:hAnsi="Arial"/>
          <w:sz w:val="16"/>
          <w:szCs w:val="16"/>
          <w:color w:val="auto"/>
        </w:rPr>
        <w: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Overadvance</w:t>
      </w:r>
      <w:r>
        <w:rPr>
          <w:rFonts w:ascii="Arial" w:cs="Arial" w:eastAsia="Arial" w:hAnsi="Arial"/>
          <w:sz w:val="16"/>
          <w:szCs w:val="16"/>
          <w:color w:val="auto"/>
        </w:rPr>
        <w:t xml:space="preserve">” has the meaning assigned such term in </w:t>
      </w:r>
      <w:r>
        <w:rPr>
          <w:rFonts w:ascii="Arial" w:cs="Arial" w:eastAsia="Arial" w:hAnsi="Arial"/>
          <w:sz w:val="16"/>
          <w:szCs w:val="16"/>
          <w:u w:val="single" w:color="auto"/>
          <w:color w:val="auto"/>
        </w:rPr>
        <w:t>Section 2.05(b)</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with respect to any Lender, the Person as to which such Lender is, directly or indirectly, a subsidiary.</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9.04(c)</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9.04(c)</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Patriot Act</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9.14</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Paying Guarantor</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10.11</w:t>
      </w:r>
      <w:r>
        <w:rPr>
          <w:rFonts w:ascii="Arial" w:cs="Arial" w:eastAsia="Arial" w:hAnsi="Arial"/>
          <w:sz w:val="16"/>
          <w:szCs w:val="16"/>
          <w:color w:val="auto"/>
        </w:rPr>
        <w:t>.</w:t>
      </w:r>
    </w:p>
    <w:p>
      <w:pPr>
        <w:spacing w:after="0" w:line="220" w:lineRule="exact"/>
        <w:rPr>
          <w:sz w:val="20"/>
          <w:szCs w:val="20"/>
          <w:color w:val="auto"/>
        </w:rPr>
      </w:pPr>
    </w:p>
    <w:p>
      <w:pPr>
        <w:jc w:val="both"/>
        <w:ind w:firstLine="570"/>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Discretion</w:t>
      </w:r>
      <w:r>
        <w:rPr>
          <w:rFonts w:ascii="Arial" w:cs="Arial" w:eastAsia="Arial" w:hAnsi="Arial"/>
          <w:sz w:val="15"/>
          <w:szCs w:val="15"/>
          <w:color w:val="auto"/>
        </w:rPr>
        <w:t>” means a determination made in good faith and in the exercise of reasonable (from the perspective of a secured asset-based lender) business judgment as to any factor that the Administrative Agent reasonably determines (a) will or could reasonably be expected to adversely affect in any material respect the value of Collateral (including any Requirement of Law that may inhibit collection of an Account), the enforceability or priority of the Administrative Agent’s Liens, or the amount which the Administrative Agent would be likely to receive in the liquidation of such Collateral; (b) evidences that any collateral report or financial information delivered by any Borrower is incomplete, inaccurate or misleading in any material respect; or (c) creates or could reasonably be expected to result in a Default or Event of Default.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means:</w:t>
      </w:r>
    </w:p>
    <w:p>
      <w:pPr>
        <w:spacing w:after="0" w:line="244" w:lineRule="exact"/>
        <w:rPr>
          <w:sz w:val="20"/>
          <w:szCs w:val="20"/>
          <w:color w:val="auto"/>
        </w:rPr>
      </w:pPr>
    </w:p>
    <w:p>
      <w:pPr>
        <w:ind w:left="2080" w:hanging="375"/>
        <w:spacing w:after="0"/>
        <w:tabs>
          <w:tab w:leader="none" w:pos="2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Liens imposed by law for Taxes or other governmental charges that are not yet due or are being contested in compliance with </w:t>
      </w:r>
      <w:r>
        <w:rPr>
          <w:rFonts w:ascii="Arial" w:cs="Arial" w:eastAsia="Arial" w:hAnsi="Arial"/>
          <w:sz w:val="15"/>
          <w:szCs w:val="15"/>
          <w:u w:val="single" w:color="auto"/>
          <w:color w:val="auto"/>
        </w:rPr>
        <w:t>Section 5.04</w:t>
      </w:r>
      <w:r>
        <w:rPr>
          <w:rFonts w:ascii="Arial" w:cs="Arial" w:eastAsia="Arial" w:hAnsi="Arial"/>
          <w:sz w:val="15"/>
          <w:szCs w:val="15"/>
          <w:color w:val="auto"/>
        </w:rPr>
        <w:t>;</w:t>
      </w:r>
    </w:p>
    <w:p>
      <w:pPr>
        <w:spacing w:after="0" w:line="255" w:lineRule="exact"/>
        <w:rPr>
          <w:rFonts w:ascii="Arial" w:cs="Arial" w:eastAsia="Arial" w:hAnsi="Arial"/>
          <w:sz w:val="15"/>
          <w:szCs w:val="15"/>
          <w:color w:val="auto"/>
        </w:rPr>
      </w:pPr>
    </w:p>
    <w:p>
      <w:pPr>
        <w:ind w:left="560" w:firstLine="1145"/>
        <w:spacing w:after="0" w:line="270" w:lineRule="auto"/>
        <w:tabs>
          <w:tab w:leader="none" w:pos="2087" w:val="left"/>
        </w:tabs>
        <w:numPr>
          <w:ilvl w:val="0"/>
          <w:numId w:val="18"/>
        </w:numPr>
        <w:rPr>
          <w:rFonts w:ascii="Arial" w:cs="Arial" w:eastAsia="Arial" w:hAnsi="Arial"/>
          <w:sz w:val="16"/>
          <w:szCs w:val="16"/>
          <w:color w:val="auto"/>
        </w:rPr>
      </w:pPr>
      <w:r>
        <w:rPr>
          <w:rFonts w:ascii="Arial" w:cs="Arial" w:eastAsia="Arial" w:hAnsi="Arial"/>
          <w:sz w:val="16"/>
          <w:szCs w:val="16"/>
          <w:color w:val="auto"/>
        </w:rPr>
        <w:t>pledges and deposits made in the ordinary course of business in compliance with workers’ compensation, unemployment insurance and other social security laws or regulations;</w:t>
      </w:r>
    </w:p>
    <w:p>
      <w:pPr>
        <w:spacing w:after="0" w:line="203" w:lineRule="exact"/>
        <w:rPr>
          <w:rFonts w:ascii="Arial" w:cs="Arial" w:eastAsia="Arial" w:hAnsi="Arial"/>
          <w:sz w:val="16"/>
          <w:szCs w:val="16"/>
          <w:color w:val="auto"/>
        </w:rPr>
      </w:pPr>
    </w:p>
    <w:p>
      <w:pPr>
        <w:ind w:left="560" w:right="20" w:firstLine="1145"/>
        <w:spacing w:after="0" w:line="270" w:lineRule="auto"/>
        <w:tabs>
          <w:tab w:leader="none" w:pos="2066"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governmental contracts, leases, statutory obligations, surety, customs and appeal bonds, performance bonds and other obligations of a like nature, in each case in the ordinary course of business;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35" w:name="page36"/>
    <w:bookmarkEnd w:id="35"/>
    <w:p>
      <w:pPr>
        <w:ind w:left="2080" w:hanging="375"/>
        <w:spacing w:after="0"/>
        <w:tabs>
          <w:tab w:leader="none" w:pos="2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judgment liens in respect of judgments that do not constitute a Material Adverse Effect or result in an Event of Default under </w:t>
      </w:r>
      <w:r>
        <w:rPr>
          <w:rFonts w:ascii="Arial" w:cs="Arial" w:eastAsia="Arial" w:hAnsi="Arial"/>
          <w:sz w:val="15"/>
          <w:szCs w:val="15"/>
          <w:u w:val="single" w:color="auto"/>
          <w:color w:val="auto"/>
        </w:rPr>
        <w:t>Section 8.01(j)</w:t>
      </w:r>
      <w:r>
        <w:rPr>
          <w:rFonts w:ascii="Arial" w:cs="Arial" w:eastAsia="Arial" w:hAnsi="Arial"/>
          <w:sz w:val="15"/>
          <w:szCs w:val="15"/>
          <w:color w:val="auto"/>
        </w:rPr>
        <w:t>;</w:t>
      </w:r>
    </w:p>
    <w:p>
      <w:pPr>
        <w:spacing w:after="0" w:line="231" w:lineRule="exact"/>
        <w:rPr>
          <w:rFonts w:ascii="Arial" w:cs="Arial" w:eastAsia="Arial" w:hAnsi="Arial"/>
          <w:sz w:val="15"/>
          <w:szCs w:val="15"/>
          <w:color w:val="auto"/>
        </w:rPr>
      </w:pPr>
    </w:p>
    <w:p>
      <w:pPr>
        <w:jc w:val="both"/>
        <w:ind w:left="560" w:firstLine="1145"/>
        <w:spacing w:after="0" w:line="284" w:lineRule="auto"/>
        <w:tabs>
          <w:tab w:leader="none" w:pos="2066" w:val="left"/>
        </w:tabs>
        <w:numPr>
          <w:ilvl w:val="0"/>
          <w:numId w:val="19"/>
        </w:numPr>
        <w:rPr>
          <w:rFonts w:ascii="Arial" w:cs="Arial" w:eastAsia="Arial" w:hAnsi="Arial"/>
          <w:sz w:val="15"/>
          <w:szCs w:val="15"/>
          <w:color w:val="auto"/>
        </w:rPr>
      </w:pPr>
      <w:r>
        <w:rPr>
          <w:rFonts w:ascii="Arial" w:cs="Arial" w:eastAsia="Arial" w:hAnsi="Arial"/>
          <w:sz w:val="15"/>
          <w:szCs w:val="15"/>
          <w:color w:val="auto"/>
        </w:rPr>
        <w:t>statutory or common law Liens or rights of setoff of Cash Management Banks with respect to funds of the Borrowers at such Cash Management Banks to secure fees or other charges in connection with returned items or the standard fees and charges of such Cash Management Banks in connection with the Deposit Accounts maintained by the Borrowers at such Cash Management Banks (but not any other Indebtedness or obligations);</w:t>
      </w:r>
    </w:p>
    <w:p>
      <w:pPr>
        <w:spacing w:after="0" w:line="195" w:lineRule="exact"/>
        <w:rPr>
          <w:rFonts w:ascii="Arial" w:cs="Arial" w:eastAsia="Arial" w:hAnsi="Arial"/>
          <w:sz w:val="15"/>
          <w:szCs w:val="15"/>
          <w:color w:val="auto"/>
        </w:rPr>
      </w:pPr>
    </w:p>
    <w:p>
      <w:pPr>
        <w:jc w:val="both"/>
        <w:ind w:left="560" w:right="20" w:firstLine="1145"/>
        <w:spacing w:after="0" w:line="259" w:lineRule="auto"/>
        <w:tabs>
          <w:tab w:leader="none" w:pos="2048"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and other like Liens imposed by law, arising in the ordinary course of business and securing obligations that are not overdue by more than thirty (30) days or are being contested in good faith by appropriate proceedings and a Borrower has set aside on its books adequate reserves with respect thereto in accordance with GAAP;</w:t>
      </w:r>
    </w:p>
    <w:p>
      <w:pPr>
        <w:spacing w:after="0" w:line="212" w:lineRule="exact"/>
        <w:rPr>
          <w:rFonts w:ascii="Arial" w:cs="Arial" w:eastAsia="Arial" w:hAnsi="Arial"/>
          <w:sz w:val="16"/>
          <w:szCs w:val="16"/>
          <w:color w:val="auto"/>
        </w:rPr>
      </w:pPr>
    </w:p>
    <w:p>
      <w:pPr>
        <w:jc w:val="both"/>
        <w:ind w:left="560" w:firstLine="1145"/>
        <w:spacing w:after="0" w:line="259" w:lineRule="auto"/>
        <w:tabs>
          <w:tab w:leader="none" w:pos="20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Liens in favor of customs and revenues authorities imposed by applicable law and arising in the ordinary course of business that secure payment of customs duties and other similar charges arising as a matter of law in connection with the importation of goods so long as such obligations are not overdue or are being contested in good faith subject to the appropriate reserves on the Borrowers’ books in accordance with GAAP;</w:t>
      </w:r>
    </w:p>
    <w:p>
      <w:pPr>
        <w:spacing w:after="0" w:line="212" w:lineRule="exact"/>
        <w:rPr>
          <w:rFonts w:ascii="Arial" w:cs="Arial" w:eastAsia="Arial" w:hAnsi="Arial"/>
          <w:sz w:val="16"/>
          <w:szCs w:val="16"/>
          <w:color w:val="auto"/>
        </w:rPr>
      </w:pPr>
    </w:p>
    <w:p>
      <w:pPr>
        <w:jc w:val="both"/>
        <w:ind w:left="560" w:right="20" w:firstLine="1145"/>
        <w:spacing w:after="0" w:line="259" w:lineRule="auto"/>
        <w:tabs>
          <w:tab w:leader="none" w:pos="20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Liens arising out of consignment or similar conditional sale or other title retention agreements in the ordinary course of business with respect to Inventory (other than Eligible Inventory) and entered into in the ordinary course of business so long as such Lien only attaches to the Inventory which is the subject of such consignment or similar conditional sale or other title retention agreements; and</w:t>
      </w:r>
    </w:p>
    <w:p>
      <w:pPr>
        <w:spacing w:after="0" w:line="212" w:lineRule="exact"/>
        <w:rPr>
          <w:rFonts w:ascii="Arial" w:cs="Arial" w:eastAsia="Arial" w:hAnsi="Arial"/>
          <w:sz w:val="16"/>
          <w:szCs w:val="16"/>
          <w:color w:val="auto"/>
        </w:rPr>
      </w:pPr>
    </w:p>
    <w:p>
      <w:pPr>
        <w:jc w:val="both"/>
        <w:ind w:left="560" w:firstLine="1145"/>
        <w:spacing w:after="0" w:line="255" w:lineRule="auto"/>
        <w:tabs>
          <w:tab w:leader="none" w:pos="2051"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Liens granted in the ordinary course of business to freight forwarders, landlords or warehousemen over Inventory in such freight forwarders’, landlords’ or warehousemen’s possession so long as: (i) such Liens do not secure borrowed money, and (ii) such Liens secure obligations that are not overdue by more than thirty (30) days or are being contested in good faith by appropriate proceedings and a Borrower has set aside on its books adequate reserves with respect thereto in accordance with GAAP.</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w:t>
      </w:r>
      <w:r>
        <w:rPr>
          <w:rFonts w:ascii="Arial" w:cs="Arial" w:eastAsia="Arial" w:hAnsi="Arial"/>
          <w:sz w:val="16"/>
          <w:szCs w:val="16"/>
          <w:u w:val="single" w:color="auto"/>
          <w:color w:val="auto"/>
        </w:rPr>
        <w:t>Permitted Encumbrances</w:t>
      </w:r>
      <w:r>
        <w:rPr>
          <w:rFonts w:ascii="Arial" w:cs="Arial" w:eastAsia="Arial" w:hAnsi="Arial"/>
          <w:sz w:val="16"/>
          <w:szCs w:val="16"/>
          <w:color w:val="auto"/>
        </w:rPr>
        <w:t>” shall not include any Lien securing Indebtedness, except with respect to clause (d) above.</w:t>
      </w:r>
    </w:p>
    <w:p>
      <w:pPr>
        <w:spacing w:after="0" w:line="220"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natural person, corporation, limited liability company, trust, joint venture, association, company, partnership, limited liability partnership, Governmental Authority or other entity.</w:t>
      </w:r>
    </w:p>
    <w:p>
      <w:pPr>
        <w:spacing w:after="0" w:line="180" w:lineRule="exact"/>
        <w:rPr>
          <w:sz w:val="20"/>
          <w:szCs w:val="20"/>
          <w:color w:val="auto"/>
        </w:rPr>
      </w:pPr>
    </w:p>
    <w:p>
      <w:pPr>
        <w:ind w:right="20" w:firstLine="570"/>
        <w:spacing w:after="0" w:line="30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Prime Rate</w:t>
      </w:r>
      <w:r>
        <w:rPr>
          <w:rFonts w:ascii="Arial" w:cs="Arial" w:eastAsia="Arial" w:hAnsi="Arial"/>
          <w:sz w:val="15"/>
          <w:szCs w:val="15"/>
          <w:color w:val="auto"/>
        </w:rPr>
        <w:t>” means the rate of interest per annum publicly announced from time to time by HSBC as its prime rate at its offices at 425 Fifth Avenue in New York City or any successor executive office; each change in the Prime Rate shall be effective from and including the date such change is publicly announced as being effective.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Projections</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5.01(c)</w:t>
      </w:r>
      <w:r>
        <w:rPr>
          <w:rFonts w:ascii="Arial" w:cs="Arial" w:eastAsia="Arial" w:hAnsi="Arial"/>
          <w:sz w:val="16"/>
          <w:szCs w:val="16"/>
          <w:color w:val="auto"/>
        </w:rPr>
        <w: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36" w:name="page37"/>
    <w:bookmarkEnd w:id="36"/>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Protective Advance</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2.04(a)</w:t>
      </w:r>
      <w:r>
        <w:rPr>
          <w:rFonts w:ascii="Arial" w:cs="Arial" w:eastAsia="Arial" w:hAnsi="Arial"/>
          <w:sz w:val="16"/>
          <w:szCs w:val="16"/>
          <w:color w:val="auto"/>
        </w:rPr>
        <w:t>.</w:t>
      </w:r>
    </w:p>
    <w:p>
      <w:pPr>
        <w:spacing w:after="0" w:line="220"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 each Loan Guarantor that has total assets exceeding $10,000,000 at the time the relevant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w:t>
      </w:r>
      <w:r>
        <w:rPr>
          <w:rFonts w:ascii="Arial" w:cs="Arial" w:eastAsia="Arial" w:hAnsi="Arial"/>
          <w:sz w:val="16"/>
          <w:szCs w:val="16"/>
          <w:color w:val="auto"/>
        </w:rPr>
        <w:t>” has the meaning assigned to such term in the applicable Security Agreement.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Recipient</w:t>
      </w:r>
      <w:r>
        <w:rPr>
          <w:rFonts w:ascii="Arial" w:cs="Arial" w:eastAsia="Arial" w:hAnsi="Arial"/>
          <w:sz w:val="16"/>
          <w:szCs w:val="16"/>
          <w:color w:val="auto"/>
        </w:rPr>
        <w:t>” means, as applicable, (a) the Administrative Agent, (b) any Lender and (c) the Issuing Bank.</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9.04</w:t>
      </w:r>
      <w:r>
        <w:rPr>
          <w:rFonts w:ascii="Arial" w:cs="Arial" w:eastAsia="Arial" w:hAnsi="Arial"/>
          <w:sz w:val="16"/>
          <w:szCs w:val="16"/>
          <w:color w:val="auto"/>
        </w:rPr>
        <w:t>.</w:t>
      </w:r>
    </w:p>
    <w:p>
      <w:pPr>
        <w:spacing w:after="0" w:line="22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specified Person, such Person’s Affiliates and the respective partners, directors, officers, employees, agents, trustees, administrators, managers, advisors and representatives of such Person and such Person’s Affiliates.</w:t>
      </w:r>
    </w:p>
    <w:p>
      <w:pPr>
        <w:spacing w:after="0" w:line="180"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w:t>
      </w:r>
      <w:r>
        <w:rPr>
          <w:rFonts w:ascii="Arial" w:cs="Arial" w:eastAsia="Arial" w:hAnsi="Arial"/>
          <w:sz w:val="16"/>
          <w:szCs w:val="16"/>
          <w:color w:val="auto"/>
        </w:rPr>
        <w:t xml:space="preserve">” means (a) any draft Borrowing Base Certificate or other reports prepared by the Administrative Agent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from information furnished by or on behalf of the Borrowers and (b) reports prepared by the Administrative Agent or another Person showing the results of appraisals, field examinations or audits pertaining to the assets of the Borrowers from information furnished by or on behalf of the Borrowers, after the Administrative Agent has exercised its rights of inspection pursuant to this Agreement, which Reports may be distributed to the Lenders by the Administrative Agent.</w:t>
      </w:r>
    </w:p>
    <w:p>
      <w:pPr>
        <w:spacing w:after="0" w:line="192"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at any time, at least two (2) Lenders who are not Affiliates (other than Defaulting Lenders) having Credit Exposure and unused Commitments representing at least 50% of the sum of the Aggregate Credit Exposure and unused Commitments. The unused Commitments and the Credit Exposure of any Defaulting Lender shall be disregarded in determining Required Lenders at any time.</w:t>
      </w:r>
    </w:p>
    <w:p>
      <w:pPr>
        <w:spacing w:after="0" w:line="188"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means, as to any Person, the certificate of incorporation and bylaws or other organizational or governing documents of such Person, and any law, treaty, rule, direction or regulation or determination of an arbitrator or a court or other Governmental Authority, in each case applicable to or binding upon such Person or any of its property or to which such Person or any of its property is subject.</w:t>
      </w:r>
    </w:p>
    <w:p>
      <w:pPr>
        <w:spacing w:after="0" w:line="188"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Reserves</w:t>
      </w:r>
      <w:r>
        <w:rPr>
          <w:rFonts w:ascii="Arial" w:cs="Arial" w:eastAsia="Arial" w:hAnsi="Arial"/>
          <w:sz w:val="16"/>
          <w:szCs w:val="16"/>
          <w:color w:val="auto"/>
        </w:rPr>
        <w:t xml:space="preserve">” means reserves identified by the Administrative Agent to the Borrowers prior to the Effective Date and included in the Borrowing Base Certificate delivered pursuant to </w:t>
      </w:r>
      <w:r>
        <w:rPr>
          <w:rFonts w:ascii="Arial" w:cs="Arial" w:eastAsia="Arial" w:hAnsi="Arial"/>
          <w:sz w:val="16"/>
          <w:szCs w:val="16"/>
          <w:u w:val="single" w:color="auto"/>
          <w:color w:val="auto"/>
        </w:rPr>
        <w:t>Section 4.01(h)</w:t>
      </w:r>
      <w:r>
        <w:rPr>
          <w:rFonts w:ascii="Arial" w:cs="Arial" w:eastAsia="Arial" w:hAnsi="Arial"/>
          <w:sz w:val="16"/>
          <w:szCs w:val="16"/>
          <w:color w:val="auto"/>
        </w:rPr>
        <w:t xml:space="preserve"> and any and all other reserves which the Administrative Agent deems necessary, in its Permitted Discretion based on material facts or circumstances not known to the Administrative Agent as of the Effective Date or arising after the Effective Date as being appropriate to (a) reflect the impediments to the Administrative Agent’s ability to realize upon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37" w:name="page38"/>
    <w:bookmarkEnd w:id="37"/>
    <w:p>
      <w:pPr>
        <w:jc w:val="both"/>
        <w:spacing w:after="0" w:line="287" w:lineRule="auto"/>
        <w:rPr>
          <w:sz w:val="20"/>
          <w:szCs w:val="20"/>
          <w:color w:val="auto"/>
        </w:rPr>
      </w:pPr>
      <w:r>
        <w:rPr>
          <w:rFonts w:ascii="Arial" w:cs="Arial" w:eastAsia="Arial" w:hAnsi="Arial"/>
          <w:sz w:val="14"/>
          <w:szCs w:val="14"/>
          <w:color w:val="auto"/>
        </w:rPr>
        <w:t>the Collateral, (b) reflect claims and liabilities that the Administrative Agent determines in its Permitted Discretion will need to be satisfied in connection with the realization upon the Collateral, (c) reflect criteria, events, conditions, contingencies or risks which adversely affect any component of the Borrowing Base, or (d) reflect when a Default then exists. Without limiting the generality of the foregoing, Reserves may include (but are not limited to), an availability reserve, Inventory Reserves, reserves for accrued and unpaid interest on the Secured Obligations, Banking Services Reserves, reserves for Swap Obligations, reserves for dilution of Accounts and Receivables (provided, that, the Administrative Agent shall only make changes to any Reserve related to the dilution of any Accounts or Receivables after the completion of a field examination conducted in accordance with the terms hereof and any resulting adjustments upwards or downwards shall be based upon the previous 12-month average historical dilution using the same methodology as was used to initially determine at the Effective Date the dilution related to Reserves), and reserves for taxes, fees, assessments, or other governmental charges, in each case with respect to the Collateral or any Borrower. The amount of any Reserve established by the Administrative Agent shall have a reasonable relationship to the event, condition, other circumstance, or fact that is the basis for such Reserve and shall not be duplicative of any other Reserve established and currently maintained and such Reserves shall not otherwise result in a duplicative adverse impact on Availability under the Borrowing Base to the extent the condition or circumstance giving rise to such Reserve is already addressed in the eligibility criteria. The applicable Reserve shall be promptly adjusted or released at such time when the event, condition or circumstance that is the basis for such Reserve ceases to exist or is otherwise addressed, in each case, to the reasonable satisfaction of the Administrative Agent. The Administrative Agent shall notify the Borrower Representative in writing at or before the time any such Reserve in a material amount is to be established or increased, but a non-willful failure of the Administrative Agent to so notify the Borrower Representative shall not be a breach of this Agreement and shall not cause such establishment or increase of a Reserve to be ineffective. In addition, no such notice shall be required (i) after the occurrence and during the continuance of an Event of Default or at any time during a Cash Dominion Trigger Period or (ii) for changes to any Reserve resulting solely by virtue of mathematical calculations of the amount of the Reserve in accordance with the methodology of calculation previously disclosed and utilized.</w:t>
      </w:r>
    </w:p>
    <w:p>
      <w:pPr>
        <w:spacing w:after="0" w:line="174" w:lineRule="exact"/>
        <w:rPr>
          <w:sz w:val="20"/>
          <w:szCs w:val="20"/>
          <w:color w:val="auto"/>
        </w:rPr>
      </w:pPr>
    </w:p>
    <w:p>
      <w:pPr>
        <w:jc w:val="both"/>
        <w:ind w:firstLine="570"/>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with respect to each Lender, the commitment, if any, of such Lender to make Revolving Loans and to acquire participations in Letters of Credit, Protective Advances, Overadvances and Swingline Loans hereunder, expressed as an amount representing the maximum possible aggregate amount of such Lender’s Revolving Exposure hereunder, as such commitment may be reduced or increased from time to time pursuant to (a)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and (b) assignments by or to such Lender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The initial amount of each Lender’s Revolving Commitment is set forth on the </w:t>
      </w:r>
      <w:r>
        <w:rPr>
          <w:rFonts w:ascii="Arial" w:cs="Arial" w:eastAsia="Arial" w:hAnsi="Arial"/>
          <w:sz w:val="16"/>
          <w:szCs w:val="16"/>
          <w:u w:val="single" w:color="auto"/>
          <w:color w:val="auto"/>
        </w:rPr>
        <w:t>Commitment Schedule</w:t>
      </w:r>
      <w:r>
        <w:rPr>
          <w:rFonts w:ascii="Arial" w:cs="Arial" w:eastAsia="Arial" w:hAnsi="Arial"/>
          <w:sz w:val="16"/>
          <w:szCs w:val="16"/>
          <w:color w:val="auto"/>
        </w:rPr>
        <w:t>, or in the Assignment and Assumption pursuant to which such Lender shall have assumed its Revolving Commitment, as applicable.</w:t>
      </w:r>
    </w:p>
    <w:p>
      <w:pPr>
        <w:spacing w:after="0" w:line="194"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Exposure</w:t>
      </w:r>
      <w:r>
        <w:rPr>
          <w:rFonts w:ascii="Arial" w:cs="Arial" w:eastAsia="Arial" w:hAnsi="Arial"/>
          <w:sz w:val="16"/>
          <w:szCs w:val="16"/>
          <w:color w:val="auto"/>
        </w:rPr>
        <w:t xml:space="preserve">” means, with respect to any Lender at any time, the sum of (a) the outstanding principal amount of such Lender’s Revolving Loans, LC Exposure and Swingline Exposure,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an amount equal to its Applicable Percentage of the aggregate principal amount of Overadvances outstanding.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38" w:name="page39"/>
    <w:bookmarkEnd w:id="38"/>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Exposure Limitations</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2.01</w:t>
      </w:r>
      <w:r>
        <w:rPr>
          <w:rFonts w:ascii="Arial" w:cs="Arial" w:eastAsia="Arial" w:hAnsi="Arial"/>
          <w:sz w:val="16"/>
          <w:szCs w:val="16"/>
          <w:color w:val="auto"/>
        </w:rPr>
        <w:t>.</w:t>
      </w:r>
    </w:p>
    <w:p>
      <w:pPr>
        <w:spacing w:after="0" w:line="22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Lender</w:t>
      </w:r>
      <w:r>
        <w:rPr>
          <w:rFonts w:ascii="Arial" w:cs="Arial" w:eastAsia="Arial" w:hAnsi="Arial"/>
          <w:sz w:val="16"/>
          <w:szCs w:val="16"/>
          <w:color w:val="auto"/>
        </w:rPr>
        <w:t>” means, as of any date of determination, a Lender with a Revolving Commitment or, if the Revolving Commitments have terminated or expired, a Lender with Revolving Exposure.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Loan</w:t>
      </w:r>
      <w:r>
        <w:rPr>
          <w:rFonts w:ascii="Arial" w:cs="Arial" w:eastAsia="Arial" w:hAnsi="Arial"/>
          <w:sz w:val="16"/>
          <w:szCs w:val="16"/>
          <w:color w:val="auto"/>
        </w:rPr>
        <w:t xml:space="preserve">” means a Loan made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w:t>
      </w:r>
    </w:p>
    <w:p>
      <w:pPr>
        <w:spacing w:after="0" w:line="220"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 Laws and Regulations</w:t>
      </w:r>
      <w:r>
        <w:rPr>
          <w:rFonts w:ascii="Arial" w:cs="Arial" w:eastAsia="Arial" w:hAnsi="Arial"/>
          <w:sz w:val="16"/>
          <w:szCs w:val="16"/>
          <w:color w:val="auto"/>
        </w:rPr>
        <w:t>” means (a) any sanctions, prohibitions or requirements imposed by any executive order (an “</w:t>
      </w:r>
      <w:r>
        <w:rPr>
          <w:rFonts w:ascii="Arial" w:cs="Arial" w:eastAsia="Arial" w:hAnsi="Arial"/>
          <w:sz w:val="16"/>
          <w:szCs w:val="16"/>
          <w:u w:val="single" w:color="auto"/>
          <w:color w:val="auto"/>
        </w:rPr>
        <w:t>Executive Order</w:t>
      </w:r>
      <w:r>
        <w:rPr>
          <w:rFonts w:ascii="Arial" w:cs="Arial" w:eastAsia="Arial" w:hAnsi="Arial"/>
          <w:sz w:val="16"/>
          <w:szCs w:val="16"/>
          <w:color w:val="auto"/>
        </w:rPr>
        <w:t>”) or by any sanctions program administered by the U.S. Department of the Treasury Office of Foreign Assets Control (“</w:t>
      </w:r>
      <w:r>
        <w:rPr>
          <w:rFonts w:ascii="Arial" w:cs="Arial" w:eastAsia="Arial" w:hAnsi="Arial"/>
          <w:sz w:val="16"/>
          <w:szCs w:val="16"/>
          <w:u w:val="single" w:color="auto"/>
          <w:color w:val="auto"/>
        </w:rPr>
        <w:t>OFAC</w:t>
      </w:r>
      <w:r>
        <w:rPr>
          <w:rFonts w:ascii="Arial" w:cs="Arial" w:eastAsia="Arial" w:hAnsi="Arial"/>
          <w:sz w:val="16"/>
          <w:szCs w:val="16"/>
          <w:color w:val="auto"/>
        </w:rPr>
        <w:t>”) and (b) any sanctions measures imposed by the United Nations Security Council, European Union or the United Kingdom.</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SDN</w:t>
      </w:r>
      <w:r>
        <w:rPr>
          <w:rFonts w:ascii="Arial" w:cs="Arial" w:eastAsia="Arial" w:hAnsi="Arial"/>
          <w:sz w:val="16"/>
          <w:szCs w:val="16"/>
          <w:color w:val="auto"/>
        </w:rPr>
        <w:t>” has the meaning assigned to such term in the definition of “Designated Person”.</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 of the United States.</w:t>
      </w:r>
    </w:p>
    <w:p>
      <w:pPr>
        <w:spacing w:after="0" w:line="220" w:lineRule="exact"/>
        <w:rPr>
          <w:sz w:val="20"/>
          <w:szCs w:val="20"/>
          <w:color w:val="auto"/>
        </w:rPr>
      </w:pPr>
    </w:p>
    <w:p>
      <w:pPr>
        <w:jc w:val="both"/>
        <w:ind w:firstLine="570"/>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Secured Obligations</w:t>
      </w:r>
      <w:r>
        <w:rPr>
          <w:rFonts w:ascii="Arial" w:cs="Arial" w:eastAsia="Arial" w:hAnsi="Arial"/>
          <w:sz w:val="15"/>
          <w:szCs w:val="15"/>
          <w:color w:val="auto"/>
        </w:rPr>
        <w:t xml:space="preserve">” means all Obligations, together with (a) all Banking Services Obligations and (b) all Swap Obligations owing to one or more Lenders or their respective Affiliates;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the definition of “Secured Obligations” shall not create any guarantee by any Loan Guarantor of (or grant of security interest by any Loan Guarantor to support, as applicable) any Excluded Swap Obligations of such Loan Guarantor for purposes of determining any obligations of such Loan Guarantor.</w:t>
      </w:r>
    </w:p>
    <w:p>
      <w:pPr>
        <w:spacing w:after="0" w:line="172" w:lineRule="exact"/>
        <w:rPr>
          <w:sz w:val="20"/>
          <w:szCs w:val="20"/>
          <w:color w:val="auto"/>
        </w:rPr>
      </w:pPr>
    </w:p>
    <w:p>
      <w:pPr>
        <w:jc w:val="both"/>
        <w:ind w:firstLine="570"/>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Security Agreement</w:t>
      </w:r>
      <w:r>
        <w:rPr>
          <w:rFonts w:ascii="Arial" w:cs="Arial" w:eastAsia="Arial" w:hAnsi="Arial"/>
          <w:sz w:val="15"/>
          <w:szCs w:val="15"/>
          <w:color w:val="auto"/>
        </w:rPr>
        <w:t>” means (a) the Micron Security Agreement, (b) the MSP Security Agreement, in each case, for the benefit of the Administrative Agent and the Lenders and other holders of the Secured Obligations, and (c) any other pledge or security agreement entered into, after the date of this Agreement by any other Loan Party (if required by this Agreement or any other Loan Document) or any other Person, as the same may be amended, restated or otherwise modified from time to time.</w:t>
      </w:r>
    </w:p>
    <w:p>
      <w:pPr>
        <w:spacing w:after="0" w:line="172"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Semiconductor Business</w:t>
      </w:r>
      <w:r>
        <w:rPr>
          <w:rFonts w:ascii="Arial" w:cs="Arial" w:eastAsia="Arial" w:hAnsi="Arial"/>
          <w:sz w:val="16"/>
          <w:szCs w:val="16"/>
          <w:color w:val="auto"/>
        </w:rPr>
        <w:t>” means a business materially engaged in the design, manufacture and sale and licensing of proprietary advanced memory and semiconductor technology.</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2.05(d)</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Settlement Date</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2.05(d)</w:t>
      </w:r>
      <w:r>
        <w:rPr>
          <w:rFonts w:ascii="Arial" w:cs="Arial" w:eastAsia="Arial" w:hAnsi="Arial"/>
          <w:sz w:val="16"/>
          <w:szCs w:val="16"/>
          <w:color w:val="auto"/>
        </w:rPr>
        <w:t>.</w:t>
      </w:r>
    </w:p>
    <w:p>
      <w:pPr>
        <w:spacing w:after="0" w:line="220"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Standby LC Exposure</w:t>
      </w:r>
      <w:r>
        <w:rPr>
          <w:rFonts w:ascii="Arial" w:cs="Arial" w:eastAsia="Arial" w:hAnsi="Arial"/>
          <w:sz w:val="16"/>
          <w:szCs w:val="16"/>
          <w:color w:val="auto"/>
        </w:rPr>
        <w:t xml:space="preserve">” means, at any time, the sum of (a) the aggregate undrawn amount of all outstanding standby Letters of Credit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the aggregate amount of all LC Disbursements relating to standby Letters of Credit that have not yet been reimbursed by or on behalf of the Borrowers. The Standby LC Exposure of any Revolving Lender at any time shall be its Applicable Percentage of the aggregate Standby LC Exposure.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39" w:name="page40"/>
    <w:bookmarkEnd w:id="39"/>
    <w:p>
      <w:pPr>
        <w:jc w:val="both"/>
        <w:ind w:firstLine="570"/>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Statutory Reserve Rate</w:t>
      </w:r>
      <w:r>
        <w:rPr>
          <w:rFonts w:ascii="Arial" w:cs="Arial" w:eastAsia="Arial" w:hAnsi="Arial"/>
          <w:sz w:val="14"/>
          <w:szCs w:val="14"/>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7"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direct or indirect subsidiary of Micron.</w:t>
      </w:r>
    </w:p>
    <w:p>
      <w:pPr>
        <w:spacing w:after="0" w:line="220" w:lineRule="exact"/>
        <w:rPr>
          <w:sz w:val="20"/>
          <w:szCs w:val="20"/>
          <w:color w:val="auto"/>
        </w:rPr>
      </w:pPr>
    </w:p>
    <w:p>
      <w:pPr>
        <w:jc w:val="both"/>
        <w:ind w:firstLine="570"/>
        <w:spacing w:after="0" w:line="25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any Loan Party or its Subsidiaries shall be a Swap Agreement. Notwithstanding the foregoing, no agreement shall constitute a “Swap Agreement” hereunder unless the Borrower Representative has notified the Administrative Agent and the applicable Lender (or Affiliate of a Lender) in a writing signed by a Financial Officer that it has consented to such agreement constituting a “Swap Agreement” hereunder (it being understood that as to a particular agreement, once such consent is granted by the Borrower Representative it shall be irrevocable unless otherwise approved by the Lender or Affiliate counterparty to such agreement).</w:t>
      </w:r>
    </w:p>
    <w:p>
      <w:pPr>
        <w:spacing w:after="0" w:line="195" w:lineRule="exact"/>
        <w:rPr>
          <w:sz w:val="20"/>
          <w:szCs w:val="20"/>
          <w:color w:val="auto"/>
        </w:rPr>
      </w:pPr>
    </w:p>
    <w:p>
      <w:pPr>
        <w:jc w:val="both"/>
        <w:ind w:right="20" w:firstLine="570"/>
        <w:spacing w:after="0" w:line="28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Swap Obligations</w:t>
      </w:r>
      <w:r>
        <w:rPr>
          <w:rFonts w:ascii="Arial" w:cs="Arial" w:eastAsia="Arial" w:hAnsi="Arial"/>
          <w:sz w:val="15"/>
          <w:szCs w:val="15"/>
          <w:color w:val="auto"/>
        </w:rPr>
        <w:t>” of the Loan Parties and their Subsidiaries means any and all obligations of such Loan Party or Subsidiary, whether absolute or contingent and howsoever and whensoever created, arising, evidenced or acquired (including all renewals, extensions and modifications thereof and substitutions therefor), under (a) any and all Swap Agreements, and (b) any and all cancellations, buy backs, reversals, terminations or assignments of any Swap Agreement transaction.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40" w:name="page41"/>
    <w:bookmarkEnd w:id="40"/>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Exposure</w:t>
      </w:r>
      <w:r>
        <w:rPr>
          <w:rFonts w:ascii="Arial" w:cs="Arial" w:eastAsia="Arial" w:hAnsi="Arial"/>
          <w:sz w:val="16"/>
          <w:szCs w:val="16"/>
          <w:color w:val="auto"/>
        </w:rPr>
        <w:t>” means, at any time, the aggregate principal amount of all Swingline Loans outstanding at such time. The Swingline Exposure of any Lender at any time shall be its Applicable Percentage of the aggregate Swingline Exposure at such time.</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Lender</w:t>
      </w:r>
      <w:r>
        <w:rPr>
          <w:rFonts w:ascii="Arial" w:cs="Arial" w:eastAsia="Arial" w:hAnsi="Arial"/>
          <w:sz w:val="16"/>
          <w:szCs w:val="16"/>
          <w:color w:val="auto"/>
        </w:rPr>
        <w:t>” means HSBC, in its capacity as lender of Swingline Loans hereunder.</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Loan</w:t>
      </w:r>
      <w:r>
        <w:rPr>
          <w:rFonts w:ascii="Arial" w:cs="Arial" w:eastAsia="Arial" w:hAnsi="Arial"/>
          <w:sz w:val="16"/>
          <w:szCs w:val="16"/>
          <w:color w:val="auto"/>
        </w:rPr>
        <w:t xml:space="preserve">” has the meaning assigned to such term in </w:t>
      </w:r>
      <w:r>
        <w:rPr>
          <w:rFonts w:ascii="Arial" w:cs="Arial" w:eastAsia="Arial" w:hAnsi="Arial"/>
          <w:sz w:val="16"/>
          <w:szCs w:val="16"/>
          <w:u w:val="single" w:color="auto"/>
          <w:color w:val="auto"/>
        </w:rPr>
        <w:t>Section 2.05(a)</w:t>
      </w:r>
      <w:r>
        <w:rPr>
          <w:rFonts w:ascii="Arial" w:cs="Arial" w:eastAsia="Arial" w:hAnsi="Arial"/>
          <w:sz w:val="16"/>
          <w:szCs w:val="16"/>
          <w:color w:val="auto"/>
        </w:rPr>
        <w:t>.</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Sublimit</w:t>
      </w:r>
      <w:r>
        <w:rPr>
          <w:rFonts w:ascii="Arial" w:cs="Arial" w:eastAsia="Arial" w:hAnsi="Arial"/>
          <w:sz w:val="16"/>
          <w:szCs w:val="16"/>
          <w:color w:val="auto"/>
        </w:rPr>
        <w:t>” means $40,000,000.</w:t>
      </w:r>
    </w:p>
    <w:p>
      <w:pPr>
        <w:spacing w:after="0" w:line="22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present or future taxes, levies, imposts, duties, deductions, withholdings, assessments, fees or other similar charges imposed by any Governmental Authority, including any interest, additions to tax or penalties applicable thereto.</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means the execution, delivery and performance by the Borrowers of this Agreement, the borrowing of Loans and other credit extensions, the use of the proceeds thereof and the issuance of Letters of Credit hereunder.</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Type</w:t>
      </w:r>
      <w:r>
        <w:rPr>
          <w:rFonts w:ascii="Arial" w:cs="Arial" w:eastAsia="Arial" w:hAnsi="Arial"/>
          <w:sz w:val="16"/>
          <w:szCs w:val="16"/>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States</w:t>
      </w:r>
      <w:r>
        <w:rPr>
          <w:rFonts w:ascii="Arial" w:cs="Arial" w:eastAsia="Arial" w:hAnsi="Arial"/>
          <w:sz w:val="16"/>
          <w:szCs w:val="16"/>
          <w:color w:val="auto"/>
        </w:rPr>
        <w:t>” and “</w:t>
      </w:r>
      <w:r>
        <w:rPr>
          <w:rFonts w:ascii="Arial" w:cs="Arial" w:eastAsia="Arial" w:hAnsi="Arial"/>
          <w:sz w:val="16"/>
          <w:szCs w:val="16"/>
          <w:u w:val="single" w:color="auto"/>
          <w:color w:val="auto"/>
        </w:rPr>
        <w:t>U.S.</w:t>
      </w:r>
      <w:r>
        <w:rPr>
          <w:rFonts w:ascii="Arial" w:cs="Arial" w:eastAsia="Arial" w:hAnsi="Arial"/>
          <w:sz w:val="16"/>
          <w:szCs w:val="16"/>
          <w:color w:val="auto"/>
        </w:rPr>
        <w:t>” means the United States of America.</w:t>
      </w:r>
    </w:p>
    <w:p>
      <w:pPr>
        <w:spacing w:after="0" w:line="220"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Unliquidated Obligations</w:t>
      </w:r>
      <w:r>
        <w:rPr>
          <w:rFonts w:ascii="Arial" w:cs="Arial" w:eastAsia="Arial" w:hAnsi="Arial"/>
          <w:sz w:val="16"/>
          <w:szCs w:val="16"/>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 or (b) any other claim asserted in writing against the Administrative Agent, any Lender or their respective Affiliates arising under, and/or with respect to, any Loan Document.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Person</w:t>
      </w:r>
      <w:r>
        <w:rPr>
          <w:rFonts w:ascii="Arial" w:cs="Arial" w:eastAsia="Arial" w:hAnsi="Arial"/>
          <w:sz w:val="16"/>
          <w:szCs w:val="16"/>
          <w:color w:val="auto"/>
        </w:rPr>
        <w:t>” means a “</w:t>
      </w:r>
      <w:r>
        <w:rPr>
          <w:rFonts w:ascii="Arial" w:cs="Arial" w:eastAsia="Arial" w:hAnsi="Arial"/>
          <w:sz w:val="16"/>
          <w:szCs w:val="16"/>
          <w:u w:val="single" w:color="auto"/>
          <w:color w:val="auto"/>
        </w:rPr>
        <w:t>United States person</w:t>
      </w:r>
      <w:r>
        <w:rPr>
          <w:rFonts w:ascii="Arial" w:cs="Arial" w:eastAsia="Arial" w:hAnsi="Arial"/>
          <w:sz w:val="16"/>
          <w:szCs w:val="16"/>
          <w:color w:val="auto"/>
        </w:rPr>
        <w:t>” within the meaning of Section 7701(a)(30) of the Code.</w:t>
      </w:r>
    </w:p>
    <w:p>
      <w:pPr>
        <w:spacing w:after="0" w:line="22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Value</w:t>
      </w:r>
      <w:r>
        <w:rPr>
          <w:rFonts w:ascii="Arial" w:cs="Arial" w:eastAsia="Arial" w:hAnsi="Arial"/>
          <w:sz w:val="16"/>
          <w:szCs w:val="16"/>
          <w:color w:val="auto"/>
        </w:rPr>
        <w:t>” means with respect to the Inventory of a Person, the value of such Inventory determined on the basis of the lower of cost or market, calculated on a first-in, first-out basis by reference to the most recent appraisal of Inventory performed by an appraiser reasonably acceptable to the Administrative Agent.</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Withholding Agent</w:t>
      </w:r>
      <w:r>
        <w:rPr>
          <w:rFonts w:ascii="Arial" w:cs="Arial" w:eastAsia="Arial" w:hAnsi="Arial"/>
          <w:sz w:val="16"/>
          <w:szCs w:val="16"/>
          <w:color w:val="auto"/>
        </w:rPr>
        <w:t>” means any Loan Party and the Administrative Agent.</w:t>
      </w:r>
    </w:p>
    <w:p>
      <w:pPr>
        <w:spacing w:after="0" w:line="244"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1.02.</w:t>
      </w:r>
      <w:r>
        <w:rPr>
          <w:sz w:val="20"/>
          <w:szCs w:val="20"/>
          <w:color w:val="auto"/>
        </w:rPr>
        <w:tab/>
      </w:r>
      <w:r>
        <w:rPr>
          <w:rFonts w:ascii="Arial" w:cs="Arial" w:eastAsia="Arial" w:hAnsi="Arial"/>
          <w:sz w:val="14"/>
          <w:szCs w:val="14"/>
          <w:u w:val="single" w:color="auto"/>
          <w:color w:val="auto"/>
        </w:rPr>
        <w:t>Classification of Loans and Borrowings</w:t>
      </w:r>
      <w:r>
        <w:rPr>
          <w:rFonts w:ascii="Arial" w:cs="Arial" w:eastAsia="Arial" w:hAnsi="Arial"/>
          <w:sz w:val="14"/>
          <w:szCs w:val="14"/>
          <w:color w:val="auto"/>
        </w:rPr>
        <w:t>. For purposes of this Agreement, Loans may be classified and referred to by Class (</w:t>
      </w:r>
      <w:r>
        <w:rPr>
          <w:rFonts w:ascii="Arial" w:cs="Arial" w:eastAsia="Arial" w:hAnsi="Arial"/>
          <w:sz w:val="14"/>
          <w:szCs w:val="14"/>
          <w:u w:val="single" w:color="auto"/>
          <w:color w:val="auto"/>
        </w:rPr>
        <w:t>e.g.</w:t>
      </w:r>
      <w:r>
        <w:rPr>
          <w:rFonts w:ascii="Arial" w:cs="Arial" w:eastAsia="Arial" w:hAnsi="Arial"/>
          <w:sz w:val="14"/>
          <w:szCs w:val="14"/>
          <w:color w:val="auto"/>
        </w:rPr>
        <w:t>, a “Revolving Loan”)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or by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41" w:name="page42"/>
    <w:bookmarkEnd w:id="41"/>
    <w:p>
      <w:pPr>
        <w:jc w:val="both"/>
        <w:ind w:right="20"/>
        <w:spacing w:after="0" w:line="270" w:lineRule="auto"/>
        <w:rPr>
          <w:sz w:val="20"/>
          <w:szCs w:val="20"/>
          <w:color w:val="auto"/>
        </w:rPr>
      </w:pPr>
      <w:r>
        <w:rPr>
          <w:rFonts w:ascii="Arial" w:cs="Arial" w:eastAsia="Arial" w:hAnsi="Arial"/>
          <w:sz w:val="16"/>
          <w:szCs w:val="16"/>
          <w:color w:val="auto"/>
        </w:rPr>
        <w:t>Type (</w:t>
      </w:r>
      <w:r>
        <w:rPr>
          <w:rFonts w:ascii="Arial" w:cs="Arial" w:eastAsia="Arial" w:hAnsi="Arial"/>
          <w:sz w:val="16"/>
          <w:szCs w:val="16"/>
          <w:u w:val="single" w:color="auto"/>
          <w:color w:val="auto"/>
        </w:rPr>
        <w:t>e.g.</w:t>
      </w:r>
      <w:r>
        <w:rPr>
          <w:rFonts w:ascii="Arial" w:cs="Arial" w:eastAsia="Arial" w:hAnsi="Arial"/>
          <w:sz w:val="16"/>
          <w:szCs w:val="16"/>
          <w:color w:val="auto"/>
        </w:rPr>
        <w:t>, a “Eurodollar Loan”) or by Class and Type (</w:t>
      </w:r>
      <w:r>
        <w:rPr>
          <w:rFonts w:ascii="Arial" w:cs="Arial" w:eastAsia="Arial" w:hAnsi="Arial"/>
          <w:sz w:val="16"/>
          <w:szCs w:val="16"/>
          <w:u w:val="single" w:color="auto"/>
          <w:color w:val="auto"/>
        </w:rPr>
        <w:t>e.g.</w:t>
      </w:r>
      <w:r>
        <w:rPr>
          <w:rFonts w:ascii="Arial" w:cs="Arial" w:eastAsia="Arial" w:hAnsi="Arial"/>
          <w:sz w:val="16"/>
          <w:szCs w:val="16"/>
          <w:color w:val="auto"/>
        </w:rPr>
        <w:t>, a “Eurodollar Revolving Loan”). Borrowings also may be classified and referred to by Class (</w:t>
      </w:r>
      <w:r>
        <w:rPr>
          <w:rFonts w:ascii="Arial" w:cs="Arial" w:eastAsia="Arial" w:hAnsi="Arial"/>
          <w:sz w:val="16"/>
          <w:szCs w:val="16"/>
          <w:u w:val="single" w:color="auto"/>
          <w:color w:val="auto"/>
        </w:rPr>
        <w:t>e.g.</w:t>
      </w:r>
      <w:r>
        <w:rPr>
          <w:rFonts w:ascii="Arial" w:cs="Arial" w:eastAsia="Arial" w:hAnsi="Arial"/>
          <w:sz w:val="16"/>
          <w:szCs w:val="16"/>
          <w:color w:val="auto"/>
        </w:rPr>
        <w:t>, a “Revolving Borrowing”) or by Type (</w:t>
      </w:r>
      <w:r>
        <w:rPr>
          <w:rFonts w:ascii="Arial" w:cs="Arial" w:eastAsia="Arial" w:hAnsi="Arial"/>
          <w:sz w:val="16"/>
          <w:szCs w:val="16"/>
          <w:u w:val="single" w:color="auto"/>
          <w:color w:val="auto"/>
        </w:rPr>
        <w:t>e.g.</w:t>
      </w:r>
      <w:r>
        <w:rPr>
          <w:rFonts w:ascii="Arial" w:cs="Arial" w:eastAsia="Arial" w:hAnsi="Arial"/>
          <w:sz w:val="16"/>
          <w:szCs w:val="16"/>
          <w:color w:val="auto"/>
        </w:rPr>
        <w:t>, a “Eurodollar Borrowing”) or by Class and Type (</w:t>
      </w:r>
      <w:r>
        <w:rPr>
          <w:rFonts w:ascii="Arial" w:cs="Arial" w:eastAsia="Arial" w:hAnsi="Arial"/>
          <w:sz w:val="16"/>
          <w:szCs w:val="16"/>
          <w:u w:val="single" w:color="auto"/>
          <w:color w:val="auto"/>
        </w:rPr>
        <w:t>e.g.</w:t>
      </w:r>
      <w:r>
        <w:rPr>
          <w:rFonts w:ascii="Arial" w:cs="Arial" w:eastAsia="Arial" w:hAnsi="Arial"/>
          <w:sz w:val="16"/>
          <w:szCs w:val="16"/>
          <w:color w:val="auto"/>
        </w:rPr>
        <w:t>, a “Eurodollar Revolving Borrowing”).</w:t>
      </w:r>
    </w:p>
    <w:p>
      <w:pPr>
        <w:spacing w:after="0" w:line="204" w:lineRule="exact"/>
        <w:rPr>
          <w:sz w:val="20"/>
          <w:szCs w:val="20"/>
          <w:color w:val="auto"/>
        </w:rPr>
      </w:pPr>
    </w:p>
    <w:p>
      <w:pPr>
        <w:jc w:val="both"/>
        <w:ind w:firstLine="570"/>
        <w:spacing w:after="0" w:line="289" w:lineRule="auto"/>
        <w:rPr>
          <w:sz w:val="20"/>
          <w:szCs w:val="20"/>
          <w:color w:val="auto"/>
        </w:rPr>
      </w:pPr>
      <w:r>
        <w:rPr>
          <w:rFonts w:ascii="Arial" w:cs="Arial" w:eastAsia="Arial" w:hAnsi="Arial"/>
          <w:sz w:val="14"/>
          <w:szCs w:val="14"/>
          <w:color w:val="auto"/>
        </w:rPr>
        <w:t xml:space="preserve">SECTION 1.03. </w:t>
      </w:r>
      <w:r>
        <w:rPr>
          <w:rFonts w:ascii="Arial" w:cs="Arial" w:eastAsia="Arial" w:hAnsi="Arial"/>
          <w:sz w:val="14"/>
          <w:szCs w:val="14"/>
          <w:u w:val="single" w:color="auto"/>
          <w:color w:val="auto"/>
        </w:rPr>
        <w:t>Terms Generally</w:t>
      </w:r>
      <w:r>
        <w:rPr>
          <w:rFonts w:ascii="Arial" w:cs="Arial" w:eastAsia="Arial" w:hAnsi="Arial"/>
          <w:sz w:val="14"/>
          <w:szCs w:val="14"/>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in any definition to the phrase “at any time” or “for any period” shall refer to the same time or period for all calculations or determinations within such definition, and (f) the words “asset” and “property” shall be construed to have the same meaning and effect and to refer to any and all tangible and intangible assets and properties, including cash, securities, accounts and contract rights.</w:t>
      </w:r>
    </w:p>
    <w:p>
      <w:pPr>
        <w:spacing w:after="0" w:line="199" w:lineRule="exact"/>
        <w:rPr>
          <w:sz w:val="20"/>
          <w:szCs w:val="20"/>
          <w:color w:val="auto"/>
        </w:rPr>
      </w:pPr>
    </w:p>
    <w:p>
      <w:pPr>
        <w:jc w:val="both"/>
        <w:ind w:firstLine="570"/>
        <w:spacing w:after="0" w:line="25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herein, all terms of an accounting or financial nature shall be construed in accordance with GAAP, as in effect from time to time; provided that, if after the date hereof, there occurs any change in GAAP or in the application thereof on the operation of any provisions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97"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ARTICLE II</w:t>
      </w:r>
    </w:p>
    <w:p>
      <w:pPr>
        <w:spacing w:after="0" w:line="17" w:lineRule="exact"/>
        <w:rPr>
          <w:sz w:val="20"/>
          <w:szCs w:val="20"/>
          <w:color w:val="auto"/>
        </w:rPr>
      </w:pPr>
    </w:p>
    <w:p>
      <w:pPr>
        <w:ind w:left="5340"/>
        <w:spacing w:after="0"/>
        <w:rPr>
          <w:sz w:val="20"/>
          <w:szCs w:val="20"/>
          <w:color w:val="auto"/>
        </w:rPr>
      </w:pPr>
      <w:r>
        <w:rPr>
          <w:rFonts w:ascii="Arial" w:cs="Arial" w:eastAsia="Arial" w:hAnsi="Arial"/>
          <w:sz w:val="16"/>
          <w:szCs w:val="16"/>
          <w:u w:val="single" w:color="auto"/>
          <w:color w:val="auto"/>
        </w:rPr>
        <w:t>The Credits</w:t>
      </w:r>
    </w:p>
    <w:p>
      <w:pPr>
        <w:spacing w:after="0" w:line="233"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2.01.</w:t>
      </w:r>
      <w:r>
        <w:rPr>
          <w:sz w:val="20"/>
          <w:szCs w:val="20"/>
          <w:color w:val="auto"/>
        </w:rPr>
        <w:tab/>
      </w:r>
      <w:r>
        <w:rPr>
          <w:rFonts w:ascii="Arial" w:cs="Arial" w:eastAsia="Arial" w:hAnsi="Arial"/>
          <w:sz w:val="14"/>
          <w:szCs w:val="14"/>
          <w:u w:val="single" w:color="auto"/>
          <w:color w:val="auto"/>
        </w:rPr>
        <w:t>Revolving Commitment</w:t>
      </w:r>
      <w:r>
        <w:rPr>
          <w:rFonts w:ascii="Arial" w:cs="Arial" w:eastAsia="Arial" w:hAnsi="Arial"/>
          <w:sz w:val="14"/>
          <w:szCs w:val="14"/>
          <w:color w:val="auto"/>
        </w:rPr>
        <w:t>. Subject to the terms and conditions set forth herein, each Lender severally agrees to make Revolving Loans in Dollars to the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Borrowers from time to time during the Availability Period in an aggregate principal amount such that, after giving effect to any Borrowing of Revolving Loans: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42" w:name="page43"/>
    <w:bookmarkEnd w:id="42"/>
    <w:p>
      <w:pPr>
        <w:ind w:left="940" w:hanging="375"/>
        <w:spacing w:after="0"/>
        <w:tabs>
          <w:tab w:leader="none" w:pos="9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Revolving Exposure of any Lender plus its Applicable Percentage of Protective Advances would not exceed such Lender’s Revolving Commitment; and</w:t>
      </w:r>
    </w:p>
    <w:p>
      <w:pPr>
        <w:spacing w:after="0" w:line="255" w:lineRule="exact"/>
        <w:rPr>
          <w:rFonts w:ascii="Arial" w:cs="Arial" w:eastAsia="Arial" w:hAnsi="Arial"/>
          <w:sz w:val="15"/>
          <w:szCs w:val="15"/>
          <w:color w:val="auto"/>
        </w:rPr>
      </w:pPr>
    </w:p>
    <w:p>
      <w:pPr>
        <w:ind w:firstLine="565"/>
        <w:spacing w:after="0" w:line="270" w:lineRule="auto"/>
        <w:tabs>
          <w:tab w:leader="none" w:pos="9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Aggregate Revolving Exposure shall not exceed the lesser of (x) the sum of the Aggregate Revolving Commitments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the Availability Block and (y) the Borrowing Base;</w:t>
      </w:r>
    </w:p>
    <w:p>
      <w:pPr>
        <w:spacing w:after="0" w:line="180"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 xml:space="preserve">subject, in the case of clause (b) above, to the Administrative Agent’s, authority, as applicable, in its sole discretion, to make Protective Advances and Overadvances pursuant to the terms of </w:t>
      </w:r>
      <w:r>
        <w:rPr>
          <w:rFonts w:ascii="Arial" w:cs="Arial" w:eastAsia="Arial" w:hAnsi="Arial"/>
          <w:sz w:val="15"/>
          <w:szCs w:val="15"/>
          <w:u w:val="single" w:color="auto"/>
          <w:color w:val="auto"/>
        </w:rPr>
        <w:t>Sections 2.04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2.05</w:t>
      </w:r>
      <w:r>
        <w:rPr>
          <w:rFonts w:ascii="Arial" w:cs="Arial" w:eastAsia="Arial" w:hAnsi="Arial"/>
          <w:sz w:val="15"/>
          <w:szCs w:val="15"/>
          <w:color w:val="auto"/>
        </w:rPr>
        <w:t xml:space="preserve"> (the limitations in the foregoing clauses (a) and (b), collectively referred to herein as, the “</w:t>
      </w:r>
      <w:r>
        <w:rPr>
          <w:rFonts w:ascii="Arial" w:cs="Arial" w:eastAsia="Arial" w:hAnsi="Arial"/>
          <w:sz w:val="15"/>
          <w:szCs w:val="15"/>
          <w:u w:val="single" w:color="auto"/>
          <w:color w:val="auto"/>
        </w:rPr>
        <w:t>Revolving Exposure Limitations</w:t>
      </w:r>
      <w:r>
        <w:rPr>
          <w:rFonts w:ascii="Arial" w:cs="Arial" w:eastAsia="Arial" w:hAnsi="Arial"/>
          <w:sz w:val="15"/>
          <w:szCs w:val="15"/>
          <w:color w:val="auto"/>
        </w:rPr>
        <w:t>”). Within the Revolving Exposure Limitations and subject to the terms and conditions set forth herein, the Borrowers may borrow, prepay and reborrow Revolving Loans.</w:t>
      </w:r>
    </w:p>
    <w:p>
      <w:pPr>
        <w:spacing w:after="0" w:line="195"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Loans and Borrowings</w:t>
      </w:r>
      <w:r>
        <w:rPr>
          <w:rFonts w:ascii="Arial" w:cs="Arial" w:eastAsia="Arial" w:hAnsi="Arial"/>
          <w:sz w:val="16"/>
          <w:szCs w:val="16"/>
          <w:color w:val="auto"/>
        </w:rPr>
        <w:t xml:space="preserve">. (a) Each Loan (other than a Swingline Loan) shall be made as part of a Borrowing consisting of Loans of the same Class and Type made by the Lenders ratably in accordance with their respective Commitments. Each Protective Advance, Overadvance and Swingline Loan shall be made in accordance with the procedures set forth in </w:t>
      </w:r>
      <w:r>
        <w:rPr>
          <w:rFonts w:ascii="Arial" w:cs="Arial" w:eastAsia="Arial" w:hAnsi="Arial"/>
          <w:sz w:val="16"/>
          <w:szCs w:val="16"/>
          <w:u w:val="single" w:color="auto"/>
          <w:color w:val="auto"/>
        </w:rPr>
        <w:t>Sections 2.04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2.05</w:t>
      </w:r>
      <w:r>
        <w:rPr>
          <w:rFonts w:ascii="Arial" w:cs="Arial" w:eastAsia="Arial" w:hAnsi="Arial"/>
          <w:sz w:val="16"/>
          <w:szCs w:val="16"/>
          <w:color w:val="auto"/>
        </w:rPr>
        <w:t>, respectively.</w:t>
      </w:r>
    </w:p>
    <w:p>
      <w:pPr>
        <w:spacing w:after="0" w:line="212" w:lineRule="exact"/>
        <w:rPr>
          <w:sz w:val="20"/>
          <w:szCs w:val="20"/>
          <w:color w:val="auto"/>
        </w:rPr>
      </w:pPr>
    </w:p>
    <w:p>
      <w:pPr>
        <w:jc w:val="both"/>
        <w:ind w:right="20" w:firstLine="565"/>
        <w:spacing w:after="0" w:line="253"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each Revolving Borrowing shall be comprised entirely of ABR Loans or Eurodollar Loans, as applicable, and as the Borrower Representative may request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Borrowings made on the Effective Date must be made as ABR Borrowings but may be converted into Eurodollar Borrowings in accordance with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Each Swingline Loan shall be an ABR Loan. Each Lender at its option may make any Eurodollar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Borrowers to repay such Loan in accordance with the terms of this Agreement.</w:t>
      </w:r>
    </w:p>
    <w:p>
      <w:pPr>
        <w:spacing w:after="0" w:line="217" w:lineRule="exact"/>
        <w:rPr>
          <w:rFonts w:ascii="Arial" w:cs="Arial" w:eastAsia="Arial" w:hAnsi="Arial"/>
          <w:sz w:val="16"/>
          <w:szCs w:val="16"/>
          <w:color w:val="auto"/>
        </w:rPr>
      </w:pPr>
    </w:p>
    <w:p>
      <w:pPr>
        <w:jc w:val="both"/>
        <w:ind w:right="20" w:firstLine="565"/>
        <w:spacing w:after="0" w:line="259" w:lineRule="auto"/>
        <w:tabs>
          <w:tab w:leader="none" w:pos="936"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Eurodollar Revolving Borrowing, such Borrowing shall be in an aggregate amount that is an integral multiple of $1,000,000 and not less than $5,000,000. ABR Revolving Borrowings may be in any amount. Borrowings of more than one Type and Class may be outstanding at the same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there shall not at any time be more than a total of fifteen (15) Eurodollar Borrowings outstanding.</w:t>
      </w:r>
    </w:p>
    <w:p>
      <w:pPr>
        <w:spacing w:after="0" w:line="212" w:lineRule="exact"/>
        <w:rPr>
          <w:rFonts w:ascii="Arial" w:cs="Arial" w:eastAsia="Arial" w:hAnsi="Arial"/>
          <w:sz w:val="16"/>
          <w:szCs w:val="16"/>
          <w:color w:val="auto"/>
        </w:rPr>
      </w:pPr>
    </w:p>
    <w:p>
      <w:pPr>
        <w:ind w:firstLine="565"/>
        <w:spacing w:after="0" w:line="270" w:lineRule="auto"/>
        <w:tabs>
          <w:tab w:leader="none" w:pos="9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204" w:lineRule="exact"/>
        <w:rPr>
          <w:sz w:val="20"/>
          <w:szCs w:val="20"/>
          <w:color w:val="auto"/>
        </w:rPr>
      </w:pPr>
    </w:p>
    <w:p>
      <w:pPr>
        <w:jc w:val="both"/>
        <w:ind w:right="20" w:firstLine="570"/>
        <w:spacing w:after="0" w:line="277" w:lineRule="auto"/>
        <w:rPr>
          <w:sz w:val="20"/>
          <w:szCs w:val="20"/>
          <w:color w:val="auto"/>
        </w:rPr>
      </w:pPr>
      <w:r>
        <w:rPr>
          <w:rFonts w:ascii="Arial" w:cs="Arial" w:eastAsia="Arial" w:hAnsi="Arial"/>
          <w:sz w:val="15"/>
          <w:szCs w:val="15"/>
          <w:color w:val="auto"/>
        </w:rPr>
        <w:t xml:space="preserve">SECTION 2.03. </w:t>
      </w:r>
      <w:r>
        <w:rPr>
          <w:rFonts w:ascii="Arial" w:cs="Arial" w:eastAsia="Arial" w:hAnsi="Arial"/>
          <w:sz w:val="15"/>
          <w:szCs w:val="15"/>
          <w:u w:val="single" w:color="auto"/>
          <w:color w:val="auto"/>
        </w:rPr>
        <w:t>Requests for Revolving Borrowings</w:t>
      </w:r>
      <w:r>
        <w:rPr>
          <w:rFonts w:ascii="Arial" w:cs="Arial" w:eastAsia="Arial" w:hAnsi="Arial"/>
          <w:sz w:val="15"/>
          <w:szCs w:val="15"/>
          <w:color w:val="auto"/>
        </w:rPr>
        <w:t xml:space="preserve">. To request a Revolving Borrowing, the Borrower Representative shall notify the Administrative Agent of such request in writing (delivered by hand, facsimile or .pdf transmission) in a form reasonably acceptable to the Administrative Agent and signed by the Borrower Representative not later than (a) in the case of a Eurodollar Borrowing, 11:00 a.m., Local Time, three Business Days before the date of the proposed Borrowing or (b) in the case of an ABR Borrowing, 1:00 p.m., Local Time, on the date of the proposed Borrowing;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such notice of an ABR Revolving Borrowing to</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43" w:name="page44"/>
    <w:bookmarkEnd w:id="43"/>
    <w:p>
      <w:pPr>
        <w:spacing w:after="0"/>
        <w:rPr>
          <w:sz w:val="20"/>
          <w:szCs w:val="20"/>
          <w:color w:val="auto"/>
        </w:rPr>
      </w:pPr>
      <w:r>
        <w:rPr>
          <w:rFonts w:ascii="Arial" w:cs="Arial" w:eastAsia="Arial" w:hAnsi="Arial"/>
          <w:sz w:val="15"/>
          <w:szCs w:val="15"/>
          <w:color w:val="auto"/>
        </w:rPr>
        <w:t xml:space="preserve">finance the reimbursement of an LC Disbursement as contemplated by </w:t>
      </w:r>
      <w:r>
        <w:rPr>
          <w:rFonts w:ascii="Arial" w:cs="Arial" w:eastAsia="Arial" w:hAnsi="Arial"/>
          <w:sz w:val="15"/>
          <w:szCs w:val="15"/>
          <w:u w:val="single" w:color="auto"/>
          <w:color w:val="auto"/>
        </w:rPr>
        <w:t>Section 2.06(e)</w:t>
      </w:r>
      <w:r>
        <w:rPr>
          <w:rFonts w:ascii="Arial" w:cs="Arial" w:eastAsia="Arial" w:hAnsi="Arial"/>
          <w:sz w:val="15"/>
          <w:szCs w:val="15"/>
          <w:color w:val="auto"/>
        </w:rPr>
        <w:t xml:space="preserve"> may be given not later than 10:00 a.m., Local Time, on the date of the proposed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Borrowing. Each such Borrowing Request shall be irrevocable. Each such written Borrowing Request shall specify the following information in compliance with </w:t>
      </w:r>
      <w:r>
        <w:rPr>
          <w:rFonts w:ascii="Arial" w:cs="Arial" w:eastAsia="Arial" w:hAnsi="Arial"/>
          <w:sz w:val="15"/>
          <w:szCs w:val="15"/>
          <w:u w:val="single" w:color="auto"/>
          <w:color w:val="auto"/>
        </w:rPr>
        <w:t>Section 2.01</w:t>
      </w:r>
      <w:r>
        <w:rPr>
          <w:rFonts w:ascii="Arial" w:cs="Arial" w:eastAsia="Arial" w:hAnsi="Arial"/>
          <w:sz w:val="15"/>
          <w:szCs w:val="15"/>
          <w:color w:val="auto"/>
        </w:rPr>
        <w:t>:</w:t>
      </w:r>
    </w:p>
    <w:p>
      <w:pPr>
        <w:spacing w:after="0" w:line="244" w:lineRule="exact"/>
        <w:rPr>
          <w:sz w:val="20"/>
          <w:szCs w:val="20"/>
          <w:color w:val="auto"/>
        </w:rPr>
      </w:pPr>
    </w:p>
    <w:p>
      <w:pPr>
        <w:ind w:left="2040" w:hanging="335"/>
        <w:spacing w:after="0"/>
        <w:tabs>
          <w:tab w:leader="none" w:pos="2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name of the applicable Borrower(s);</w:t>
      </w:r>
    </w:p>
    <w:p>
      <w:pPr>
        <w:spacing w:after="0" w:line="243" w:lineRule="exact"/>
        <w:rPr>
          <w:rFonts w:ascii="Arial" w:cs="Arial" w:eastAsia="Arial" w:hAnsi="Arial"/>
          <w:sz w:val="16"/>
          <w:szCs w:val="16"/>
          <w:color w:val="auto"/>
        </w:rPr>
      </w:pPr>
    </w:p>
    <w:p>
      <w:pPr>
        <w:ind w:left="2080" w:hanging="375"/>
        <w:spacing w:after="0"/>
        <w:tabs>
          <w:tab w:leader="none" w:pos="2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aggregate amount of the requested Borrowing and a breakdown of the separate wires comprising such Borrowing;</w:t>
      </w:r>
    </w:p>
    <w:p>
      <w:pPr>
        <w:spacing w:after="0" w:line="243" w:lineRule="exact"/>
        <w:rPr>
          <w:rFonts w:ascii="Arial" w:cs="Arial" w:eastAsia="Arial" w:hAnsi="Arial"/>
          <w:sz w:val="16"/>
          <w:szCs w:val="16"/>
          <w:color w:val="auto"/>
        </w:rPr>
      </w:pPr>
    </w:p>
    <w:p>
      <w:pPr>
        <w:ind w:left="2140" w:hanging="435"/>
        <w:spacing w:after="0"/>
        <w:tabs>
          <w:tab w:leader="none" w:pos="21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date of such Borrowing, which shall be a Business Day;</w:t>
      </w:r>
    </w:p>
    <w:p>
      <w:pPr>
        <w:spacing w:after="0" w:line="243" w:lineRule="exact"/>
        <w:rPr>
          <w:rFonts w:ascii="Arial" w:cs="Arial" w:eastAsia="Arial" w:hAnsi="Arial"/>
          <w:sz w:val="16"/>
          <w:szCs w:val="16"/>
          <w:color w:val="auto"/>
        </w:rPr>
      </w:pPr>
    </w:p>
    <w:p>
      <w:pPr>
        <w:ind w:left="2120" w:hanging="415"/>
        <w:spacing w:after="0"/>
        <w:tabs>
          <w:tab w:leader="none" w:pos="2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whether such Borrowing is to be an ABR Borrowing or a Eurodollar Borrowing; and</w:t>
      </w:r>
    </w:p>
    <w:p>
      <w:pPr>
        <w:spacing w:after="0" w:line="243" w:lineRule="exact"/>
        <w:rPr>
          <w:rFonts w:ascii="Arial" w:cs="Arial" w:eastAsia="Arial" w:hAnsi="Arial"/>
          <w:sz w:val="16"/>
          <w:szCs w:val="16"/>
          <w:color w:val="auto"/>
        </w:rPr>
      </w:pPr>
    </w:p>
    <w:p>
      <w:pPr>
        <w:ind w:left="560" w:firstLine="1145"/>
        <w:spacing w:after="0" w:line="270" w:lineRule="auto"/>
        <w:tabs>
          <w:tab w:leader="none" w:pos="20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a Eurodollar Borrowing, the initial Interest Period to be applicable thereto, which shall be a period contemplated by the definition of the term “Interest Period.”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no election as to the Type of Revolving Borrowing is specified, then the requested Revolving Borrowing shall be an ABR Borrowing. If no Interest Period is specified with respect to any requested Eurodollar Revolving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216" w:lineRule="exact"/>
        <w:rPr>
          <w:sz w:val="20"/>
          <w:szCs w:val="20"/>
          <w:color w:val="auto"/>
        </w:rPr>
      </w:pPr>
    </w:p>
    <w:p>
      <w:pPr>
        <w:jc w:val="both"/>
        <w:ind w:firstLine="570"/>
        <w:spacing w:after="0" w:line="289" w:lineRule="auto"/>
        <w:rPr>
          <w:sz w:val="20"/>
          <w:szCs w:val="20"/>
          <w:color w:val="auto"/>
        </w:rPr>
      </w:pPr>
      <w:r>
        <w:rPr>
          <w:rFonts w:ascii="Arial" w:cs="Arial" w:eastAsia="Arial" w:hAnsi="Arial"/>
          <w:sz w:val="14"/>
          <w:szCs w:val="14"/>
          <w:color w:val="auto"/>
        </w:rPr>
        <w:t xml:space="preserve">SECTION 2.04. </w:t>
      </w:r>
      <w:r>
        <w:rPr>
          <w:rFonts w:ascii="Arial" w:cs="Arial" w:eastAsia="Arial" w:hAnsi="Arial"/>
          <w:sz w:val="14"/>
          <w:szCs w:val="14"/>
          <w:u w:val="single" w:color="auto"/>
          <w:color w:val="auto"/>
        </w:rPr>
        <w:t>Protective Advances</w:t>
      </w:r>
      <w:r>
        <w:rPr>
          <w:rFonts w:ascii="Arial" w:cs="Arial" w:eastAsia="Arial" w:hAnsi="Arial"/>
          <w:sz w:val="14"/>
          <w:szCs w:val="14"/>
          <w:color w:val="auto"/>
        </w:rPr>
        <w:t xml:space="preserve">. (a) 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Borrower Representative consents to or which the Administrative Agent, in its Permitted Discretion, deems necessary or desirable (i) to preserve or protect the Collateral or any portion thereof at any time a Default exists (or would exist absent the making of such Loan), (ii) to prevent the occurrence of a Default, or (iii) to pay any other amount chargeable to or required to be paid by the Borrowers pursuant to the terms of this Agreement, including payments of reimbursable expenses (including costs, fees, and expenses as described in </w:t>
      </w:r>
      <w:r>
        <w:rPr>
          <w:rFonts w:ascii="Arial" w:cs="Arial" w:eastAsia="Arial" w:hAnsi="Arial"/>
          <w:sz w:val="14"/>
          <w:szCs w:val="14"/>
          <w:u w:val="single" w:color="auto"/>
          <w:color w:val="auto"/>
        </w:rPr>
        <w:t>Section 9.03</w:t>
      </w:r>
      <w:r>
        <w:rPr>
          <w:rFonts w:ascii="Arial" w:cs="Arial" w:eastAsia="Arial" w:hAnsi="Arial"/>
          <w:sz w:val="14"/>
          <w:szCs w:val="14"/>
          <w:color w:val="auto"/>
        </w:rPr>
        <w:t>) and other sums payable under the Loan Documents, in each case, at any time a Default exists (or would exist absent the making of such Loan) (any of such Loans are herein referred to as “</w:t>
      </w:r>
      <w:r>
        <w:rPr>
          <w:rFonts w:ascii="Arial" w:cs="Arial" w:eastAsia="Arial" w:hAnsi="Arial"/>
          <w:sz w:val="14"/>
          <w:szCs w:val="14"/>
          <w:u w:val="single" w:color="auto"/>
          <w:color w:val="auto"/>
        </w:rPr>
        <w:t>Protective Advances</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(x) the aggregate amount of Protective Advances outstanding at any time shall not at any time exceed an amount equal to 5% of the Aggregate Revolving Commitments and (y) the aggregate amount of outstanding Protective Advances plus the Aggregate Revolving Exposure shall not exceed the Aggregate Revolving Commitments. Protective Advances may be made even if the conditions precedent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have not been satisfied. The Protective Advances shall be secured by the Liens in favor of the Administrative Agent in and to the Collateral and shall constitute Obligations hereunder. All Protective Advances shall be ABR Borrowings. The Administrative Agent’s authorization to make Protective Advances may be revoked at any time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44" w:name="page45"/>
    <w:bookmarkEnd w:id="44"/>
    <w:p>
      <w:pPr>
        <w:jc w:val="both"/>
        <w:ind w:right="20"/>
        <w:spacing w:after="0" w:line="255" w:lineRule="auto"/>
        <w:rPr>
          <w:sz w:val="20"/>
          <w:szCs w:val="20"/>
          <w:color w:val="auto"/>
        </w:rPr>
      </w:pPr>
      <w:r>
        <w:rPr>
          <w:rFonts w:ascii="Arial" w:cs="Arial" w:eastAsia="Arial" w:hAnsi="Arial"/>
          <w:sz w:val="16"/>
          <w:szCs w:val="16"/>
          <w:color w:val="auto"/>
        </w:rPr>
        <w:t xml:space="preserve">upon written notice from the Required Lenders to the Administrative Agent and the Borrowers, and any such written notice of revocation by the Required Lenders shall become effective prospectively upon the Administrative Agent’s receipt thereof. At any time that there is sufficient Availability and the conditions precedent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have been satisfied, the Administrative Agent may request the Lenders to make a Revolving Loan to repay a Protective Advance. At any other time the Administrative Agent may require the Lenders to fund their risk participations described in </w:t>
      </w:r>
      <w:r>
        <w:rPr>
          <w:rFonts w:ascii="Arial" w:cs="Arial" w:eastAsia="Arial" w:hAnsi="Arial"/>
          <w:sz w:val="16"/>
          <w:szCs w:val="16"/>
          <w:u w:val="single" w:color="auto"/>
          <w:color w:val="auto"/>
        </w:rPr>
        <w:t>Section 2.04(b)</w:t>
      </w:r>
      <w:r>
        <w:rPr>
          <w:rFonts w:ascii="Arial" w:cs="Arial" w:eastAsia="Arial" w:hAnsi="Arial"/>
          <w:sz w:val="16"/>
          <w:szCs w:val="16"/>
          <w:color w:val="auto"/>
        </w:rPr>
        <w:t>.</w:t>
      </w:r>
    </w:p>
    <w:p>
      <w:pPr>
        <w:spacing w:after="0" w:line="216" w:lineRule="exact"/>
        <w:rPr>
          <w:sz w:val="20"/>
          <w:szCs w:val="20"/>
          <w:color w:val="auto"/>
        </w:rPr>
      </w:pPr>
    </w:p>
    <w:p>
      <w:pPr>
        <w:jc w:val="both"/>
        <w:ind w:firstLine="565"/>
        <w:spacing w:after="0" w:line="298" w:lineRule="auto"/>
        <w:tabs>
          <w:tab w:leader="none" w:pos="945" w:val="left"/>
        </w:tabs>
        <w:numPr>
          <w:ilvl w:val="0"/>
          <w:numId w:val="23"/>
        </w:numPr>
        <w:rPr>
          <w:rFonts w:ascii="Arial" w:cs="Arial" w:eastAsia="Arial" w:hAnsi="Arial"/>
          <w:sz w:val="14"/>
          <w:szCs w:val="14"/>
          <w:color w:val="auto"/>
        </w:rPr>
      </w:pPr>
      <w:r>
        <w:rPr>
          <w:rFonts w:ascii="Arial" w:cs="Arial" w:eastAsia="Arial" w:hAnsi="Arial"/>
          <w:sz w:val="14"/>
          <w:szCs w:val="14"/>
          <w:color w:val="auto"/>
        </w:rPr>
        <w:t>Upon the making of a Protective Advance by the Administrative Agent (whether before or after the occurrence of a Default), in accordance with the terms hereof,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88" w:lineRule="exact"/>
        <w:rPr>
          <w:sz w:val="20"/>
          <w:szCs w:val="20"/>
          <w:color w:val="auto"/>
        </w:rPr>
      </w:pPr>
    </w:p>
    <w:p>
      <w:pPr>
        <w:jc w:val="right"/>
        <w:spacing w:after="0"/>
        <w:tabs>
          <w:tab w:leader="none" w:pos="2300" w:val="left"/>
        </w:tabs>
        <w:rPr>
          <w:sz w:val="20"/>
          <w:szCs w:val="20"/>
          <w:color w:val="auto"/>
        </w:rPr>
      </w:pPr>
      <w:r>
        <w:rPr>
          <w:rFonts w:ascii="Arial" w:cs="Arial" w:eastAsia="Arial" w:hAnsi="Arial"/>
          <w:sz w:val="16"/>
          <w:szCs w:val="16"/>
          <w:color w:val="auto"/>
        </w:rPr>
        <w:t>SECTION 2.05.</w:t>
      </w:r>
      <w:r>
        <w:rPr>
          <w:sz w:val="20"/>
          <w:szCs w:val="20"/>
          <w:color w:val="auto"/>
        </w:rPr>
        <w:tab/>
      </w:r>
      <w:r>
        <w:rPr>
          <w:rFonts w:ascii="Arial" w:cs="Arial" w:eastAsia="Arial" w:hAnsi="Arial"/>
          <w:sz w:val="14"/>
          <w:szCs w:val="14"/>
          <w:u w:val="single" w:color="auto"/>
          <w:color w:val="auto"/>
        </w:rPr>
        <w:t>Swingline Loans and Overadvances</w:t>
      </w:r>
      <w:r>
        <w:rPr>
          <w:rFonts w:ascii="Arial" w:cs="Arial" w:eastAsia="Arial" w:hAnsi="Arial"/>
          <w:sz w:val="14"/>
          <w:szCs w:val="14"/>
          <w:color w:val="auto"/>
        </w:rPr>
        <w:t>.</w:t>
      </w:r>
    </w:p>
    <w:p>
      <w:pPr>
        <w:spacing w:after="0" w:line="244" w:lineRule="exact"/>
        <w:rPr>
          <w:sz w:val="20"/>
          <w:szCs w:val="20"/>
          <w:color w:val="auto"/>
        </w:rPr>
      </w:pPr>
    </w:p>
    <w:p>
      <w:pPr>
        <w:jc w:val="both"/>
        <w:ind w:firstLine="565"/>
        <w:spacing w:after="0" w:line="270" w:lineRule="auto"/>
        <w:tabs>
          <w:tab w:leader="none" w:pos="936"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The Administrative Agent, the Swingline Lender and the Revolving Lenders agree that in order to facilitate the administration of this Agreement and the other Loan Documents, promptly after the Borrower Representative requests an ABR Borrowing, the Swingline Lender may elect to have the terms of this </w:t>
      </w:r>
      <w:r>
        <w:rPr>
          <w:rFonts w:ascii="Arial" w:cs="Arial" w:eastAsia="Arial" w:hAnsi="Arial"/>
          <w:sz w:val="15"/>
          <w:szCs w:val="15"/>
          <w:u w:val="single" w:color="auto"/>
          <w:color w:val="auto"/>
        </w:rPr>
        <w:t>Section 2.05(a)</w:t>
      </w:r>
      <w:r>
        <w:rPr>
          <w:rFonts w:ascii="Arial" w:cs="Arial" w:eastAsia="Arial" w:hAnsi="Arial"/>
          <w:sz w:val="15"/>
          <w:szCs w:val="15"/>
          <w:color w:val="auto"/>
        </w:rPr>
        <w:t xml:space="preserve"> apply to such Borrowing Request by advancing, on behalf of the Revolving Lenders and in the amount requested, same day funds to the Borrowers, on the applicable Borrowing date to the Funding Account of the Borrowers (each such Loan made solely by the Swingline Lender pursuant to this </w:t>
      </w:r>
      <w:r>
        <w:rPr>
          <w:rFonts w:ascii="Arial" w:cs="Arial" w:eastAsia="Arial" w:hAnsi="Arial"/>
          <w:sz w:val="15"/>
          <w:szCs w:val="15"/>
          <w:u w:val="single" w:color="auto"/>
          <w:color w:val="auto"/>
        </w:rPr>
        <w:t>Section 2.05(a)</w:t>
      </w:r>
      <w:r>
        <w:rPr>
          <w:rFonts w:ascii="Arial" w:cs="Arial" w:eastAsia="Arial" w:hAnsi="Arial"/>
          <w:sz w:val="15"/>
          <w:szCs w:val="15"/>
          <w:color w:val="auto"/>
        </w:rPr>
        <w:t xml:space="preserve"> is referred to in this Agreement as a “</w:t>
      </w:r>
      <w:r>
        <w:rPr>
          <w:rFonts w:ascii="Arial" w:cs="Arial" w:eastAsia="Arial" w:hAnsi="Arial"/>
          <w:sz w:val="15"/>
          <w:szCs w:val="15"/>
          <w:u w:val="single" w:color="auto"/>
          <w:color w:val="auto"/>
        </w:rPr>
        <w:t>Swingline Loan</w:t>
      </w:r>
      <w:r>
        <w:rPr>
          <w:rFonts w:ascii="Arial" w:cs="Arial" w:eastAsia="Arial" w:hAnsi="Arial"/>
          <w:sz w:val="15"/>
          <w:szCs w:val="15"/>
          <w:color w:val="auto"/>
        </w:rPr>
        <w:t xml:space="preserve">”), with settlement among them as to the Swingline Loans to take place on a periodic basis as set forth in </w:t>
      </w:r>
      <w:r>
        <w:rPr>
          <w:rFonts w:ascii="Arial" w:cs="Arial" w:eastAsia="Arial" w:hAnsi="Arial"/>
          <w:sz w:val="15"/>
          <w:szCs w:val="15"/>
          <w:u w:val="single" w:color="auto"/>
          <w:color w:val="auto"/>
        </w:rPr>
        <w:t>Section 2.05(d)</w:t>
      </w:r>
      <w:r>
        <w:rPr>
          <w:rFonts w:ascii="Arial" w:cs="Arial" w:eastAsia="Arial" w:hAnsi="Arial"/>
          <w:sz w:val="15"/>
          <w:szCs w:val="15"/>
          <w:color w:val="auto"/>
        </w:rPr>
        <w:t>. Each Swingline Loan shall be subject to all the terms and conditions applicable to other ABR Loans funded by the Revolving Lenders, except that all payments thereon shall be payable to the Swingline Lender solely for its own account. In addition, no Swingline Loan shall be made if, after giving effect thereto, (x) the Borrowers would not be in compliance with the Revolving Exposure Limitations, or (y) the aggregate principal amount of the outstanding Swingline Loans would exceed the Swingline Sublimit.</w:t>
      </w:r>
    </w:p>
    <w:p>
      <w:pPr>
        <w:spacing w:after="0" w:line="205" w:lineRule="exact"/>
        <w:rPr>
          <w:rFonts w:ascii="Arial" w:cs="Arial" w:eastAsia="Arial" w:hAnsi="Arial"/>
          <w:sz w:val="15"/>
          <w:szCs w:val="15"/>
          <w:color w:val="auto"/>
        </w:rPr>
      </w:pPr>
    </w:p>
    <w:p>
      <w:pPr>
        <w:jc w:val="both"/>
        <w:ind w:firstLine="565"/>
        <w:spacing w:after="0" w:line="252" w:lineRule="auto"/>
        <w:tabs>
          <w:tab w:leader="none" w:pos="94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provision of this Agreement to the contrary notwithstanding, at the request of the Borrower Representative, the Administrative Agent may in its sole discretion (but with absolutely no obligation), or at the direction of the Required Lenders, make Revolving Loans to the Borrowers, on behalf of the Lenders, in amounts that exceed Availability (any such excess Revolving Loans to the Borrowers are herein referred to collectively as “</w:t>
      </w:r>
      <w:r>
        <w:rPr>
          <w:rFonts w:ascii="Arial" w:cs="Arial" w:eastAsia="Arial" w:hAnsi="Arial"/>
          <w:sz w:val="16"/>
          <w:szCs w:val="16"/>
          <w:u w:val="single" w:color="auto"/>
          <w:color w:val="auto"/>
        </w:rPr>
        <w:t>Overadvances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Overadvance shall result in a Default due to any Borrower’s failure to comply with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for so long as such Overadvance remains outstanding in accordance with the terms of this paragraph, but solely with respect to the amount of such Overadvance. In addition, Overadvances may be made even if the conditions precedent set forth in </w:t>
      </w:r>
      <w:r>
        <w:rPr>
          <w:rFonts w:ascii="Arial" w:cs="Arial" w:eastAsia="Arial" w:hAnsi="Arial"/>
          <w:sz w:val="16"/>
          <w:szCs w:val="16"/>
          <w:u w:val="single" w:color="auto"/>
          <w:color w:val="auto"/>
        </w:rPr>
        <w:t>Section 4.02(c)</w:t>
      </w:r>
      <w:r>
        <w:rPr>
          <w:rFonts w:ascii="Arial" w:cs="Arial" w:eastAsia="Arial" w:hAnsi="Arial"/>
          <w:sz w:val="16"/>
          <w:szCs w:val="16"/>
          <w:color w:val="auto"/>
        </w:rPr>
        <w:t xml:space="preserve"> have not been satisfied. All Overadvances shall constitute ABR Borrowings. The authority of the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45" w:name="page46"/>
    <w:bookmarkEnd w:id="45"/>
    <w:p>
      <w:pPr>
        <w:jc w:val="both"/>
        <w:spacing w:after="0" w:line="252" w:lineRule="auto"/>
        <w:rPr>
          <w:sz w:val="20"/>
          <w:szCs w:val="20"/>
          <w:color w:val="auto"/>
        </w:rPr>
      </w:pPr>
      <w:r>
        <w:rPr>
          <w:rFonts w:ascii="Arial" w:cs="Arial" w:eastAsia="Arial" w:hAnsi="Arial"/>
          <w:sz w:val="16"/>
          <w:szCs w:val="16"/>
          <w:color w:val="auto"/>
        </w:rPr>
        <w:t xml:space="preserve">Administrative Agent to make Overadvances is limited to an aggregate amount not to exceed an amount equal to 5% of the Aggregate Revolving Commitments at any time. No Overadvance (x) may remain outstanding for more than thirty days, (y) shall cause any Lender’s Revolving Exposure plus its participation in Protective Advances to exceed its Revolving Commitment, and (z) shall cause the Aggregate Revolving Exposure plus outstanding Protective Advances to exceed the Aggregate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Required Lenders may at any time revoke the Administrative Agent’s authorization to make Overadvances upon written notice from the Required Lenders to the Administrative Agent and the Borrowers and any such written notice of revocation by the Required Lenders shall become effective prospectively upon the Administrative Agent’s receipt thereof.</w:t>
      </w:r>
    </w:p>
    <w:p>
      <w:pPr>
        <w:spacing w:after="0" w:line="219" w:lineRule="exact"/>
        <w:rPr>
          <w:sz w:val="20"/>
          <w:szCs w:val="20"/>
          <w:color w:val="auto"/>
        </w:rPr>
      </w:pPr>
    </w:p>
    <w:p>
      <w:pPr>
        <w:jc w:val="both"/>
        <w:ind w:firstLine="565"/>
        <w:spacing w:after="0" w:line="293" w:lineRule="auto"/>
        <w:tabs>
          <w:tab w:leader="none" w:pos="948" w:val="left"/>
        </w:tabs>
        <w:numPr>
          <w:ilvl w:val="0"/>
          <w:numId w:val="25"/>
        </w:numPr>
        <w:rPr>
          <w:rFonts w:ascii="Arial" w:cs="Arial" w:eastAsia="Arial" w:hAnsi="Arial"/>
          <w:sz w:val="14"/>
          <w:szCs w:val="14"/>
          <w:color w:val="auto"/>
        </w:rPr>
      </w:pPr>
      <w:r>
        <w:rPr>
          <w:rFonts w:ascii="Arial" w:cs="Arial" w:eastAsia="Arial" w:hAnsi="Arial"/>
          <w:sz w:val="14"/>
          <w:szCs w:val="14"/>
          <w:color w:val="auto"/>
        </w:rPr>
        <w:t>Upon the making of a Swingline Loan or an Overadvance (whether before or after the occurrence of a Default and regardless of whether a Settlement has been requested with respect to such Swingline Loan or Overadvance), each Revolving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Revolving Commitment. The Swingline Lender or the Administrative Agent may, at any time, require the Lenders to fund their participations. From and after the date, if any, on which any Revolving Lender is required to fund its participation in any Swingline Loan or Overadvance purchased hereunder, the Administrative Agent shall promptly distribute to such Lender, such Lender’s Applicable Percentage of all payments of principal and interest and all proceeds of Collateral (in accordance with the terms set forth herein) received by the Administrative Agent in respect of such Loan.</w:t>
      </w:r>
    </w:p>
    <w:p>
      <w:pPr>
        <w:spacing w:after="0" w:line="191" w:lineRule="exact"/>
        <w:rPr>
          <w:rFonts w:ascii="Arial" w:cs="Arial" w:eastAsia="Arial" w:hAnsi="Arial"/>
          <w:sz w:val="14"/>
          <w:szCs w:val="14"/>
          <w:color w:val="auto"/>
        </w:rPr>
      </w:pPr>
    </w:p>
    <w:p>
      <w:pPr>
        <w:jc w:val="both"/>
        <w:ind w:firstLine="565"/>
        <w:spacing w:after="0" w:line="290" w:lineRule="auto"/>
        <w:tabs>
          <w:tab w:leader="none" w:pos="945"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Administrative Agent, on behalf of the Swingline Lender, shall request settlement (a “</w:t>
      </w:r>
      <w:r>
        <w:rPr>
          <w:rFonts w:ascii="Arial" w:cs="Arial" w:eastAsia="Arial" w:hAnsi="Arial"/>
          <w:sz w:val="14"/>
          <w:szCs w:val="14"/>
          <w:u w:val="single" w:color="auto"/>
          <w:color w:val="auto"/>
        </w:rPr>
        <w:t>Settlement</w:t>
      </w:r>
      <w:r>
        <w:rPr>
          <w:rFonts w:ascii="Arial" w:cs="Arial" w:eastAsia="Arial" w:hAnsi="Arial"/>
          <w:sz w:val="14"/>
          <w:szCs w:val="14"/>
          <w:color w:val="auto"/>
        </w:rPr>
        <w:t>”) with the Revolving Lenders on at least a weekly basis or on any other date that the Administrative Agent elects, by notifying the Revolving Lenders of such requested Settlement by facsimile or e-mail no later than 1:00 p.m., Local Time, on the date of such requested Settlement (the “</w:t>
      </w:r>
      <w:r>
        <w:rPr>
          <w:rFonts w:ascii="Arial" w:cs="Arial" w:eastAsia="Arial" w:hAnsi="Arial"/>
          <w:sz w:val="14"/>
          <w:szCs w:val="14"/>
          <w:u w:val="single" w:color="auto"/>
          <w:color w:val="auto"/>
        </w:rPr>
        <w:t>Settlement Date</w:t>
      </w:r>
      <w:r>
        <w:rPr>
          <w:rFonts w:ascii="Arial" w:cs="Arial" w:eastAsia="Arial" w:hAnsi="Arial"/>
          <w:sz w:val="14"/>
          <w:szCs w:val="14"/>
          <w:color w:val="auto"/>
        </w:rPr>
        <w:t xml:space="preserve">”). Each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3:00 p.m., Local Time, on such Settlement Date. Settlements may occur during the existence of a Default and whether or not the applicable conditions precedent set forth in </w:t>
      </w:r>
      <w:r>
        <w:rPr>
          <w:rFonts w:ascii="Arial" w:cs="Arial" w:eastAsia="Arial" w:hAnsi="Arial"/>
          <w:sz w:val="14"/>
          <w:szCs w:val="14"/>
          <w:u w:val="single" w:color="auto"/>
          <w:color w:val="auto"/>
        </w:rPr>
        <w:t>Section 4.02</w:t>
      </w:r>
      <w:r>
        <w:rPr>
          <w:rFonts w:ascii="Arial" w:cs="Arial" w:eastAsia="Arial" w:hAnsi="Arial"/>
          <w:sz w:val="14"/>
          <w:szCs w:val="14"/>
          <w:color w:val="auto"/>
        </w:rPr>
        <w:t xml:space="preserve"> have then been satisfied. Such amounts transferred to the Administrative Agent shall be applied against the amounts of the Swingline Lender’s Swingline Loans and, together with the Swingline Lender’s Applicable Percentage of such Swingline Loan, shall constitute Revolving Loans of such Revolving Lenders, respectively. If any such amount is not transferred to the Administrative Agent by any Revolving Lender on such Settlement Date, the Swingline Lender shall be entitled to recover from such Lender on demand such amount, together with interest thereon, as specified in </w:t>
      </w:r>
      <w:r>
        <w:rPr>
          <w:rFonts w:ascii="Arial" w:cs="Arial" w:eastAsia="Arial" w:hAnsi="Arial"/>
          <w:sz w:val="14"/>
          <w:szCs w:val="14"/>
          <w:u w:val="single" w:color="auto"/>
          <w:color w:val="auto"/>
        </w:rPr>
        <w:t>Section 2.07</w:t>
      </w:r>
      <w:r>
        <w:rPr>
          <w:rFonts w:ascii="Arial" w:cs="Arial" w:eastAsia="Arial" w:hAnsi="Arial"/>
          <w:sz w:val="14"/>
          <w:szCs w:val="14"/>
          <w:color w:val="auto"/>
        </w:rPr>
        <w:t>.</w:t>
      </w:r>
    </w:p>
    <w:p>
      <w:pPr>
        <w:spacing w:after="0" w:line="197"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(a)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terms and conditions set forth herein, the Borrower Representative may request the issuance of Letters of Credit for its own account or for the account of another Borrower, in a form reasonably acceptable to the Administrative Agent and the Issuing Bank, at any time and from time to time during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46" w:name="page47"/>
    <w:bookmarkEnd w:id="46"/>
    <w:p>
      <w:pPr>
        <w:jc w:val="both"/>
        <w:spacing w:after="0" w:line="259" w:lineRule="auto"/>
        <w:rPr>
          <w:sz w:val="20"/>
          <w:szCs w:val="20"/>
          <w:color w:val="auto"/>
        </w:rPr>
      </w:pPr>
      <w:r>
        <w:rPr>
          <w:rFonts w:ascii="Arial" w:cs="Arial" w:eastAsia="Arial" w:hAnsi="Arial"/>
          <w:sz w:val="16"/>
          <w:szCs w:val="16"/>
          <w:color w:val="auto"/>
        </w:rPr>
        <w:t>Availability Period. In the event of any inconsistency between the terms and conditions of this Agreement and the terms and conditions of any form of letter of credit application or other agreement submitted by the Borrowers to, or entered into by the Borrowers with, the Issuing Bank relating to any Letter of Credit, the terms and conditions of this Agreement shall control.</w:t>
      </w:r>
    </w:p>
    <w:p>
      <w:pPr>
        <w:spacing w:after="0" w:line="212" w:lineRule="exact"/>
        <w:rPr>
          <w:sz w:val="20"/>
          <w:szCs w:val="20"/>
          <w:color w:val="auto"/>
        </w:rPr>
      </w:pPr>
    </w:p>
    <w:p>
      <w:pPr>
        <w:jc w:val="both"/>
        <w:ind w:firstLine="565"/>
        <w:spacing w:after="0" w:line="268" w:lineRule="auto"/>
        <w:tabs>
          <w:tab w:leader="none" w:pos="945"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Notice of Issuance, Amendment, Renewal, Extension; Certain Conditions</w:t>
      </w:r>
      <w:r>
        <w:rPr>
          <w:rFonts w:ascii="Arial" w:cs="Arial" w:eastAsia="Arial" w:hAnsi="Arial"/>
          <w:sz w:val="15"/>
          <w:szCs w:val="15"/>
          <w:color w:val="auto"/>
        </w:rPr>
        <w:t>. To request the issuance of a Letter of Credit (or the amendment, renewal or extension of an outstanding Letter of Credit), the Borrower Representative shall deliver by hand or facsimile (or transmit by electronic communication, if arrangements for doing so have been approved by the Issuing Bank) to the Issuing Bank and the Administrative Agent (prior to 10:00 a.m. Local Time, three Business Days prior to the requested date of issuance, amendment, renewal or extension) a notice requesting the issuance of a Letter of Credit together with the Letter of Credit to be issued (where applicable) which shall be in agreed form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the Issuing Bank, the applicable Borrower also shall submit a letter of credit application on the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LC Exposure shall not exceed $100,000,000, and (ii) the Borrowers shall be in compliance with the Revolving Exposure Limitations.</w:t>
      </w:r>
    </w:p>
    <w:p>
      <w:pPr>
        <w:spacing w:after="0" w:line="209" w:lineRule="exact"/>
        <w:rPr>
          <w:rFonts w:ascii="Arial" w:cs="Arial" w:eastAsia="Arial" w:hAnsi="Arial"/>
          <w:sz w:val="15"/>
          <w:szCs w:val="15"/>
          <w:color w:val="auto"/>
        </w:rPr>
      </w:pPr>
    </w:p>
    <w:p>
      <w:pPr>
        <w:ind w:right="20" w:firstLine="565"/>
        <w:spacing w:after="0" w:line="343" w:lineRule="auto"/>
        <w:tabs>
          <w:tab w:leader="none" w:pos="936" w:val="left"/>
        </w:tabs>
        <w:numPr>
          <w:ilvl w:val="0"/>
          <w:numId w:val="26"/>
        </w:numPr>
        <w:rPr>
          <w:rFonts w:ascii="Arial" w:cs="Arial" w:eastAsia="Arial" w:hAnsi="Arial"/>
          <w:sz w:val="14"/>
          <w:szCs w:val="14"/>
          <w:color w:val="auto"/>
        </w:rPr>
      </w:pPr>
      <w:r>
        <w:rPr>
          <w:rFonts w:ascii="Arial" w:cs="Arial" w:eastAsia="Arial" w:hAnsi="Arial"/>
          <w:sz w:val="14"/>
          <w:szCs w:val="14"/>
          <w:u w:val="single" w:color="auto"/>
          <w:color w:val="auto"/>
        </w:rPr>
        <w:t>Expiration Date</w:t>
      </w:r>
      <w:r>
        <w:rPr>
          <w:rFonts w:ascii="Arial" w:cs="Arial" w:eastAsia="Arial" w:hAnsi="Arial"/>
          <w:sz w:val="14"/>
          <w:szCs w:val="14"/>
          <w:color w:val="auto"/>
        </w:rPr>
        <w:t>.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Maturity Date.</w:t>
      </w:r>
    </w:p>
    <w:p>
      <w:pPr>
        <w:spacing w:after="0" w:line="157" w:lineRule="exact"/>
        <w:rPr>
          <w:rFonts w:ascii="Arial" w:cs="Arial" w:eastAsia="Arial" w:hAnsi="Arial"/>
          <w:sz w:val="14"/>
          <w:szCs w:val="14"/>
          <w:color w:val="auto"/>
        </w:rPr>
      </w:pPr>
    </w:p>
    <w:p>
      <w:pPr>
        <w:jc w:val="both"/>
        <w:ind w:firstLine="565"/>
        <w:spacing w:after="0" w:line="269" w:lineRule="auto"/>
        <w:tabs>
          <w:tab w:leader="none" w:pos="945"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Participations</w:t>
      </w:r>
      <w:r>
        <w:rPr>
          <w:rFonts w:ascii="Arial" w:cs="Arial" w:eastAsia="Arial" w:hAnsi="Arial"/>
          <w:sz w:val="15"/>
          <w:szCs w:val="15"/>
          <w:color w:val="auto"/>
        </w:rPr>
        <w:t>. By the issuance of a Letter of Credit (or an amendment to a Letter of Credit increasing the amount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Lender’s Applicable Percentage of each LC Disbursement made by the Issuing Bank and not reimbursed by the Borrowers on the date due as provided in paragraph (e) of this Section, or of any reimbursement payment required to be refunded to the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47" w:name="page48"/>
    <w:bookmarkEnd w:id="47"/>
    <w:p>
      <w:pPr>
        <w:jc w:val="both"/>
        <w:ind w:firstLine="565"/>
        <w:spacing w:after="0" w:line="287" w:lineRule="auto"/>
        <w:tabs>
          <w:tab w:leader="none" w:pos="948"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Reimbursement</w:t>
      </w:r>
      <w:r>
        <w:rPr>
          <w:rFonts w:ascii="Arial" w:cs="Arial" w:eastAsia="Arial" w:hAnsi="Arial"/>
          <w:sz w:val="14"/>
          <w:szCs w:val="14"/>
          <w:color w:val="auto"/>
        </w:rPr>
        <w:t xml:space="preserve">. If the Issuing Bank shall make any LC Disbursement in respect of a Letter of Credit, the Borrowers shall reimburse such LC Disbursement by paying to the Administrative Agent an amount equal to such LC Disbursement (i) not later than 12:00 p.m., Local Time, on the date that such LC Disbursement is made, if the Borrower Representative shall have received notice of such LC Disbursement prior to 10:00 a.m., Local Time, on such date, or, (ii) if such notice has not been received by the Borrower Representative prior to such time on such date, then not later than 12:00 p.m., Local Time, on (A) the Business Day that the Borrower Representative receives such notice, if such notice is received prior to 10:00 a.m., Local Time, on the day of receipt, or (B) the Business Day immediately following the day that the Borrower Representative receives such notice, if such notice is not received prior to such time on the day of receipt; provided that, the Borrowers may, subject to the conditions to borrowing set forth herein, request in accordance with </w:t>
      </w:r>
      <w:r>
        <w:rPr>
          <w:rFonts w:ascii="Arial" w:cs="Arial" w:eastAsia="Arial" w:hAnsi="Arial"/>
          <w:sz w:val="14"/>
          <w:szCs w:val="14"/>
          <w:u w:val="single" w:color="auto"/>
          <w:color w:val="auto"/>
        </w:rPr>
        <w:t>Section 2.03</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2.05</w:t>
      </w:r>
      <w:r>
        <w:rPr>
          <w:rFonts w:ascii="Arial" w:cs="Arial" w:eastAsia="Arial" w:hAnsi="Arial"/>
          <w:sz w:val="14"/>
          <w:szCs w:val="14"/>
          <w:color w:val="auto"/>
        </w:rPr>
        <w:t xml:space="preserve">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w:t>
      </w:r>
      <w:r>
        <w:rPr>
          <w:rFonts w:ascii="Arial" w:cs="Arial" w:eastAsia="Arial" w:hAnsi="Arial"/>
          <w:sz w:val="14"/>
          <w:szCs w:val="14"/>
          <w:u w:val="single" w:color="auto"/>
          <w:color w:val="auto"/>
        </w:rPr>
        <w:t>Section 2.07</w:t>
      </w:r>
      <w:r>
        <w:rPr>
          <w:rFonts w:ascii="Arial" w:cs="Arial" w:eastAsia="Arial" w:hAnsi="Arial"/>
          <w:sz w:val="14"/>
          <w:szCs w:val="14"/>
          <w:color w:val="auto"/>
        </w:rPr>
        <w:t xml:space="preserve"> with respect to Loans made by such Lender (and </w:t>
      </w:r>
      <w:r>
        <w:rPr>
          <w:rFonts w:ascii="Arial" w:cs="Arial" w:eastAsia="Arial" w:hAnsi="Arial"/>
          <w:sz w:val="14"/>
          <w:szCs w:val="14"/>
          <w:u w:val="single" w:color="auto"/>
          <w:color w:val="auto"/>
        </w:rPr>
        <w:t>Section 2.07</w:t>
      </w:r>
      <w:r>
        <w:rPr>
          <w:rFonts w:ascii="Arial" w:cs="Arial" w:eastAsia="Arial" w:hAnsi="Arial"/>
          <w:sz w:val="14"/>
          <w:szCs w:val="14"/>
          <w:color w:val="auto"/>
        </w:rPr>
        <w:t xml:space="preserve"> shall apply, mutatis mutandis,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a Swingline Loan as contemplated above) shall not constitute a Loan and shall not relieve the Borrowers (or any Loan Guarantor) of their respective obligations to reimburse such LC Disbursement.</w:t>
      </w:r>
    </w:p>
    <w:p>
      <w:pPr>
        <w:spacing w:after="0" w:line="195" w:lineRule="exact"/>
        <w:rPr>
          <w:rFonts w:ascii="Arial" w:cs="Arial" w:eastAsia="Arial" w:hAnsi="Arial"/>
          <w:sz w:val="14"/>
          <w:szCs w:val="14"/>
          <w:color w:val="auto"/>
        </w:rPr>
      </w:pPr>
    </w:p>
    <w:p>
      <w:pPr>
        <w:jc w:val="both"/>
        <w:ind w:firstLine="565"/>
        <w:spacing w:after="0" w:line="250" w:lineRule="auto"/>
        <w:tabs>
          <w:tab w:leader="none" w:pos="93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Borrowers’ joint and several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the Issuing Bank, nor any of their Related Parties, shall have any liability or responsibility by reason of or in connection with the issuance or transfer of any Letter of Credit or any payment or failure to make any payment thereunder (irrespective of any of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48" w:name="page49"/>
    <w:bookmarkEnd w:id="48"/>
    <w:p>
      <w:pPr>
        <w:jc w:val="both"/>
        <w:spacing w:after="0" w:line="289" w:lineRule="auto"/>
        <w:rPr>
          <w:sz w:val="20"/>
          <w:szCs w:val="20"/>
          <w:color w:val="auto"/>
        </w:rPr>
      </w:pPr>
      <w:r>
        <w:rPr>
          <w:rFonts w:ascii="Arial" w:cs="Arial" w:eastAsia="Arial" w:hAnsi="Arial"/>
          <w:sz w:val="14"/>
          <w:szCs w:val="14"/>
          <w:color w:val="auto"/>
        </w:rPr>
        <w:t>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provided that the foregoing shall not be construed to excuse the Issuing Bank from liability to the Borrowers to the extent of any direct damages (as opposed to consequential damages, claims in respect of which are hereby waived by the Borrowers to the extent permitted by applicable law) suffered by any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9" w:lineRule="exact"/>
        <w:rPr>
          <w:sz w:val="20"/>
          <w:szCs w:val="20"/>
          <w:color w:val="auto"/>
        </w:rPr>
      </w:pPr>
    </w:p>
    <w:p>
      <w:pPr>
        <w:jc w:val="both"/>
        <w:ind w:firstLine="565"/>
        <w:spacing w:after="0" w:line="277" w:lineRule="auto"/>
        <w:tabs>
          <w:tab w:leader="none" w:pos="957"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Disbursement Procedures</w:t>
      </w:r>
      <w:r>
        <w:rPr>
          <w:rFonts w:ascii="Arial" w:cs="Arial" w:eastAsia="Arial" w:hAnsi="Arial"/>
          <w:sz w:val="15"/>
          <w:szCs w:val="15"/>
          <w:color w:val="auto"/>
        </w:rPr>
        <w:t xml:space="preserve">. The Issuing Bank shall, promptly following its receipt thereof, examine all documents purporting to represent a demand for payment under a Letter of Credit. The Issuing Bank shall promptly notify the Administrative Agent and the applicable Borrower by telephone (confirmed by facsimile or .pdf transmission) of such demand for payment and whether the Issuing Bank has made or will make an LC Disbursement thereunder;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any failure to give or delay in giving such notice shall not relieve the Borrowers of their obligation to reimburse the Issuing Bank and the Revolving Lenders with respect to any such LC Disbursement.</w:t>
      </w:r>
    </w:p>
    <w:p>
      <w:pPr>
        <w:spacing w:after="0" w:line="201" w:lineRule="exact"/>
        <w:rPr>
          <w:rFonts w:ascii="Arial" w:cs="Arial" w:eastAsia="Arial" w:hAnsi="Arial"/>
          <w:sz w:val="15"/>
          <w:szCs w:val="15"/>
          <w:color w:val="auto"/>
        </w:rPr>
      </w:pPr>
    </w:p>
    <w:p>
      <w:pPr>
        <w:jc w:val="both"/>
        <w:ind w:firstLine="565"/>
        <w:spacing w:after="0" w:line="252" w:lineRule="auto"/>
        <w:tabs>
          <w:tab w:leader="none" w:pos="94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the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Borrowers fail to reimburse such LC Disbursement when due pursuant to paragraph (e) of this Section, then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shall apply. Interest accrued pursuant to this paragraph shall be for the account of the Issuing Bank, except that interest accrued on and after the date of payment by any Revolving Lender pursuant to paragraph (e) of this Section to reimburse the Issuing Bank shall be for the account of such Lender to the extent of such payment.</w:t>
      </w:r>
    </w:p>
    <w:p>
      <w:pPr>
        <w:spacing w:after="0" w:line="218" w:lineRule="exact"/>
        <w:rPr>
          <w:rFonts w:ascii="Arial" w:cs="Arial" w:eastAsia="Arial" w:hAnsi="Arial"/>
          <w:sz w:val="16"/>
          <w:szCs w:val="16"/>
          <w:color w:val="auto"/>
        </w:rPr>
      </w:pPr>
    </w:p>
    <w:p>
      <w:pPr>
        <w:jc w:val="both"/>
        <w:ind w:firstLine="565"/>
        <w:spacing w:after="0" w:line="255" w:lineRule="auto"/>
        <w:tabs>
          <w:tab w:leader="none" w:pos="92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Replacement of the Issuing Bank</w:t>
      </w:r>
      <w:r>
        <w:rPr>
          <w:rFonts w:ascii="Arial" w:cs="Arial" w:eastAsia="Arial" w:hAnsi="Arial"/>
          <w:sz w:val="16"/>
          <w:szCs w:val="16"/>
          <w:color w:val="auto"/>
        </w:rPr>
        <w:t xml:space="preserve">. The Issuing Bank may be replaced at any time by written agreement among the Borrower Representative, the Administrative Agent, the replaced Issuing Bank and the successor Issuing Bank. The Administrative Agent shall notify the Revolving Lenders of any such replacement of the Issuing Bank. At the time any such replacement shall become effective, the Borrowers shall pay all unpaid fees accrued for the account of the replaced Issuing Bank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2.12(b)</w:t>
      </w:r>
      <w:r>
        <w:rPr>
          <w:rFonts w:ascii="Arial" w:cs="Arial" w:eastAsia="Arial" w:hAnsi="Arial"/>
          <w:sz w:val="16"/>
          <w:szCs w:val="16"/>
          <w:color w:val="auto"/>
        </w:rPr>
        <w:t>. From and after the effective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49" w:name="page50"/>
    <w:bookmarkEnd w:id="49"/>
    <w:p>
      <w:pPr>
        <w:jc w:val="both"/>
        <w:spacing w:after="0" w:line="253" w:lineRule="auto"/>
        <w:rPr>
          <w:sz w:val="20"/>
          <w:szCs w:val="20"/>
          <w:color w:val="auto"/>
        </w:rPr>
      </w:pPr>
      <w:r>
        <w:rPr>
          <w:rFonts w:ascii="Arial" w:cs="Arial" w:eastAsia="Arial" w:hAnsi="Arial"/>
          <w:sz w:val="16"/>
          <w:szCs w:val="16"/>
          <w:color w:val="auto"/>
        </w:rPr>
        <w:t>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218" w:lineRule="exact"/>
        <w:rPr>
          <w:sz w:val="20"/>
          <w:szCs w:val="20"/>
          <w:color w:val="auto"/>
        </w:rPr>
      </w:pPr>
    </w:p>
    <w:p>
      <w:pPr>
        <w:jc w:val="both"/>
        <w:ind w:firstLine="565"/>
        <w:spacing w:after="0" w:line="287" w:lineRule="auto"/>
        <w:tabs>
          <w:tab w:leader="none" w:pos="921"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Cash Collateralization</w:t>
      </w:r>
      <w:r>
        <w:rPr>
          <w:rFonts w:ascii="Arial" w:cs="Arial" w:eastAsia="Arial" w:hAnsi="Arial"/>
          <w:sz w:val="14"/>
          <w:szCs w:val="14"/>
          <w:color w:val="auto"/>
        </w:rPr>
        <w:t>.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or if any of the other provisions hereof require cash collateralization (or, on the Business Day on or immediately following the maturity of the Loans if the Loans have been accelerated, without any further notice) the Borrowers shall deposit in an account with the Administrative Agent, in the name of the Administrative Agent and for the benefit of the Revolving Lenders (the “</w:t>
      </w:r>
      <w:r>
        <w:rPr>
          <w:rFonts w:ascii="Arial" w:cs="Arial" w:eastAsia="Arial" w:hAnsi="Arial"/>
          <w:sz w:val="14"/>
          <w:szCs w:val="14"/>
          <w:u w:val="single" w:color="auto"/>
          <w:color w:val="auto"/>
        </w:rPr>
        <w:t>LC Collateral Account</w:t>
      </w:r>
      <w:r>
        <w:rPr>
          <w:rFonts w:ascii="Arial" w:cs="Arial" w:eastAsia="Arial" w:hAnsi="Arial"/>
          <w:sz w:val="14"/>
          <w:szCs w:val="14"/>
          <w:color w:val="auto"/>
        </w:rPr>
        <w:t xml:space="preserve">”), an amount in cash equal to 103% of the LC Exposure as of such date plus accrued and unpaid interest thereon;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(g) or (h) of Article VII.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Borrowers hereby grant the Administrative Agent a security interest in the LC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Business Days after all such Events of Default have been cured or waived as confirmed in writing by the Administrative Agent.</w:t>
      </w:r>
    </w:p>
    <w:p>
      <w:pPr>
        <w:spacing w:after="0" w:line="197" w:lineRule="exact"/>
        <w:rPr>
          <w:rFonts w:ascii="Arial" w:cs="Arial" w:eastAsia="Arial" w:hAnsi="Arial"/>
          <w:sz w:val="14"/>
          <w:szCs w:val="14"/>
          <w:color w:val="auto"/>
        </w:rPr>
      </w:pPr>
    </w:p>
    <w:p>
      <w:pPr>
        <w:jc w:val="both"/>
        <w:ind w:firstLine="565"/>
        <w:spacing w:after="0" w:line="277" w:lineRule="auto"/>
        <w:tabs>
          <w:tab w:leader="none" w:pos="957"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Issuing Bank Reports to the Administrative Agent</w:t>
      </w:r>
      <w:r>
        <w:rPr>
          <w:rFonts w:ascii="Arial" w:cs="Arial" w:eastAsia="Arial" w:hAnsi="Arial"/>
          <w:sz w:val="15"/>
          <w:szCs w:val="15"/>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 and all disbursements and reimbursements, (ii) reasonably prior to the time that such Issuing Bank issues, amends, renews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50" w:name="page51"/>
    <w:bookmarkEnd w:id="50"/>
    <w:p>
      <w:pPr>
        <w:jc w:val="both"/>
        <w:ind w:right="160"/>
        <w:spacing w:after="0" w:line="274" w:lineRule="auto"/>
        <w:rPr>
          <w:sz w:val="20"/>
          <w:szCs w:val="20"/>
          <w:color w:val="auto"/>
        </w:rPr>
      </w:pPr>
      <w:r>
        <w:rPr>
          <w:rFonts w:ascii="Arial" w:cs="Arial" w:eastAsia="Arial" w:hAnsi="Arial"/>
          <w:sz w:val="15"/>
          <w:szCs w:val="15"/>
          <w:color w:val="auto"/>
        </w:rPr>
        <w:t>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203" w:lineRule="exact"/>
        <w:rPr>
          <w:sz w:val="20"/>
          <w:szCs w:val="20"/>
          <w:color w:val="auto"/>
        </w:rPr>
      </w:pPr>
    </w:p>
    <w:p>
      <w:pPr>
        <w:jc w:val="both"/>
        <w:ind w:right="20" w:firstLine="570"/>
        <w:spacing w:after="0" w:line="272" w:lineRule="auto"/>
        <w:rPr>
          <w:sz w:val="20"/>
          <w:szCs w:val="20"/>
          <w:color w:val="auto"/>
        </w:rPr>
      </w:pPr>
      <w:r>
        <w:rPr>
          <w:rFonts w:ascii="Arial" w:cs="Arial" w:eastAsia="Arial" w:hAnsi="Arial"/>
          <w:sz w:val="15"/>
          <w:szCs w:val="15"/>
          <w:color w:val="auto"/>
        </w:rPr>
        <w:t xml:space="preserve">SECTION 2.07. </w:t>
      </w:r>
      <w:r>
        <w:rPr>
          <w:rFonts w:ascii="Arial" w:cs="Arial" w:eastAsia="Arial" w:hAnsi="Arial"/>
          <w:sz w:val="15"/>
          <w:szCs w:val="15"/>
          <w:u w:val="single" w:color="auto"/>
          <w:color w:val="auto"/>
        </w:rPr>
        <w:t>Funding of Borrowings</w:t>
      </w:r>
      <w:r>
        <w:rPr>
          <w:rFonts w:ascii="Arial" w:cs="Arial" w:eastAsia="Arial" w:hAnsi="Arial"/>
          <w:sz w:val="15"/>
          <w:szCs w:val="15"/>
          <w:color w:val="auto"/>
        </w:rPr>
        <w:t xml:space="preserve">. (a) Each Lender shall make each Loan to be made by such Lender hereunder in an amount equal to such Lender’s Applicable Percentage on the proposed date thereof by wire transfer of immediately available funds by 2:00 p.m., Local Time, to the account of the Administrative Agent most recently designated by it for such purpose by notice to the Lenders; provided, however, Swingline Loans shall be made as provided in </w:t>
      </w:r>
      <w:r>
        <w:rPr>
          <w:rFonts w:ascii="Arial" w:cs="Arial" w:eastAsia="Arial" w:hAnsi="Arial"/>
          <w:sz w:val="15"/>
          <w:szCs w:val="15"/>
          <w:u w:val="single" w:color="auto"/>
          <w:color w:val="auto"/>
        </w:rPr>
        <w:t>Section 2.05</w:t>
      </w:r>
      <w:r>
        <w:rPr>
          <w:rFonts w:ascii="Arial" w:cs="Arial" w:eastAsia="Arial" w:hAnsi="Arial"/>
          <w:sz w:val="15"/>
          <w:szCs w:val="15"/>
          <w:color w:val="auto"/>
        </w:rPr>
        <w:t xml:space="preserve">. The Administrative Agent will make such Loans available to the Borrower Representative by promptly crediting the amounts so received, in like funds, to the Funding Account; provided that ABR Revolving Loans made to finance the reimbursement of (i) an LC Disbursement as provided in </w:t>
      </w:r>
      <w:r>
        <w:rPr>
          <w:rFonts w:ascii="Arial" w:cs="Arial" w:eastAsia="Arial" w:hAnsi="Arial"/>
          <w:sz w:val="15"/>
          <w:szCs w:val="15"/>
          <w:u w:val="single" w:color="auto"/>
          <w:color w:val="auto"/>
        </w:rPr>
        <w:t>Section 2.06(e)</w:t>
      </w:r>
      <w:r>
        <w:rPr>
          <w:rFonts w:ascii="Arial" w:cs="Arial" w:eastAsia="Arial" w:hAnsi="Arial"/>
          <w:sz w:val="15"/>
          <w:szCs w:val="15"/>
          <w:color w:val="auto"/>
        </w:rPr>
        <w:t xml:space="preserve"> shall be remitted by the Administrative Agent to the Issuing Bank and (ii) a Protective Advance or an Overadvance shall be retained by the Administrative Agent and disbursed in its discretion.</w:t>
      </w:r>
    </w:p>
    <w:p>
      <w:pPr>
        <w:spacing w:after="0" w:line="205" w:lineRule="exact"/>
        <w:rPr>
          <w:sz w:val="20"/>
          <w:szCs w:val="20"/>
          <w:color w:val="auto"/>
        </w:rPr>
      </w:pPr>
    </w:p>
    <w:p>
      <w:pPr>
        <w:jc w:val="both"/>
        <w:ind w:firstLine="565"/>
        <w:spacing w:after="0" w:line="291" w:lineRule="auto"/>
        <w:tabs>
          <w:tab w:leader="none" w:pos="945" w:val="left"/>
        </w:tabs>
        <w:numPr>
          <w:ilvl w:val="0"/>
          <w:numId w:val="30"/>
        </w:numPr>
        <w:rPr>
          <w:rFonts w:ascii="Arial" w:cs="Arial" w:eastAsia="Arial" w:hAnsi="Arial"/>
          <w:sz w:val="14"/>
          <w:szCs w:val="14"/>
          <w:color w:val="auto"/>
        </w:rPr>
      </w:pPr>
      <w:r>
        <w:rPr>
          <w:rFonts w:ascii="Arial" w:cs="Arial" w:eastAsia="Arial" w:hAnsi="Arial"/>
          <w:sz w:val="14"/>
          <w:szCs w:val="14"/>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(x) the Federal Funds Effective Rate and (y) a rate determined by the Administrative Agent in accordance with banking industry rules on interbank compensation or (ii) in the case of the Borrowers, the interest rate applicable to ABR Loans. If such Lender pays such amount to the Administrative Agent, then such amount shall constitute such Lender’s Loan included in such Borrowing.</w:t>
      </w:r>
    </w:p>
    <w:p>
      <w:pPr>
        <w:spacing w:after="0" w:line="196" w:lineRule="exact"/>
        <w:rPr>
          <w:sz w:val="20"/>
          <w:szCs w:val="20"/>
          <w:color w:val="auto"/>
        </w:rPr>
      </w:pPr>
    </w:p>
    <w:p>
      <w:pPr>
        <w:jc w:val="both"/>
        <w:ind w:firstLine="570"/>
        <w:spacing w:after="0" w:line="253"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u w:val="single" w:color="auto"/>
          <w:color w:val="auto"/>
        </w:rPr>
        <w:t>Interest Elections</w:t>
      </w:r>
      <w:r>
        <w:rPr>
          <w:rFonts w:ascii="Arial" w:cs="Arial" w:eastAsia="Arial" w:hAnsi="Arial"/>
          <w:sz w:val="16"/>
          <w:szCs w:val="16"/>
          <w:color w:val="auto"/>
        </w:rPr>
        <w:t>. (a) Each Revolving Borrowing initially shall be of the Type specified in the applicable Borrowing Request and, in the case of a Eurodollar Revolving Borrowing, shall have an initial Interest Period as specified in such Borrowing Request. Thereafter, the Borrower Representative may elect to convert such Borrowing to a different Type or to continue such Borrowing and, in the case of a Eurodollar Revolving Borrowing, may elect Interest Periods therefor, all as provided in this Section. The Borrower Representative may elect different options with respect to different portions of the affected Borrowing, in which case each such portion shall be allocated ratably among the Lenders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51" w:name="page52"/>
    <w:bookmarkEnd w:id="51"/>
    <w:p>
      <w:pPr>
        <w:ind w:right="240"/>
        <w:spacing w:after="0" w:line="270" w:lineRule="auto"/>
        <w:rPr>
          <w:sz w:val="20"/>
          <w:szCs w:val="20"/>
          <w:color w:val="auto"/>
        </w:rPr>
      </w:pPr>
      <w:r>
        <w:rPr>
          <w:rFonts w:ascii="Arial" w:cs="Arial" w:eastAsia="Arial" w:hAnsi="Arial"/>
          <w:sz w:val="16"/>
          <w:szCs w:val="16"/>
          <w:color w:val="auto"/>
        </w:rPr>
        <w:t>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204" w:lineRule="exact"/>
        <w:rPr>
          <w:sz w:val="20"/>
          <w:szCs w:val="20"/>
          <w:color w:val="auto"/>
        </w:rPr>
      </w:pPr>
    </w:p>
    <w:p>
      <w:pPr>
        <w:jc w:val="both"/>
        <w:ind w:right="20" w:firstLine="565"/>
        <w:spacing w:after="0" w:line="255" w:lineRule="auto"/>
        <w:tabs>
          <w:tab w:leader="none" w:pos="957"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To make an election pursuant to this Section, the Borrower Representative shall notify the Administrative Agent of such request in writing (delivered by hand, facsimile or .pdf transmission) in a form reasonably approved to the Administrative Agent in its reasonable discretion and signed by the Borrower Representative by the time that a Borrowing Request would be required under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if the Borrowers were requesting a Revolving Borrowing of the Type resulting from such election to be made on the effective date of such election. Each such Interest Election Request shall be irrevocable.</w:t>
      </w:r>
    </w:p>
    <w:p>
      <w:pPr>
        <w:spacing w:after="0" w:line="215" w:lineRule="exact"/>
        <w:rPr>
          <w:rFonts w:ascii="Arial" w:cs="Arial" w:eastAsia="Arial" w:hAnsi="Arial"/>
          <w:sz w:val="16"/>
          <w:szCs w:val="16"/>
          <w:color w:val="auto"/>
        </w:rPr>
      </w:pPr>
    </w:p>
    <w:p>
      <w:pPr>
        <w:ind w:left="940" w:hanging="375"/>
        <w:spacing w:after="0"/>
        <w:tabs>
          <w:tab w:leader="none" w:pos="9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Each written Interest Election Request shall specify the following information in compliance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w:t>
      </w:r>
    </w:p>
    <w:p>
      <w:pPr>
        <w:spacing w:after="0" w:line="243" w:lineRule="exact"/>
        <w:rPr>
          <w:rFonts w:ascii="Arial" w:cs="Arial" w:eastAsia="Arial" w:hAnsi="Arial"/>
          <w:sz w:val="16"/>
          <w:szCs w:val="16"/>
          <w:color w:val="auto"/>
        </w:rPr>
      </w:pPr>
    </w:p>
    <w:p>
      <w:pPr>
        <w:jc w:val="both"/>
        <w:ind w:left="560" w:right="20" w:firstLine="1145"/>
        <w:spacing w:after="0" w:line="291" w:lineRule="auto"/>
        <w:tabs>
          <w:tab w:leader="none" w:pos="20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w:t>
      </w:r>
    </w:p>
    <w:p>
      <w:pPr>
        <w:ind w:left="840" w:hanging="275"/>
        <w:spacing w:after="0"/>
        <w:tabs>
          <w:tab w:leader="none" w:pos="8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and (iv) below shall be specified for each resulting Borrowing);</w:t>
      </w:r>
    </w:p>
    <w:p>
      <w:pPr>
        <w:spacing w:after="0" w:line="232" w:lineRule="exact"/>
        <w:rPr>
          <w:rFonts w:ascii="Arial" w:cs="Arial" w:eastAsia="Arial" w:hAnsi="Arial"/>
          <w:sz w:val="16"/>
          <w:szCs w:val="16"/>
          <w:color w:val="auto"/>
        </w:rPr>
      </w:pPr>
    </w:p>
    <w:p>
      <w:pPr>
        <w:ind w:left="2080" w:hanging="375"/>
        <w:spacing w:after="0"/>
        <w:tabs>
          <w:tab w:leader="none" w:pos="20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 Business Day;</w:t>
      </w:r>
    </w:p>
    <w:p>
      <w:pPr>
        <w:spacing w:after="0" w:line="243" w:lineRule="exact"/>
        <w:rPr>
          <w:rFonts w:ascii="Arial" w:cs="Arial" w:eastAsia="Arial" w:hAnsi="Arial"/>
          <w:sz w:val="16"/>
          <w:szCs w:val="16"/>
          <w:color w:val="auto"/>
        </w:rPr>
      </w:pPr>
    </w:p>
    <w:p>
      <w:pPr>
        <w:ind w:left="2140" w:hanging="435"/>
        <w:spacing w:after="0"/>
        <w:tabs>
          <w:tab w:leader="none" w:pos="21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whether the resulting Borrowing is to be an ABR Borrowing or a Eurodollar Borrowing; and</w:t>
      </w:r>
    </w:p>
    <w:p>
      <w:pPr>
        <w:spacing w:after="0" w:line="243" w:lineRule="exact"/>
        <w:rPr>
          <w:rFonts w:ascii="Arial" w:cs="Arial" w:eastAsia="Arial" w:hAnsi="Arial"/>
          <w:sz w:val="16"/>
          <w:szCs w:val="16"/>
          <w:color w:val="auto"/>
        </w:rPr>
      </w:pPr>
    </w:p>
    <w:p>
      <w:pPr>
        <w:ind w:left="560" w:right="20" w:firstLine="1145"/>
        <w:spacing w:after="0" w:line="270" w:lineRule="auto"/>
        <w:tabs>
          <w:tab w:leader="none" w:pos="2119"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8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If any such Interest Election Request requests a Eurodollar Borrowing but does not specify an Interest Period, then the Borrowers shall be deemed to have selected an Interest Period of one month’s duration.</w:t>
      </w:r>
    </w:p>
    <w:p>
      <w:pPr>
        <w:spacing w:after="0" w:line="204" w:lineRule="exact"/>
        <w:rPr>
          <w:sz w:val="20"/>
          <w:szCs w:val="20"/>
          <w:color w:val="auto"/>
        </w:rPr>
      </w:pPr>
    </w:p>
    <w:p>
      <w:pPr>
        <w:ind w:right="20" w:firstLine="565"/>
        <w:spacing w:after="0" w:line="270" w:lineRule="auto"/>
        <w:tabs>
          <w:tab w:leader="none" w:pos="945"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Promptly following receipt of an Interest Election Request, the Administrative Agent shall advise each Lender of the details thereof and of such Lender’s portion of each resulting Borrowing.</w:t>
      </w:r>
    </w:p>
    <w:p>
      <w:pPr>
        <w:spacing w:after="0" w:line="203" w:lineRule="exact"/>
        <w:rPr>
          <w:rFonts w:ascii="Arial" w:cs="Arial" w:eastAsia="Arial" w:hAnsi="Arial"/>
          <w:sz w:val="16"/>
          <w:szCs w:val="16"/>
          <w:color w:val="auto"/>
        </w:rPr>
      </w:pPr>
    </w:p>
    <w:p>
      <w:pPr>
        <w:jc w:val="both"/>
        <w:ind w:firstLine="565"/>
        <w:spacing w:after="0" w:line="253" w:lineRule="auto"/>
        <w:tabs>
          <w:tab w:leader="none" w:pos="936"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Borrower Representative fails to deliver a timely Interest Election Request with respect to a Eurodollar Revolving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Revolving Borrowing may be converted to or continued as a Eurodollar Borrowing and (ii) unless repaid,</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t>each Eurodollar Revolving Borrowing shall be converted to an ABR Borrowing at the end of the Interest Period applicable thereto.</w:t>
      </w:r>
    </w:p>
    <w:p>
      <w:pPr>
        <w:spacing w:after="0" w:line="244" w:lineRule="exact"/>
        <w:rPr>
          <w:sz w:val="20"/>
          <w:szCs w:val="20"/>
          <w:color w:val="auto"/>
        </w:rPr>
      </w:pPr>
    </w:p>
    <w:p>
      <w:pPr>
        <w:ind w:left="560"/>
        <w:spacing w:after="0"/>
        <w:tabs>
          <w:tab w:leader="none" w:pos="1940" w:val="left"/>
          <w:tab w:leader="none" w:pos="7560" w:val="left"/>
          <w:tab w:leader="none" w:pos="7880" w:val="left"/>
        </w:tabs>
        <w:rPr>
          <w:sz w:val="20"/>
          <w:szCs w:val="20"/>
          <w:color w:val="auto"/>
        </w:rPr>
      </w:pPr>
      <w:r>
        <w:rPr>
          <w:rFonts w:ascii="Arial" w:cs="Arial" w:eastAsia="Arial" w:hAnsi="Arial"/>
          <w:sz w:val="16"/>
          <w:szCs w:val="16"/>
          <w:color w:val="auto"/>
        </w:rPr>
        <w:t>SECTION 2.09.</w:t>
      </w:r>
      <w:r>
        <w:rPr>
          <w:sz w:val="20"/>
          <w:szCs w:val="20"/>
          <w:color w:val="auto"/>
        </w:rPr>
        <w:tab/>
      </w:r>
      <w:r>
        <w:rPr>
          <w:rFonts w:ascii="Arial" w:cs="Arial" w:eastAsia="Arial" w:hAnsi="Arial"/>
          <w:sz w:val="15"/>
          <w:szCs w:val="15"/>
          <w:u w:val="single" w:color="auto"/>
          <w:color w:val="auto"/>
        </w:rPr>
        <w:t>Termination and Reduction of Commitments; Increase in Revolving Commitments</w:t>
      </w:r>
      <w:r>
        <w:rPr>
          <w:rFonts w:ascii="Arial" w:cs="Arial" w:eastAsia="Arial" w:hAnsi="Arial"/>
          <w:sz w:val="15"/>
          <w:szCs w:val="15"/>
          <w:color w:val="auto"/>
        </w:rPr>
        <w:t>.</w:t>
      </w:r>
      <w:r>
        <w:rPr>
          <w:sz w:val="20"/>
          <w:szCs w:val="20"/>
          <w:color w:val="auto"/>
        </w:rPr>
        <w:tab/>
      </w: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Unless previously terminated, the Commitments shall</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terminate on the Maturity Date.</w:t>
      </w:r>
    </w:p>
    <w:p>
      <w:pPr>
        <w:spacing w:after="0" w:line="233" w:lineRule="exact"/>
        <w:rPr>
          <w:sz w:val="20"/>
          <w:szCs w:val="20"/>
          <w:color w:val="auto"/>
        </w:rPr>
      </w:pPr>
    </w:p>
    <w:p>
      <w:pPr>
        <w:jc w:val="both"/>
        <w:ind w:firstLine="565"/>
        <w:spacing w:after="0" w:line="253" w:lineRule="auto"/>
        <w:tabs>
          <w:tab w:leader="none" w:pos="94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Borrowers may at any time terminate the Commitments in full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 back up standby letter of credit from an issuer and in form reasonably satisfactory to the Administrative Agent) equal to 103% of the LC Exposure as of such date), (iii) the payment in full in cash of the accrued and unpaid fees, and (iv) the payment in full in cash of all reimbursable expenses and other Obligations, together with accrued and unpaid interest thereon.</w:t>
      </w:r>
    </w:p>
    <w:p>
      <w:pPr>
        <w:spacing w:after="0" w:line="217" w:lineRule="exact"/>
        <w:rPr>
          <w:rFonts w:ascii="Arial" w:cs="Arial" w:eastAsia="Arial" w:hAnsi="Arial"/>
          <w:sz w:val="16"/>
          <w:szCs w:val="16"/>
          <w:color w:val="auto"/>
        </w:rPr>
      </w:pPr>
    </w:p>
    <w:p>
      <w:pPr>
        <w:jc w:val="both"/>
        <w:ind w:right="20" w:firstLine="565"/>
        <w:spacing w:after="0" w:line="259" w:lineRule="auto"/>
        <w:tabs>
          <w:tab w:leader="none" w:pos="9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Borrowers may from time to time reduce the Revolving Commitments; provided that (i) each reduction of the Revolving Commitments shall be in an amount that is an integral multiple of $5,000,000 and (ii) the Borrowers shall not reduce the Revolving Commitments if, after giving effect to any concurrent prepayment of the Revolving Loans in accordance with </w:t>
      </w:r>
      <w:r>
        <w:rPr>
          <w:rFonts w:ascii="Arial" w:cs="Arial" w:eastAsia="Arial" w:hAnsi="Arial"/>
          <w:sz w:val="16"/>
          <w:szCs w:val="16"/>
          <w:u w:val="single" w:color="auto"/>
          <w:color w:val="auto"/>
        </w:rPr>
        <w:t>Section 2.10</w:t>
      </w:r>
      <w:r>
        <w:rPr>
          <w:rFonts w:ascii="Arial" w:cs="Arial" w:eastAsia="Arial" w:hAnsi="Arial"/>
          <w:sz w:val="16"/>
          <w:szCs w:val="16"/>
          <w:color w:val="auto"/>
        </w:rPr>
        <w:t>, the Borrowers would not be in compliance with the Revolving Exposure Limitations.</w:t>
      </w:r>
    </w:p>
    <w:p>
      <w:pPr>
        <w:spacing w:after="0" w:line="212" w:lineRule="exact"/>
        <w:rPr>
          <w:rFonts w:ascii="Arial" w:cs="Arial" w:eastAsia="Arial" w:hAnsi="Arial"/>
          <w:sz w:val="16"/>
          <w:szCs w:val="16"/>
          <w:color w:val="auto"/>
        </w:rPr>
      </w:pPr>
    </w:p>
    <w:p>
      <w:pPr>
        <w:jc w:val="both"/>
        <w:ind w:right="20" w:firstLine="565"/>
        <w:spacing w:after="0" w:line="271" w:lineRule="auto"/>
        <w:tabs>
          <w:tab w:leader="none" w:pos="957"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Borrower Representative shall notify the Administrative Agent of any election to terminate or reduce the Commitments under paragraphs (b) or (c)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Representative pursuant to this Section shall be irrevocable; provided that a notice of termination or reduction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204" w:lineRule="exact"/>
        <w:rPr>
          <w:rFonts w:ascii="Arial" w:cs="Arial" w:eastAsia="Arial" w:hAnsi="Arial"/>
          <w:sz w:val="15"/>
          <w:szCs w:val="15"/>
          <w:color w:val="auto"/>
        </w:rPr>
      </w:pPr>
    </w:p>
    <w:p>
      <w:pPr>
        <w:jc w:val="both"/>
        <w:ind w:firstLine="565"/>
        <w:spacing w:after="0" w:line="253" w:lineRule="auto"/>
        <w:tabs>
          <w:tab w:leader="none" w:pos="936"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The Borrowers shall have the right to request an increase in the Commitments by an aggregate amount of up to $200,000,000 by obtaining additional Commitments, either from one or more of the Lenders or another lending institution,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request for an increase shall be in a minimum amount of $25,000,000, (ii) the Borrower Representative, on behalf of the Borrowers, may make a maximum of four (4) such requests, (iii) the Administrative Agent has approved the identity of any such new Lender, such approval not to be unreasonably withheld, (iv) any such new Lender assumes all of the rights and obligations of a “Lender” hereunder, and (v) the procedure described in </w:t>
      </w:r>
      <w:r>
        <w:rPr>
          <w:rFonts w:ascii="Arial" w:cs="Arial" w:eastAsia="Arial" w:hAnsi="Arial"/>
          <w:sz w:val="16"/>
          <w:szCs w:val="16"/>
          <w:u w:val="single" w:color="auto"/>
          <w:color w:val="auto"/>
        </w:rPr>
        <w:t>Section 2.09(f)</w:t>
      </w:r>
      <w:r>
        <w:rPr>
          <w:rFonts w:ascii="Arial" w:cs="Arial" w:eastAsia="Arial" w:hAnsi="Arial"/>
          <w:sz w:val="16"/>
          <w:szCs w:val="16"/>
          <w:color w:val="auto"/>
        </w:rPr>
        <w:t xml:space="preserve"> shall have been satisfied.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53" w:name="page54"/>
    <w:bookmarkEnd w:id="53"/>
    <w:p>
      <w:pPr>
        <w:jc w:val="both"/>
        <w:ind w:firstLine="565"/>
        <w:spacing w:after="0" w:line="268" w:lineRule="auto"/>
        <w:tabs>
          <w:tab w:leader="none" w:pos="954"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The Administrative Agent shall promptly notify Lenders of the requested increase and, within 10 Business Days thereafter, each Lender shall notify the Administrative Agent if and to what extent such Lender commits to increase its Commitment hereunder. Any Lender not responding within such period shall be deemed to have declined an increase. If Lenders fail to commit to the full requested increase, the Borrower Representative may, subject to </w:t>
      </w:r>
      <w:r>
        <w:rPr>
          <w:rFonts w:ascii="Arial" w:cs="Arial" w:eastAsia="Arial" w:hAnsi="Arial"/>
          <w:sz w:val="15"/>
          <w:szCs w:val="15"/>
          <w:u w:val="single" w:color="auto"/>
          <w:color w:val="auto"/>
        </w:rPr>
        <w:t>Section 2.09(e)(iii)</w:t>
      </w:r>
      <w:r>
        <w:rPr>
          <w:rFonts w:ascii="Arial" w:cs="Arial" w:eastAsia="Arial" w:hAnsi="Arial"/>
          <w:sz w:val="15"/>
          <w:szCs w:val="15"/>
          <w:color w:val="auto"/>
        </w:rPr>
        <w:t>, invite other lending institutions to issue additional Commitments and become Lenders hereunder. Any amendment hereto providing for such an increase of the Commitment of a Lender or addition of a Lender shall be in form and substance reasonably satisfactory to the Administrative Agent and shall only require the written signatures of the Administrative Agent, the Borrowers and each Lender being added or increasing its Commitment, subject only to the approval of all Lenders if any such increase would cause the Revolving Commitments to exceed $800,000,000. As a condition precedent to such an increase, the Loan Parties shall deliver to the Administrative Agent a certificate of each Loan Party (in sufficient copies for each Lender) signed by an authorized officer of such Loan Party (i) certifying and attaching the resolutions adopted by such Loan Party approving or consenting to such increase, (ii) certifying that any security and guarantee confirmations as may be requested by the Administrative Agent have been delivered and (iii) in the case of the Borrowers, certifying that, before and after giving effect to such increase, (A) the representations and warranties contained in Article III and the other Loan Documents are true and correct, except to the extent that such representations and warranties specifically refer to an earlier date, in which case they are true and correct as of such earlier date, and (B) no Default shall have occurred and be continuing.</w:t>
      </w:r>
    </w:p>
    <w:p>
      <w:pPr>
        <w:spacing w:after="0" w:line="206" w:lineRule="exact"/>
        <w:rPr>
          <w:rFonts w:ascii="Arial" w:cs="Arial" w:eastAsia="Arial" w:hAnsi="Arial"/>
          <w:sz w:val="15"/>
          <w:szCs w:val="15"/>
          <w:color w:val="auto"/>
        </w:rPr>
      </w:pPr>
    </w:p>
    <w:p>
      <w:pPr>
        <w:jc w:val="both"/>
        <w:ind w:firstLine="565"/>
        <w:spacing w:after="0" w:line="291" w:lineRule="auto"/>
        <w:tabs>
          <w:tab w:leader="none" w:pos="945"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Within a reasonable time after the effective date of any increase, the Administrative Agent shall, and is hereby authorized and directed to, revise the </w:t>
      </w:r>
      <w:r>
        <w:rPr>
          <w:rFonts w:ascii="Arial" w:cs="Arial" w:eastAsia="Arial" w:hAnsi="Arial"/>
          <w:sz w:val="14"/>
          <w:szCs w:val="14"/>
          <w:u w:val="single" w:color="auto"/>
          <w:color w:val="auto"/>
        </w:rPr>
        <w:t>Commitment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Schedule</w:t>
      </w:r>
      <w:r>
        <w:rPr>
          <w:rFonts w:ascii="Arial" w:cs="Arial" w:eastAsia="Arial" w:hAnsi="Arial"/>
          <w:sz w:val="14"/>
          <w:szCs w:val="14"/>
          <w:color w:val="auto"/>
        </w:rPr>
        <w:t xml:space="preserve"> to reflect such increase and shall distribute such revised </w:t>
      </w:r>
      <w:r>
        <w:rPr>
          <w:rFonts w:ascii="Arial" w:cs="Arial" w:eastAsia="Arial" w:hAnsi="Arial"/>
          <w:sz w:val="14"/>
          <w:szCs w:val="14"/>
          <w:u w:val="single" w:color="auto"/>
          <w:color w:val="auto"/>
        </w:rPr>
        <w:t>Commitment Schedule</w:t>
      </w:r>
      <w:r>
        <w:rPr>
          <w:rFonts w:ascii="Arial" w:cs="Arial" w:eastAsia="Arial" w:hAnsi="Arial"/>
          <w:sz w:val="14"/>
          <w:szCs w:val="14"/>
          <w:color w:val="auto"/>
        </w:rPr>
        <w:t xml:space="preserve"> to each of the Lenders and the Borrowers, whereupon such revised </w:t>
      </w:r>
      <w:r>
        <w:rPr>
          <w:rFonts w:ascii="Arial" w:cs="Arial" w:eastAsia="Arial" w:hAnsi="Arial"/>
          <w:sz w:val="14"/>
          <w:szCs w:val="14"/>
          <w:u w:val="single" w:color="auto"/>
          <w:color w:val="auto"/>
        </w:rPr>
        <w:t>Commitment Schedule</w:t>
      </w:r>
      <w:r>
        <w:rPr>
          <w:rFonts w:ascii="Arial" w:cs="Arial" w:eastAsia="Arial" w:hAnsi="Arial"/>
          <w:sz w:val="14"/>
          <w:szCs w:val="14"/>
          <w:color w:val="auto"/>
        </w:rPr>
        <w:t xml:space="preserve"> shall replace the old </w:t>
      </w:r>
      <w:r>
        <w:rPr>
          <w:rFonts w:ascii="Arial" w:cs="Arial" w:eastAsia="Arial" w:hAnsi="Arial"/>
          <w:sz w:val="14"/>
          <w:szCs w:val="14"/>
          <w:u w:val="single" w:color="auto"/>
          <w:color w:val="auto"/>
        </w:rPr>
        <w:t>Commitment Schedule</w:t>
      </w:r>
      <w:r>
        <w:rPr>
          <w:rFonts w:ascii="Arial" w:cs="Arial" w:eastAsia="Arial" w:hAnsi="Arial"/>
          <w:sz w:val="14"/>
          <w:szCs w:val="14"/>
          <w:color w:val="auto"/>
        </w:rPr>
        <w:t xml:space="preserve"> and become part of this Agreement. On the Business Day following any such increase, all outstanding ABR Loans shall be reallocated among the Lenders (including any newly added Lenders) in accordance with the Lenders’ respective revised Applicable Percentages and the Lenders shall make adjustments among themselves with respect to the Loans then outstanding and amounts of principal, interest, commitment fees and other amounts paid or payable with respect thereto as shall be necessary, in the opinion of the Administrative Agent, in order to effect such reallocation. Eurodollar Loans shall not be reallocated among the Lenders until the expiration of the applicable Interest Period in effect at the time of any such increase, at which time any such Eurodollar Loans being continued shall be reallocated, and any such Eurodollar Loans being converted to ABR Loans shall be converted and allocated, among the Lenders (including the newly added Lenders) at such time.</w:t>
      </w:r>
    </w:p>
    <w:p>
      <w:pPr>
        <w:spacing w:after="0" w:line="196" w:lineRule="exact"/>
        <w:rPr>
          <w:sz w:val="20"/>
          <w:szCs w:val="20"/>
          <w:color w:val="auto"/>
        </w:rPr>
      </w:pPr>
    </w:p>
    <w:p>
      <w:pPr>
        <w:jc w:val="both"/>
        <w:ind w:firstLine="570"/>
        <w:spacing w:after="0" w:line="277" w:lineRule="auto"/>
        <w:rPr>
          <w:sz w:val="20"/>
          <w:szCs w:val="20"/>
          <w:color w:val="auto"/>
        </w:rPr>
      </w:pPr>
      <w:r>
        <w:rPr>
          <w:rFonts w:ascii="Arial" w:cs="Arial" w:eastAsia="Arial" w:hAnsi="Arial"/>
          <w:sz w:val="15"/>
          <w:szCs w:val="15"/>
          <w:color w:val="auto"/>
        </w:rPr>
        <w:t xml:space="preserve">SECTION 2.10. </w:t>
      </w:r>
      <w:r>
        <w:rPr>
          <w:rFonts w:ascii="Arial" w:cs="Arial" w:eastAsia="Arial" w:hAnsi="Arial"/>
          <w:sz w:val="15"/>
          <w:szCs w:val="15"/>
          <w:u w:val="single" w:color="auto"/>
          <w:color w:val="auto"/>
        </w:rPr>
        <w:t>Repayment of Loans; Evidence of Debt</w:t>
      </w:r>
      <w:r>
        <w:rPr>
          <w:rFonts w:ascii="Arial" w:cs="Arial" w:eastAsia="Arial" w:hAnsi="Arial"/>
          <w:sz w:val="15"/>
          <w:szCs w:val="15"/>
          <w:color w:val="auto"/>
        </w:rPr>
        <w:t>. (a) The Borrowers hereby unconditionally promise to pay (i) to the Administrative Agent for the account of each Lender the then unpaid principal amount of each Revolving Loan on the Maturity Date, (ii) to the Administrative Agent the then unpaid amount of each Protective Advance on the earlier of the Maturity Date and demand by the Administrative Agent, and (iii) to the Administrative Agent the then unpaid principal amount of each Overadvance on the earliest of the Maturity Date, the 30th day after such Overadvance is made and demand by the Administrative Agent.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54" w:name="page55"/>
    <w:bookmarkEnd w:id="54"/>
    <w:p>
      <w:pPr>
        <w:ind w:firstLine="565"/>
        <w:spacing w:after="0" w:line="270" w:lineRule="auto"/>
        <w:tabs>
          <w:tab w:leader="none" w:pos="9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On each Business Day, during a Cash Dominion Trigger Period, the Administrative Agent shall apply all funds credited to the Collection Account in the order set forth in </w:t>
      </w:r>
      <w:r>
        <w:rPr>
          <w:rFonts w:ascii="Arial" w:cs="Arial" w:eastAsia="Arial" w:hAnsi="Arial"/>
          <w:sz w:val="16"/>
          <w:szCs w:val="16"/>
          <w:u w:val="single" w:color="auto"/>
          <w:color w:val="auto"/>
        </w:rPr>
        <w:t>Section 2.18(b)</w:t>
      </w:r>
      <w:r>
        <w:rPr>
          <w:rFonts w:ascii="Arial" w:cs="Arial" w:eastAsia="Arial" w:hAnsi="Arial"/>
          <w:sz w:val="16"/>
          <w:szCs w:val="16"/>
          <w:color w:val="auto"/>
        </w:rPr>
        <w:t>.</w:t>
      </w:r>
    </w:p>
    <w:p>
      <w:pPr>
        <w:spacing w:after="0" w:line="203" w:lineRule="exact"/>
        <w:rPr>
          <w:rFonts w:ascii="Arial" w:cs="Arial" w:eastAsia="Arial" w:hAnsi="Arial"/>
          <w:sz w:val="16"/>
          <w:szCs w:val="16"/>
          <w:color w:val="auto"/>
        </w:rPr>
      </w:pPr>
    </w:p>
    <w:p>
      <w:pPr>
        <w:ind w:firstLine="565"/>
        <w:spacing w:after="0" w:line="304" w:lineRule="auto"/>
        <w:tabs>
          <w:tab w:leader="none" w:pos="936" w:val="left"/>
        </w:tabs>
        <w:numPr>
          <w:ilvl w:val="0"/>
          <w:numId w:val="36"/>
        </w:numPr>
        <w:rPr>
          <w:rFonts w:ascii="Arial" w:cs="Arial" w:eastAsia="Arial" w:hAnsi="Arial"/>
          <w:sz w:val="15"/>
          <w:szCs w:val="15"/>
          <w:color w:val="auto"/>
        </w:rPr>
      </w:pPr>
      <w:r>
        <w:rPr>
          <w:rFonts w:ascii="Arial" w:cs="Arial" w:eastAsia="Arial" w:hAnsi="Arial"/>
          <w:sz w:val="15"/>
          <w:szCs w:val="15"/>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80" w:lineRule="exact"/>
        <w:rPr>
          <w:rFonts w:ascii="Arial" w:cs="Arial" w:eastAsia="Arial" w:hAnsi="Arial"/>
          <w:sz w:val="15"/>
          <w:szCs w:val="15"/>
          <w:color w:val="auto"/>
        </w:rPr>
      </w:pPr>
    </w:p>
    <w:p>
      <w:pPr>
        <w:jc w:val="both"/>
        <w:ind w:right="20" w:firstLine="565"/>
        <w:spacing w:after="0" w:line="284" w:lineRule="auto"/>
        <w:tabs>
          <w:tab w:leader="none" w:pos="945"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95" w:lineRule="exact"/>
        <w:rPr>
          <w:rFonts w:ascii="Arial" w:cs="Arial" w:eastAsia="Arial" w:hAnsi="Arial"/>
          <w:sz w:val="15"/>
          <w:szCs w:val="15"/>
          <w:color w:val="auto"/>
        </w:rPr>
      </w:pPr>
    </w:p>
    <w:p>
      <w:pPr>
        <w:jc w:val="both"/>
        <w:ind w:right="20" w:firstLine="565"/>
        <w:spacing w:after="0" w:line="259" w:lineRule="auto"/>
        <w:tabs>
          <w:tab w:leader="none" w:pos="94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(c) or (d) of this Section shall be </w:t>
      </w:r>
      <w:r>
        <w:rPr>
          <w:rFonts w:ascii="Arial" w:cs="Arial" w:eastAsia="Arial" w:hAnsi="Arial"/>
          <w:sz w:val="16"/>
          <w:szCs w:val="16"/>
          <w:u w:val="single" w:color="auto"/>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212" w:lineRule="exact"/>
        <w:rPr>
          <w:rFonts w:ascii="Arial" w:cs="Arial" w:eastAsia="Arial" w:hAnsi="Arial"/>
          <w:sz w:val="16"/>
          <w:szCs w:val="16"/>
          <w:color w:val="auto"/>
        </w:rPr>
      </w:pPr>
    </w:p>
    <w:p>
      <w:pPr>
        <w:jc w:val="both"/>
        <w:ind w:firstLine="565"/>
        <w:spacing w:after="0" w:line="253" w:lineRule="auto"/>
        <w:tabs>
          <w:tab w:leader="none" w:pos="918"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Any Lender may request that Loans made by it be evidenced by a promissory note. In such event, the Borrowers shall prepare, execute and deliver to such Lender a promissory note payable to the order of such Lender (or, if requested by such Lender, to such Lender and its registered assigns) and in a form reasonably acceptable to the Administrative Agent. Thereafter, the Loans evidenced by such promissory note and interest thereon shall at all times (including after assignment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be represented by one or more promissory notes in such form payable to the order of the payee named therein (or, if such promissory note is a registered note, to such payee and its registered assigns).</w:t>
      </w:r>
    </w:p>
    <w:p>
      <w:pPr>
        <w:spacing w:after="0" w:line="218"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Prepayment of Loans</w:t>
      </w:r>
      <w:r>
        <w:rPr>
          <w:rFonts w:ascii="Arial" w:cs="Arial" w:eastAsia="Arial" w:hAnsi="Arial"/>
          <w:sz w:val="16"/>
          <w:szCs w:val="16"/>
          <w:color w:val="auto"/>
        </w:rPr>
        <w:t>. (a) The Borrowers shall have the right at any time and from time to time to prepay any Borrowing in whole or in part, subject to prior notice in accordance with paragraph (c) of this Section.</w:t>
      </w:r>
    </w:p>
    <w:p>
      <w:pPr>
        <w:spacing w:after="0" w:line="204" w:lineRule="exact"/>
        <w:rPr>
          <w:sz w:val="20"/>
          <w:szCs w:val="20"/>
          <w:color w:val="auto"/>
        </w:rPr>
      </w:pPr>
    </w:p>
    <w:p>
      <w:pPr>
        <w:jc w:val="both"/>
        <w:ind w:right="20" w:firstLine="565"/>
        <w:spacing w:after="0" w:line="253" w:lineRule="auto"/>
        <w:tabs>
          <w:tab w:leader="none" w:pos="9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Except for Protective Advances permitted under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Overadvances permitted under </w:t>
      </w:r>
      <w:r>
        <w:rPr>
          <w:rFonts w:ascii="Arial" w:cs="Arial" w:eastAsia="Arial" w:hAnsi="Arial"/>
          <w:sz w:val="16"/>
          <w:szCs w:val="16"/>
          <w:u w:val="single" w:color="auto"/>
          <w:color w:val="auto"/>
        </w:rPr>
        <w:t>Section 2.05</w:t>
      </w:r>
      <w:r>
        <w:rPr>
          <w:rFonts w:ascii="Arial" w:cs="Arial" w:eastAsia="Arial" w:hAnsi="Arial"/>
          <w:sz w:val="16"/>
          <w:szCs w:val="16"/>
          <w:color w:val="auto"/>
        </w:rPr>
        <w:t>, in the event and on such occasion that the Borrowers are not in compliance with the Revolving Exposure Limitations, the Borrowers shall promptly prepay (or, in the case of LC Exposure, cash collateralize), Revolving Loans, LC Exposure and/or Swingline Loans in an aggregate amount necessary such that, on a pro forma basis following such prepayments or cash collateralization, the Borrowers shall be in compliance with the Revolving Exposure Limitations (it being understood that, in order to comply with this clause (b), the Borrowers shall prepay all such Revolving Loans and Swingline Loans prior to any cash collateralization of LC Exposure hereunder).</w:t>
      </w:r>
    </w:p>
    <w:p>
      <w:pPr>
        <w:spacing w:after="0" w:line="217" w:lineRule="exact"/>
        <w:rPr>
          <w:rFonts w:ascii="Arial" w:cs="Arial" w:eastAsia="Arial" w:hAnsi="Arial"/>
          <w:sz w:val="16"/>
          <w:szCs w:val="16"/>
          <w:color w:val="auto"/>
        </w:rPr>
      </w:pPr>
    </w:p>
    <w:p>
      <w:pPr>
        <w:ind w:left="940" w:hanging="375"/>
        <w:spacing w:after="0"/>
        <w:tabs>
          <w:tab w:leader="none" w:pos="9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Borrower Representative shall notify the Administrative Agent (and, in the case of prepayment of a Swingline Loan, the Swingline Lender) in writing (delivered</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by hand,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55" w:name="page56"/>
    <w:bookmarkEnd w:id="55"/>
    <w:p>
      <w:pPr>
        <w:jc w:val="both"/>
        <w:spacing w:after="0" w:line="291" w:lineRule="auto"/>
        <w:rPr>
          <w:sz w:val="20"/>
          <w:szCs w:val="20"/>
          <w:color w:val="auto"/>
        </w:rPr>
      </w:pPr>
      <w:r>
        <w:rPr>
          <w:rFonts w:ascii="Arial" w:cs="Arial" w:eastAsia="Arial" w:hAnsi="Arial"/>
          <w:sz w:val="14"/>
          <w:szCs w:val="14"/>
          <w:color w:val="auto"/>
        </w:rPr>
        <w:t xml:space="preserve">facsimile or .pdf transmission) in a form reasonably acceptable to the Administrative Agent of any prepayment hereunder not later than (i) 11:00 a.m., Local Time (A) in the case of prepayment of a Eurodollar Revolving Borrowing, three Business Days before the date of prepayment, or (B) in the case of prepayment of an ABR Revolving Borrowing, on the date of prepayment. Each such notice shall be irrevocable and shall specify the prepayment date and the principal amount of each Borrowing or portion thereof to be prepaid;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a notice of prepayment is given in connection with a conditional notice of termination or reduction of the Commitments as contemplated by </w:t>
      </w:r>
      <w:r>
        <w:rPr>
          <w:rFonts w:ascii="Arial" w:cs="Arial" w:eastAsia="Arial" w:hAnsi="Arial"/>
          <w:sz w:val="14"/>
          <w:szCs w:val="14"/>
          <w:u w:val="single" w:color="auto"/>
          <w:color w:val="auto"/>
        </w:rPr>
        <w:t>Section 2.09</w:t>
      </w:r>
      <w:r>
        <w:rPr>
          <w:rFonts w:ascii="Arial" w:cs="Arial" w:eastAsia="Arial" w:hAnsi="Arial"/>
          <w:sz w:val="14"/>
          <w:szCs w:val="14"/>
          <w:color w:val="auto"/>
        </w:rPr>
        <w:t xml:space="preserve">, then such notice of prepayment may be revoked if such notice of termination or reduction is revoked in accordance with </w:t>
      </w:r>
      <w:r>
        <w:rPr>
          <w:rFonts w:ascii="Arial" w:cs="Arial" w:eastAsia="Arial" w:hAnsi="Arial"/>
          <w:sz w:val="14"/>
          <w:szCs w:val="14"/>
          <w:u w:val="single" w:color="auto"/>
          <w:color w:val="auto"/>
        </w:rPr>
        <w:t>Section 2.09</w:t>
      </w:r>
      <w:r>
        <w:rPr>
          <w:rFonts w:ascii="Arial" w:cs="Arial" w:eastAsia="Arial" w:hAnsi="Arial"/>
          <w:sz w:val="14"/>
          <w:szCs w:val="14"/>
          <w:color w:val="auto"/>
        </w:rPr>
        <w:t xml:space="preserve">.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Arial" w:cs="Arial" w:eastAsia="Arial" w:hAnsi="Arial"/>
          <w:sz w:val="14"/>
          <w:szCs w:val="14"/>
          <w:u w:val="single" w:color="auto"/>
          <w:color w:val="auto"/>
        </w:rPr>
        <w:t>Section 2.02</w:t>
      </w:r>
      <w:r>
        <w:rPr>
          <w:rFonts w:ascii="Arial" w:cs="Arial" w:eastAsia="Arial" w:hAnsi="Arial"/>
          <w:sz w:val="14"/>
          <w:szCs w:val="14"/>
          <w:color w:val="auto"/>
        </w:rPr>
        <w:t xml:space="preserve">. Each prepayment of a Revolving Borrowing shall be applied ratably to the Revolving Loans included in the prepaid Borrowing. Prepayments shall be accompanied by accrued but unpaid interest to the extent required by </w:t>
      </w:r>
      <w:r>
        <w:rPr>
          <w:rFonts w:ascii="Arial" w:cs="Arial" w:eastAsia="Arial" w:hAnsi="Arial"/>
          <w:sz w:val="14"/>
          <w:szCs w:val="14"/>
          <w:u w:val="single" w:color="auto"/>
          <w:color w:val="auto"/>
        </w:rPr>
        <w:t>Section 2.13</w:t>
      </w:r>
      <w:r>
        <w:rPr>
          <w:rFonts w:ascii="Arial" w:cs="Arial" w:eastAsia="Arial" w:hAnsi="Arial"/>
          <w:sz w:val="14"/>
          <w:szCs w:val="14"/>
          <w:color w:val="auto"/>
        </w:rPr>
        <w:t>.</w:t>
      </w:r>
    </w:p>
    <w:p>
      <w:pPr>
        <w:spacing w:after="0" w:line="196" w:lineRule="exact"/>
        <w:rPr>
          <w:sz w:val="20"/>
          <w:szCs w:val="20"/>
          <w:color w:val="auto"/>
        </w:rPr>
      </w:pPr>
    </w:p>
    <w:p>
      <w:pPr>
        <w:jc w:val="both"/>
        <w:ind w:right="20" w:firstLine="570"/>
        <w:spacing w:after="0" w:line="252" w:lineRule="auto"/>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Fees</w:t>
      </w:r>
      <w:r>
        <w:rPr>
          <w:rFonts w:ascii="Arial" w:cs="Arial" w:eastAsia="Arial" w:hAnsi="Arial"/>
          <w:sz w:val="16"/>
          <w:szCs w:val="16"/>
          <w:color w:val="auto"/>
        </w:rPr>
        <w:t>. (a) The Borrowers agree to pay to the Administrative Agent for the account of each Lender a commitment fee, which shall accrue at the Applicable Commitment Fee Rate on the average daily amount of the Available Revolving Commitment of such Lender during the period from and including the Effective Date to but excluding the date on which the Lenders’ Revolving Commitments terminate in accordance with the terms set forth herein. Commencing on the first such date to occur after the Effective Date, accrued commitment fees shall be payable in arrears for each calendar month on the sixth Business Day of the next succeeding calendar month and all unpaid accrued commitment fees shall be payable on the date on which the Revolving Commitments terminate. All commitment fees shall be computed on the basis of a year of 360 days and shall be payable for the actual number of days elapsed.</w:t>
      </w:r>
    </w:p>
    <w:p>
      <w:pPr>
        <w:spacing w:after="0" w:line="219" w:lineRule="exact"/>
        <w:rPr>
          <w:sz w:val="20"/>
          <w:szCs w:val="20"/>
          <w:color w:val="auto"/>
        </w:rPr>
      </w:pPr>
    </w:p>
    <w:p>
      <w:pPr>
        <w:jc w:val="both"/>
        <w:ind w:firstLine="565"/>
        <w:spacing w:after="0" w:line="268" w:lineRule="auto"/>
        <w:tabs>
          <w:tab w:leader="none" w:pos="945" w:val="left"/>
        </w:tabs>
        <w:numPr>
          <w:ilvl w:val="0"/>
          <w:numId w:val="38"/>
        </w:numPr>
        <w:rPr>
          <w:rFonts w:ascii="Arial" w:cs="Arial" w:eastAsia="Arial" w:hAnsi="Arial"/>
          <w:sz w:val="15"/>
          <w:szCs w:val="15"/>
          <w:color w:val="auto"/>
        </w:rPr>
      </w:pPr>
      <w:r>
        <w:rPr>
          <w:rFonts w:ascii="Arial" w:cs="Arial" w:eastAsia="Arial" w:hAnsi="Arial"/>
          <w:sz w:val="15"/>
          <w:szCs w:val="15"/>
          <w:color w:val="auto"/>
        </w:rPr>
        <w:t xml:space="preserve">The Borrowers agree to pay (i) to the Administrative Agent for the account of each Revolving Lender a participation fee with respect to its participations in Letters of Credit, which shall accrue at the same Applicable Rate used to determine the interest rate applicable to Eurodollar Revolving Loans on the average daily amount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and (ii) to the Issuing Bank a fronting fee, which shall accrue at the rate of 0.25% per annum or at such other rate per annum as may be separately agreed to by the Borrowers with such Issuing Bank on the average daily amount of the LC Exposure (excluding any portion thereof attributable to unreimbursed LC Disbursements) during the period from and including the Effective Date to but excluding the later of the date of termination of the Revolving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the last day of each calendar month shall be payable on the first Business Day of each calendar month following such last day, commencing on the first such date to occur after the Effective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such fees shall be payable on the date on which the Revolving Commitments terminate and any such fees accruing after the date on which the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56" w:name="page57"/>
    <w:bookmarkEnd w:id="56"/>
    <w:p>
      <w:pPr>
        <w:ind w:right="20"/>
        <w:spacing w:after="0" w:line="304" w:lineRule="auto"/>
        <w:rPr>
          <w:sz w:val="20"/>
          <w:szCs w:val="20"/>
          <w:color w:val="auto"/>
        </w:rPr>
      </w:pPr>
      <w:r>
        <w:rPr>
          <w:rFonts w:ascii="Arial" w:cs="Arial" w:eastAsia="Arial" w:hAnsi="Arial"/>
          <w:sz w:val="15"/>
          <w:szCs w:val="15"/>
          <w:color w:val="auto"/>
        </w:rPr>
        <w:t>Revolving Commitments terminate shall be payable on demand. Any other fees payable to the Issuing Bank pursuant to this paragraph shall be payable within 10 days after demand. All participation fees and fronting fees shall be computed on the basis of a year of 360 days and shall be payable for the actual number of days elapsed.</w:t>
      </w:r>
    </w:p>
    <w:p>
      <w:pPr>
        <w:spacing w:after="0" w:line="181" w:lineRule="exact"/>
        <w:rPr>
          <w:sz w:val="20"/>
          <w:szCs w:val="20"/>
          <w:color w:val="auto"/>
        </w:rPr>
      </w:pPr>
    </w:p>
    <w:p>
      <w:pPr>
        <w:ind w:right="20" w:firstLine="565"/>
        <w:spacing w:after="0" w:line="270" w:lineRule="auto"/>
        <w:tabs>
          <w:tab w:leader="none" w:pos="9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Borrowers agree to pay to the Administrative Agent (or its Affiliates), for its (or their) own account, fees payable in the amounts and at the times separately agreed upon between the Borrowers and the Administrative Agent or such Affiliates.</w:t>
      </w:r>
    </w:p>
    <w:p>
      <w:pPr>
        <w:spacing w:after="0" w:line="203" w:lineRule="exact"/>
        <w:rPr>
          <w:rFonts w:ascii="Arial" w:cs="Arial" w:eastAsia="Arial" w:hAnsi="Arial"/>
          <w:sz w:val="16"/>
          <w:szCs w:val="16"/>
          <w:color w:val="auto"/>
        </w:rPr>
      </w:pPr>
    </w:p>
    <w:p>
      <w:pPr>
        <w:ind w:firstLine="565"/>
        <w:spacing w:after="0" w:line="343" w:lineRule="auto"/>
        <w:tabs>
          <w:tab w:leader="none" w:pos="945"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All fees payable hereunder shall be paid on the dates due, in immediately available funds, to the Administrative Agent (or to the Issuing Bank, in the case of fees payable to it) for distribution, in the case of commitment fees and participation fees, to the applicable Lenders, ratably. Fees paid shall not be refundable under any circumstances.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ind w:left="560"/>
              <w:spacing w:after="0"/>
              <w:rPr>
                <w:sz w:val="20"/>
                <w:szCs w:val="20"/>
                <w:color w:val="auto"/>
              </w:rPr>
            </w:pPr>
            <w:r>
              <w:rPr>
                <w:rFonts w:ascii="Arial" w:cs="Arial" w:eastAsia="Arial" w:hAnsi="Arial"/>
                <w:sz w:val="16"/>
                <w:szCs w:val="16"/>
                <w:color w:val="auto"/>
              </w:rPr>
              <w:t>SECTION 2.13.</w:t>
            </w:r>
          </w:p>
        </w:tc>
        <w:tc>
          <w:tcPr>
            <w:tcW w:w="9540" w:type="dxa"/>
            <w:vAlign w:val="bottom"/>
            <w:gridSpan w:val="2"/>
          </w:tcPr>
          <w:p>
            <w:pPr>
              <w:spacing w:after="0"/>
              <w:rPr>
                <w:sz w:val="20"/>
                <w:szCs w:val="20"/>
                <w:color w:val="auto"/>
              </w:rPr>
            </w:pPr>
            <w:r>
              <w:rPr>
                <w:rFonts w:ascii="Arial" w:cs="Arial" w:eastAsia="Arial" w:hAnsi="Arial"/>
                <w:sz w:val="16"/>
                <w:szCs w:val="16"/>
                <w:color w:val="auto"/>
                <w:w w:val="93"/>
              </w:rPr>
              <w:t>Interest.  (a)  The Loans comprising each ABR Borrowing (including each Swingline Loan) shall bear interest at the Alternate Base Rate plus the</w:t>
            </w:r>
          </w:p>
        </w:tc>
      </w:tr>
      <w:tr>
        <w:trPr>
          <w:trHeight w:val="204"/>
        </w:trPr>
        <w:tc>
          <w:tcPr>
            <w:tcW w:w="1900" w:type="dxa"/>
            <w:vAlign w:val="bottom"/>
          </w:tcPr>
          <w:p>
            <w:pPr>
              <w:spacing w:after="0"/>
              <w:rPr>
                <w:sz w:val="20"/>
                <w:szCs w:val="20"/>
                <w:color w:val="auto"/>
              </w:rPr>
            </w:pPr>
            <w:r>
              <w:rPr>
                <w:rFonts w:ascii="Arial" w:cs="Arial" w:eastAsia="Arial" w:hAnsi="Arial"/>
                <w:sz w:val="16"/>
                <w:szCs w:val="16"/>
                <w:color w:val="auto"/>
              </w:rPr>
              <w:t>Applicable Rate.</w:t>
            </w:r>
          </w:p>
        </w:tc>
        <w:tc>
          <w:tcPr>
            <w:tcW w:w="480" w:type="dxa"/>
            <w:vAlign w:val="bottom"/>
            <w:tcBorders>
              <w:top w:val="single" w:sz="8" w:color="auto"/>
            </w:tcBorders>
          </w:tcPr>
          <w:p>
            <w:pPr>
              <w:spacing w:after="0"/>
              <w:rPr>
                <w:sz w:val="17"/>
                <w:szCs w:val="17"/>
                <w:color w:val="auto"/>
              </w:rPr>
            </w:pPr>
          </w:p>
        </w:tc>
        <w:tc>
          <w:tcPr>
            <w:tcW w:w="9060" w:type="dxa"/>
            <w:vAlign w:val="bottom"/>
          </w:tcPr>
          <w:p>
            <w:pPr>
              <w:spacing w:after="0"/>
              <w:rPr>
                <w:sz w:val="17"/>
                <w:szCs w:val="17"/>
                <w:color w:val="auto"/>
              </w:rPr>
            </w:pPr>
          </w:p>
        </w:tc>
      </w:tr>
    </w:tbl>
    <w:p>
      <w:pPr>
        <w:spacing w:after="0" w:line="227" w:lineRule="exact"/>
        <w:rPr>
          <w:sz w:val="20"/>
          <w:szCs w:val="20"/>
          <w:color w:val="auto"/>
        </w:rPr>
      </w:pPr>
    </w:p>
    <w:p>
      <w:pPr>
        <w:ind w:right="20" w:firstLine="565"/>
        <w:spacing w:after="0" w:line="270" w:lineRule="auto"/>
        <w:tabs>
          <w:tab w:leader="none" w:pos="9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Loans comprising each Eurodollar Borrowing shall bear interest at the Adjusted LIBO Rate for the Interest Period in effect for such Borrowing plus the Applicable Rate.</w:t>
      </w:r>
    </w:p>
    <w:p>
      <w:pPr>
        <w:spacing w:after="0" w:line="203" w:lineRule="exact"/>
        <w:rPr>
          <w:rFonts w:ascii="Arial" w:cs="Arial" w:eastAsia="Arial" w:hAnsi="Arial"/>
          <w:sz w:val="16"/>
          <w:szCs w:val="16"/>
          <w:color w:val="auto"/>
        </w:rPr>
      </w:pPr>
    </w:p>
    <w:p>
      <w:pPr>
        <w:ind w:left="940" w:hanging="375"/>
        <w:spacing w:after="0"/>
        <w:tabs>
          <w:tab w:leader="none" w:pos="9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Each Protective Advance and each Overadvance shall bear interest at the Alternate Base Rate plus the Applicable Rate for Revolving Loans plus 2%.</w:t>
      </w:r>
    </w:p>
    <w:p>
      <w:pPr>
        <w:spacing w:after="0" w:line="255" w:lineRule="exact"/>
        <w:rPr>
          <w:rFonts w:ascii="Arial" w:cs="Arial" w:eastAsia="Arial" w:hAnsi="Arial"/>
          <w:sz w:val="15"/>
          <w:szCs w:val="15"/>
          <w:color w:val="auto"/>
        </w:rPr>
      </w:pPr>
    </w:p>
    <w:p>
      <w:pPr>
        <w:jc w:val="both"/>
        <w:ind w:firstLine="565"/>
        <w:spacing w:after="0" w:line="253" w:lineRule="auto"/>
        <w:tabs>
          <w:tab w:leader="none" w:pos="957"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requiring the consent of “each Lender affected thereby” for reductions in interest rates), declare that (i) all Loans shall bear interest at 2% plus the rate otherwise applicable to such Loans as provided in the preceding paragraphs of this Section (other than paragraph (c)) or (ii) in the case of any other amount outstanding hereunder, such amount shall accrue at 2% plus the rate applicable to such fee or other obligation as provided hereunder.</w:t>
      </w:r>
    </w:p>
    <w:p>
      <w:pPr>
        <w:spacing w:after="0" w:line="217" w:lineRule="exact"/>
        <w:rPr>
          <w:rFonts w:ascii="Arial" w:cs="Arial" w:eastAsia="Arial" w:hAnsi="Arial"/>
          <w:sz w:val="16"/>
          <w:szCs w:val="16"/>
          <w:color w:val="auto"/>
        </w:rPr>
      </w:pPr>
    </w:p>
    <w:p>
      <w:pPr>
        <w:jc w:val="both"/>
        <w:ind w:right="20" w:firstLine="565"/>
        <w:spacing w:after="0" w:line="274" w:lineRule="auto"/>
        <w:tabs>
          <w:tab w:leader="none" w:pos="936" w:val="left"/>
        </w:tabs>
        <w:numPr>
          <w:ilvl w:val="0"/>
          <w:numId w:val="40"/>
        </w:numPr>
        <w:rPr>
          <w:rFonts w:ascii="Arial" w:cs="Arial" w:eastAsia="Arial" w:hAnsi="Arial"/>
          <w:sz w:val="15"/>
          <w:szCs w:val="15"/>
          <w:color w:val="auto"/>
        </w:rPr>
      </w:pPr>
      <w:r>
        <w:rPr>
          <w:rFonts w:ascii="Arial" w:cs="Arial" w:eastAsia="Arial" w:hAnsi="Arial"/>
          <w:sz w:val="15"/>
          <w:szCs w:val="15"/>
          <w:color w:val="auto"/>
        </w:rPr>
        <w:t xml:space="preserve">Accrued interest on each Loan (for ABR Loans, accrued through the last day of the prior calendar month) shall be payable in arrears on each Interest Payment Date for such Loan and upon termination of the Commitments;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203" w:lineRule="exact"/>
        <w:rPr>
          <w:rFonts w:ascii="Arial" w:cs="Arial" w:eastAsia="Arial" w:hAnsi="Arial"/>
          <w:sz w:val="15"/>
          <w:szCs w:val="15"/>
          <w:color w:val="auto"/>
        </w:rPr>
      </w:pPr>
    </w:p>
    <w:p>
      <w:pPr>
        <w:jc w:val="both"/>
        <w:ind w:firstLine="565"/>
        <w:spacing w:after="0" w:line="259" w:lineRule="auto"/>
        <w:tabs>
          <w:tab w:leader="none" w:pos="91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computed by reference to the Alternate Base Rate shall be computed on the basis of a year of 365 days or, in a leap year, a year of 366 days, and in each case shall be payable for the actual number of days elapsed. The applicable Alternate Base Rate, Adjusted LIBO Rate or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LIBO Rate shall be determined by the Administrative Agent, and such determination shall be conclusive absent manifest error.</w:t>
      </w:r>
    </w:p>
    <w:p>
      <w:pPr>
        <w:spacing w:after="0" w:line="244"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2.14.</w:t>
      </w:r>
      <w:r>
        <w:rPr>
          <w:sz w:val="20"/>
          <w:szCs w:val="20"/>
          <w:color w:val="auto"/>
        </w:rPr>
        <w:tab/>
      </w:r>
      <w:r>
        <w:rPr>
          <w:rFonts w:ascii="Arial" w:cs="Arial" w:eastAsia="Arial" w:hAnsi="Arial"/>
          <w:sz w:val="14"/>
          <w:szCs w:val="14"/>
          <w:u w:val="single" w:color="auto"/>
          <w:color w:val="auto"/>
        </w:rPr>
        <w:t>Alternate Rate of Interest</w:t>
      </w:r>
      <w:r>
        <w:rPr>
          <w:rFonts w:ascii="Arial" w:cs="Arial" w:eastAsia="Arial" w:hAnsi="Arial"/>
          <w:sz w:val="14"/>
          <w:szCs w:val="14"/>
          <w:color w:val="auto"/>
        </w:rPr>
        <w:t>. If prior to the commencement of any Interest Period for a Eurodollar Borrowing:</w:t>
      </w:r>
    </w:p>
    <w:p>
      <w:pPr>
        <w:spacing w:after="0" w:line="244" w:lineRule="exact"/>
        <w:rPr>
          <w:sz w:val="20"/>
          <w:szCs w:val="20"/>
          <w:color w:val="auto"/>
        </w:rPr>
      </w:pPr>
    </w:p>
    <w:p>
      <w:pPr>
        <w:ind w:right="20" w:firstLine="565"/>
        <w:spacing w:after="0" w:line="270" w:lineRule="auto"/>
        <w:tabs>
          <w:tab w:leader="none" w:pos="9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Administrative Agent determines (which determination shall be conclusive absent manifest error) that adequate and reasonable means do not exist for ascertaining the Adjusted LIBO Rate or the LIBO Rate, as applicable, for such Interest Period; or</w:t>
      </w:r>
    </w:p>
    <w:p>
      <w:pPr>
        <w:spacing w:after="0" w:line="203" w:lineRule="exact"/>
        <w:rPr>
          <w:rFonts w:ascii="Arial" w:cs="Arial" w:eastAsia="Arial" w:hAnsi="Arial"/>
          <w:sz w:val="16"/>
          <w:szCs w:val="16"/>
          <w:color w:val="auto"/>
        </w:rPr>
      </w:pPr>
    </w:p>
    <w:p>
      <w:pPr>
        <w:ind w:right="20" w:firstLine="565"/>
        <w:spacing w:after="0" w:line="304" w:lineRule="auto"/>
        <w:tabs>
          <w:tab w:leader="none" w:pos="968"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Administrative Agent is advised by a Lender or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then the Administrative Agent shall give notice thereof to the Borrower Representative and the Lenders by telephone, facsimile or .pdf transmission as promptly as practicable thereafter and, until the Administrative Agent notifies the Borrower Representative and the Lenders that the circumstances giving rise to such notice no longer exist, (i) any Interest Election Request that requests the conversion of any Revolving Borrowing to, or continuation of any Revolving Borrowing as, a Eurodollar Borrowing shall be ineffective, and (ii) if any Borrowing Request requests a Eurodollar Revolving Borrowing, such Borrowing shall be made as an ABR Borrowing.</w:t>
      </w:r>
    </w:p>
    <w:p>
      <w:pPr>
        <w:spacing w:after="0" w:line="201"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2.15.</w:t>
      </w:r>
      <w:r>
        <w:rPr>
          <w:sz w:val="20"/>
          <w:szCs w:val="20"/>
          <w:color w:val="auto"/>
        </w:rPr>
        <w:tab/>
      </w:r>
      <w:r>
        <w:rPr>
          <w:rFonts w:ascii="Arial" w:cs="Arial" w:eastAsia="Arial" w:hAnsi="Arial"/>
          <w:sz w:val="14"/>
          <w:szCs w:val="14"/>
          <w:u w:val="single" w:color="auto"/>
          <w:color w:val="auto"/>
        </w:rPr>
        <w:t>Increased Costs</w:t>
      </w:r>
      <w:r>
        <w:rPr>
          <w:rFonts w:ascii="Arial" w:cs="Arial" w:eastAsia="Arial" w:hAnsi="Arial"/>
          <w:sz w:val="14"/>
          <w:szCs w:val="14"/>
          <w:color w:val="auto"/>
        </w:rPr>
        <w:t>. (a) If any Change in Law shall:</w:t>
      </w:r>
    </w:p>
    <w:p>
      <w:pPr>
        <w:spacing w:after="0" w:line="244" w:lineRule="exact"/>
        <w:rPr>
          <w:sz w:val="20"/>
          <w:szCs w:val="20"/>
          <w:color w:val="auto"/>
        </w:rPr>
      </w:pPr>
    </w:p>
    <w:p>
      <w:pPr>
        <w:jc w:val="both"/>
        <w:ind w:left="560" w:right="20" w:firstLine="1145"/>
        <w:spacing w:after="0" w:line="259" w:lineRule="auto"/>
        <w:tabs>
          <w:tab w:leader="none" w:pos="2051" w:val="left"/>
        </w:tabs>
        <w:numPr>
          <w:ilvl w:val="0"/>
          <w:numId w:val="42"/>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or similar requirement (including any compulsory loan requirement, insurance charge or other assessment) against assets of, deposits with or for the account of, or credit extended by, any Lender (except any such reserve requirement reflected in the Adjusted LIBO Rate) or the Issuing Bank;</w:t>
      </w:r>
    </w:p>
    <w:p>
      <w:pPr>
        <w:spacing w:after="0" w:line="212" w:lineRule="exact"/>
        <w:rPr>
          <w:rFonts w:ascii="Arial" w:cs="Arial" w:eastAsia="Arial" w:hAnsi="Arial"/>
          <w:sz w:val="16"/>
          <w:szCs w:val="16"/>
          <w:color w:val="auto"/>
        </w:rPr>
      </w:pPr>
    </w:p>
    <w:p>
      <w:pPr>
        <w:ind w:left="560" w:right="20" w:firstLine="1145"/>
        <w:spacing w:after="0" w:line="270" w:lineRule="auto"/>
        <w:tabs>
          <w:tab w:leader="none" w:pos="2084" w:val="left"/>
        </w:tabs>
        <w:numPr>
          <w:ilvl w:val="0"/>
          <w:numId w:val="42"/>
        </w:numPr>
        <w:rPr>
          <w:rFonts w:ascii="Arial" w:cs="Arial" w:eastAsia="Arial" w:hAnsi="Arial"/>
          <w:sz w:val="16"/>
          <w:szCs w:val="16"/>
          <w:color w:val="auto"/>
        </w:rPr>
      </w:pPr>
      <w:r>
        <w:rPr>
          <w:rFonts w:ascii="Arial" w:cs="Arial" w:eastAsia="Arial" w:hAnsi="Arial"/>
          <w:sz w:val="16"/>
          <w:szCs w:val="16"/>
          <w:color w:val="auto"/>
        </w:rPr>
        <w:t>impose on any Lender or the Issuing Bank or the London interbank market any other condition, cost or expense (other than Taxes) affecting this Agreement or Eurodollar Loans made by such Lender or any Letter of Credit or participation therein; or</w:t>
      </w:r>
    </w:p>
    <w:p>
      <w:pPr>
        <w:spacing w:after="0" w:line="203" w:lineRule="exact"/>
        <w:rPr>
          <w:rFonts w:ascii="Arial" w:cs="Arial" w:eastAsia="Arial" w:hAnsi="Arial"/>
          <w:sz w:val="16"/>
          <w:szCs w:val="16"/>
          <w:color w:val="auto"/>
        </w:rPr>
      </w:pPr>
    </w:p>
    <w:p>
      <w:pPr>
        <w:jc w:val="both"/>
        <w:ind w:left="560" w:right="20" w:firstLine="1145"/>
        <w:spacing w:after="0" w:line="259" w:lineRule="auto"/>
        <w:tabs>
          <w:tab w:leader="none" w:pos="2128"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subject any Recipient to any Taxes on its loans, loan principal, letters of credit, commitments, or other obligations, or its deposits, reserves, other liabilities or capital attributable thereto (other than (A) Indemnified Taxes, (B) Excluded Taxes and (C) Other Connection Taxes imposed on or measured by gross or net income, profits or receipts);</w:t>
      </w:r>
    </w:p>
    <w:p>
      <w:pPr>
        <w:spacing w:after="0" w:line="188"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and the result of any of the foregoing shall be to increase the cost to such Lender or such other Recipient of making, continuing, converting to or maintaining any Eurodollar Loan (or of maintaining its obligation to make any such Loan) or to increase the cost to such Lender, the Issuing Bank or such other Recipient of participating in, issuing or maintaining any Letter of Credit, Swingline Loan, Protective Advance or Overadvance or to reduce the amount of any sum received or receivable by such Lender, the Issuing Bank or such other Recipient hereunder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58" w:name="page59"/>
    <w:bookmarkEnd w:id="58"/>
    <w:p>
      <w:pPr>
        <w:spacing w:after="0" w:line="304" w:lineRule="auto"/>
        <w:rPr>
          <w:sz w:val="20"/>
          <w:szCs w:val="20"/>
          <w:color w:val="auto"/>
        </w:rPr>
      </w:pPr>
      <w:r>
        <w:rPr>
          <w:rFonts w:ascii="Arial" w:cs="Arial" w:eastAsia="Arial" w:hAnsi="Arial"/>
          <w:sz w:val="15"/>
          <w:szCs w:val="15"/>
          <w:color w:val="auto"/>
        </w:rPr>
        <w:t>(whether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81" w:lineRule="exact"/>
        <w:rPr>
          <w:sz w:val="20"/>
          <w:szCs w:val="20"/>
          <w:color w:val="auto"/>
        </w:rPr>
      </w:pPr>
    </w:p>
    <w:p>
      <w:pPr>
        <w:jc w:val="right"/>
        <w:ind w:left="180" w:firstLine="463"/>
        <w:spacing w:after="0" w:line="286" w:lineRule="auto"/>
        <w:tabs>
          <w:tab w:leader="none" w:pos="1011" w:val="left"/>
        </w:tabs>
        <w:numPr>
          <w:ilvl w:val="0"/>
          <w:numId w:val="43"/>
        </w:numPr>
        <w:rPr>
          <w:rFonts w:ascii="Arial" w:cs="Arial" w:eastAsia="Arial" w:hAnsi="Arial"/>
          <w:sz w:val="14"/>
          <w:szCs w:val="14"/>
          <w:color w:val="auto"/>
        </w:rPr>
      </w:pPr>
      <w:r>
        <w:rPr>
          <w:rFonts w:ascii="Arial" w:cs="Arial" w:eastAsia="Arial" w:hAnsi="Arial"/>
          <w:sz w:val="14"/>
          <w:szCs w:val="14"/>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Swingline Loans, Protective Advances or Overadvances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w:t>
      </w:r>
    </w:p>
    <w:p>
      <w:pPr>
        <w:ind w:left="4040"/>
        <w:spacing w:after="0"/>
        <w:rPr>
          <w:sz w:val="20"/>
          <w:szCs w:val="20"/>
          <w:color w:val="auto"/>
        </w:rPr>
      </w:pPr>
      <w:r>
        <w:rPr>
          <w:rFonts w:ascii="Arial" w:cs="Arial" w:eastAsia="Arial" w:hAnsi="Arial"/>
          <w:sz w:val="14"/>
          <w:szCs w:val="14"/>
          <w:color w:val="auto"/>
        </w:rPr>
        <w:t>Lender or the Issuing Bank or such Lender’s or the Issuing Bank’s holding company for any such reduction suffered.</w:t>
      </w:r>
    </w:p>
    <w:p>
      <w:pPr>
        <w:spacing w:after="0" w:line="256" w:lineRule="exact"/>
        <w:rPr>
          <w:sz w:val="20"/>
          <w:szCs w:val="20"/>
          <w:color w:val="auto"/>
        </w:rPr>
      </w:pPr>
    </w:p>
    <w:p>
      <w:pPr>
        <w:jc w:val="both"/>
        <w:ind w:firstLine="565"/>
        <w:spacing w:after="0" w:line="284" w:lineRule="auto"/>
        <w:tabs>
          <w:tab w:leader="none" w:pos="936"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10 days after receipt thereof.</w:t>
      </w:r>
    </w:p>
    <w:p>
      <w:pPr>
        <w:spacing w:after="0" w:line="195" w:lineRule="exact"/>
        <w:rPr>
          <w:rFonts w:ascii="Arial" w:cs="Arial" w:eastAsia="Arial" w:hAnsi="Arial"/>
          <w:sz w:val="15"/>
          <w:szCs w:val="15"/>
          <w:color w:val="auto"/>
        </w:rPr>
      </w:pPr>
    </w:p>
    <w:p>
      <w:pPr>
        <w:jc w:val="both"/>
        <w:ind w:right="20" w:firstLine="565"/>
        <w:spacing w:after="0" w:line="252" w:lineRule="auto"/>
        <w:tabs>
          <w:tab w:leader="none" w:pos="945"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the Issuing Bank to demand compensation pursuant to this Section shall not constitute a waiver of such Lender’s or the Issuing Bank’s right to demand such compensation; provided that the Borrowers shall not be required to compensate a Lender or the Issuing Bank pursuant to this Section for any increased costs or reductions incurred more than 270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219"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xml:space="preserve">.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w:t>
      </w:r>
      <w:r>
        <w:rPr>
          <w:rFonts w:ascii="Arial" w:cs="Arial" w:eastAsia="Arial" w:hAnsi="Arial"/>
          <w:sz w:val="16"/>
          <w:szCs w:val="16"/>
          <w:u w:val="single" w:color="auto"/>
          <w:color w:val="auto"/>
        </w:rPr>
        <w:t>Section 2.09(d)</w:t>
      </w:r>
      <w:r>
        <w:rPr>
          <w:rFonts w:ascii="Arial" w:cs="Arial" w:eastAsia="Arial" w:hAnsi="Arial"/>
          <w:sz w:val="16"/>
          <w:szCs w:val="16"/>
          <w:color w:val="auto"/>
        </w:rPr>
        <w:t xml:space="preserve"> and is revoked in accordance therewith), or (d) the assignment of any Eurodollar Loan other than on the last day of the Interest Period applicable thereto as a result of a request by the Borrower Representative pursuant to </w:t>
      </w:r>
      <w:r>
        <w:rPr>
          <w:rFonts w:ascii="Arial" w:cs="Arial" w:eastAsia="Arial" w:hAnsi="Arial"/>
          <w:sz w:val="16"/>
          <w:szCs w:val="16"/>
          <w:u w:val="single" w:color="auto"/>
          <w:color w:val="auto"/>
        </w:rPr>
        <w:t>Section 2.19</w:t>
      </w:r>
      <w:r>
        <w:rPr>
          <w:rFonts w:ascii="Arial" w:cs="Arial" w:eastAsia="Arial" w:hAnsi="Arial"/>
          <w:sz w:val="16"/>
          <w:szCs w:val="16"/>
          <w:color w:val="auto"/>
        </w:rPr>
        <w:t>, then, in any such event, the Borrowers shall compensate each Lender for the loss, cost and expense attributable to such event. In the case of a Eurodollar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59" w:name="page60"/>
    <w:bookmarkEnd w:id="59"/>
    <w:p>
      <w:pPr>
        <w:jc w:val="both"/>
        <w:spacing w:after="0" w:line="251" w:lineRule="auto"/>
        <w:rPr>
          <w:sz w:val="20"/>
          <w:szCs w:val="20"/>
          <w:color w:val="auto"/>
        </w:rPr>
      </w:pPr>
      <w:r>
        <w:rPr>
          <w:rFonts w:ascii="Arial" w:cs="Arial" w:eastAsia="Arial" w:hAnsi="Arial"/>
          <w:sz w:val="16"/>
          <w:szCs w:val="16"/>
          <w:color w:val="auto"/>
        </w:rPr>
        <w:t>Loan, such loss, cost or expense to any Lender shall be deemed to include an amount determined by such Lender to be the excess, if any, of (i) the amount of interest which would have accrued on the principal amount of such Eurodollar Loan had such event not occurred, at the Adjusted LIBO Rate that would have been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10 days after receipt thereof.</w:t>
      </w:r>
    </w:p>
    <w:p>
      <w:pPr>
        <w:spacing w:after="0" w:line="219" w:lineRule="exact"/>
        <w:rPr>
          <w:sz w:val="20"/>
          <w:szCs w:val="20"/>
          <w:color w:val="auto"/>
        </w:rPr>
      </w:pPr>
    </w:p>
    <w:p>
      <w:pPr>
        <w:jc w:val="both"/>
        <w:ind w:right="20" w:firstLine="570"/>
        <w:spacing w:after="0" w:line="298" w:lineRule="auto"/>
        <w:rPr>
          <w:sz w:val="20"/>
          <w:szCs w:val="20"/>
          <w:color w:val="auto"/>
        </w:rPr>
      </w:pPr>
      <w:r>
        <w:rPr>
          <w:rFonts w:ascii="Arial" w:cs="Arial" w:eastAsia="Arial" w:hAnsi="Arial"/>
          <w:sz w:val="14"/>
          <w:szCs w:val="14"/>
          <w:color w:val="auto"/>
        </w:rPr>
        <w:t xml:space="preserve">SECTION 2.17. </w:t>
      </w:r>
      <w:r>
        <w:rPr>
          <w:rFonts w:ascii="Arial" w:cs="Arial" w:eastAsia="Arial" w:hAnsi="Arial"/>
          <w:sz w:val="14"/>
          <w:szCs w:val="14"/>
          <w:u w:val="single" w:color="auto"/>
          <w:color w:val="auto"/>
        </w:rPr>
        <w:t>Taxes</w:t>
      </w:r>
      <w:r>
        <w:rPr>
          <w:rFonts w:ascii="Arial" w:cs="Arial" w:eastAsia="Arial" w:hAnsi="Arial"/>
          <w:sz w:val="14"/>
          <w:szCs w:val="14"/>
          <w:color w:val="auto"/>
        </w:rPr>
        <w:t xml:space="preserve">. (a) </w:t>
      </w:r>
      <w:r>
        <w:rPr>
          <w:rFonts w:ascii="Arial" w:cs="Arial" w:eastAsia="Arial" w:hAnsi="Arial"/>
          <w:sz w:val="14"/>
          <w:szCs w:val="14"/>
          <w:u w:val="single" w:color="auto"/>
          <w:color w:val="auto"/>
        </w:rPr>
        <w:t>Withholding of Taxes; Gross-Up</w:t>
      </w:r>
      <w:r>
        <w:rPr>
          <w:rFonts w:ascii="Arial" w:cs="Arial" w:eastAsia="Arial" w:hAnsi="Arial"/>
          <w:sz w:val="14"/>
          <w:szCs w:val="14"/>
          <w:color w:val="auto"/>
        </w:rPr>
        <w:t>. Each payment by any Loan Party under any Loan Document shall be made without withholding for any Taxes, unless such withholding is required by any applicable law. If any Withholding Agent determines, in its sole discretion exercised in good faith, that it is so required to withhold Taxes, then such Withholding Agent shall so withhold and shall timely pay the full amount of withheld Taxes to the relevant Governmental Authority in accordance with applicable law. If such Taxes are Indemnified Taxes, then the amount payable by such Loan Party shall be increased as necessary so that, net of such withholding (including such withholding applicable to additional amounts payable under this Section), the applicable Recipient receives the amount it would have received had no such withholding been made.</w:t>
      </w:r>
    </w:p>
    <w:p>
      <w:pPr>
        <w:spacing w:after="0" w:line="188" w:lineRule="exact"/>
        <w:rPr>
          <w:sz w:val="20"/>
          <w:szCs w:val="20"/>
          <w:color w:val="auto"/>
        </w:rPr>
      </w:pPr>
    </w:p>
    <w:p>
      <w:pPr>
        <w:ind w:right="20" w:firstLine="565"/>
        <w:spacing w:after="0" w:line="270" w:lineRule="auto"/>
        <w:tabs>
          <w:tab w:leader="none" w:pos="94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Payment of Other Taxes by the Borrowers</w:t>
      </w:r>
      <w:r>
        <w:rPr>
          <w:rFonts w:ascii="Arial" w:cs="Arial" w:eastAsia="Arial" w:hAnsi="Arial"/>
          <w:sz w:val="16"/>
          <w:szCs w:val="16"/>
          <w:color w:val="auto"/>
        </w:rPr>
        <w:t>. The Borrowers and any other Loan Party shall timely pay any Other Taxes to the relevant Governmental Authority in accordance with applicable law or at the option of the Administrative Agent timely reimburse it for the payment of any Other Taxes.</w:t>
      </w:r>
    </w:p>
    <w:p>
      <w:pPr>
        <w:spacing w:after="0" w:line="203" w:lineRule="exact"/>
        <w:rPr>
          <w:rFonts w:ascii="Arial" w:cs="Arial" w:eastAsia="Arial" w:hAnsi="Arial"/>
          <w:sz w:val="16"/>
          <w:szCs w:val="16"/>
          <w:color w:val="auto"/>
        </w:rPr>
      </w:pPr>
    </w:p>
    <w:p>
      <w:pPr>
        <w:jc w:val="both"/>
        <w:ind w:right="20" w:firstLine="565"/>
        <w:spacing w:after="0" w:line="259" w:lineRule="auto"/>
        <w:tabs>
          <w:tab w:leader="none" w:pos="948"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12" w:lineRule="exact"/>
        <w:rPr>
          <w:rFonts w:ascii="Arial" w:cs="Arial" w:eastAsia="Arial" w:hAnsi="Arial"/>
          <w:sz w:val="16"/>
          <w:szCs w:val="16"/>
          <w:color w:val="auto"/>
        </w:rPr>
      </w:pPr>
    </w:p>
    <w:p>
      <w:pPr>
        <w:jc w:val="both"/>
        <w:ind w:firstLine="565"/>
        <w:spacing w:after="0" w:line="252" w:lineRule="auto"/>
        <w:tabs>
          <w:tab w:leader="none" w:pos="94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Indemnification by the Borrowers</w:t>
      </w:r>
      <w:r>
        <w:rPr>
          <w:rFonts w:ascii="Arial" w:cs="Arial" w:eastAsia="Arial" w:hAnsi="Arial"/>
          <w:sz w:val="16"/>
          <w:szCs w:val="16"/>
          <w:color w:val="auto"/>
        </w:rPr>
        <w:t xml:space="preserve">. The Loan Parties shall jointly and severally indemnify each Recipient for any Indemnified Taxes that are paid or payable by such Recipient in connection with any Loan Document (including amounts paid or payable under this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and any reasonable expenses arising therefrom or with respect thereto, whether or not such Indemnified Taxes were correctly or legally imposed or asserted by the relevant Governmental Authority. The indemnity under this </w:t>
      </w:r>
      <w:r>
        <w:rPr>
          <w:rFonts w:ascii="Arial" w:cs="Arial" w:eastAsia="Arial" w:hAnsi="Arial"/>
          <w:sz w:val="16"/>
          <w:szCs w:val="16"/>
          <w:u w:val="single" w:color="auto"/>
          <w:color w:val="auto"/>
        </w:rPr>
        <w:t>Section 2.17(d)</w:t>
      </w:r>
      <w:r>
        <w:rPr>
          <w:rFonts w:ascii="Arial" w:cs="Arial" w:eastAsia="Arial" w:hAnsi="Arial"/>
          <w:sz w:val="16"/>
          <w:szCs w:val="16"/>
          <w:color w:val="auto"/>
        </w:rPr>
        <w:t xml:space="preserve"> shall be paid within 10 days after the Recipient delivers to any Loan Party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60" w:name="page61"/>
    <w:bookmarkEnd w:id="60"/>
    <w:p>
      <w:pPr>
        <w:jc w:val="both"/>
        <w:ind w:right="20" w:firstLine="565"/>
        <w:spacing w:after="0" w:line="272" w:lineRule="auto"/>
        <w:tabs>
          <w:tab w:leader="none" w:pos="936"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Indemnification by the Lenders</w:t>
      </w:r>
      <w:r>
        <w:rPr>
          <w:rFonts w:ascii="Arial" w:cs="Arial" w:eastAsia="Arial" w:hAnsi="Arial"/>
          <w:sz w:val="15"/>
          <w:szCs w:val="15"/>
          <w:color w:val="auto"/>
        </w:rPr>
        <w:t xml:space="preserve">. Each Lender shall severally indemnify the Administrative Agent for any Taxes (but, in the case of any Indemnified Taxes, only to the extent that any Loan Party has not already 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w:t>
      </w:r>
      <w:r>
        <w:rPr>
          <w:rFonts w:ascii="Arial" w:cs="Arial" w:eastAsia="Arial" w:hAnsi="Arial"/>
          <w:sz w:val="15"/>
          <w:szCs w:val="15"/>
          <w:u w:val="single" w:color="auto"/>
          <w:color w:val="auto"/>
        </w:rPr>
        <w:t>Section 2.17(e)</w:t>
      </w:r>
      <w:r>
        <w:rPr>
          <w:rFonts w:ascii="Arial" w:cs="Arial" w:eastAsia="Arial" w:hAnsi="Arial"/>
          <w:sz w:val="15"/>
          <w:szCs w:val="15"/>
          <w:color w:val="auto"/>
        </w:rPr>
        <w:t xml:space="preserve"> shall be paid within 10 days after the Administrative Agent delivers to the applicable Lender a certificate stating the amount of Taxes so paid or payable by the Administrative Agent. Such certificate shall be conclusive of the amount so paid or payable absent manifest error.</w:t>
      </w:r>
    </w:p>
    <w:p>
      <w:pPr>
        <w:spacing w:after="0" w:line="204" w:lineRule="exact"/>
        <w:rPr>
          <w:rFonts w:ascii="Arial" w:cs="Arial" w:eastAsia="Arial" w:hAnsi="Arial"/>
          <w:sz w:val="15"/>
          <w:szCs w:val="15"/>
          <w:color w:val="auto"/>
        </w:rPr>
      </w:pPr>
    </w:p>
    <w:p>
      <w:pPr>
        <w:jc w:val="both"/>
        <w:ind w:firstLine="565"/>
        <w:spacing w:after="0" w:line="267" w:lineRule="auto"/>
        <w:tabs>
          <w:tab w:leader="none" w:pos="918"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Status of Lenders</w:t>
      </w:r>
      <w:r>
        <w:rPr>
          <w:rFonts w:ascii="Arial" w:cs="Arial" w:eastAsia="Arial" w:hAnsi="Arial"/>
          <w:sz w:val="15"/>
          <w:szCs w:val="15"/>
          <w:color w:val="auto"/>
        </w:rPr>
        <w:t xml:space="preserve">. (i) Any Lender that is entitled to an exemption from, or reduction of, any applicable withholding Tax with respect to any payments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or at a reduced rate of, withholding. In addition, any Lender, if requested by the Borrower Representative or the Administrative Agent, shall deliver such other documentation prescribed by law or reasonably requested by the Borrower Representative or the Administrative Agent as will enable the Borrower Representative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5"/>
          <w:szCs w:val="15"/>
          <w:u w:val="single" w:color="auto"/>
          <w:color w:val="auto"/>
        </w:rPr>
        <w:t>Section 2.17(f)(ii)(A)</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(G)</w:t>
      </w:r>
      <w:r>
        <w:rPr>
          <w:rFonts w:ascii="Arial" w:cs="Arial" w:eastAsia="Arial" w:hAnsi="Arial"/>
          <w:sz w:val="15"/>
          <w:szCs w:val="15"/>
          <w:color w:val="auto"/>
        </w:rPr>
        <w:t xml:space="preserve"> below) shall not be required if in the Lender’s judgment such completion, execution or submission would subject such Lender to any material unreimbursed cost or expense or would materially prejudice the legal or commercial position of such Lender. Upon the reasonable request of the Borrower Representative or the Administrative Agent, any Lender shall update any form or certification previously delivered pursuant to this </w:t>
      </w:r>
      <w:r>
        <w:rPr>
          <w:rFonts w:ascii="Arial" w:cs="Arial" w:eastAsia="Arial" w:hAnsi="Arial"/>
          <w:sz w:val="15"/>
          <w:szCs w:val="15"/>
          <w:u w:val="single" w:color="auto"/>
          <w:color w:val="auto"/>
        </w:rPr>
        <w:t>Section 2.17(f)</w:t>
      </w:r>
      <w:r>
        <w:rPr>
          <w:rFonts w:ascii="Arial" w:cs="Arial" w:eastAsia="Arial" w:hAnsi="Arial"/>
          <w:sz w:val="15"/>
          <w:szCs w:val="15"/>
          <w:color w:val="auto"/>
        </w:rPr>
        <w:t>. If any form or certification previously delivered pursuant to this Section expires or becomes obsolete or inaccurate in any respect with respect to a Lender, such Lender shall promptly (and in any event within 10 days after such expiration, obsolescence or inaccuracy) notify the Borrower Representative and the Administrative Agent in writing of such expiration, obsolescence or inaccuracy and update the form or certification if it is legally eligible to do so.</w:t>
      </w:r>
    </w:p>
    <w:p>
      <w:pPr>
        <w:spacing w:after="0" w:line="189" w:lineRule="exact"/>
        <w:rPr>
          <w:rFonts w:ascii="Arial" w:cs="Arial" w:eastAsia="Arial" w:hAnsi="Arial"/>
          <w:sz w:val="15"/>
          <w:szCs w:val="15"/>
          <w:color w:val="auto"/>
        </w:rPr>
      </w:pPr>
    </w:p>
    <w:p>
      <w:pPr>
        <w:jc w:val="both"/>
        <w:ind w:left="560" w:right="20" w:firstLine="718"/>
        <w:spacing w:after="0" w:line="303" w:lineRule="auto"/>
        <w:tabs>
          <w:tab w:leader="none" w:pos="1656" w:val="left"/>
        </w:tabs>
        <w:numPr>
          <w:ilvl w:val="1"/>
          <w:numId w:val="46"/>
        </w:numPr>
        <w:rPr>
          <w:rFonts w:ascii="Arial" w:cs="Arial" w:eastAsia="Arial" w:hAnsi="Arial"/>
          <w:sz w:val="14"/>
          <w:szCs w:val="14"/>
          <w:color w:val="auto"/>
        </w:rPr>
      </w:pPr>
      <w:r>
        <w:rPr>
          <w:rFonts w:ascii="Arial" w:cs="Arial" w:eastAsia="Arial" w:hAnsi="Arial"/>
          <w:sz w:val="14"/>
          <w:szCs w:val="14"/>
          <w:color w:val="auto"/>
        </w:rPr>
        <w:t>Without limiting the generality of the foregoing, if any Borrower is a U.S. Person, any Lender with respect to such Borrower shall, if in the case of any non-U.S. Lender, it is legally eligible to do so, deliver to the Borrower Representative and the Administrative Agent (in such number of copies reasonably requested by the Borrower Representative and the Administrative Agent) on or prior to the date on which such Lender becomes a party hereto, and from time to time thereafter upon the reasonable request of the Borrower Representative or the Administrative Agent, duly completed and executed copies of whichever of the following is applicable: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61" w:name="page62"/>
    <w:bookmarkEnd w:id="61"/>
    <w:p>
      <w:pPr>
        <w:ind w:left="1940" w:hanging="795"/>
        <w:spacing w:after="0"/>
        <w:tabs>
          <w:tab w:leader="none" w:pos="1940" w:val="left"/>
        </w:tabs>
        <w:numPr>
          <w:ilvl w:val="1"/>
          <w:numId w:val="47"/>
        </w:numPr>
        <w:rPr>
          <w:rFonts w:ascii="Arial" w:cs="Arial" w:eastAsia="Arial" w:hAnsi="Arial"/>
          <w:sz w:val="14"/>
          <w:szCs w:val="14"/>
          <w:color w:val="auto"/>
        </w:rPr>
      </w:pPr>
      <w:r>
        <w:rPr>
          <w:rFonts w:ascii="Arial" w:cs="Arial" w:eastAsia="Arial" w:hAnsi="Arial"/>
          <w:sz w:val="14"/>
          <w:szCs w:val="14"/>
          <w:color w:val="auto"/>
        </w:rPr>
        <w:t>in the case of a Lender that is a U.S. Person, IRS Form W-9 (or successor form) certifying that such Lender is exempt from U.S. Federal</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backup withholding tax;</w:t>
      </w:r>
    </w:p>
    <w:p>
      <w:pPr>
        <w:spacing w:after="0" w:line="208" w:lineRule="exact"/>
        <w:rPr>
          <w:rFonts w:ascii="Arial" w:cs="Arial" w:eastAsia="Arial" w:hAnsi="Arial"/>
          <w:sz w:val="14"/>
          <w:szCs w:val="14"/>
          <w:color w:val="auto"/>
        </w:rPr>
      </w:pPr>
    </w:p>
    <w:p>
      <w:pPr>
        <w:jc w:val="both"/>
        <w:ind w:firstLine="1145"/>
        <w:spacing w:after="0" w:line="253" w:lineRule="auto"/>
        <w:tabs>
          <w:tab w:leader="none" w:pos="1967"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the case of a Non-U.S. Lender claiming the benefits of an income tax treaty to which the United States is a party (1) with respect to payments of interest under any Loan Document, IRS Form W-8BEN or W-BEN-E, as applicable (or successor form) establishing an exemption from, or reduction of, U.S. Federal withholding Tax pursuant to the “interest” article of such tax treaty and (2) with respect to any other applicable payments under this Agreement, IRS Form W-8BEN or W-BEN-E, as applicable (or successor form) establishing an exemption from, or reduction of, U.S. Federal withholding Tax pursuant to the “business profits” or “other income” article of such tax treaty;</w:t>
      </w:r>
    </w:p>
    <w:p>
      <w:pPr>
        <w:spacing w:after="0" w:line="194" w:lineRule="exact"/>
        <w:rPr>
          <w:rFonts w:ascii="Arial" w:cs="Arial" w:eastAsia="Arial" w:hAnsi="Arial"/>
          <w:sz w:val="16"/>
          <w:szCs w:val="16"/>
          <w:color w:val="auto"/>
        </w:rPr>
      </w:pPr>
    </w:p>
    <w:p>
      <w:pPr>
        <w:ind w:right="20" w:firstLine="1145"/>
        <w:spacing w:after="0" w:line="270" w:lineRule="auto"/>
        <w:tabs>
          <w:tab w:leader="none" w:pos="1803"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the case of a Non-U.S. Lender for whom payments under this Agreement constitute income that is effectively connected with such Lender’s conduct of a trade or business in the United States, IRS Form W-8ECI (or successor form);</w:t>
      </w:r>
    </w:p>
    <w:p>
      <w:pPr>
        <w:spacing w:after="0" w:line="179" w:lineRule="exact"/>
        <w:rPr>
          <w:rFonts w:ascii="Arial" w:cs="Arial" w:eastAsia="Arial" w:hAnsi="Arial"/>
          <w:sz w:val="16"/>
          <w:szCs w:val="16"/>
          <w:color w:val="auto"/>
        </w:rPr>
      </w:pPr>
    </w:p>
    <w:p>
      <w:pPr>
        <w:jc w:val="both"/>
        <w:ind w:firstLine="1145"/>
        <w:spacing w:after="0" w:line="288" w:lineRule="auto"/>
        <w:tabs>
          <w:tab w:leader="none" w:pos="1859"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in the case of a Non-U.S. Lender claiming the benefits of the exemption for portfolio interest under Section 881(c) of the Code both (1) IRS Form W-8BEN or W-BEN-E, as applicable (or successor form) and (2) a tax certificate substantially in the form of </w:t>
      </w:r>
      <w:r>
        <w:rPr>
          <w:rFonts w:ascii="Arial" w:cs="Arial" w:eastAsia="Arial" w:hAnsi="Arial"/>
          <w:sz w:val="14"/>
          <w:szCs w:val="14"/>
          <w:u w:val="single" w:color="auto"/>
          <w:color w:val="auto"/>
        </w:rPr>
        <w:t>Exhibit C-1</w:t>
      </w:r>
      <w:r>
        <w:rPr>
          <w:rFonts w:ascii="Arial" w:cs="Arial" w:eastAsia="Arial" w:hAnsi="Arial"/>
          <w:sz w:val="14"/>
          <w:szCs w:val="14"/>
          <w:color w:val="auto"/>
        </w:rPr>
        <w:t xml:space="preserve"> to the effect that such Lender is not (a) a “bank” within the meaning of Section 881(c)(3)(A) of the Code, (b) a “10 percent shareholder” of such Borrower within the meaning of Section 881(c)(3)(B) of the Code</w:t>
      </w:r>
    </w:p>
    <w:p>
      <w:pPr>
        <w:spacing w:after="0" w:line="1" w:lineRule="exact"/>
        <w:rPr>
          <w:rFonts w:ascii="Arial" w:cs="Arial" w:eastAsia="Arial" w:hAnsi="Arial"/>
          <w:sz w:val="14"/>
          <w:szCs w:val="14"/>
          <w:color w:val="auto"/>
        </w:rPr>
      </w:pPr>
    </w:p>
    <w:p>
      <w:pPr>
        <w:ind w:right="20" w:firstLine="5"/>
        <w:spacing w:after="0" w:line="255" w:lineRule="auto"/>
        <w:tabs>
          <w:tab w:leader="none" w:pos="226"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“controlled foreign corporation” described in Section 881(c)(3)(C) of the Code and (d) conducting a trade or business in the United States with which the relevant interest payments are effectively connected;</w:t>
      </w:r>
    </w:p>
    <w:p>
      <w:pPr>
        <w:spacing w:after="0" w:line="191" w:lineRule="exact"/>
        <w:rPr>
          <w:rFonts w:ascii="Arial" w:cs="Arial" w:eastAsia="Arial" w:hAnsi="Arial"/>
          <w:sz w:val="16"/>
          <w:szCs w:val="16"/>
          <w:color w:val="auto"/>
        </w:rPr>
      </w:pPr>
    </w:p>
    <w:p>
      <w:pPr>
        <w:jc w:val="both"/>
        <w:ind w:firstLine="1145"/>
        <w:spacing w:after="0" w:line="253" w:lineRule="auto"/>
        <w:tabs>
          <w:tab w:leader="none" w:pos="1958"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in the case of a Non-U.S. Lender that is not the beneficial owner of payments made under this Agreement (including a partnership or a participating Lender) (1) an IRS Form W-8IMY (or successor form) on behalf of itself and (2) the relevant forms prescribed in clauses (A), (B), (C), (D) and (F) of this paragraph (f)(ii) that would be required of each such beneficial owner or partner of such partnership if such beneficial owner or partner were a Lender; provided, however, that if the Lender is a partnership and one or more of its partners are claiming the exemption for portfolio interest under Section 881(c) of the Code, such Lender may provide a tax certificate substantially in the form of </w:t>
      </w:r>
      <w:r>
        <w:rPr>
          <w:rFonts w:ascii="Arial" w:cs="Arial" w:eastAsia="Arial" w:hAnsi="Arial"/>
          <w:sz w:val="16"/>
          <w:szCs w:val="16"/>
          <w:u w:val="single" w:color="auto"/>
          <w:color w:val="auto"/>
        </w:rPr>
        <w:t>Exhibit C-2</w:t>
      </w:r>
      <w:r>
        <w:rPr>
          <w:rFonts w:ascii="Arial" w:cs="Arial" w:eastAsia="Arial" w:hAnsi="Arial"/>
          <w:sz w:val="16"/>
          <w:szCs w:val="16"/>
          <w:color w:val="auto"/>
        </w:rPr>
        <w:t xml:space="preserve"> on behalf of such partners;</w:t>
      </w:r>
    </w:p>
    <w:p>
      <w:pPr>
        <w:spacing w:after="0" w:line="194" w:lineRule="exact"/>
        <w:rPr>
          <w:rFonts w:ascii="Arial" w:cs="Arial" w:eastAsia="Arial" w:hAnsi="Arial"/>
          <w:sz w:val="16"/>
          <w:szCs w:val="16"/>
          <w:color w:val="auto"/>
        </w:rPr>
      </w:pPr>
    </w:p>
    <w:p>
      <w:pPr>
        <w:jc w:val="both"/>
        <w:ind w:firstLine="1145"/>
        <w:spacing w:after="0" w:line="259" w:lineRule="auto"/>
        <w:tabs>
          <w:tab w:leader="none" w:pos="183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other form prescribed by law as a basis for claiming exemption from, or a reduction of, U.S. Federal withholding Tax together with such supplementary documentation necessary to enable the Borrower Representative or the Administrative Agent to determine the amount of Tax (if any) required by law to be withheld; or</w:t>
      </w:r>
    </w:p>
    <w:p>
      <w:pPr>
        <w:spacing w:after="0" w:line="188" w:lineRule="exact"/>
        <w:rPr>
          <w:rFonts w:ascii="Arial" w:cs="Arial" w:eastAsia="Arial" w:hAnsi="Arial"/>
          <w:sz w:val="16"/>
          <w:szCs w:val="16"/>
          <w:color w:val="auto"/>
        </w:rPr>
      </w:pPr>
    </w:p>
    <w:p>
      <w:pPr>
        <w:jc w:val="both"/>
        <w:ind w:firstLine="1145"/>
        <w:spacing w:after="0" w:line="259" w:lineRule="auto"/>
        <w:tabs>
          <w:tab w:leader="none" w:pos="1934" w:val="left"/>
        </w:tabs>
        <w:numPr>
          <w:ilvl w:val="1"/>
          <w:numId w:val="48"/>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w:t>
      </w: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69850</wp:posOffset>
            </wp:positionV>
            <wp:extent cx="726821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258" w:right="219" w:bottom="1440" w:gutter="0" w:footer="0" w:header="0"/>
        </w:sectPr>
      </w:pPr>
    </w:p>
    <w:bookmarkStart w:id="62" w:name="page63"/>
    <w:bookmarkEnd w:id="62"/>
    <w:p>
      <w:pPr>
        <w:jc w:val="both"/>
        <w:ind w:left="560"/>
        <w:spacing w:after="0" w:line="274" w:lineRule="auto"/>
        <w:rPr>
          <w:sz w:val="20"/>
          <w:szCs w:val="20"/>
          <w:color w:val="auto"/>
        </w:rPr>
      </w:pPr>
      <w:r>
        <w:rPr>
          <w:rFonts w:ascii="Arial" w:cs="Arial" w:eastAsia="Arial" w:hAnsi="Arial"/>
          <w:sz w:val="15"/>
          <w:szCs w:val="15"/>
          <w:color w:val="auto"/>
        </w:rPr>
        <w:t xml:space="preserve">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2.17(f)(ii)(G)</w:t>
      </w:r>
      <w:r>
        <w:rPr>
          <w:rFonts w:ascii="Arial" w:cs="Arial" w:eastAsia="Arial" w:hAnsi="Arial"/>
          <w:sz w:val="15"/>
          <w:szCs w:val="15"/>
          <w:color w:val="auto"/>
        </w:rPr>
        <w:t>, “FATCA” shall include any amendments made to FATCA after the date of this Agreement.</w:t>
      </w:r>
    </w:p>
    <w:p>
      <w:pPr>
        <w:spacing w:after="0" w:line="203" w:lineRule="exact"/>
        <w:rPr>
          <w:sz w:val="20"/>
          <w:szCs w:val="20"/>
          <w:color w:val="auto"/>
        </w:rPr>
      </w:pPr>
    </w:p>
    <w:p>
      <w:pPr>
        <w:jc w:val="both"/>
        <w:ind w:firstLine="565"/>
        <w:spacing w:after="0" w:line="268" w:lineRule="auto"/>
        <w:tabs>
          <w:tab w:leader="none" w:pos="945"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Treatment of Certain Refunds</w:t>
      </w:r>
      <w:r>
        <w:rPr>
          <w:rFonts w:ascii="Arial" w:cs="Arial" w:eastAsia="Arial" w:hAnsi="Arial"/>
          <w:sz w:val="15"/>
          <w:szCs w:val="15"/>
          <w:color w:val="auto"/>
        </w:rPr>
        <w:t xml:space="preserve">. If any party determines, in its sole discretion exercised in good faith, that it has received a refund of any Taxes as to which it has been indemnified pursuant to this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(including additional amounts paid pursuant to this </w:t>
      </w:r>
      <w:r>
        <w:rPr>
          <w:rFonts w:ascii="Arial" w:cs="Arial" w:eastAsia="Arial" w:hAnsi="Arial"/>
          <w:sz w:val="15"/>
          <w:szCs w:val="15"/>
          <w:u w:val="single" w:color="auto"/>
          <w:color w:val="auto"/>
        </w:rPr>
        <w:t>Section 2.17</w:t>
      </w:r>
      <w:r>
        <w:rPr>
          <w:rFonts w:ascii="Arial" w:cs="Arial" w:eastAsia="Arial" w:hAnsi="Arial"/>
          <w:sz w:val="15"/>
          <w:szCs w:val="15"/>
          <w:color w:val="auto"/>
        </w:rPr>
        <w:t xml:space="preserve">), it shall pay to the indemnifying party an amount equal to such refund (but only to the extent of indemnity payments made under this Section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in the event such indemnified party is required to repay such refund to such Governmental Authority. Notwithstanding anything to the contrary in this </w:t>
      </w:r>
      <w:r>
        <w:rPr>
          <w:rFonts w:ascii="Arial" w:cs="Arial" w:eastAsia="Arial" w:hAnsi="Arial"/>
          <w:sz w:val="15"/>
          <w:szCs w:val="15"/>
          <w:u w:val="single" w:color="auto"/>
          <w:color w:val="auto"/>
        </w:rPr>
        <w:t>Section 2.17(g)</w:t>
      </w:r>
      <w:r>
        <w:rPr>
          <w:rFonts w:ascii="Arial" w:cs="Arial" w:eastAsia="Arial" w:hAnsi="Arial"/>
          <w:sz w:val="15"/>
          <w:szCs w:val="15"/>
          <w:color w:val="auto"/>
        </w:rPr>
        <w:t xml:space="preserve">, in no event will any indemnified party be required to pay any amount to any indemnifying party pursuant to this </w:t>
      </w:r>
      <w:r>
        <w:rPr>
          <w:rFonts w:ascii="Arial" w:cs="Arial" w:eastAsia="Arial" w:hAnsi="Arial"/>
          <w:sz w:val="15"/>
          <w:szCs w:val="15"/>
          <w:u w:val="single" w:color="auto"/>
          <w:color w:val="auto"/>
        </w:rPr>
        <w:t>Section 2.17(g)</w:t>
      </w:r>
      <w:r>
        <w:rPr>
          <w:rFonts w:ascii="Arial" w:cs="Arial" w:eastAsia="Arial" w:hAnsi="Arial"/>
          <w:sz w:val="15"/>
          <w:szCs w:val="15"/>
          <w:color w:val="auto"/>
        </w:rPr>
        <w:t xml:space="preserve"> if such payment would place such indemnified party in a less favorable position (on a net after-Tax basis) than such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5"/>
          <w:szCs w:val="15"/>
          <w:u w:val="single" w:color="auto"/>
          <w:color w:val="auto"/>
        </w:rPr>
        <w:t>Section 2.17(g)</w:t>
      </w:r>
      <w:r>
        <w:rPr>
          <w:rFonts w:ascii="Arial" w:cs="Arial" w:eastAsia="Arial" w:hAnsi="Arial"/>
          <w:sz w:val="15"/>
          <w:szCs w:val="15"/>
          <w:color w:val="auto"/>
        </w:rPr>
        <w:t xml:space="preserve"> shall not be construed to require any indemnified party to make available its Tax returns (or any other information relating to its Taxes which it deems confidential) to the indemnifying party or any other Person.</w:t>
      </w:r>
    </w:p>
    <w:p>
      <w:pPr>
        <w:spacing w:after="0" w:line="209" w:lineRule="exact"/>
        <w:rPr>
          <w:rFonts w:ascii="Arial" w:cs="Arial" w:eastAsia="Arial" w:hAnsi="Arial"/>
          <w:sz w:val="15"/>
          <w:szCs w:val="15"/>
          <w:color w:val="auto"/>
        </w:rPr>
      </w:pPr>
    </w:p>
    <w:p>
      <w:pPr>
        <w:ind w:right="20" w:firstLine="565"/>
        <w:spacing w:after="0" w:line="270" w:lineRule="auto"/>
        <w:tabs>
          <w:tab w:leader="none" w:pos="95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Certain Terms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2.17)</w:t>
      </w:r>
      <w:r>
        <w:rPr>
          <w:rFonts w:ascii="Arial" w:cs="Arial" w:eastAsia="Arial" w:hAnsi="Arial"/>
          <w:sz w:val="16"/>
          <w:szCs w:val="16"/>
          <w:color w:val="auto"/>
        </w:rPr>
        <w:t>, the term “applicable law” includes FATCA, and for purposes of Sections 2.17(e), and (f) the term “Lender” includes any Issuing Bank.</w:t>
      </w:r>
    </w:p>
    <w:p>
      <w:pPr>
        <w:spacing w:after="0" w:line="204" w:lineRule="exact"/>
        <w:rPr>
          <w:sz w:val="20"/>
          <w:szCs w:val="20"/>
          <w:color w:val="auto"/>
        </w:rPr>
      </w:pPr>
    </w:p>
    <w:p>
      <w:pPr>
        <w:jc w:val="both"/>
        <w:ind w:firstLine="570"/>
        <w:spacing w:after="0" w:line="271" w:lineRule="auto"/>
        <w:rPr>
          <w:sz w:val="20"/>
          <w:szCs w:val="20"/>
          <w:color w:val="auto"/>
        </w:rPr>
      </w:pPr>
      <w:r>
        <w:rPr>
          <w:rFonts w:ascii="Arial" w:cs="Arial" w:eastAsia="Arial" w:hAnsi="Arial"/>
          <w:sz w:val="15"/>
          <w:szCs w:val="15"/>
          <w:color w:val="auto"/>
        </w:rPr>
        <w:t xml:space="preserve">SECTION 2.18. </w:t>
      </w:r>
      <w:r>
        <w:rPr>
          <w:rFonts w:ascii="Arial" w:cs="Arial" w:eastAsia="Arial" w:hAnsi="Arial"/>
          <w:sz w:val="15"/>
          <w:szCs w:val="15"/>
          <w:u w:val="single" w:color="auto"/>
          <w:color w:val="auto"/>
        </w:rPr>
        <w:t>Payments Generally; Allocation of Proceeds; Sharing of Set-offs</w:t>
      </w:r>
      <w:r>
        <w:rPr>
          <w:rFonts w:ascii="Arial" w:cs="Arial" w:eastAsia="Arial" w:hAnsi="Arial"/>
          <w:sz w:val="15"/>
          <w:szCs w:val="15"/>
          <w:color w:val="auto"/>
        </w:rPr>
        <w:t xml:space="preserve">. (a)The Borrowers shall make each payment required to be made by them hereunder (whether of principal, interest, fees or reimbursement of LC Disbursements, or of amounts payable under </w:t>
      </w:r>
      <w:r>
        <w:rPr>
          <w:rFonts w:ascii="Arial" w:cs="Arial" w:eastAsia="Arial" w:hAnsi="Arial"/>
          <w:sz w:val="15"/>
          <w:szCs w:val="15"/>
          <w:u w:val="single" w:color="auto"/>
          <w:color w:val="auto"/>
        </w:rPr>
        <w:t>Sections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or otherwise) prior to 3:00 p.m., Local Time, on the date when due, in immediately available funds, without set 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95 Washington Street, Atrium Center 02, Buffalo, NY 14203, except payments to be made directly to the Issuing Bank or Swingline Lender as expressly provided herein and except that payments pursuant to </w:t>
      </w:r>
      <w:r>
        <w:rPr>
          <w:rFonts w:ascii="Arial" w:cs="Arial" w:eastAsia="Arial" w:hAnsi="Arial"/>
          <w:sz w:val="15"/>
          <w:szCs w:val="15"/>
          <w:u w:val="single" w:color="auto"/>
          <w:color w:val="auto"/>
        </w:rPr>
        <w:t>Sections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9.03</w:t>
      </w:r>
      <w:r>
        <w:rPr>
          <w:rFonts w:ascii="Arial" w:cs="Arial" w:eastAsia="Arial" w:hAnsi="Arial"/>
          <w:sz w:val="15"/>
          <w:szCs w:val="15"/>
          <w:color w:val="auto"/>
        </w:rPr>
        <w:t xml:space="preserve"> shall be made directly to the Persons entitled thereto. The Administrative Agent shall distribute any such payments received by it for the account of any other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6"/>
          <w:szCs w:val="16"/>
          <w:color w:val="auto"/>
        </w:rPr>
        <w:t>Person to the appropriate recipient, in like funds,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212" w:lineRule="exact"/>
        <w:rPr>
          <w:sz w:val="20"/>
          <w:szCs w:val="20"/>
          <w:color w:val="auto"/>
        </w:rPr>
      </w:pPr>
    </w:p>
    <w:p>
      <w:pPr>
        <w:jc w:val="both"/>
        <w:ind w:firstLine="565"/>
        <w:spacing w:after="0" w:line="266" w:lineRule="auto"/>
        <w:tabs>
          <w:tab w:leader="none" w:pos="945"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Any proceeds of Collateral received by the Administrative Agent (i) not constituting either (A) a specific payment of principal, interest, fees or other sum payable under the Loan Documents (which shall be applied as specified by the Borrowers), or (B) a mandatory prepayment (which shall be applied in accordance with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or (ii) after an Event of Default has occurred and is continuing (including during a Cash Dominion Trigger Period) and the Administrative Agent so elects or the Required Lenders so direct, such funds shall be applied ratably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to pay any fees, indemnities, or expense reimbursements including amounts then due to the Administrative Agent and the Issuing Bank from the Borrowers (other than amounts in connection with Banking Services or Swap Obligations),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to pay any fees or expense reimbursements then due to the Lenders from the Borrowers (other than amounts in connection with Banking Services or Swap Obligations), </w:t>
      </w:r>
      <w:r>
        <w:rPr>
          <w:rFonts w:ascii="Arial" w:cs="Arial" w:eastAsia="Arial" w:hAnsi="Arial"/>
          <w:sz w:val="15"/>
          <w:szCs w:val="15"/>
          <w:u w:val="single" w:color="auto"/>
          <w:color w:val="auto"/>
        </w:rPr>
        <w:t>third</w:t>
      </w:r>
      <w:r>
        <w:rPr>
          <w:rFonts w:ascii="Arial" w:cs="Arial" w:eastAsia="Arial" w:hAnsi="Arial"/>
          <w:sz w:val="15"/>
          <w:szCs w:val="15"/>
          <w:color w:val="auto"/>
        </w:rPr>
        <w:t xml:space="preserve">, to pay interest due in respect of the Overadvances and Protective Advances,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to pay the principal of the Overadvances and Protective Advances, </w:t>
      </w:r>
      <w:r>
        <w:rPr>
          <w:rFonts w:ascii="Arial" w:cs="Arial" w:eastAsia="Arial" w:hAnsi="Arial"/>
          <w:sz w:val="15"/>
          <w:szCs w:val="15"/>
          <w:u w:val="single" w:color="auto"/>
          <w:color w:val="auto"/>
        </w:rPr>
        <w:t>fifth</w:t>
      </w:r>
      <w:r>
        <w:rPr>
          <w:rFonts w:ascii="Arial" w:cs="Arial" w:eastAsia="Arial" w:hAnsi="Arial"/>
          <w:sz w:val="15"/>
          <w:szCs w:val="15"/>
          <w:color w:val="auto"/>
        </w:rPr>
        <w:t xml:space="preserve">, to pay interest then due and payable on the Loans (other than the Overadvances and Protective Advances) ratably, </w:t>
      </w:r>
      <w:r>
        <w:rPr>
          <w:rFonts w:ascii="Arial" w:cs="Arial" w:eastAsia="Arial" w:hAnsi="Arial"/>
          <w:sz w:val="15"/>
          <w:szCs w:val="15"/>
          <w:u w:val="single" w:color="auto"/>
          <w:color w:val="auto"/>
        </w:rPr>
        <w:t>sixth</w:t>
      </w:r>
      <w:r>
        <w:rPr>
          <w:rFonts w:ascii="Arial" w:cs="Arial" w:eastAsia="Arial" w:hAnsi="Arial"/>
          <w:sz w:val="15"/>
          <w:szCs w:val="15"/>
          <w:color w:val="auto"/>
        </w:rPr>
        <w:t xml:space="preserve">, to prepay principal on the Loans (other than the Overadvances and Protective Advances) and unreimbursed LC Disbursements ratably, </w:t>
      </w:r>
      <w:r>
        <w:rPr>
          <w:rFonts w:ascii="Arial" w:cs="Arial" w:eastAsia="Arial" w:hAnsi="Arial"/>
          <w:sz w:val="15"/>
          <w:szCs w:val="15"/>
          <w:u w:val="single" w:color="auto"/>
          <w:color w:val="auto"/>
        </w:rPr>
        <w:t>seventh</w:t>
      </w:r>
      <w:r>
        <w:rPr>
          <w:rFonts w:ascii="Arial" w:cs="Arial" w:eastAsia="Arial" w:hAnsi="Arial"/>
          <w:sz w:val="15"/>
          <w:szCs w:val="15"/>
          <w:color w:val="auto"/>
        </w:rPr>
        <w:t xml:space="preserve">, to pay an amount to the Administrative Agent equal to one hundred three percent (103%) of the aggregate undrawn face amount of all outstanding Letters of Credit and the aggregate amount of any unpaid LC Disbursements, to be held as cash collateral for such Obligations, </w:t>
      </w:r>
      <w:r>
        <w:rPr>
          <w:rFonts w:ascii="Arial" w:cs="Arial" w:eastAsia="Arial" w:hAnsi="Arial"/>
          <w:sz w:val="15"/>
          <w:szCs w:val="15"/>
          <w:u w:val="single" w:color="auto"/>
          <w:color w:val="auto"/>
        </w:rPr>
        <w:t>eighth</w:t>
      </w:r>
      <w:r>
        <w:rPr>
          <w:rFonts w:ascii="Arial" w:cs="Arial" w:eastAsia="Arial" w:hAnsi="Arial"/>
          <w:sz w:val="15"/>
          <w:szCs w:val="15"/>
          <w:color w:val="auto"/>
        </w:rPr>
        <w:t xml:space="preserve">, to payment of any amounts owing with respect to Banking Services and Swap Obligations up to and including the amount most recently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to the Administrative Agent pursuant to </w:t>
      </w:r>
      <w:r>
        <w:rPr>
          <w:rFonts w:ascii="Arial" w:cs="Arial" w:eastAsia="Arial" w:hAnsi="Arial"/>
          <w:sz w:val="15"/>
          <w:szCs w:val="15"/>
          <w:u w:val="single" w:color="auto"/>
          <w:color w:val="auto"/>
        </w:rPr>
        <w:t>Section 2.22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ninth</w:t>
      </w:r>
      <w:r>
        <w:rPr>
          <w:rFonts w:ascii="Arial" w:cs="Arial" w:eastAsia="Arial" w:hAnsi="Arial"/>
          <w:sz w:val="15"/>
          <w:szCs w:val="15"/>
          <w:color w:val="auto"/>
        </w:rPr>
        <w:t xml:space="preserve">, to the payment of any other Secured Obligation due to the Administrative Agent, any Lender, or any other holder of Secured Obligations by the Borrowers. Notwithstanding the foregoing amounts received from any Loan Guarantor shall not be applied to any Excluded Swap Obligation of such Loan Guarantor. Notwithstanding anything to the contrary contained in this Agreement, unless so directed by the Borrower Representative, or unless a Default is in existence, neither the Administrative Agent nor any Lender shall apply any payment which it receives from the proceeds of Collateral to any Eurodollar Loan of a Class, except (a) on the expiration date of the Interest Period applicable thereto or (b) in the event, and only to the extent, that there are no outstanding ABR Loans of the same Class and, in any such event, the Borrowers shall pay the break funding payment required in accordance with </w:t>
      </w:r>
      <w:r>
        <w:rPr>
          <w:rFonts w:ascii="Arial" w:cs="Arial" w:eastAsia="Arial" w:hAnsi="Arial"/>
          <w:sz w:val="15"/>
          <w:szCs w:val="15"/>
          <w:u w:val="single" w:color="auto"/>
          <w:color w:val="auto"/>
        </w:rPr>
        <w:t>Section 2.16</w:t>
      </w:r>
      <w:r>
        <w:rPr>
          <w:rFonts w:ascii="Arial" w:cs="Arial" w:eastAsia="Arial" w:hAnsi="Arial"/>
          <w:sz w:val="15"/>
          <w:szCs w:val="15"/>
          <w:color w:val="auto"/>
        </w:rPr>
        <w:t>. The Administrative Agent and the Lenders shall have the continuing and exclusive right to apply and reverse and reapply any and all such proceeds and payments to any portion of the Secured Obligations.</w:t>
      </w:r>
    </w:p>
    <w:p>
      <w:pPr>
        <w:spacing w:after="0" w:line="217" w:lineRule="exact"/>
        <w:rPr>
          <w:rFonts w:ascii="Arial" w:cs="Arial" w:eastAsia="Arial" w:hAnsi="Arial"/>
          <w:sz w:val="15"/>
          <w:szCs w:val="15"/>
          <w:color w:val="auto"/>
        </w:rPr>
      </w:pPr>
    </w:p>
    <w:p>
      <w:pPr>
        <w:jc w:val="both"/>
        <w:ind w:firstLine="565"/>
        <w:spacing w:after="0" w:line="277" w:lineRule="auto"/>
        <w:tabs>
          <w:tab w:leader="none" w:pos="936"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At the election of the Administrative Agent, all payments of principal, interest, LC Disbursements, fees, premiums and at any time a Default exists (or would exist absent the making of such payment), reimbursable expenses (including, without limitation, all reimbursement for fees and expenses pursuant to </w:t>
      </w:r>
      <w:r>
        <w:rPr>
          <w:rFonts w:ascii="Arial" w:cs="Arial" w:eastAsia="Arial" w:hAnsi="Arial"/>
          <w:sz w:val="15"/>
          <w:szCs w:val="15"/>
          <w:u w:val="single" w:color="auto"/>
          <w:color w:val="auto"/>
        </w:rPr>
        <w:t>Section 9.03</w:t>
      </w:r>
      <w:r>
        <w:rPr>
          <w:rFonts w:ascii="Arial" w:cs="Arial" w:eastAsia="Arial" w:hAnsi="Arial"/>
          <w:sz w:val="15"/>
          <w:szCs w:val="15"/>
          <w:color w:val="auto"/>
        </w:rPr>
        <w:t xml:space="preserve">), payable by any Borrower under the Loan Documents, may be paid from the proceeds of Borrowings made by such Borrower hereunder whether made following a request by the Borrower Representative pursuant to </w:t>
      </w:r>
      <w:r>
        <w:rPr>
          <w:rFonts w:ascii="Arial" w:cs="Arial" w:eastAsia="Arial" w:hAnsi="Arial"/>
          <w:sz w:val="15"/>
          <w:szCs w:val="15"/>
          <w:u w:val="single" w:color="auto"/>
          <w:color w:val="auto"/>
        </w:rPr>
        <w:t>Section 2.03</w:t>
      </w:r>
      <w:r>
        <w:rPr>
          <w:rFonts w:ascii="Arial" w:cs="Arial" w:eastAsia="Arial" w:hAnsi="Arial"/>
          <w:sz w:val="15"/>
          <w:szCs w:val="15"/>
          <w:color w:val="auto"/>
        </w:rPr>
        <w:t xml:space="preserve"> or a deemed request as provided in this Section or may be deducted from any deposit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64" w:name="page65"/>
    <w:bookmarkEnd w:id="64"/>
    <w:p>
      <w:pPr>
        <w:jc w:val="both"/>
        <w:spacing w:after="0" w:line="295" w:lineRule="auto"/>
        <w:rPr>
          <w:sz w:val="20"/>
          <w:szCs w:val="20"/>
          <w:color w:val="auto"/>
        </w:rPr>
      </w:pPr>
      <w:r>
        <w:rPr>
          <w:rFonts w:ascii="Arial" w:cs="Arial" w:eastAsia="Arial" w:hAnsi="Arial"/>
          <w:sz w:val="14"/>
          <w:szCs w:val="14"/>
          <w:color w:val="auto"/>
        </w:rPr>
        <w:t xml:space="preserve">account of any Borrower maintained with the Administrative Agent. Each Borrower hereby irrevocably authorizes (i) the Administrative Agent to make a Borrowing for the purpose of paying each payment of principal, interest, fees and at any time a Default exists (or would exist absent the making of such payment), reimbursable expenses as it becomes due hereunder or under the other Loan Documents and agrees that all such amounts charged shall constitute Loans (including Swingline Loans and Overadvances, but such a Borrowing may only constitute a Protective Advance if it is to reimburse costs, fees and expenses as described in </w:t>
      </w:r>
      <w:r>
        <w:rPr>
          <w:rFonts w:ascii="Arial" w:cs="Arial" w:eastAsia="Arial" w:hAnsi="Arial"/>
          <w:sz w:val="14"/>
          <w:szCs w:val="14"/>
          <w:u w:val="single" w:color="auto"/>
          <w:color w:val="auto"/>
        </w:rPr>
        <w:t>Section 9.03</w:t>
      </w:r>
      <w:r>
        <w:rPr>
          <w:rFonts w:ascii="Arial" w:cs="Arial" w:eastAsia="Arial" w:hAnsi="Arial"/>
          <w:sz w:val="14"/>
          <w:szCs w:val="14"/>
          <w:color w:val="auto"/>
        </w:rPr>
        <w:t xml:space="preserve">) and that all such Borrowings shall be deemed to have been requested pursuant to </w:t>
      </w:r>
      <w:r>
        <w:rPr>
          <w:rFonts w:ascii="Arial" w:cs="Arial" w:eastAsia="Arial" w:hAnsi="Arial"/>
          <w:sz w:val="14"/>
          <w:szCs w:val="14"/>
          <w:u w:val="single" w:color="auto"/>
          <w:color w:val="auto"/>
        </w:rPr>
        <w:t>Sections 2.03</w:t>
      </w:r>
      <w:r>
        <w:rPr>
          <w:rFonts w:ascii="Arial" w:cs="Arial" w:eastAsia="Arial" w:hAnsi="Arial"/>
          <w:sz w:val="14"/>
          <w:szCs w:val="14"/>
          <w:color w:val="auto"/>
        </w:rPr>
        <w:t xml:space="preserve">, </w:t>
      </w:r>
      <w:r>
        <w:rPr>
          <w:rFonts w:ascii="Arial" w:cs="Arial" w:eastAsia="Arial" w:hAnsi="Arial"/>
          <w:sz w:val="14"/>
          <w:szCs w:val="14"/>
          <w:u w:val="single" w:color="auto"/>
          <w:color w:val="auto"/>
        </w:rPr>
        <w:t>2.04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2.05</w:t>
      </w:r>
      <w:r>
        <w:rPr>
          <w:rFonts w:ascii="Arial" w:cs="Arial" w:eastAsia="Arial" w:hAnsi="Arial"/>
          <w:sz w:val="14"/>
          <w:szCs w:val="14"/>
          <w:color w:val="auto"/>
        </w:rPr>
        <w:t>, as applicable, and (ii) the Administrative Agent to charge any deposit account of any Borrower maintained with the Administrative Agent for each payment of principal, interest, fees and reimbursable expenses as it becomes due hereunder or under the other Loan Documents.</w:t>
      </w:r>
    </w:p>
    <w:p>
      <w:pPr>
        <w:spacing w:after="0" w:line="190" w:lineRule="exact"/>
        <w:rPr>
          <w:sz w:val="20"/>
          <w:szCs w:val="20"/>
          <w:color w:val="auto"/>
        </w:rPr>
      </w:pPr>
    </w:p>
    <w:p>
      <w:pPr>
        <w:jc w:val="both"/>
        <w:ind w:firstLine="565"/>
        <w:spacing w:after="0" w:line="268" w:lineRule="auto"/>
        <w:tabs>
          <w:tab w:leader="none" w:pos="945" w:val="left"/>
        </w:tabs>
        <w:numPr>
          <w:ilvl w:val="0"/>
          <w:numId w:val="51"/>
        </w:numPr>
        <w:rPr>
          <w:rFonts w:ascii="Arial" w:cs="Arial" w:eastAsia="Arial" w:hAnsi="Arial"/>
          <w:sz w:val="15"/>
          <w:szCs w:val="15"/>
          <w:color w:val="auto"/>
        </w:rPr>
      </w:pPr>
      <w:r>
        <w:rPr>
          <w:rFonts w:ascii="Arial" w:cs="Arial" w:eastAsia="Arial" w:hAnsi="Arial"/>
          <w:sz w:val="15"/>
          <w:szCs w:val="15"/>
          <w:color w:val="auto"/>
        </w:rPr>
        <w:t>If, except as otherwise expressly provided herein, any Lender shall, by exercising any right of set 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accrued interest thereon than the proportion received by any other Lender, then the Lender receiving such greater proportion shall purchase (for cash at face value) participations in the Loans and participations in LC Disbursements of other Lenders to the extent necessary so that the benefit of all such payments shall be shared by all such Lenders ratably in accordance with the aggregate amount of principal of and accrued interest on their respective Loans and participations in LC Disbursements;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06" w:lineRule="exact"/>
        <w:rPr>
          <w:rFonts w:ascii="Arial" w:cs="Arial" w:eastAsia="Arial" w:hAnsi="Arial"/>
          <w:sz w:val="15"/>
          <w:szCs w:val="15"/>
          <w:color w:val="auto"/>
        </w:rPr>
      </w:pPr>
    </w:p>
    <w:p>
      <w:pPr>
        <w:jc w:val="both"/>
        <w:ind w:firstLine="565"/>
        <w:spacing w:after="0" w:line="251" w:lineRule="auto"/>
        <w:tabs>
          <w:tab w:leader="none" w:pos="936" w:val="left"/>
        </w:tabs>
        <w:numPr>
          <w:ilvl w:val="0"/>
          <w:numId w:val="51"/>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Representative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a rate determined by the Administrative Agent in accordance with banking industry rules on interbank compensation.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65" w:name="page66"/>
    <w:bookmarkEnd w:id="65"/>
    <w:p>
      <w:pPr>
        <w:jc w:val="both"/>
        <w:ind w:firstLine="565"/>
        <w:spacing w:after="0" w:line="303" w:lineRule="auto"/>
        <w:tabs>
          <w:tab w:leader="none" w:pos="918" w:val="left"/>
        </w:tabs>
        <w:numPr>
          <w:ilvl w:val="0"/>
          <w:numId w:val="52"/>
        </w:numPr>
        <w:rPr>
          <w:rFonts w:ascii="Arial" w:cs="Arial" w:eastAsia="Arial" w:hAnsi="Arial"/>
          <w:sz w:val="14"/>
          <w:szCs w:val="14"/>
          <w:color w:val="auto"/>
        </w:rPr>
      </w:pPr>
      <w:r>
        <w:rPr>
          <w:rFonts w:ascii="Arial" w:cs="Arial" w:eastAsia="Arial" w:hAnsi="Arial"/>
          <w:sz w:val="14"/>
          <w:szCs w:val="14"/>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 (ii) hold any such amounts in a segregated account as cash collateral for, and application to, any future funding obligations of such Lender hereunder; application of amounts pursuant to (i) and (ii) above shall be made in such order as may be determined by the Administrative Agent in its discretion.</w:t>
      </w:r>
    </w:p>
    <w:p>
      <w:pPr>
        <w:spacing w:after="0" w:line="185"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2.19.</w:t>
      </w:r>
      <w:r>
        <w:rPr>
          <w:sz w:val="20"/>
          <w:szCs w:val="20"/>
          <w:color w:val="auto"/>
        </w:rPr>
        <w:tab/>
      </w:r>
      <w:r>
        <w:rPr>
          <w:rFonts w:ascii="Arial" w:cs="Arial" w:eastAsia="Arial" w:hAnsi="Arial"/>
          <w:sz w:val="14"/>
          <w:szCs w:val="14"/>
          <w:u w:val="single" w:color="auto"/>
          <w:color w:val="auto"/>
        </w:rPr>
        <w:t>Mitigation Obligations; Replacement of Lenders</w:t>
      </w:r>
      <w:r>
        <w:rPr>
          <w:rFonts w:ascii="Arial" w:cs="Arial" w:eastAsia="Arial" w:hAnsi="Arial"/>
          <w:sz w:val="14"/>
          <w:szCs w:val="14"/>
          <w:color w:val="auto"/>
        </w:rPr>
        <w:t>.</w:t>
      </w:r>
    </w:p>
    <w:p>
      <w:pPr>
        <w:spacing w:after="0" w:line="244" w:lineRule="exact"/>
        <w:rPr>
          <w:sz w:val="20"/>
          <w:szCs w:val="20"/>
          <w:color w:val="auto"/>
        </w:rPr>
      </w:pPr>
    </w:p>
    <w:p>
      <w:pPr>
        <w:jc w:val="both"/>
        <w:ind w:firstLine="565"/>
        <w:spacing w:after="0" w:line="252" w:lineRule="auto"/>
        <w:tabs>
          <w:tab w:leader="none" w:pos="936"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if the Borrowers are required to pay any additional amount to any Lender or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218" w:lineRule="exact"/>
        <w:rPr>
          <w:rFonts w:ascii="Arial" w:cs="Arial" w:eastAsia="Arial" w:hAnsi="Arial"/>
          <w:sz w:val="16"/>
          <w:szCs w:val="16"/>
          <w:color w:val="auto"/>
        </w:rPr>
      </w:pPr>
    </w:p>
    <w:p>
      <w:pPr>
        <w:jc w:val="both"/>
        <w:ind w:firstLine="565"/>
        <w:spacing w:after="0" w:line="288" w:lineRule="auto"/>
        <w:tabs>
          <w:tab w:leader="none" w:pos="968"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If any Lender requests compensation under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or if the Borrowers are required to pay any additional amount to any Lender or any Governmental Authority for the account of any Lender pursuant to </w:t>
      </w:r>
      <w:r>
        <w:rPr>
          <w:rFonts w:ascii="Arial" w:cs="Arial" w:eastAsia="Arial" w:hAnsi="Arial"/>
          <w:sz w:val="14"/>
          <w:szCs w:val="14"/>
          <w:u w:val="single" w:color="auto"/>
          <w:color w:val="auto"/>
        </w:rPr>
        <w:t>Section 2.17</w:t>
      </w:r>
      <w:r>
        <w:rPr>
          <w:rFonts w:ascii="Arial" w:cs="Arial" w:eastAsia="Arial" w:hAnsi="Arial"/>
          <w:sz w:val="14"/>
          <w:szCs w:val="14"/>
          <w:color w:val="auto"/>
        </w:rPr>
        <w:t xml:space="preserve">,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Arial" w:cs="Arial" w:eastAsia="Arial" w:hAnsi="Arial"/>
          <w:sz w:val="14"/>
          <w:szCs w:val="14"/>
          <w:u w:val="single" w:color="auto"/>
          <w:color w:val="auto"/>
        </w:rPr>
        <w:t>Section 9.04</w:t>
      </w:r>
      <w:r>
        <w:rPr>
          <w:rFonts w:ascii="Arial" w:cs="Arial" w:eastAsia="Arial" w:hAnsi="Arial"/>
          <w:sz w:val="14"/>
          <w:szCs w:val="14"/>
          <w:color w:val="auto"/>
        </w:rPr>
        <w:t xml:space="preserve">), all its interests, rights (other than its existing rights to payment pursuant to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2.17</w:t>
      </w:r>
      <w:r>
        <w:rPr>
          <w:rFonts w:ascii="Arial" w:cs="Arial" w:eastAsia="Arial" w:hAnsi="Arial"/>
          <w:sz w:val="14"/>
          <w:szCs w:val="14"/>
          <w:color w:val="auto"/>
        </w:rPr>
        <w:t xml:space="preserve">) and obligations under this Agreement to an assignee specified by the Borrowers that shall assume such obligations (which assignee may be another Lender, if a Lender accepts such assignment);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the Borrowers shall have received the prior written consent of the Administrative Agent and the Issuing Bank to any proposed assignee (other than with respect to any Lender), which consent shall not unreasonably be withheld, (ii) such Lender shall have received payment of an amount equal to the outstanding principal of its Loans and funded participations in LC Disbursements, Swingline Loans, Protective Advances and Overadvances accrued interest thereon, accrued fees and all other amounts payable to it hereunder, from the assignee (to the extent of such outstanding principal and accrued interest and fees) or the Borrowers (in the case of all other amounts), (iii) any processing and recordation fee owing pursuant to </w:t>
      </w:r>
      <w:r>
        <w:rPr>
          <w:rFonts w:ascii="Arial" w:cs="Arial" w:eastAsia="Arial" w:hAnsi="Arial"/>
          <w:sz w:val="14"/>
          <w:szCs w:val="14"/>
          <w:u w:val="single" w:color="auto"/>
          <w:color w:val="auto"/>
        </w:rPr>
        <w:t>Section 9.04(b)(ii)</w:t>
      </w:r>
      <w:r>
        <w:rPr>
          <w:rFonts w:ascii="Arial" w:cs="Arial" w:eastAsia="Arial" w:hAnsi="Arial"/>
          <w:sz w:val="14"/>
          <w:szCs w:val="14"/>
          <w:color w:val="auto"/>
        </w:rPr>
        <w:t xml:space="preserve"> in connection with such assignment shall be paid by the Borrowers, (iv) in the case of any such assignment resulting from a claim for compensation under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or payments required to be made pursuant to </w:t>
      </w:r>
      <w:r>
        <w:rPr>
          <w:rFonts w:ascii="Arial" w:cs="Arial" w:eastAsia="Arial" w:hAnsi="Arial"/>
          <w:sz w:val="14"/>
          <w:szCs w:val="14"/>
          <w:u w:val="single" w:color="auto"/>
          <w:color w:val="auto"/>
        </w:rPr>
        <w:t>Section 2.17</w:t>
      </w:r>
      <w:r>
        <w:rPr>
          <w:rFonts w:ascii="Arial" w:cs="Arial" w:eastAsia="Arial" w:hAnsi="Arial"/>
          <w:sz w:val="14"/>
          <w:szCs w:val="14"/>
          <w:color w:val="auto"/>
        </w:rPr>
        <w:t>, such assignment will result in a reduction in such compensation or payments, and (v) such assignment does not conflict with applicable law. A Lender shall not be required to make any such assignment and delegation if, prior thereto, as a result of a waiver by such Lender or otherwise, the circumstances entitling the Borrowers to require such assignment and delegation cease to apply.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66" w:name="page67"/>
    <w:bookmarkEnd w:id="66"/>
    <w:p>
      <w:pPr>
        <w:ind w:firstLine="570"/>
        <w:spacing w:after="0" w:line="270" w:lineRule="auto"/>
        <w:rPr>
          <w:sz w:val="20"/>
          <w:szCs w:val="20"/>
          <w:color w:val="auto"/>
        </w:rPr>
      </w:pPr>
      <w:r>
        <w:rPr>
          <w:rFonts w:ascii="Arial" w:cs="Arial" w:eastAsia="Arial" w:hAnsi="Arial"/>
          <w:sz w:val="16"/>
          <w:szCs w:val="16"/>
          <w:color w:val="auto"/>
        </w:rPr>
        <w:t xml:space="preserve">SECTION 2.20. </w:t>
      </w:r>
      <w:r>
        <w:rPr>
          <w:rFonts w:ascii="Arial" w:cs="Arial" w:eastAsia="Arial" w:hAnsi="Arial"/>
          <w:sz w:val="16"/>
          <w:szCs w:val="16"/>
          <w:u w:val="single" w:color="auto"/>
          <w:color w:val="auto"/>
        </w:rPr>
        <w:t>Defaulting Lenders</w:t>
      </w:r>
      <w:r>
        <w:rPr>
          <w:rFonts w:ascii="Arial" w:cs="Arial" w:eastAsia="Arial" w:hAnsi="Arial"/>
          <w:sz w:val="16"/>
          <w:szCs w:val="16"/>
          <w:color w:val="auto"/>
        </w:rPr>
        <w:t>. Notwithstanding any provision of this Agreement to the contrary, if any Lender becomes a Defaulting Lender, then the following provisions shall apply for so long as such Lender is a Defaulting Lender:</w:t>
      </w:r>
    </w:p>
    <w:p>
      <w:pPr>
        <w:spacing w:after="0" w:line="204" w:lineRule="exact"/>
        <w:rPr>
          <w:sz w:val="20"/>
          <w:szCs w:val="20"/>
          <w:color w:val="auto"/>
        </w:rPr>
      </w:pPr>
    </w:p>
    <w:p>
      <w:pPr>
        <w:ind w:left="940" w:hanging="375"/>
        <w:spacing w:after="0"/>
        <w:tabs>
          <w:tab w:leader="none" w:pos="9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fees payable under Section 2.12(a) shall cease to accrue on the unfunded portion of the Revolving Commitment of such Defaulting Lender;</w:t>
      </w:r>
    </w:p>
    <w:p>
      <w:pPr>
        <w:spacing w:after="0" w:line="243" w:lineRule="exact"/>
        <w:rPr>
          <w:rFonts w:ascii="Arial" w:cs="Arial" w:eastAsia="Arial" w:hAnsi="Arial"/>
          <w:sz w:val="16"/>
          <w:szCs w:val="16"/>
          <w:color w:val="auto"/>
        </w:rPr>
      </w:pPr>
    </w:p>
    <w:p>
      <w:pPr>
        <w:jc w:val="both"/>
        <w:ind w:firstLine="565"/>
        <w:spacing w:after="0" w:line="259" w:lineRule="auto"/>
        <w:tabs>
          <w:tab w:leader="none" w:pos="94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such Defaulting Lender shall not have the right to vote on any issue on which voting is required (other than to the extent expressly provided in </w:t>
      </w:r>
      <w:r>
        <w:rPr>
          <w:rFonts w:ascii="Arial" w:cs="Arial" w:eastAsia="Arial" w:hAnsi="Arial"/>
          <w:sz w:val="16"/>
          <w:szCs w:val="16"/>
          <w:u w:val="single" w:color="auto"/>
          <w:color w:val="auto"/>
        </w:rPr>
        <w:t>Section 9.02(b)</w:t>
      </w:r>
      <w:r>
        <w:rPr>
          <w:rFonts w:ascii="Arial" w:cs="Arial" w:eastAsia="Arial" w:hAnsi="Arial"/>
          <w:sz w:val="16"/>
          <w:szCs w:val="16"/>
          <w:color w:val="auto"/>
        </w:rPr>
        <w:t>) and the Commitment and Revolving Exposure of such Defaulting Lender shall not be included in determining whether the Required Lenders have taken or may take any action hereunder;</w:t>
      </w:r>
    </w:p>
    <w:p>
      <w:pPr>
        <w:spacing w:after="0" w:line="212" w:lineRule="exact"/>
        <w:rPr>
          <w:rFonts w:ascii="Arial" w:cs="Arial" w:eastAsia="Arial" w:hAnsi="Arial"/>
          <w:sz w:val="16"/>
          <w:szCs w:val="16"/>
          <w:color w:val="auto"/>
        </w:rPr>
      </w:pPr>
    </w:p>
    <w:p>
      <w:pPr>
        <w:ind w:left="940" w:hanging="375"/>
        <w:spacing w:after="0"/>
        <w:tabs>
          <w:tab w:leader="none" w:pos="9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any Swingline Exposure or LC Exposure exists at the time a Lender becomes a Defaulting Lender then:</w:t>
      </w:r>
    </w:p>
    <w:p>
      <w:pPr>
        <w:spacing w:after="0" w:line="243" w:lineRule="exact"/>
        <w:rPr>
          <w:rFonts w:ascii="Arial" w:cs="Arial" w:eastAsia="Arial" w:hAnsi="Arial"/>
          <w:sz w:val="16"/>
          <w:szCs w:val="16"/>
          <w:color w:val="auto"/>
        </w:rPr>
      </w:pPr>
    </w:p>
    <w:p>
      <w:pPr>
        <w:jc w:val="both"/>
        <w:ind w:left="560" w:firstLine="1145"/>
        <w:spacing w:after="0" w:line="259" w:lineRule="auto"/>
        <w:tabs>
          <w:tab w:leader="none" w:pos="20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or any part of the Swingline Exposure and LC Exposure of such Defaulting Lender shall be reallocated among the non-Defaulting Lenders in accordance with their respective Applicable Percentages but only to the extent the sum of all non-Defaulting Lenders’ Revolving Exposures plus such Defaulting Lender’s Swingline Exposure and LC Exposure does not exceed the total of all non-Defaulting Lenders’ Revolving Commitments;</w:t>
      </w:r>
    </w:p>
    <w:p>
      <w:pPr>
        <w:spacing w:after="0" w:line="212" w:lineRule="exact"/>
        <w:rPr>
          <w:rFonts w:ascii="Arial" w:cs="Arial" w:eastAsia="Arial" w:hAnsi="Arial"/>
          <w:sz w:val="16"/>
          <w:szCs w:val="16"/>
          <w:color w:val="auto"/>
        </w:rPr>
      </w:pPr>
    </w:p>
    <w:p>
      <w:pPr>
        <w:jc w:val="both"/>
        <w:ind w:left="560" w:right="20" w:firstLine="1145"/>
        <w:spacing w:after="0" w:line="255" w:lineRule="auto"/>
        <w:tabs>
          <w:tab w:leader="none" w:pos="2084"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if the reallocation described in clause (i) above cannot, or can only partially, be effected, the Borrowers shall within one Business Day following notice by the Administrative Agent (x)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prepay such Swingline Exposure and (y)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cash collateralize, for the benefit of the Issuing Bank, the Borrowers’ obligations corresponding to such Defaulting Lender’s LC Exposure (after giving effect to any partial reallocation pursuant to clause (i) above) in accordance with the procedures set forth in </w:t>
      </w:r>
      <w:r>
        <w:rPr>
          <w:rFonts w:ascii="Arial" w:cs="Arial" w:eastAsia="Arial" w:hAnsi="Arial"/>
          <w:sz w:val="16"/>
          <w:szCs w:val="16"/>
          <w:u w:val="single" w:color="auto"/>
          <w:color w:val="auto"/>
        </w:rPr>
        <w:t>Section 2.06(j)</w:t>
      </w:r>
      <w:r>
        <w:rPr>
          <w:rFonts w:ascii="Arial" w:cs="Arial" w:eastAsia="Arial" w:hAnsi="Arial"/>
          <w:sz w:val="16"/>
          <w:szCs w:val="16"/>
          <w:color w:val="auto"/>
        </w:rPr>
        <w:t xml:space="preserve"> for so long as such LC Exposure is outstanding;</w:t>
      </w:r>
    </w:p>
    <w:p>
      <w:pPr>
        <w:spacing w:after="0" w:line="215" w:lineRule="exact"/>
        <w:rPr>
          <w:rFonts w:ascii="Arial" w:cs="Arial" w:eastAsia="Arial" w:hAnsi="Arial"/>
          <w:sz w:val="16"/>
          <w:szCs w:val="16"/>
          <w:color w:val="auto"/>
        </w:rPr>
      </w:pPr>
    </w:p>
    <w:p>
      <w:pPr>
        <w:jc w:val="both"/>
        <w:ind w:left="560" w:firstLine="1145"/>
        <w:spacing w:after="0" w:line="259" w:lineRule="auto"/>
        <w:tabs>
          <w:tab w:leader="none" w:pos="2128"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if the Borrowers cash collateralize any portion of such Defaulting Lender’s LC Exposure pursuant to clause (ii) above, the Borrowers shall not be required to pay any fees to such Defaulting Lender pursuant to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with respect to such Defaulting Lender’s LC Exposure during the period such Defaulting Lender’s LC Exposure is cash collateralized;</w:t>
      </w:r>
    </w:p>
    <w:p>
      <w:pPr>
        <w:spacing w:after="0" w:line="212" w:lineRule="exact"/>
        <w:rPr>
          <w:rFonts w:ascii="Arial" w:cs="Arial" w:eastAsia="Arial" w:hAnsi="Arial"/>
          <w:sz w:val="16"/>
          <w:szCs w:val="16"/>
          <w:color w:val="auto"/>
        </w:rPr>
      </w:pPr>
    </w:p>
    <w:p>
      <w:pPr>
        <w:ind w:left="560" w:right="20" w:firstLine="1145"/>
        <w:spacing w:after="0" w:line="270" w:lineRule="auto"/>
        <w:tabs>
          <w:tab w:leader="none" w:pos="2131"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if the LC Exposure of the non-Defaulting Lenders is reallocated pursuant to clause (i) above, then the fees payable to the Lenders pursuant to </w:t>
      </w:r>
      <w:r>
        <w:rPr>
          <w:rFonts w:ascii="Arial" w:cs="Arial" w:eastAsia="Arial" w:hAnsi="Arial"/>
          <w:sz w:val="16"/>
          <w:szCs w:val="16"/>
          <w:u w:val="single" w:color="auto"/>
          <w:color w:val="auto"/>
        </w:rPr>
        <w:t>Sections 2.12(a)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2.12(b)</w:t>
      </w:r>
      <w:r>
        <w:rPr>
          <w:rFonts w:ascii="Arial" w:cs="Arial" w:eastAsia="Arial" w:hAnsi="Arial"/>
          <w:sz w:val="16"/>
          <w:szCs w:val="16"/>
          <w:color w:val="auto"/>
        </w:rPr>
        <w:t xml:space="preserve"> shall be adjusted in accordance with such non-Defaulting Lenders’ Applicable Percentages; and</w:t>
      </w:r>
    </w:p>
    <w:p>
      <w:pPr>
        <w:spacing w:after="0" w:line="203" w:lineRule="exact"/>
        <w:rPr>
          <w:rFonts w:ascii="Arial" w:cs="Arial" w:eastAsia="Arial" w:hAnsi="Arial"/>
          <w:sz w:val="16"/>
          <w:szCs w:val="16"/>
          <w:color w:val="auto"/>
        </w:rPr>
      </w:pPr>
    </w:p>
    <w:p>
      <w:pPr>
        <w:jc w:val="both"/>
        <w:ind w:left="560" w:right="20" w:firstLine="1145"/>
        <w:spacing w:after="0" w:line="284" w:lineRule="auto"/>
        <w:tabs>
          <w:tab w:leader="none" w:pos="2075" w:val="left"/>
        </w:tabs>
        <w:numPr>
          <w:ilvl w:val="1"/>
          <w:numId w:val="54"/>
        </w:numPr>
        <w:rPr>
          <w:rFonts w:ascii="Arial" w:cs="Arial" w:eastAsia="Arial" w:hAnsi="Arial"/>
          <w:sz w:val="15"/>
          <w:szCs w:val="15"/>
          <w:color w:val="auto"/>
        </w:rPr>
      </w:pPr>
      <w:r>
        <w:rPr>
          <w:rFonts w:ascii="Arial" w:cs="Arial" w:eastAsia="Arial" w:hAnsi="Arial"/>
          <w:sz w:val="15"/>
          <w:szCs w:val="15"/>
          <w:color w:val="auto"/>
        </w:rPr>
        <w:t xml:space="preserve">if all or any portion of such Defaulting Lender’s LC Exposure is neither reallocated nor cash collateralized pursuant to clause (i) or (ii) above, then, without prejudice to any rights or remedies of the Issuing Bank or any Lender hereunder, all letter of credit fees payable under </w:t>
      </w:r>
      <w:r>
        <w:rPr>
          <w:rFonts w:ascii="Arial" w:cs="Arial" w:eastAsia="Arial" w:hAnsi="Arial"/>
          <w:sz w:val="15"/>
          <w:szCs w:val="15"/>
          <w:u w:val="single" w:color="auto"/>
          <w:color w:val="auto"/>
        </w:rPr>
        <w:t>Section 2.12(b)</w:t>
      </w:r>
      <w:r>
        <w:rPr>
          <w:rFonts w:ascii="Arial" w:cs="Arial" w:eastAsia="Arial" w:hAnsi="Arial"/>
          <w:sz w:val="15"/>
          <w:szCs w:val="15"/>
          <w:color w:val="auto"/>
        </w:rPr>
        <w:t xml:space="preserve"> with respect to such Defaulting Lender’s LC Exposure shall be payable to the Issuing Bank until such LC Exposure is reallocated and/or cash collateralized; and</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67" w:name="page68"/>
    <w:bookmarkEnd w:id="67"/>
    <w:p>
      <w:pPr>
        <w:jc w:val="both"/>
        <w:ind w:firstLine="565"/>
        <w:spacing w:after="0" w:line="288" w:lineRule="auto"/>
        <w:tabs>
          <w:tab w:leader="none" w:pos="945"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so long as such Lender is a Defaulting Lender, the Issuing Bank shall not be required to issue, amend or increase any Letter of Credit, unless it is satisfied that the related exposure will be 100% covered by the Commitments of the non-Defaulting Lenders and/or cash collateral will be provided by the Borrowers in accordance with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2.20(c)</w:t>
      </w:r>
      <w:r>
        <w:rPr>
          <w:rFonts w:ascii="Arial" w:cs="Arial" w:eastAsia="Arial" w:hAnsi="Arial"/>
          <w:sz w:val="14"/>
          <w:szCs w:val="14"/>
          <w:color w:val="auto"/>
        </w:rPr>
        <w:t xml:space="preserve">, and participating interests in any such newly issued or increased Letter of Credit shall be allocated among non-Defaulting Lenders in a manner consistent with </w:t>
      </w:r>
      <w:r>
        <w:rPr>
          <w:rFonts w:ascii="Arial" w:cs="Arial" w:eastAsia="Arial" w:hAnsi="Arial"/>
          <w:sz w:val="14"/>
          <w:szCs w:val="14"/>
          <w:u w:val="single" w:color="auto"/>
          <w:color w:val="auto"/>
        </w:rPr>
        <w:t>Section</w:t>
      </w:r>
    </w:p>
    <w:p>
      <w:pPr>
        <w:spacing w:after="0" w:line="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u w:val="single" w:color="auto"/>
          <w:color w:val="auto"/>
        </w:rPr>
        <w:t>2.20(c)(i)</w:t>
      </w:r>
      <w:r>
        <w:rPr>
          <w:rFonts w:ascii="Arial" w:cs="Arial" w:eastAsia="Arial" w:hAnsi="Arial"/>
          <w:sz w:val="16"/>
          <w:szCs w:val="16"/>
          <w:color w:val="auto"/>
        </w:rPr>
        <w:t xml:space="preserve"> (and such Defaulting Lender shall not participate therein).</w:t>
      </w:r>
    </w:p>
    <w:p>
      <w:pPr>
        <w:spacing w:after="0" w:line="209"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If (i) a Bankruptcy Event with respect to the Parent of any Lender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Borrowers or such Lender, satisfactory to the Issuing Bank to defease any risk in respect of such Lender hereunder.</w:t>
      </w:r>
    </w:p>
    <w:p>
      <w:pPr>
        <w:spacing w:after="0" w:line="192" w:lineRule="exact"/>
        <w:rPr>
          <w:sz w:val="20"/>
          <w:szCs w:val="20"/>
          <w:color w:val="auto"/>
        </w:rPr>
      </w:pPr>
    </w:p>
    <w:p>
      <w:pPr>
        <w:jc w:val="both"/>
        <w:ind w:right="20" w:firstLine="570"/>
        <w:spacing w:after="0" w:line="303" w:lineRule="auto"/>
        <w:rPr>
          <w:sz w:val="20"/>
          <w:szCs w:val="20"/>
          <w:color w:val="auto"/>
        </w:rPr>
      </w:pPr>
      <w:r>
        <w:rPr>
          <w:rFonts w:ascii="Arial" w:cs="Arial" w:eastAsia="Arial" w:hAnsi="Arial"/>
          <w:sz w:val="14"/>
          <w:szCs w:val="14"/>
          <w:color w:val="auto"/>
        </w:rPr>
        <w:t>In the event that each of the Administrative Agent, the Borrowers, the Issuing Bank and the Swingline Lender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185" w:lineRule="exact"/>
        <w:rPr>
          <w:sz w:val="20"/>
          <w:szCs w:val="20"/>
          <w:color w:val="auto"/>
        </w:rPr>
      </w:pPr>
    </w:p>
    <w:p>
      <w:pPr>
        <w:jc w:val="both"/>
        <w:ind w:firstLine="570"/>
        <w:spacing w:after="0" w:line="295" w:lineRule="auto"/>
        <w:rPr>
          <w:sz w:val="20"/>
          <w:szCs w:val="20"/>
          <w:color w:val="auto"/>
        </w:rPr>
      </w:pPr>
      <w:r>
        <w:rPr>
          <w:rFonts w:ascii="Arial" w:cs="Arial" w:eastAsia="Arial" w:hAnsi="Arial"/>
          <w:sz w:val="14"/>
          <w:szCs w:val="14"/>
          <w:color w:val="auto"/>
        </w:rPr>
        <w:t xml:space="preserve">SECTION 2.21. </w:t>
      </w:r>
      <w:r>
        <w:rPr>
          <w:rFonts w:ascii="Arial" w:cs="Arial" w:eastAsia="Arial" w:hAnsi="Arial"/>
          <w:sz w:val="14"/>
          <w:szCs w:val="14"/>
          <w:u w:val="single" w:color="auto"/>
          <w:color w:val="auto"/>
        </w:rPr>
        <w:t>Returned Payments</w:t>
      </w:r>
      <w:r>
        <w:rPr>
          <w:rFonts w:ascii="Arial" w:cs="Arial" w:eastAsia="Arial" w:hAnsi="Arial"/>
          <w:sz w:val="14"/>
          <w:szCs w:val="14"/>
          <w:color w:val="auto"/>
        </w:rPr>
        <w:t xml:space="preserve">. If after receipt of any payment which is applied to the payment of all or any part of the Obligations,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then the Obligations or part thereof intended to be satisfied shall be revived and continued and this Agreement shall continue in full force as if such payment or proceeds had not been received by the Administrative Agent or such Lender. The provisions of this </w:t>
      </w:r>
      <w:r>
        <w:rPr>
          <w:rFonts w:ascii="Arial" w:cs="Arial" w:eastAsia="Arial" w:hAnsi="Arial"/>
          <w:sz w:val="14"/>
          <w:szCs w:val="14"/>
          <w:u w:val="single" w:color="auto"/>
          <w:color w:val="auto"/>
        </w:rPr>
        <w:t>Section 2.21</w:t>
      </w:r>
      <w:r>
        <w:rPr>
          <w:rFonts w:ascii="Arial" w:cs="Arial" w:eastAsia="Arial" w:hAnsi="Arial"/>
          <w:sz w:val="14"/>
          <w:szCs w:val="14"/>
          <w:color w:val="auto"/>
        </w:rPr>
        <w:t xml:space="preserve"> shall be and remain effective notwithstanding any contrary action which may have been taken by the Administrative Agent or any Lender in reliance upon such payment or application of proceeds. The provisions of this </w:t>
      </w:r>
      <w:r>
        <w:rPr>
          <w:rFonts w:ascii="Arial" w:cs="Arial" w:eastAsia="Arial" w:hAnsi="Arial"/>
          <w:sz w:val="14"/>
          <w:szCs w:val="14"/>
          <w:u w:val="single" w:color="auto"/>
          <w:color w:val="auto"/>
        </w:rPr>
        <w:t>Section 2.21</w:t>
      </w:r>
      <w:r>
        <w:rPr>
          <w:rFonts w:ascii="Arial" w:cs="Arial" w:eastAsia="Arial" w:hAnsi="Arial"/>
          <w:sz w:val="14"/>
          <w:szCs w:val="14"/>
          <w:color w:val="auto"/>
        </w:rPr>
        <w:t xml:space="preserve"> shall survive the termination of this Agreement.</w:t>
      </w:r>
    </w:p>
    <w:p>
      <w:pPr>
        <w:spacing w:after="0" w:line="190"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 xml:space="preserve">SECTION 2.22. </w:t>
      </w:r>
      <w:r>
        <w:rPr>
          <w:rFonts w:ascii="Arial" w:cs="Arial" w:eastAsia="Arial" w:hAnsi="Arial"/>
          <w:sz w:val="16"/>
          <w:szCs w:val="16"/>
          <w:u w:val="single" w:color="auto"/>
          <w:color w:val="auto"/>
        </w:rPr>
        <w:t>Banking Services and Swap Agreements</w:t>
      </w:r>
      <w:r>
        <w:rPr>
          <w:rFonts w:ascii="Arial" w:cs="Arial" w:eastAsia="Arial" w:hAnsi="Arial"/>
          <w:sz w:val="16"/>
          <w:szCs w:val="16"/>
          <w:color w:val="auto"/>
        </w:rPr>
        <w:t>. Each Lender or Affiliate thereof providing Banking Services for, or having Swap Agreements with, any Loan Party or its Subsidiaries shall deliver to the Administrative Agent, promptly after entering into such Banking Services or Swap Agreements, written notice setting forth the aggregate amount of all Banking Services Obligations and Swap Obligations of such Loan Party or Subsidiary to such Lender or Affiliate (whether matured or unmatured, absolute or contingent). In furtherance of that requirement, each such Lender or Affiliate thereof shall furnish the Administrative Agent, from time to time after a significant change therein or upon a request thereof, a summary of the amounts due or to become due in respect of such Banking Services Obligations and Swap Obligations. The most recent information provided to the Administrative Agent shall be used in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71" w:right="219" w:bottom="1440" w:gutter="0" w:footer="0" w:header="0"/>
        </w:sectPr>
      </w:pPr>
    </w:p>
    <w:bookmarkStart w:id="68" w:name="page69"/>
    <w:bookmarkEnd w:id="68"/>
    <w:p>
      <w:pPr>
        <w:spacing w:after="0"/>
        <w:rPr>
          <w:sz w:val="20"/>
          <w:szCs w:val="20"/>
          <w:color w:val="auto"/>
        </w:rPr>
      </w:pPr>
      <w:r>
        <w:rPr>
          <w:rFonts w:ascii="Arial" w:cs="Arial" w:eastAsia="Arial" w:hAnsi="Arial"/>
          <w:sz w:val="16"/>
          <w:szCs w:val="16"/>
          <w:color w:val="auto"/>
        </w:rPr>
        <w:t xml:space="preserve">determining which tier of the waterfall, contained in </w:t>
      </w:r>
      <w:r>
        <w:rPr>
          <w:rFonts w:ascii="Arial" w:cs="Arial" w:eastAsia="Arial" w:hAnsi="Arial"/>
          <w:sz w:val="16"/>
          <w:szCs w:val="16"/>
          <w:u w:val="single" w:color="auto"/>
          <w:color w:val="auto"/>
        </w:rPr>
        <w:t>Section 2.18(b)</w:t>
      </w:r>
      <w:r>
        <w:rPr>
          <w:rFonts w:ascii="Arial" w:cs="Arial" w:eastAsia="Arial" w:hAnsi="Arial"/>
          <w:sz w:val="16"/>
          <w:szCs w:val="16"/>
          <w:color w:val="auto"/>
        </w:rPr>
        <w:t>, such Banking Services Obligations and/or Swap Obligations will be placed.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Borrower represents and warrants to the Lenders that:</w:t>
      </w:r>
    </w:p>
    <w:p>
      <w:pPr>
        <w:spacing w:after="0" w:line="244"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u w:val="single" w:color="auto"/>
          <w:color w:val="auto"/>
        </w:rPr>
        <w:t>Organization; Powers</w:t>
      </w:r>
      <w:r>
        <w:rPr>
          <w:rFonts w:ascii="Arial" w:cs="Arial" w:eastAsia="Arial" w:hAnsi="Arial"/>
          <w:sz w:val="16"/>
          <w:szCs w:val="16"/>
          <w:color w:val="auto"/>
        </w:rPr>
        <w:t>. Each Loan Party is duly organized or incorporated, validly existing and in good standing under the laws of the jurisdiction of its organization or incorporation,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216"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3.02.</w:t>
      </w:r>
      <w:r>
        <w:rPr>
          <w:sz w:val="20"/>
          <w:szCs w:val="20"/>
          <w:color w:val="auto"/>
        </w:rPr>
        <w:tab/>
      </w:r>
      <w:r>
        <w:rPr>
          <w:rFonts w:ascii="Arial" w:cs="Arial" w:eastAsia="Arial" w:hAnsi="Arial"/>
          <w:sz w:val="14"/>
          <w:szCs w:val="14"/>
          <w:u w:val="single" w:color="auto"/>
          <w:color w:val="auto"/>
        </w:rPr>
        <w:t>Authorization; Enforceability</w:t>
      </w:r>
      <w:r>
        <w:rPr>
          <w:rFonts w:ascii="Arial" w:cs="Arial" w:eastAsia="Arial" w:hAnsi="Arial"/>
          <w:sz w:val="14"/>
          <w:szCs w:val="14"/>
          <w:color w:val="auto"/>
        </w:rPr>
        <w:t>.</w:t>
      </w:r>
    </w:p>
    <w:p>
      <w:pPr>
        <w:spacing w:after="0" w:line="244" w:lineRule="exact"/>
        <w:rPr>
          <w:sz w:val="20"/>
          <w:szCs w:val="20"/>
          <w:color w:val="auto"/>
        </w:rPr>
      </w:pPr>
    </w:p>
    <w:p>
      <w:pPr>
        <w:jc w:val="both"/>
        <w:ind w:firstLine="565"/>
        <w:spacing w:after="0" w:line="277" w:lineRule="auto"/>
        <w:tabs>
          <w:tab w:leader="none" w:pos="936"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examination, reorganization, moratorium or other laws affecting creditors’ rights generally and subject to general principles of equity, regardless of whether considered in a proceeding in equity or at law.</w:t>
      </w:r>
    </w:p>
    <w:p>
      <w:pPr>
        <w:spacing w:after="0" w:line="201" w:lineRule="exact"/>
        <w:rPr>
          <w:rFonts w:ascii="Arial" w:cs="Arial" w:eastAsia="Arial" w:hAnsi="Arial"/>
          <w:sz w:val="15"/>
          <w:szCs w:val="15"/>
          <w:color w:val="auto"/>
        </w:rPr>
      </w:pPr>
    </w:p>
    <w:p>
      <w:pPr>
        <w:jc w:val="both"/>
        <w:ind w:firstLine="565"/>
        <w:spacing w:after="0" w:line="277" w:lineRule="auto"/>
        <w:tabs>
          <w:tab w:leader="none" w:pos="957"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choice of governing law provisions contained in this Agreement and each other Loan Document to which any Loan Party is a party are enforceable in the jurisdictions where such Loan Party is organized or incorporated or any Collateral of such Borrower is located (other than Inventory located outside of the United States). Any judgment obtained in connection with any Loan Document in the jurisdiction of the governing law of such Loan Document will be recognized and be enforceable in the jurisdictions where such Loan Party is organized or any Collateral is located (other than Inventory located outside of the United States).</w:t>
      </w:r>
    </w:p>
    <w:p>
      <w:pPr>
        <w:spacing w:after="0" w:line="201" w:lineRule="exact"/>
        <w:rPr>
          <w:sz w:val="20"/>
          <w:szCs w:val="20"/>
          <w:color w:val="auto"/>
        </w:rPr>
      </w:pPr>
    </w:p>
    <w:p>
      <w:pPr>
        <w:jc w:val="both"/>
        <w:ind w:firstLine="570"/>
        <w:spacing w:after="0" w:line="272" w:lineRule="auto"/>
        <w:rPr>
          <w:sz w:val="20"/>
          <w:szCs w:val="20"/>
          <w:color w:val="auto"/>
        </w:rPr>
      </w:pPr>
      <w:r>
        <w:rPr>
          <w:rFonts w:ascii="Arial" w:cs="Arial" w:eastAsia="Arial" w:hAnsi="Arial"/>
          <w:sz w:val="15"/>
          <w:szCs w:val="15"/>
          <w:color w:val="auto"/>
        </w:rPr>
        <w:t xml:space="preserve">SECTION 3.03. </w:t>
      </w:r>
      <w:r>
        <w:rPr>
          <w:rFonts w:ascii="Arial" w:cs="Arial" w:eastAsia="Arial" w:hAnsi="Arial"/>
          <w:sz w:val="15"/>
          <w:szCs w:val="15"/>
          <w:u w:val="single" w:color="auto"/>
          <w:color w:val="auto"/>
        </w:rPr>
        <w:t>Governmental Approvals; No Conflicts</w:t>
      </w:r>
      <w:r>
        <w:rPr>
          <w:rFonts w:ascii="Arial" w:cs="Arial" w:eastAsia="Arial" w:hAnsi="Arial"/>
          <w:sz w:val="15"/>
          <w:szCs w:val="15"/>
          <w:color w:val="auto"/>
        </w:rPr>
        <w:t>. The Transactions (a) do not require any consent or approval of, registration or filing with, or any other action by, any Governmental Authority, except for (i) immaterial consents, approvals, registrations and filings none of which individually or in the aggregate could reasonably be expected to have a Material Adverse Effect, (ii) those that have been obtained or made and are in full force and effect and (iii) filings necessary to perfect Liens created pursuant to the Loan Documents, (b) will not violate any Requirement of Law in any material respect applicable to any Loan Party, (c) will not violate or result in a default under any Contractual Debt Obligation binding upon any Loan Party, except those that could not reasonably be expected to have a Material Adverse Effect, and (d) will not result in the creation or imposition of any Lien, or require the sharing of any Lien, on any assets of any Borrower, except Liens created pursuant to the Loan Documents.</w:t>
      </w:r>
    </w:p>
    <w:p>
      <w:pPr>
        <w:spacing w:after="0" w:line="205"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actions, suits or proceedings by or before any arbitrator or Governmental Authority pending against or, to the knowledge of any Loan Party,</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69" w:name="page70"/>
    <w:bookmarkEnd w:id="69"/>
    <w:p>
      <w:pPr>
        <w:jc w:val="both"/>
        <w:ind w:right="20"/>
        <w:spacing w:after="0" w:line="270" w:lineRule="auto"/>
        <w:rPr>
          <w:sz w:val="20"/>
          <w:szCs w:val="20"/>
          <w:color w:val="auto"/>
        </w:rPr>
      </w:pPr>
      <w:r>
        <w:rPr>
          <w:rFonts w:ascii="Arial" w:cs="Arial" w:eastAsia="Arial" w:hAnsi="Arial"/>
          <w:sz w:val="16"/>
          <w:szCs w:val="16"/>
          <w:color w:val="auto"/>
        </w:rPr>
        <w:t>threatened against or affecting any Loan Party that, if adversely determined, could reasonably be expected, individually or in the aggregate, to result in a Material Adverse Effect or involves this Agreement or the Transactions.</w:t>
      </w:r>
    </w:p>
    <w:p>
      <w:pPr>
        <w:spacing w:after="0" w:line="204" w:lineRule="exact"/>
        <w:rPr>
          <w:sz w:val="20"/>
          <w:szCs w:val="20"/>
          <w:color w:val="auto"/>
        </w:rPr>
      </w:pPr>
    </w:p>
    <w:p>
      <w:pPr>
        <w:jc w:val="both"/>
        <w:ind w:right="20" w:firstLine="570"/>
        <w:spacing w:after="0" w:line="252"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(a) Micron has heretofore furnished to the Lenders its consolidated balance sheet and statements of income, stockholders equity and cash flows (i) as of and for the fiscal year ended August 28, 2014, reported on by PricewaterhouseCoopers, LLC, independent public accountants, and (ii) as of and for the fiscal quarter and the portion of the fiscal year ended August 28, 2014, certified by its Financial Officer. Such financial statements present fairly, in all material respects, the financial position and results of operations and cash flows of Micron and its consolidated Subsidiaries as of such dates and for such periods in accordance with GAAP, subject to normal year-end audit adjustments (all of which, when taken as a whole, would not be materially adverse) and the absence of footnotes in the case of the statements referred to in clause (ii) above.</w:t>
      </w:r>
    </w:p>
    <w:p>
      <w:pPr>
        <w:spacing w:after="0" w:line="219" w:lineRule="exact"/>
        <w:rPr>
          <w:sz w:val="20"/>
          <w:szCs w:val="20"/>
          <w:color w:val="auto"/>
        </w:rPr>
      </w:pPr>
    </w:p>
    <w:p>
      <w:pPr>
        <w:ind w:left="940" w:hanging="375"/>
        <w:spacing w:after="0"/>
        <w:tabs>
          <w:tab w:leader="none" w:pos="9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No event, change or condition has occurred that has had, or could reasonably be expected to have, a Material Adverse Effect, since August 28, 2014.</w:t>
      </w:r>
    </w:p>
    <w:p>
      <w:pPr>
        <w:spacing w:after="0" w:line="255"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Each Loan Party is in compliance with all Requirements of Law applicable to it or its property and all indentures, agreements, instruments, or similar undertakings binding upon it or its property, except where the failure to do so, individually or in the aggregate, could not reasonably be expected to result in a Material Adverse Effect. No Default or Event of Default has occurred and is continuing.</w:t>
      </w:r>
    </w:p>
    <w:p>
      <w:pPr>
        <w:spacing w:after="0" w:line="212"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3.07.</w:t>
      </w:r>
      <w:r>
        <w:rPr>
          <w:sz w:val="20"/>
          <w:szCs w:val="20"/>
          <w:color w:val="auto"/>
        </w:rPr>
        <w:tab/>
      </w:r>
      <w:r>
        <w:rPr>
          <w:rFonts w:ascii="Arial" w:cs="Arial" w:eastAsia="Arial" w:hAnsi="Arial"/>
          <w:sz w:val="14"/>
          <w:szCs w:val="14"/>
          <w:u w:val="single" w:color="auto"/>
          <w:color w:val="auto"/>
        </w:rPr>
        <w:t>Investment Company Status</w:t>
      </w:r>
      <w:r>
        <w:rPr>
          <w:rFonts w:ascii="Arial" w:cs="Arial" w:eastAsia="Arial" w:hAnsi="Arial"/>
          <w:sz w:val="14"/>
          <w:szCs w:val="14"/>
          <w:color w:val="auto"/>
        </w:rPr>
        <w:t>. No Borrower is an “investment company” as defined in, or subject to regulation under, the Investment Company Act of</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1940.</w:t>
      </w:r>
    </w:p>
    <w:p>
      <w:pPr>
        <w:spacing w:after="0" w:line="233" w:lineRule="exact"/>
        <w:rPr>
          <w:sz w:val="20"/>
          <w:szCs w:val="20"/>
          <w:color w:val="auto"/>
        </w:rPr>
      </w:pPr>
    </w:p>
    <w:p>
      <w:pPr>
        <w:jc w:val="both"/>
        <w:ind w:right="20" w:firstLine="570"/>
        <w:spacing w:after="0" w:line="277" w:lineRule="auto"/>
        <w:rPr>
          <w:sz w:val="20"/>
          <w:szCs w:val="20"/>
          <w:color w:val="auto"/>
        </w:rPr>
      </w:pPr>
      <w:r>
        <w:rPr>
          <w:rFonts w:ascii="Arial" w:cs="Arial" w:eastAsia="Arial" w:hAnsi="Arial"/>
          <w:sz w:val="15"/>
          <w:szCs w:val="15"/>
          <w:color w:val="auto"/>
        </w:rPr>
        <w:t xml:space="preserve">SECTION 3.08. </w:t>
      </w:r>
      <w:r>
        <w:rPr>
          <w:rFonts w:ascii="Arial" w:cs="Arial" w:eastAsia="Arial" w:hAnsi="Arial"/>
          <w:sz w:val="15"/>
          <w:szCs w:val="15"/>
          <w:u w:val="single" w:color="auto"/>
          <w:color w:val="auto"/>
        </w:rPr>
        <w:t>Taxes</w:t>
      </w:r>
      <w:r>
        <w:rPr>
          <w:rFonts w:ascii="Arial" w:cs="Arial" w:eastAsia="Arial" w:hAnsi="Arial"/>
          <w:sz w:val="15"/>
          <w:szCs w:val="15"/>
          <w:color w:val="auto"/>
        </w:rPr>
        <w:t>. Each Loan Party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has set aside on its books adequate reserves or (b) to the extent that the failure to do so could not reasonably be expected to result in a Material Adverse Effect. No tax liens on any Collateral that do not constitute Permitted Encumbrances have, to the knowledge of any Loan Party, been filed with respect to any such Taxes.</w:t>
      </w:r>
    </w:p>
    <w:p>
      <w:pPr>
        <w:spacing w:after="0" w:line="201" w:lineRule="exact"/>
        <w:rPr>
          <w:sz w:val="20"/>
          <w:szCs w:val="20"/>
          <w:color w:val="auto"/>
        </w:rPr>
      </w:pPr>
    </w:p>
    <w:p>
      <w:pPr>
        <w:jc w:val="both"/>
        <w:ind w:firstLine="570"/>
        <w:spacing w:after="0" w:line="295" w:lineRule="auto"/>
        <w:rPr>
          <w:sz w:val="20"/>
          <w:szCs w:val="20"/>
          <w:color w:val="auto"/>
        </w:rPr>
      </w:pPr>
      <w:r>
        <w:rPr>
          <w:rFonts w:ascii="Arial" w:cs="Arial" w:eastAsia="Arial" w:hAnsi="Arial"/>
          <w:sz w:val="14"/>
          <w:szCs w:val="14"/>
          <w:color w:val="auto"/>
        </w:rPr>
        <w:t xml:space="preserve">SECTION 3.09. </w:t>
      </w:r>
      <w:r>
        <w:rPr>
          <w:rFonts w:ascii="Arial" w:cs="Arial" w:eastAsia="Arial" w:hAnsi="Arial"/>
          <w:sz w:val="14"/>
          <w:szCs w:val="14"/>
          <w:u w:val="single" w:color="auto"/>
          <w:color w:val="auto"/>
        </w:rPr>
        <w:t>Disclosure</w:t>
      </w:r>
      <w:r>
        <w:rPr>
          <w:rFonts w:ascii="Arial" w:cs="Arial" w:eastAsia="Arial" w:hAnsi="Arial"/>
          <w:sz w:val="14"/>
          <w:szCs w:val="14"/>
          <w:color w:val="auto"/>
        </w:rPr>
        <w:t xml:space="preserve">. Each Loan Party has disclosed to the Lenders all agreements, instruments and corporate or other restrictions to which it is subject, and all other matters known to it, that, individually or in the aggregate, could reasonably be expected to result in a Material Adverse Effect. Any information provided by or on behalf of the Loan Parties in writing in relation to the Loan Parties or in connection with any Loan Document was true and accurate in all material respects as at the date it was provided or as at the date (if any) at which it is stated. Any financial projections provided by or on behalf of each of the Loan Parties in writing in connection with any Loan Document have been prepared on the basis of recent historical information and on the basis of reasonable assumptions. Nothing has occurred or has been omitted from the information referred to in the second sentence of this </w:t>
      </w:r>
      <w:r>
        <w:rPr>
          <w:rFonts w:ascii="Arial" w:cs="Arial" w:eastAsia="Arial" w:hAnsi="Arial"/>
          <w:sz w:val="14"/>
          <w:szCs w:val="14"/>
          <w:u w:val="single" w:color="auto"/>
          <w:color w:val="auto"/>
        </w:rPr>
        <w:t>Section 3.09</w:t>
      </w:r>
      <w:r>
        <w:rPr>
          <w:rFonts w:ascii="Arial" w:cs="Arial" w:eastAsia="Arial" w:hAnsi="Arial"/>
          <w:sz w:val="14"/>
          <w:szCs w:val="14"/>
          <w:color w:val="auto"/>
        </w:rPr>
        <w:t xml:space="preserve"> and no information has been given or withheld that results in that information being untrue or misleading in any material respect.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70" w:name="page71"/>
    <w:bookmarkEnd w:id="70"/>
    <w:p>
      <w:pPr>
        <w:ind w:firstLine="570"/>
        <w:spacing w:after="0" w:line="270"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Solvency</w:t>
      </w:r>
      <w:r>
        <w:rPr>
          <w:rFonts w:ascii="Arial" w:cs="Arial" w:eastAsia="Arial" w:hAnsi="Arial"/>
          <w:sz w:val="16"/>
          <w:szCs w:val="16"/>
          <w:color w:val="auto"/>
        </w:rPr>
        <w:t>. Immediately after the consummation of the Transactions to occur on the Effective Date and at the time of, and immediately after giving effect to, any Borrowing or the issuance, amendment, renewal or extension of a Letter of Credit, as applicable:</w:t>
      </w:r>
    </w:p>
    <w:p>
      <w:pPr>
        <w:spacing w:after="0" w:line="204" w:lineRule="exact"/>
        <w:rPr>
          <w:sz w:val="20"/>
          <w:szCs w:val="20"/>
          <w:color w:val="auto"/>
        </w:rPr>
      </w:pPr>
    </w:p>
    <w:p>
      <w:pPr>
        <w:ind w:left="940" w:hanging="375"/>
        <w:spacing w:after="0"/>
        <w:tabs>
          <w:tab w:leader="none" w:pos="9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fair value of the assets of each Borrower, at a fair valuation, will exceed its debts and liabilities, subordinated, contingent or otherwise;</w:t>
      </w:r>
    </w:p>
    <w:p>
      <w:pPr>
        <w:spacing w:after="0" w:line="243" w:lineRule="exact"/>
        <w:rPr>
          <w:rFonts w:ascii="Arial" w:cs="Arial" w:eastAsia="Arial" w:hAnsi="Arial"/>
          <w:sz w:val="16"/>
          <w:szCs w:val="16"/>
          <w:color w:val="auto"/>
        </w:rPr>
      </w:pPr>
    </w:p>
    <w:p>
      <w:pPr>
        <w:ind w:right="20" w:firstLine="565"/>
        <w:spacing w:after="0" w:line="270" w:lineRule="auto"/>
        <w:tabs>
          <w:tab w:leader="none" w:pos="957"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present fair saleable value of the property of each Borrower will be greater than the amount that will be required to pay the probable liability of its debts and other liabilities, subordinated, contingent or otherwise, as such debts and other liabilities become absolute and matured;</w:t>
      </w:r>
    </w:p>
    <w:p>
      <w:pPr>
        <w:spacing w:after="0" w:line="203" w:lineRule="exact"/>
        <w:rPr>
          <w:rFonts w:ascii="Arial" w:cs="Arial" w:eastAsia="Arial" w:hAnsi="Arial"/>
          <w:sz w:val="16"/>
          <w:szCs w:val="16"/>
          <w:color w:val="auto"/>
        </w:rPr>
      </w:pPr>
    </w:p>
    <w:p>
      <w:pPr>
        <w:ind w:right="20" w:firstLine="565"/>
        <w:spacing w:after="0" w:line="270" w:lineRule="auto"/>
        <w:tabs>
          <w:tab w:leader="none" w:pos="936" w:val="left"/>
        </w:tabs>
        <w:numPr>
          <w:ilvl w:val="0"/>
          <w:numId w:val="58"/>
        </w:numPr>
        <w:rPr>
          <w:rFonts w:ascii="Arial" w:cs="Arial" w:eastAsia="Arial" w:hAnsi="Arial"/>
          <w:sz w:val="16"/>
          <w:szCs w:val="16"/>
          <w:color w:val="auto"/>
        </w:rPr>
      </w:pPr>
      <w:r>
        <w:rPr>
          <w:rFonts w:ascii="Arial" w:cs="Arial" w:eastAsia="Arial" w:hAnsi="Arial"/>
          <w:sz w:val="16"/>
          <w:szCs w:val="16"/>
          <w:color w:val="auto"/>
        </w:rPr>
        <w:t>each Borrower will be able to (and not admitted its inability to, nor deemed to or declared to be unable to) pay its debts and liabilities, subordinated, contingent or otherwise, as such debts and liabilities become absolute and matured;</w:t>
      </w:r>
    </w:p>
    <w:p>
      <w:pPr>
        <w:spacing w:after="0" w:line="203" w:lineRule="exact"/>
        <w:rPr>
          <w:rFonts w:ascii="Arial" w:cs="Arial" w:eastAsia="Arial" w:hAnsi="Arial"/>
          <w:sz w:val="16"/>
          <w:szCs w:val="16"/>
          <w:color w:val="auto"/>
        </w:rPr>
      </w:pPr>
    </w:p>
    <w:p>
      <w:pPr>
        <w:ind w:firstLine="565"/>
        <w:spacing w:after="0" w:line="270" w:lineRule="auto"/>
        <w:tabs>
          <w:tab w:leader="none" w:pos="945"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Borrower will have unreasonably small capital with which to conduct the business in which it is engaged as such business is now conducted and is proposed to be conducted after the Effective Date; and</w:t>
      </w:r>
    </w:p>
    <w:p>
      <w:pPr>
        <w:spacing w:after="0" w:line="203" w:lineRule="exact"/>
        <w:rPr>
          <w:rFonts w:ascii="Arial" w:cs="Arial" w:eastAsia="Arial" w:hAnsi="Arial"/>
          <w:sz w:val="16"/>
          <w:szCs w:val="16"/>
          <w:color w:val="auto"/>
        </w:rPr>
      </w:pPr>
    </w:p>
    <w:p>
      <w:pPr>
        <w:ind w:left="940" w:hanging="375"/>
        <w:spacing w:after="0"/>
        <w:tabs>
          <w:tab w:leader="none" w:pos="9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no Borrower has ceased paying its current obligations in the ordinary course of business as they generally become due.</w:t>
      </w:r>
    </w:p>
    <w:p>
      <w:pPr>
        <w:spacing w:after="0" w:line="244"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3.11</w:t>
      </w:r>
      <w:r>
        <w:rPr>
          <w:rFonts w:ascii="Arial" w:cs="Arial" w:eastAsia="Arial" w:hAnsi="Arial"/>
          <w:sz w:val="16"/>
          <w:szCs w:val="16"/>
          <w:color w:val="auto"/>
        </w:rPr>
        <w:t xml:space="preserve"> (as such Schedule may be updated from time to time by the Borrower Representative by written notice to the Administrative Agent to reflect a transaction not prohibited by the Loan Documents) sets forth (a) a true and complete listing of each class of each Borrower’s (other than Micron) authorized Equity Interests, of which all of such issued shares are validly issued, outstanding, fully paid and non-assessable, and owned beneficially and of record by the Persons identified as such on such Schedule, and (b) the type of entity of each Borrower.</w:t>
      </w:r>
    </w:p>
    <w:p>
      <w:pPr>
        <w:spacing w:after="0" w:line="216" w:lineRule="exact"/>
        <w:rPr>
          <w:sz w:val="20"/>
          <w:szCs w:val="20"/>
          <w:color w:val="auto"/>
        </w:rPr>
      </w:pPr>
    </w:p>
    <w:p>
      <w:pPr>
        <w:jc w:val="both"/>
        <w:ind w:firstLine="570"/>
        <w:spacing w:after="0" w:line="295" w:lineRule="auto"/>
        <w:rPr>
          <w:sz w:val="20"/>
          <w:szCs w:val="20"/>
          <w:color w:val="auto"/>
        </w:rPr>
      </w:pPr>
      <w:r>
        <w:rPr>
          <w:rFonts w:ascii="Arial" w:cs="Arial" w:eastAsia="Arial" w:hAnsi="Arial"/>
          <w:sz w:val="14"/>
          <w:szCs w:val="14"/>
          <w:color w:val="auto"/>
        </w:rPr>
        <w:t xml:space="preserve">SECTION 3.12. </w:t>
      </w:r>
      <w:r>
        <w:rPr>
          <w:rFonts w:ascii="Arial" w:cs="Arial" w:eastAsia="Arial" w:hAnsi="Arial"/>
          <w:sz w:val="14"/>
          <w:szCs w:val="14"/>
          <w:u w:val="single" w:color="auto"/>
          <w:color w:val="auto"/>
        </w:rPr>
        <w:t>Security Interest in Collateral</w:t>
      </w:r>
      <w:r>
        <w:rPr>
          <w:rFonts w:ascii="Arial" w:cs="Arial" w:eastAsia="Arial" w:hAnsi="Arial"/>
          <w:sz w:val="14"/>
          <w:szCs w:val="14"/>
          <w:color w:val="auto"/>
        </w:rPr>
        <w:t>. The provisions of this Agreement and the other Loan Documents, together with all filings and other actions necessary to perfect, protect or create legal and valid Liens on all the Collateral (other than with respect to Inventory located outside of the United States) in favor of the Administrative Agent, for the benefit of the Administrative Agent and the Lenders and other holders of the Secured Obligations, have been duly made or taken or otherwise provided for and such Liens constitute (or will constitute) perfected and continuing Liens on the Collateral (other than with respect to Inventory located outside of the United States), securing the Secured Obligations, enforceable against the applicable Borrower and all third parties, and having priority over all other Liens on such Collateral except in the case of Permitted Encumbrances, to the extent any such Permitted Encumbrances would have priority over the Liens in favor of the Administrative Agent pursuant to any applicable law.</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71" w:name="page72"/>
    <w:bookmarkEnd w:id="71"/>
    <w:p>
      <w:pPr>
        <w:ind w:left="560"/>
        <w:spacing w:after="0"/>
        <w:tabs>
          <w:tab w:leader="none" w:pos="1840" w:val="left"/>
        </w:tabs>
        <w:rPr>
          <w:sz w:val="20"/>
          <w:szCs w:val="20"/>
          <w:color w:val="auto"/>
        </w:rPr>
      </w:pPr>
      <w:r>
        <w:rPr>
          <w:rFonts w:ascii="Arial" w:cs="Arial" w:eastAsia="Arial" w:hAnsi="Arial"/>
          <w:sz w:val="16"/>
          <w:szCs w:val="16"/>
          <w:color w:val="auto"/>
        </w:rPr>
        <w:t>SECTION 3.13.</w:t>
      </w:r>
      <w:r>
        <w:rPr>
          <w:sz w:val="20"/>
          <w:szCs w:val="20"/>
          <w:color w:val="auto"/>
        </w:rPr>
        <w:tab/>
      </w:r>
      <w:r>
        <w:rPr>
          <w:rFonts w:ascii="Arial" w:cs="Arial" w:eastAsia="Arial" w:hAnsi="Arial"/>
          <w:sz w:val="14"/>
          <w:szCs w:val="14"/>
          <w:u w:val="single" w:color="auto"/>
          <w:color w:val="auto"/>
        </w:rPr>
        <w:t>Sanctions Laws and Regulations; Anti-Corruptions Laws</w:t>
      </w:r>
      <w:r>
        <w:rPr>
          <w:rFonts w:ascii="Arial" w:cs="Arial" w:eastAsia="Arial" w:hAnsi="Arial"/>
          <w:sz w:val="14"/>
          <w:szCs w:val="14"/>
          <w:color w:val="auto"/>
        </w:rPr>
        <w:t>.</w:t>
      </w:r>
    </w:p>
    <w:p>
      <w:pPr>
        <w:spacing w:after="0" w:line="244" w:lineRule="exact"/>
        <w:rPr>
          <w:sz w:val="20"/>
          <w:szCs w:val="20"/>
          <w:color w:val="auto"/>
        </w:rPr>
      </w:pPr>
    </w:p>
    <w:p>
      <w:pPr>
        <w:jc w:val="both"/>
        <w:ind w:right="20" w:firstLine="565"/>
        <w:spacing w:after="0" w:line="252" w:lineRule="auto"/>
        <w:tabs>
          <w:tab w:leader="none" w:pos="93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To the extent applicable, each Borrower and its Subsidiaries are in compliance, in all material respects, with any Anti-Corruption Laws, the Trading with the Enemy Act, as amended, and each of the foreign assets control regulations of the United States Treasury Department (31 CFR, Subtitle B, Chapter V, as amended) and any other enabling legislation or executive order relating thereto. No part of the proceeds of the Loans or any Letter of Credit will be used by any Borrower or any Subsidiary, directly or, to the knowledge of any Borrower or any Subsidiary,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any Anti-Corruption Laws, or the United States Foreign Corrupt Practices Act of 1977, as amended.</w:t>
      </w:r>
    </w:p>
    <w:p>
      <w:pPr>
        <w:spacing w:after="0" w:line="218" w:lineRule="exact"/>
        <w:rPr>
          <w:rFonts w:ascii="Arial" w:cs="Arial" w:eastAsia="Arial" w:hAnsi="Arial"/>
          <w:sz w:val="16"/>
          <w:szCs w:val="16"/>
          <w:color w:val="auto"/>
        </w:rPr>
      </w:pPr>
    </w:p>
    <w:p>
      <w:pPr>
        <w:jc w:val="both"/>
        <w:ind w:right="20" w:firstLine="565"/>
        <w:spacing w:after="0" w:line="274" w:lineRule="auto"/>
        <w:tabs>
          <w:tab w:leader="none" w:pos="957" w:val="left"/>
        </w:tabs>
        <w:numPr>
          <w:ilvl w:val="0"/>
          <w:numId w:val="59"/>
        </w:numPr>
        <w:rPr>
          <w:rFonts w:ascii="Arial" w:cs="Arial" w:eastAsia="Arial" w:hAnsi="Arial"/>
          <w:sz w:val="15"/>
          <w:szCs w:val="15"/>
          <w:color w:val="auto"/>
        </w:rPr>
      </w:pPr>
      <w:r>
        <w:rPr>
          <w:rFonts w:ascii="Arial" w:cs="Arial" w:eastAsia="Arial" w:hAnsi="Arial"/>
          <w:sz w:val="15"/>
          <w:szCs w:val="15"/>
          <w:color w:val="auto"/>
        </w:rPr>
        <w:t>Neither any Borrower nor any Subsidiary nor, to the knowledge of any. Borrower or any Subsidiary, any director, officer, agent, employee or Affiliate of any Borrower or any Subsidiary, (i) is a Designated Person or (ii) is currently the target of any U.S. sanctions administered by the Office of Foreign Assets Control of the U.S. Treasury Department; and neither any Borrower nor any Subsidiary will directly, or, to the knowledge of any Borrower or any Subsidiary, indirectly, unlawfully use the proceeds of the Loans or any Letter of Credit for the purpose of financing the activities of any Person, or in any country or territory, that is, at the time of such use, the target of, or whose government is the target of, any U.S. sanctions administered by the Office of Foreign Assets Control of the U.S. Treasury Department.</w:t>
      </w:r>
    </w:p>
    <w:p>
      <w:pPr>
        <w:spacing w:after="0" w:line="203"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with respect to any other matters that, individually or in the aggregate, could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(iii) has received notice of any claim with respect to any Environmental Liability, or (c) knows of any basis for any Environmental Liability.</w:t>
      </w:r>
    </w:p>
    <w:p>
      <w:pPr>
        <w:spacing w:after="0" w:line="216"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3.15.</w:t>
      </w:r>
      <w:r>
        <w:rPr>
          <w:sz w:val="20"/>
          <w:szCs w:val="20"/>
          <w:color w:val="auto"/>
        </w:rPr>
        <w:tab/>
      </w:r>
      <w:r>
        <w:rPr>
          <w:rFonts w:ascii="Arial" w:cs="Arial" w:eastAsia="Arial" w:hAnsi="Arial"/>
          <w:sz w:val="14"/>
          <w:szCs w:val="14"/>
          <w:u w:val="single" w:color="auto"/>
          <w:color w:val="auto"/>
        </w:rPr>
        <w:t>Properties</w:t>
      </w:r>
      <w:r>
        <w:rPr>
          <w:rFonts w:ascii="Arial" w:cs="Arial" w:eastAsia="Arial" w:hAnsi="Arial"/>
          <w:sz w:val="14"/>
          <w:szCs w:val="14"/>
          <w:color w:val="auto"/>
        </w:rPr>
        <w:t>.</w:t>
      </w:r>
    </w:p>
    <w:p>
      <w:pPr>
        <w:spacing w:after="0" w:line="244" w:lineRule="exact"/>
        <w:rPr>
          <w:sz w:val="20"/>
          <w:szCs w:val="20"/>
          <w:color w:val="auto"/>
        </w:rPr>
      </w:pPr>
    </w:p>
    <w:p>
      <w:pPr>
        <w:ind w:right="20" w:firstLine="565"/>
        <w:spacing w:after="0" w:line="270" w:lineRule="auto"/>
        <w:tabs>
          <w:tab w:leader="none" w:pos="936"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Schedule 3.15</w:t>
      </w:r>
      <w:r>
        <w:rPr>
          <w:rFonts w:ascii="Arial" w:cs="Arial" w:eastAsia="Arial" w:hAnsi="Arial"/>
          <w:sz w:val="16"/>
          <w:szCs w:val="16"/>
          <w:color w:val="auto"/>
        </w:rPr>
        <w:t xml:space="preserve"> (as such Schedule may be updated with the delivery of each Borrowing Base Certificate pursuant to the terms set forth in </w:t>
      </w:r>
      <w:r>
        <w:rPr>
          <w:rFonts w:ascii="Arial" w:cs="Arial" w:eastAsia="Arial" w:hAnsi="Arial"/>
          <w:sz w:val="16"/>
          <w:szCs w:val="16"/>
          <w:u w:val="single" w:color="auto"/>
          <w:color w:val="auto"/>
        </w:rPr>
        <w:t>Section 5.01(f)</w:t>
      </w:r>
      <w:r>
        <w:rPr>
          <w:rFonts w:ascii="Arial" w:cs="Arial" w:eastAsia="Arial" w:hAnsi="Arial"/>
          <w:sz w:val="16"/>
          <w:szCs w:val="16"/>
          <w:color w:val="auto"/>
        </w:rPr>
        <w:t>) sets forth the address of each parcel of real property that is owned or leased by any Loan Party where any Eligible Inventory is located.</w:t>
      </w:r>
    </w:p>
    <w:p>
      <w:pPr>
        <w:spacing w:after="0" w:line="203" w:lineRule="exact"/>
        <w:rPr>
          <w:rFonts w:ascii="Arial" w:cs="Arial" w:eastAsia="Arial" w:hAnsi="Arial"/>
          <w:sz w:val="16"/>
          <w:szCs w:val="16"/>
          <w:color w:val="auto"/>
        </w:rPr>
      </w:pPr>
    </w:p>
    <w:p>
      <w:pPr>
        <w:ind w:firstLine="565"/>
        <w:spacing w:after="0" w:line="304" w:lineRule="auto"/>
        <w:tabs>
          <w:tab w:leader="none" w:pos="945" w:val="left"/>
        </w:tabs>
        <w:numPr>
          <w:ilvl w:val="0"/>
          <w:numId w:val="60"/>
        </w:numPr>
        <w:rPr>
          <w:rFonts w:ascii="Arial" w:cs="Arial" w:eastAsia="Arial" w:hAnsi="Arial"/>
          <w:sz w:val="15"/>
          <w:szCs w:val="15"/>
          <w:color w:val="auto"/>
        </w:rPr>
      </w:pPr>
      <w:r>
        <w:rPr>
          <w:rFonts w:ascii="Arial" w:cs="Arial" w:eastAsia="Arial" w:hAnsi="Arial"/>
          <w:sz w:val="15"/>
          <w:szCs w:val="15"/>
          <w:color w:val="auto"/>
        </w:rPr>
        <w:t>Each Borrower owns, or is licensed to use, all trademarks, tradenames, copyrights, patents and other intellectual property necessary to sell any Eligible Inventory in the ordinary course of business, and the use thereof by each Borrower does not infringe in any material respect upon the rights of any other Person.</w:t>
      </w:r>
    </w:p>
    <w:p>
      <w:pPr>
        <w:spacing w:after="0" w:line="181"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3.16</w:t>
      </w:r>
      <w:r>
        <w:rPr>
          <w:rFonts w:ascii="Arial" w:cs="Arial" w:eastAsia="Arial" w:hAnsi="Arial"/>
          <w:sz w:val="16"/>
          <w:szCs w:val="16"/>
          <w:color w:val="auto"/>
        </w:rPr>
        <w:t xml:space="preserve"> sets forth a description of all insurance maintained by or on behalf of the Borrowers covering property constituting Collateral as of the Effective Date. As of the Effective Date, all premiums in respect of such insurance required to</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72" w:name="page73"/>
    <w:bookmarkEnd w:id="72"/>
    <w:p>
      <w:pPr>
        <w:jc w:val="both"/>
        <w:ind w:right="20"/>
        <w:spacing w:after="0" w:line="259" w:lineRule="auto"/>
        <w:rPr>
          <w:sz w:val="20"/>
          <w:szCs w:val="20"/>
          <w:color w:val="auto"/>
        </w:rPr>
      </w:pPr>
      <w:r>
        <w:rPr>
          <w:rFonts w:ascii="Arial" w:cs="Arial" w:eastAsia="Arial" w:hAnsi="Arial"/>
          <w:sz w:val="16"/>
          <w:szCs w:val="16"/>
          <w:color w:val="auto"/>
        </w:rPr>
        <w:t xml:space="preserve">be maintained pursuant to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hereof have been paid. Each Borrower maintains with financially sound and reputable insurance companies, insurance on all its property constituting Collateral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88"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ARTICLE IV</w:t>
      </w:r>
    </w:p>
    <w:p>
      <w:pPr>
        <w:spacing w:after="0" w:line="17" w:lineRule="exact"/>
        <w:rPr>
          <w:sz w:val="20"/>
          <w:szCs w:val="20"/>
          <w:color w:val="auto"/>
        </w:rPr>
      </w:pPr>
    </w:p>
    <w:p>
      <w:pPr>
        <w:ind w:left="5360"/>
        <w:spacing w:after="0"/>
        <w:rPr>
          <w:sz w:val="20"/>
          <w:szCs w:val="20"/>
          <w:color w:val="auto"/>
        </w:rPr>
      </w:pPr>
      <w:r>
        <w:rPr>
          <w:rFonts w:ascii="Arial" w:cs="Arial" w:eastAsia="Arial" w:hAnsi="Arial"/>
          <w:sz w:val="16"/>
          <w:szCs w:val="16"/>
          <w:u w:val="single" w:color="auto"/>
          <w:color w:val="auto"/>
        </w:rPr>
        <w:t>Conditions</w:t>
      </w:r>
    </w:p>
    <w:p>
      <w:pPr>
        <w:spacing w:after="0" w:line="233"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The obligations of the Lenders to make Loans and of the Issuing Bank to issue Letters of Credit hereunder shall not become effective until the date on which each of the following conditions is satisfied (or waived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204" w:lineRule="exact"/>
        <w:rPr>
          <w:sz w:val="20"/>
          <w:szCs w:val="20"/>
          <w:color w:val="auto"/>
        </w:rPr>
      </w:pPr>
    </w:p>
    <w:p>
      <w:pPr>
        <w:jc w:val="both"/>
        <w:ind w:firstLine="565"/>
        <w:spacing w:after="0" w:line="251" w:lineRule="auto"/>
        <w:tabs>
          <w:tab w:leader="none" w:pos="94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Credit Agreement and Loan Documents</w:t>
      </w:r>
      <w:r>
        <w:rPr>
          <w:rFonts w:ascii="Arial" w:cs="Arial" w:eastAsia="Arial" w:hAnsi="Arial"/>
          <w:sz w:val="16"/>
          <w:szCs w:val="16"/>
          <w:color w:val="auto"/>
        </w:rPr>
        <w:t xml:space="preserve">. The Administrative Agent (or its counsel) shall have received (i) from each party hereto either (A) a counterpart of this Agreement signed on behalf of such party or (B) written evidence satisfactory to the Administrative Agent (which may include facsimile or other electronic transmission of a signed signature page of this Agreement) that such party has signed a counterpart of this Agreement and (ii) duly executed copies of the other Loan Documents and such other certificates, documents, instruments and agreements as the Administrative Agent shall reasonably request in connection with the transactions contemplated by this Agreement and the other Loan Documents, including any promissory notes requested by a Lender pursuant to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payable to the order of each such requesting Lender and a written opinion of the Loan Parties’ counsel, addressed to the Administrative Agent, the Issuing Bank and the Lenders in form and substance reasonably satisfactory to the Administrative Agent.</w:t>
      </w:r>
    </w:p>
    <w:p>
      <w:pPr>
        <w:spacing w:after="0" w:line="220" w:lineRule="exact"/>
        <w:rPr>
          <w:rFonts w:ascii="Arial" w:cs="Arial" w:eastAsia="Arial" w:hAnsi="Arial"/>
          <w:sz w:val="16"/>
          <w:szCs w:val="16"/>
          <w:color w:val="auto"/>
        </w:rPr>
      </w:pPr>
    </w:p>
    <w:p>
      <w:pPr>
        <w:jc w:val="both"/>
        <w:ind w:firstLine="565"/>
        <w:spacing w:after="0" w:line="298" w:lineRule="auto"/>
        <w:tabs>
          <w:tab w:leader="none" w:pos="945"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Financial Statements and Projections</w:t>
      </w:r>
      <w:r>
        <w:rPr>
          <w:rFonts w:ascii="Arial" w:cs="Arial" w:eastAsia="Arial" w:hAnsi="Arial"/>
          <w:sz w:val="14"/>
          <w:szCs w:val="14"/>
          <w:color w:val="auto"/>
        </w:rPr>
        <w:t>. The Lenders shall have received (i) audited consolidated financial statements of Micron for the fiscal year ended August 28, 2014, reported on by PricewaterhouseCoopers, LLC, independent public accountants, (ii) unaudited interim consolidated financial statements of Micron for each fiscal quarter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Micron, as reflected in the audited, consolidated financial statements described in clause (i) of this paragraph and (iii) satisfactory annual projections through 2019.</w:t>
      </w:r>
    </w:p>
    <w:p>
      <w:pPr>
        <w:spacing w:after="0" w:line="188" w:lineRule="exact"/>
        <w:rPr>
          <w:rFonts w:ascii="Arial" w:cs="Arial" w:eastAsia="Arial" w:hAnsi="Arial"/>
          <w:sz w:val="14"/>
          <w:szCs w:val="14"/>
          <w:color w:val="auto"/>
        </w:rPr>
      </w:pPr>
    </w:p>
    <w:p>
      <w:pPr>
        <w:jc w:val="both"/>
        <w:ind w:firstLine="565"/>
        <w:spacing w:after="0" w:line="252" w:lineRule="auto"/>
        <w:tabs>
          <w:tab w:leader="none" w:pos="936"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Closing Certificates; Certified Certificate of Incorporation; Good Standing Certificates</w:t>
      </w:r>
      <w:r>
        <w:rPr>
          <w:rFonts w:ascii="Arial" w:cs="Arial" w:eastAsia="Arial" w:hAnsi="Arial"/>
          <w:sz w:val="16"/>
          <w:szCs w:val="16"/>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Financial Officers and any other officers or directors of such Loan Party authorized to sign the Loan Documents to which it is a party, and (C) contain appropriate attachments, including the certificate or articles of association, incorporation or organization, change of name certificates and any shareholder resolutions amending the articles of association of each Loan Party certified by the relevant authority of the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73" w:name="page74"/>
    <w:bookmarkEnd w:id="73"/>
    <w:p>
      <w:pPr>
        <w:ind w:right="20"/>
        <w:spacing w:after="0" w:line="270" w:lineRule="auto"/>
        <w:rPr>
          <w:sz w:val="20"/>
          <w:szCs w:val="20"/>
          <w:color w:val="auto"/>
        </w:rPr>
      </w:pPr>
      <w:r>
        <w:rPr>
          <w:rFonts w:ascii="Arial" w:cs="Arial" w:eastAsia="Arial" w:hAnsi="Arial"/>
          <w:sz w:val="16"/>
          <w:szCs w:val="16"/>
          <w:color w:val="auto"/>
        </w:rPr>
        <w:t>jurisdiction of organization of such Loan Party and a true and correct copy of its bylaws or operating, management or partnership agreement, and (ii) a long form good standing certificate for each Loan Party from its jurisdiction of organization.</w:t>
      </w:r>
    </w:p>
    <w:p>
      <w:pPr>
        <w:spacing w:after="0" w:line="204" w:lineRule="exact"/>
        <w:rPr>
          <w:sz w:val="20"/>
          <w:szCs w:val="20"/>
          <w:color w:val="auto"/>
        </w:rPr>
      </w:pPr>
    </w:p>
    <w:p>
      <w:pPr>
        <w:ind w:right="20" w:firstLine="565"/>
        <w:spacing w:after="0" w:line="343" w:lineRule="auto"/>
        <w:tabs>
          <w:tab w:leader="none" w:pos="945"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No Default Certificate</w:t>
      </w:r>
      <w:r>
        <w:rPr>
          <w:rFonts w:ascii="Arial" w:cs="Arial" w:eastAsia="Arial" w:hAnsi="Arial"/>
          <w:sz w:val="14"/>
          <w:szCs w:val="14"/>
          <w:color w:val="auto"/>
        </w:rPr>
        <w:t>. The Administrative Agent shall have received a certificate, signed by a Financial Officer of each Borrower on the Effective Date (i) stating that no Default has occurred and is continuing and (ii) stating that the representations and warranties contained in Article III are true and correct as of the Effective Date.</w:t>
      </w:r>
    </w:p>
    <w:p>
      <w:pPr>
        <w:spacing w:after="0" w:line="157" w:lineRule="exact"/>
        <w:rPr>
          <w:rFonts w:ascii="Arial" w:cs="Arial" w:eastAsia="Arial" w:hAnsi="Arial"/>
          <w:sz w:val="14"/>
          <w:szCs w:val="14"/>
          <w:color w:val="auto"/>
        </w:rPr>
      </w:pPr>
    </w:p>
    <w:p>
      <w:pPr>
        <w:jc w:val="both"/>
        <w:ind w:firstLine="565"/>
        <w:spacing w:after="0" w:line="284" w:lineRule="auto"/>
        <w:tabs>
          <w:tab w:leader="none" w:pos="936"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Fees</w:t>
      </w:r>
      <w:r>
        <w:rPr>
          <w:rFonts w:ascii="Arial" w:cs="Arial" w:eastAsia="Arial" w:hAnsi="Arial"/>
          <w:sz w:val="15"/>
          <w:szCs w:val="15"/>
          <w:color w:val="auto"/>
        </w:rPr>
        <w:t>. The Lenders and the Administrative Agent shall have received all fees required to be paid, and all expenses for which invoices have been presented (including the reasonable fees and expenses of legal counsel), on or before the Effective Date. All such amounts will be paid with proceeds of Loans made on the Effective Date or as otherwise reflected in the funding instructions agreed to by the Borrower Representative and the Administrative Agent on or before the Effective Date.</w:t>
      </w:r>
    </w:p>
    <w:p>
      <w:pPr>
        <w:spacing w:after="0" w:line="195" w:lineRule="exact"/>
        <w:rPr>
          <w:rFonts w:ascii="Arial" w:cs="Arial" w:eastAsia="Arial" w:hAnsi="Arial"/>
          <w:sz w:val="15"/>
          <w:szCs w:val="15"/>
          <w:color w:val="auto"/>
        </w:rPr>
      </w:pPr>
    </w:p>
    <w:p>
      <w:pPr>
        <w:jc w:val="both"/>
        <w:ind w:right="20" w:firstLine="565"/>
        <w:spacing w:after="0" w:line="259" w:lineRule="auto"/>
        <w:tabs>
          <w:tab w:leader="none" w:pos="918"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Lien Searches</w:t>
      </w:r>
      <w:r>
        <w:rPr>
          <w:rFonts w:ascii="Arial" w:cs="Arial" w:eastAsia="Arial" w:hAnsi="Arial"/>
          <w:sz w:val="16"/>
          <w:szCs w:val="16"/>
          <w:color w:val="auto"/>
        </w:rPr>
        <w:t xml:space="preserve">. The Administrative Agent shall have received the results of a recent Lien search in each of the jurisdictions where each Borrower is located, and such search shall reveal no liens on any of the Collateral, except for Liens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or discharged on or prior to the Effective Date pursuant to a pay-off letter or other documentation reasonably satisfactory to the Administrative Agent.</w:t>
      </w:r>
    </w:p>
    <w:p>
      <w:pPr>
        <w:spacing w:after="0" w:line="212" w:lineRule="exact"/>
        <w:rPr>
          <w:rFonts w:ascii="Arial" w:cs="Arial" w:eastAsia="Arial" w:hAnsi="Arial"/>
          <w:sz w:val="16"/>
          <w:szCs w:val="16"/>
          <w:color w:val="auto"/>
        </w:rPr>
      </w:pPr>
    </w:p>
    <w:p>
      <w:pPr>
        <w:ind w:right="20" w:firstLine="565"/>
        <w:spacing w:after="0" w:line="304" w:lineRule="auto"/>
        <w:tabs>
          <w:tab w:leader="none" w:pos="945"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Funding Accounts</w:t>
      </w:r>
      <w:r>
        <w:rPr>
          <w:rFonts w:ascii="Arial" w:cs="Arial" w:eastAsia="Arial" w:hAnsi="Arial"/>
          <w:sz w:val="15"/>
          <w:szCs w:val="15"/>
          <w:color w:val="auto"/>
        </w:rPr>
        <w:t>. The Administrative Agent shall have received a notice setting forth the deposit account of the Borrowers (collectively, the “</w:t>
      </w:r>
      <w:r>
        <w:rPr>
          <w:rFonts w:ascii="Arial" w:cs="Arial" w:eastAsia="Arial" w:hAnsi="Arial"/>
          <w:sz w:val="15"/>
          <w:szCs w:val="15"/>
          <w:u w:val="single" w:color="auto"/>
          <w:color w:val="auto"/>
        </w:rPr>
        <w:t>Funding Accounts</w:t>
      </w:r>
      <w:r>
        <w:rPr>
          <w:rFonts w:ascii="Arial" w:cs="Arial" w:eastAsia="Arial" w:hAnsi="Arial"/>
          <w:sz w:val="15"/>
          <w:szCs w:val="15"/>
          <w:color w:val="auto"/>
        </w:rPr>
        <w:t>”) to which the Lender is authorized by the Borrowers to transfer the proceeds of any Borrowings requested or authorized pursuant to this Agreement.</w:t>
      </w:r>
    </w:p>
    <w:p>
      <w:pPr>
        <w:spacing w:after="0" w:line="180" w:lineRule="exact"/>
        <w:rPr>
          <w:rFonts w:ascii="Arial" w:cs="Arial" w:eastAsia="Arial" w:hAnsi="Arial"/>
          <w:sz w:val="15"/>
          <w:szCs w:val="15"/>
          <w:color w:val="auto"/>
        </w:rPr>
      </w:pPr>
    </w:p>
    <w:p>
      <w:pPr>
        <w:ind w:right="20" w:firstLine="565"/>
        <w:spacing w:after="0" w:line="270" w:lineRule="auto"/>
        <w:tabs>
          <w:tab w:leader="none" w:pos="94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The Administrative Agent shall have received a Borrowing Base Certificate which calculates the Borrowing Base as of the end of the month immediately preceding the Effective Date.</w:t>
      </w:r>
    </w:p>
    <w:p>
      <w:pPr>
        <w:spacing w:after="0" w:line="203" w:lineRule="exact"/>
        <w:rPr>
          <w:rFonts w:ascii="Arial" w:cs="Arial" w:eastAsia="Arial" w:hAnsi="Arial"/>
          <w:sz w:val="16"/>
          <w:szCs w:val="16"/>
          <w:color w:val="auto"/>
        </w:rPr>
      </w:pPr>
    </w:p>
    <w:p>
      <w:pPr>
        <w:jc w:val="both"/>
        <w:ind w:firstLine="565"/>
        <w:spacing w:after="0" w:line="255" w:lineRule="auto"/>
        <w:tabs>
          <w:tab w:leader="none" w:pos="921"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Filings, Registrations and Recordings</w:t>
      </w:r>
      <w:r>
        <w:rPr>
          <w:rFonts w:ascii="Arial" w:cs="Arial" w:eastAsia="Arial" w:hAnsi="Arial"/>
          <w:sz w:val="16"/>
          <w:szCs w:val="16"/>
          <w:color w:val="auto"/>
        </w:rPr>
        <w:t xml:space="preserve">.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the Lenders, a perfected Lien on the Collateral described therein, prior and superior in right to any other Person (other than with respect to Liens expressly permitted by </w:t>
      </w:r>
      <w:r>
        <w:rPr>
          <w:rFonts w:ascii="Arial" w:cs="Arial" w:eastAsia="Arial" w:hAnsi="Arial"/>
          <w:sz w:val="16"/>
          <w:szCs w:val="16"/>
          <w:u w:val="single" w:color="auto"/>
          <w:color w:val="auto"/>
        </w:rPr>
        <w:t>Section 6.02</w:t>
      </w:r>
      <w:r>
        <w:rPr>
          <w:rFonts w:ascii="Arial" w:cs="Arial" w:eastAsia="Arial" w:hAnsi="Arial"/>
          <w:sz w:val="16"/>
          <w:szCs w:val="16"/>
          <w:color w:val="auto"/>
        </w:rPr>
        <w:t>), shall be in proper form for filing, registration or recordation.</w:t>
      </w:r>
    </w:p>
    <w:p>
      <w:pPr>
        <w:spacing w:after="0" w:line="215" w:lineRule="exact"/>
        <w:rPr>
          <w:rFonts w:ascii="Arial" w:cs="Arial" w:eastAsia="Arial" w:hAnsi="Arial"/>
          <w:sz w:val="16"/>
          <w:szCs w:val="16"/>
          <w:color w:val="auto"/>
        </w:rPr>
      </w:pPr>
    </w:p>
    <w:p>
      <w:pPr>
        <w:ind w:left="900" w:hanging="335"/>
        <w:spacing w:after="0"/>
        <w:tabs>
          <w:tab w:leader="none" w:pos="900"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Tax Withholding</w:t>
      </w:r>
      <w:r>
        <w:rPr>
          <w:rFonts w:ascii="Arial" w:cs="Arial" w:eastAsia="Arial" w:hAnsi="Arial"/>
          <w:sz w:val="15"/>
          <w:szCs w:val="15"/>
          <w:color w:val="auto"/>
        </w:rPr>
        <w:t>. The Administrative Agent shall have received a properly completed and signed IRS Form W-8 or W-9, as applicable, for each Loan Party.</w:t>
      </w:r>
    </w:p>
    <w:p>
      <w:pPr>
        <w:spacing w:after="0" w:line="255" w:lineRule="exact"/>
        <w:rPr>
          <w:rFonts w:ascii="Arial" w:cs="Arial" w:eastAsia="Arial" w:hAnsi="Arial"/>
          <w:sz w:val="15"/>
          <w:szCs w:val="15"/>
          <w:color w:val="auto"/>
        </w:rPr>
      </w:pPr>
    </w:p>
    <w:p>
      <w:pPr>
        <w:jc w:val="both"/>
        <w:ind w:firstLine="565"/>
        <w:spacing w:after="0" w:line="259" w:lineRule="auto"/>
        <w:tabs>
          <w:tab w:leader="none" w:pos="945"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Field Examination and Appraisal</w:t>
      </w:r>
      <w:r>
        <w:rPr>
          <w:rFonts w:ascii="Arial" w:cs="Arial" w:eastAsia="Arial" w:hAnsi="Arial"/>
          <w:sz w:val="16"/>
          <w:szCs w:val="16"/>
          <w:color w:val="auto"/>
        </w:rPr>
        <w:t>. The Administrative Agent or its designee shall have (a) conducted a field examination of the Borrowers’ Accounts, Inventory and related working capital matters and of the Borrowers’ related data processing and other systems, the results of which shall be satisfactory to the Administrative Agent in its sole discretion, exercised in good faith; and (b) received an appraisal of the Borrowers’ Inventory from Emerald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Technology Valuation, a division of Gordon Brothers Group, which appraisal shall be satisfactory to the Administrative Agent in its sole discretion.</w:t>
      </w:r>
    </w:p>
    <w:p>
      <w:pPr>
        <w:spacing w:after="0" w:line="244" w:lineRule="exact"/>
        <w:rPr>
          <w:sz w:val="20"/>
          <w:szCs w:val="20"/>
          <w:color w:val="auto"/>
        </w:rPr>
      </w:pPr>
    </w:p>
    <w:p>
      <w:pPr>
        <w:ind w:right="20" w:firstLine="565"/>
        <w:spacing w:after="0" w:line="270" w:lineRule="auto"/>
        <w:tabs>
          <w:tab w:leader="none" w:pos="91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shall have received all information necessary to enable such Lender to identify each Borrower and each other Loan Party to the extent required for compliance with the Patriot Act or other “know your customer” and anti-money laundering rules and regulations.</w:t>
      </w:r>
    </w:p>
    <w:p>
      <w:pPr>
        <w:spacing w:after="0" w:line="203" w:lineRule="exact"/>
        <w:rPr>
          <w:rFonts w:ascii="Arial" w:cs="Arial" w:eastAsia="Arial" w:hAnsi="Arial"/>
          <w:sz w:val="16"/>
          <w:szCs w:val="16"/>
          <w:color w:val="auto"/>
        </w:rPr>
      </w:pPr>
    </w:p>
    <w:p>
      <w:pPr>
        <w:jc w:val="both"/>
        <w:ind w:firstLine="565"/>
        <w:spacing w:after="0" w:line="255" w:lineRule="auto"/>
        <w:tabs>
          <w:tab w:leader="none" w:pos="989"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The Administrative Agent shall have received a satisfactory payoff letter or other satisfactory evidence that, simultaneously with the initial funding of the Loans on the Effective Date, the Borrowers shall have repaid and terminated the Existing Credit Agreement, and confirming that all Liens upon any of the property of the Loan Parties constituting Collateral will be terminated concurrently with such payment and all letters of credit issued or guaranteed pursuant to the Existing Credit Agreement shall have been cash collateralized or supported by a Letter of Credit.</w:t>
      </w:r>
    </w:p>
    <w:p>
      <w:pPr>
        <w:spacing w:after="0" w:line="215" w:lineRule="exact"/>
        <w:rPr>
          <w:rFonts w:ascii="Arial" w:cs="Arial" w:eastAsia="Arial" w:hAnsi="Arial"/>
          <w:sz w:val="16"/>
          <w:szCs w:val="16"/>
          <w:color w:val="auto"/>
        </w:rPr>
      </w:pPr>
    </w:p>
    <w:p>
      <w:pPr>
        <w:ind w:firstLine="565"/>
        <w:spacing w:after="0" w:line="270" w:lineRule="auto"/>
        <w:tabs>
          <w:tab w:leader="none" w:pos="94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Material Adverse Effect</w:t>
      </w:r>
      <w:r>
        <w:rPr>
          <w:rFonts w:ascii="Arial" w:cs="Arial" w:eastAsia="Arial" w:hAnsi="Arial"/>
          <w:sz w:val="16"/>
          <w:szCs w:val="16"/>
          <w:color w:val="auto"/>
        </w:rPr>
        <w:t>. No event shall have occurred and no condition shall exist which has or could be reasonably expected to have a Material Adverse Effect since August 28, 2014.</w:t>
      </w:r>
    </w:p>
    <w:p>
      <w:pPr>
        <w:spacing w:after="0" w:line="203" w:lineRule="exact"/>
        <w:rPr>
          <w:rFonts w:ascii="Arial" w:cs="Arial" w:eastAsia="Arial" w:hAnsi="Arial"/>
          <w:sz w:val="16"/>
          <w:szCs w:val="16"/>
          <w:color w:val="auto"/>
        </w:rPr>
      </w:pPr>
    </w:p>
    <w:p>
      <w:pPr>
        <w:ind w:left="940" w:hanging="375"/>
        <w:spacing w:after="0"/>
        <w:tabs>
          <w:tab w:leader="none" w:pos="940" w:val="left"/>
        </w:tabs>
        <w:numPr>
          <w:ilvl w:val="0"/>
          <w:numId w:val="63"/>
        </w:numPr>
        <w:rPr>
          <w:rFonts w:ascii="Arial" w:cs="Arial" w:eastAsia="Arial" w:hAnsi="Arial"/>
          <w:sz w:val="14"/>
          <w:szCs w:val="14"/>
          <w:color w:val="auto"/>
        </w:rPr>
      </w:pPr>
      <w:r>
        <w:rPr>
          <w:rFonts w:ascii="Arial" w:cs="Arial" w:eastAsia="Arial" w:hAnsi="Arial"/>
          <w:sz w:val="14"/>
          <w:szCs w:val="14"/>
          <w:u w:val="single" w:color="auto"/>
          <w:color w:val="auto"/>
        </w:rPr>
        <w:t>Due Diligence</w:t>
      </w:r>
      <w:r>
        <w:rPr>
          <w:rFonts w:ascii="Arial" w:cs="Arial" w:eastAsia="Arial" w:hAnsi="Arial"/>
          <w:sz w:val="14"/>
          <w:szCs w:val="14"/>
          <w:color w:val="auto"/>
        </w:rPr>
        <w:t>. The Administrative Agent and the Lenders shall be satisfied with the results of all legal, tax, accounting, environmental, regulatory and business due</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diligence.</w:t>
      </w:r>
    </w:p>
    <w:p>
      <w:pPr>
        <w:spacing w:after="0" w:line="232" w:lineRule="exact"/>
        <w:rPr>
          <w:rFonts w:ascii="Arial" w:cs="Arial" w:eastAsia="Arial" w:hAnsi="Arial"/>
          <w:sz w:val="14"/>
          <w:szCs w:val="14"/>
          <w:color w:val="auto"/>
        </w:rPr>
      </w:pPr>
    </w:p>
    <w:p>
      <w:pPr>
        <w:jc w:val="both"/>
        <w:ind w:firstLine="565"/>
        <w:spacing w:after="0" w:line="253" w:lineRule="auto"/>
        <w:tabs>
          <w:tab w:leader="none" w:pos="95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Administrative Agent shall received evidence of insurance coverage in form, scope and substance reasonably satisfactory to the Administrative Agent and otherwise in compliance with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hereof, Section 4.7 of the Micron Security Agreement and Section 4.7 of the MSP Security Agreement, together with certificates of insurance identifying insurers, types of insurance, insurance limits and policy terms with endorsements naming the Administrative Agent, for the benefit of the Lenders, as lender’s loss payee or additional insured, as applicable with respect to each insurance policy required to be maintained with respect to the Collateral and otherwise in form and substance reasonably satisfactory to the Administrative Agent.</w:t>
      </w:r>
    </w:p>
    <w:p>
      <w:pPr>
        <w:spacing w:after="0" w:line="217" w:lineRule="exact"/>
        <w:rPr>
          <w:rFonts w:ascii="Arial" w:cs="Arial" w:eastAsia="Arial" w:hAnsi="Arial"/>
          <w:sz w:val="16"/>
          <w:szCs w:val="16"/>
          <w:color w:val="auto"/>
        </w:rPr>
      </w:pPr>
    </w:p>
    <w:p>
      <w:pPr>
        <w:jc w:val="both"/>
        <w:ind w:firstLine="565"/>
        <w:spacing w:after="0" w:line="259" w:lineRule="auto"/>
        <w:tabs>
          <w:tab w:leader="none" w:pos="957"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Closing Availability</w:t>
      </w:r>
      <w:r>
        <w:rPr>
          <w:rFonts w:ascii="Arial" w:cs="Arial" w:eastAsia="Arial" w:hAnsi="Arial"/>
          <w:sz w:val="16"/>
          <w:szCs w:val="16"/>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Availability shall not be less than an amount equal to 20% of the Aggregate Revolving Commitments.</w:t>
      </w:r>
    </w:p>
    <w:p>
      <w:pPr>
        <w:spacing w:after="0" w:line="212" w:lineRule="exact"/>
        <w:rPr>
          <w:rFonts w:ascii="Arial" w:cs="Arial" w:eastAsia="Arial" w:hAnsi="Arial"/>
          <w:sz w:val="16"/>
          <w:szCs w:val="16"/>
          <w:color w:val="auto"/>
        </w:rPr>
      </w:pPr>
    </w:p>
    <w:p>
      <w:pPr>
        <w:ind w:firstLine="565"/>
        <w:spacing w:after="0" w:line="270" w:lineRule="auto"/>
        <w:tabs>
          <w:tab w:leader="none" w:pos="91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Deposit Account Control Agreements</w:t>
      </w:r>
      <w:r>
        <w:rPr>
          <w:rFonts w:ascii="Arial" w:cs="Arial" w:eastAsia="Arial" w:hAnsi="Arial"/>
          <w:sz w:val="16"/>
          <w:szCs w:val="16"/>
          <w:color w:val="auto"/>
        </w:rPr>
        <w:t xml:space="preserve">. The Administrative Agent shall have received each Deposit Account Control Agreement required to be provided pursuant to </w:t>
      </w:r>
      <w:r>
        <w:rPr>
          <w:rFonts w:ascii="Arial" w:cs="Arial" w:eastAsia="Arial" w:hAnsi="Arial"/>
          <w:sz w:val="16"/>
          <w:szCs w:val="16"/>
          <w:u w:val="single" w:color="auto"/>
          <w:color w:val="auto"/>
        </w:rPr>
        <w:t>Section 5.08</w:t>
      </w:r>
      <w:r>
        <w:rPr>
          <w:rFonts w:ascii="Arial" w:cs="Arial" w:eastAsia="Arial" w:hAnsi="Arial"/>
          <w:sz w:val="16"/>
          <w:szCs w:val="16"/>
          <w:color w:val="auto"/>
        </w:rPr>
        <w:t xml:space="preserve"> of this Agreement with respect to the Collateral Deposit Accounts.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 shall notify the Borrowers and the Lenders of the Effective Date, and such notice shall be conclusive and binding.</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75" w:name="page76"/>
    <w:bookmarkEnd w:id="75"/>
    <w:p>
      <w:pPr>
        <w:ind w:right="20" w:firstLine="570"/>
        <w:spacing w:after="0" w:line="270"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Each Credit Event</w:t>
      </w:r>
      <w:r>
        <w:rPr>
          <w:rFonts w:ascii="Arial" w:cs="Arial" w:eastAsia="Arial" w:hAnsi="Arial"/>
          <w:sz w:val="16"/>
          <w:szCs w:val="16"/>
          <w:color w:val="auto"/>
        </w:rPr>
        <w:t>. The obligation of each Lender to make a Loan on the occasion of any Borrowing, and of the Issuing Bank to issue, amend, renew or extend any Letter of Credit, is subject to the satisfaction of the following conditions:</w:t>
      </w:r>
    </w:p>
    <w:p>
      <w:pPr>
        <w:spacing w:after="0" w:line="204" w:lineRule="exact"/>
        <w:rPr>
          <w:sz w:val="20"/>
          <w:szCs w:val="20"/>
          <w:color w:val="auto"/>
        </w:rPr>
      </w:pPr>
    </w:p>
    <w:p>
      <w:pPr>
        <w:jc w:val="both"/>
        <w:ind w:firstLine="565"/>
        <w:spacing w:after="0" w:line="274" w:lineRule="auto"/>
        <w:tabs>
          <w:tab w:leader="none" w:pos="936"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representations and warranties of the Borrowers set forth in this Agreement shall be true and correct in all material respects (except that such materiality qualifier shall not be applicable to any representations and warranties that already are qualified or modified by materiality in the text thereof) on and as of the date of such Borrowing or the date of issuance, amendment, renewal or extension of such Letter of Credit, as applicable, except to the extent any such representations and warranties are expressly limited to an earlier date, in which case, on and as of the date of such Borrowing or the date of issuance, amendment, renewal or extension of such Letter of Credit, as applicable, such representations and warranties shall continue to be true and correct in all material respects as of such specified earlier date.</w:t>
      </w:r>
    </w:p>
    <w:p>
      <w:pPr>
        <w:spacing w:after="0" w:line="203" w:lineRule="exact"/>
        <w:rPr>
          <w:rFonts w:ascii="Arial" w:cs="Arial" w:eastAsia="Arial" w:hAnsi="Arial"/>
          <w:sz w:val="15"/>
          <w:szCs w:val="15"/>
          <w:color w:val="auto"/>
        </w:rPr>
      </w:pPr>
    </w:p>
    <w:p>
      <w:pPr>
        <w:ind w:firstLine="565"/>
        <w:spacing w:after="0" w:line="270" w:lineRule="auto"/>
        <w:tabs>
          <w:tab w:leader="none" w:pos="9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the time of and immediately after giving effect to such Borrowing or the issuance, amendment, renewal or extension of such Letter of Credit, as applicable, no Default or Event of Default shall have occurred and be continuing.</w:t>
      </w:r>
    </w:p>
    <w:p>
      <w:pPr>
        <w:spacing w:after="0" w:line="203" w:lineRule="exact"/>
        <w:rPr>
          <w:rFonts w:ascii="Arial" w:cs="Arial" w:eastAsia="Arial" w:hAnsi="Arial"/>
          <w:sz w:val="16"/>
          <w:szCs w:val="16"/>
          <w:color w:val="auto"/>
        </w:rPr>
      </w:pPr>
    </w:p>
    <w:p>
      <w:pPr>
        <w:ind w:left="940" w:hanging="375"/>
        <w:spacing w:after="0"/>
        <w:tabs>
          <w:tab w:leader="none" w:pos="9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After giving effect to any Borrowing or the issuance, amendment, renewal or extension of any Letter of Credit, the Revolving Exposure Limitations shall have been</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met.</w:t>
      </w:r>
    </w:p>
    <w:p>
      <w:pPr>
        <w:spacing w:after="0" w:line="209"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Each Borrowing and each issuance, amendment, renewal or extension of a Letter of Credit shall be deemed to constitute a representation and warranty by the Borrowers on the date thereof as to the matters specified in paragraphs (a), (b) and (c) of this Section.</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 xml:space="preserve">Subject to the limitations and restrictions set forth in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hereof, notwithstanding the failure to satisfy the conditions precedent set forth in paragraphs (a) or (b) of this Section, unless otherwise directed by the Required Lenders, the Administrative Agent may, but shall have no obligation to, continue to make Loans and the Issuing Bank may, but shall have no obligation to, issue or cause to be issued any Letter of Credit for the ratable account and risk of Lenders from time to time if the Administrative Agent believes that making such Loans or issuing or causing to be issued any such Letter of Credit is in the best interests of the Lenders.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Affirmative Covenants</w:t>
      </w:r>
    </w:p>
    <w:p>
      <w:pPr>
        <w:spacing w:after="0" w:line="209" w:lineRule="exact"/>
        <w:rPr>
          <w:sz w:val="20"/>
          <w:szCs w:val="20"/>
          <w:color w:val="auto"/>
        </w:rPr>
      </w:pPr>
    </w:p>
    <w:p>
      <w:pPr>
        <w:jc w:val="both"/>
        <w:ind w:right="20" w:firstLine="1140"/>
        <w:spacing w:after="0" w:line="259" w:lineRule="auto"/>
        <w:rPr>
          <w:sz w:val="20"/>
          <w:szCs w:val="20"/>
          <w:color w:val="auto"/>
        </w:rPr>
      </w:pPr>
      <w:r>
        <w:rPr>
          <w:rFonts w:ascii="Arial" w:cs="Arial" w:eastAsia="Arial" w:hAnsi="Arial"/>
          <w:sz w:val="16"/>
          <w:szCs w:val="16"/>
          <w:color w:val="auto"/>
        </w:rPr>
        <w:t>Until the Commitments have expired or terminated and the principal of and interest on each Loan and all fees payable hereunder have been paid in full and all Letters of Credit have expired or terminated (or cash collateralized in an amount equal to 103% of the aggregate undrawn amount of all outstanding Letters of Credit) and all LC Disbursements have been reimbursed, each Borrower covenants and agrees, jointly and severally, with the Lenders that:</w:t>
      </w:r>
    </w:p>
    <w:p>
      <w:pPr>
        <w:spacing w:after="0" w:line="212"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Financial Statements; Borrowing Base and Other Information</w:t>
      </w:r>
      <w:r>
        <w:rPr>
          <w:rFonts w:ascii="Arial" w:cs="Arial" w:eastAsia="Arial" w:hAnsi="Arial"/>
          <w:sz w:val="16"/>
          <w:szCs w:val="16"/>
          <w:color w:val="auto"/>
        </w:rPr>
        <w:t xml:space="preserve">. The Borrowers will furnish to the Administrative Agent and each Lender or otherwise make available as described in the last sentence of </w:t>
      </w:r>
      <w:r>
        <w:rPr>
          <w:rFonts w:ascii="Arial" w:cs="Arial" w:eastAsia="Arial" w:hAnsi="Arial"/>
          <w:sz w:val="16"/>
          <w:szCs w:val="16"/>
          <w:u w:val="single" w:color="auto"/>
          <w:color w:val="auto"/>
        </w:rPr>
        <w:t>Section 5.01(a)</w:t>
      </w:r>
      <w:r>
        <w:rPr>
          <w:rFonts w:ascii="Arial" w:cs="Arial" w:eastAsia="Arial" w:hAnsi="Arial"/>
          <w:sz w:val="16"/>
          <w:szCs w:val="16"/>
          <w:color w:val="auto"/>
        </w:rPr>
        <w:t>:</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76" w:name="page77"/>
    <w:bookmarkEnd w:id="76"/>
    <w:p>
      <w:pPr>
        <w:jc w:val="both"/>
        <w:ind w:firstLine="565"/>
        <w:spacing w:after="0" w:line="268" w:lineRule="auto"/>
        <w:tabs>
          <w:tab w:leader="none" w:pos="936"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within 90 days after the end of each fiscal year of Micron,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of recognized national standing (without any qualification or exception as to the scope of such audit, solely to the extent such qualification or exception is reasonably likely to result in a Material Adverse Effect;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however that, the Administrative Agent may, in its Permitted Discretion, establish Reserves related to any of the facts or circumstances giving rise to any qualification or exception to such audit only if the Collateralized Revolving Commitments are less than $50,000,000) to the effect that such consolidated financial statements present fairly in all material respects the financial condition and results of operations of Micron and its consolidated Subsidiaries on a consolidated basis in accordance with GAAP consistently applied, accompanied by any management letter prepared by said accountants;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delivery within the time frame specified above of Micron’s 10-K for such fiscal year (together with Micron’s annual report to shareholders, if any, prepared pursuant to Rule 14a-3 under the Exchange Act) prepared in accordance with the requirements therefore and filed with the Securities and Exchange Commission shall be deemed to satisfy the requirements of this </w:t>
      </w:r>
      <w:r>
        <w:rPr>
          <w:rFonts w:ascii="Arial" w:cs="Arial" w:eastAsia="Arial" w:hAnsi="Arial"/>
          <w:sz w:val="15"/>
          <w:szCs w:val="15"/>
          <w:u w:val="single" w:color="auto"/>
          <w:color w:val="auto"/>
        </w:rPr>
        <w:t>Section 5.01(a)</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the Borrowers shall be deemed to have made such delivery if Micron has timely made such 10-K available on “EDGAR” and on Micron’s home page on the worldwide web (as of the Effective Date located on </w:t>
      </w:r>
      <w:r>
        <w:rPr>
          <w:rFonts w:ascii="Arial" w:cs="Arial" w:eastAsia="Arial" w:hAnsi="Arial"/>
          <w:sz w:val="15"/>
          <w:szCs w:val="15"/>
          <w:i w:val="1"/>
          <w:iCs w:val="1"/>
          <w:u w:val="single" w:color="auto"/>
          <w:color w:val="auto"/>
        </w:rPr>
        <w:t>www.micron.com</w:t>
      </w:r>
      <w:r>
        <w:rPr>
          <w:rFonts w:ascii="Arial" w:cs="Arial" w:eastAsia="Arial" w:hAnsi="Arial"/>
          <w:sz w:val="15"/>
          <w:szCs w:val="15"/>
          <w:color w:val="auto"/>
        </w:rPr>
        <w:t>) (“</w:t>
      </w:r>
      <w:r>
        <w:rPr>
          <w:rFonts w:ascii="Arial" w:cs="Arial" w:eastAsia="Arial" w:hAnsi="Arial"/>
          <w:sz w:val="15"/>
          <w:szCs w:val="15"/>
          <w:u w:val="single" w:color="auto"/>
          <w:color w:val="auto"/>
        </w:rPr>
        <w:t>Electronic Delivery</w:t>
      </w:r>
      <w:r>
        <w:rPr>
          <w:rFonts w:ascii="Arial" w:cs="Arial" w:eastAsia="Arial" w:hAnsi="Arial"/>
          <w:sz w:val="15"/>
          <w:szCs w:val="15"/>
          <w:color w:val="auto"/>
        </w:rPr>
        <w:t>”);</w:t>
      </w:r>
    </w:p>
    <w:p>
      <w:pPr>
        <w:spacing w:after="0" w:line="209" w:lineRule="exact"/>
        <w:rPr>
          <w:rFonts w:ascii="Arial" w:cs="Arial" w:eastAsia="Arial" w:hAnsi="Arial"/>
          <w:sz w:val="15"/>
          <w:szCs w:val="15"/>
          <w:color w:val="auto"/>
        </w:rPr>
      </w:pPr>
    </w:p>
    <w:p>
      <w:pPr>
        <w:jc w:val="both"/>
        <w:ind w:firstLine="565"/>
        <w:spacing w:after="0" w:line="269" w:lineRule="auto"/>
        <w:tabs>
          <w:tab w:leader="none" w:pos="945"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within 45 days after the end of each of the first three fiscal quarters of each fiscal year of Micron (unless Micron has filed a Form 12b-25 with the Securities and Exchange Commission with respect to any fiscal quarter, then, within the earlier of (i) the date required by the Securities and Exchange Commission or (ii) 60 days after the end of such fiscal quarter), its consolidated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one of the Financial Officers of Micron as presenting fairly in all material respects the financial condition and results of operations of Micron and its consolidated Subsidiaries on a consolidated basis in accordance with GAAP consistently applied, subject to normal year-end audit adjustments and the absence of footnotes;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delivery within the time period specified above of copies of Micron’s Form 10-Q prepared in compliance with the requirements therefore and filed with the Securities and Exchange Commission shall be deemed to satisfy the requirements of this </w:t>
      </w:r>
      <w:r>
        <w:rPr>
          <w:rFonts w:ascii="Arial" w:cs="Arial" w:eastAsia="Arial" w:hAnsi="Arial"/>
          <w:sz w:val="15"/>
          <w:szCs w:val="15"/>
          <w:u w:val="single" w:color="auto"/>
          <w:color w:val="auto"/>
        </w:rPr>
        <w:t>Section 5.01(b)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Borrowers shall be deemed to have made such delivery of such Form 10-Q if Micron has made timely Electronic Delivery thereof;</w:t>
      </w:r>
    </w:p>
    <w:p>
      <w:pPr>
        <w:spacing w:after="0" w:line="207" w:lineRule="exact"/>
        <w:rPr>
          <w:rFonts w:ascii="Arial" w:cs="Arial" w:eastAsia="Arial" w:hAnsi="Arial"/>
          <w:sz w:val="15"/>
          <w:szCs w:val="15"/>
          <w:color w:val="auto"/>
        </w:rPr>
      </w:pPr>
    </w:p>
    <w:p>
      <w:pPr>
        <w:jc w:val="both"/>
        <w:ind w:right="20" w:firstLine="565"/>
        <w:spacing w:after="0" w:line="259" w:lineRule="auto"/>
        <w:tabs>
          <w:tab w:leader="none" w:pos="936" w:val="left"/>
        </w:tabs>
        <w:numPr>
          <w:ilvl w:val="0"/>
          <w:numId w:val="65"/>
        </w:numPr>
        <w:rPr>
          <w:rFonts w:ascii="Arial" w:cs="Arial" w:eastAsia="Arial" w:hAnsi="Arial"/>
          <w:sz w:val="16"/>
          <w:szCs w:val="16"/>
          <w:color w:val="auto"/>
        </w:rPr>
      </w:pPr>
      <w:r>
        <w:rPr>
          <w:rFonts w:ascii="Arial" w:cs="Arial" w:eastAsia="Arial" w:hAnsi="Arial"/>
          <w:sz w:val="16"/>
          <w:szCs w:val="16"/>
          <w:color w:val="auto"/>
        </w:rPr>
        <w:t>as soon as available but in any event within 60 days after the end of each fiscal year of Micron, a copy of the plan and forecast (including a projected consolidated balance sheet, income statement and funds flow statement, in form and scope consistent with the projections delivered to, and accepted by, the Administrative Agent and the Lenders on or about the Effective Date) of Micron for each month of the upcoming fiscal year (the “</w:t>
      </w:r>
      <w:r>
        <w:rPr>
          <w:rFonts w:ascii="Arial" w:cs="Arial" w:eastAsia="Arial" w:hAnsi="Arial"/>
          <w:sz w:val="16"/>
          <w:szCs w:val="16"/>
          <w:u w:val="single" w:color="auto"/>
          <w:color w:val="auto"/>
        </w:rPr>
        <w:t>Projections</w:t>
      </w:r>
      <w:r>
        <w:rPr>
          <w:rFonts w:ascii="Arial" w:cs="Arial" w:eastAsia="Arial" w:hAnsi="Arial"/>
          <w:sz w:val="16"/>
          <w:szCs w:val="16"/>
          <w:color w:val="auto"/>
        </w:rPr>
        <w:t>”);</w:t>
      </w:r>
    </w:p>
    <w:p>
      <w:pPr>
        <w:spacing w:after="0" w:line="212" w:lineRule="exact"/>
        <w:rPr>
          <w:rFonts w:ascii="Arial" w:cs="Arial" w:eastAsia="Arial" w:hAnsi="Arial"/>
          <w:sz w:val="16"/>
          <w:szCs w:val="16"/>
          <w:color w:val="auto"/>
        </w:rPr>
      </w:pPr>
    </w:p>
    <w:p>
      <w:pPr>
        <w:ind w:left="940" w:hanging="375"/>
        <w:spacing w:after="0"/>
        <w:tabs>
          <w:tab w:leader="none" w:pos="9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soon as available but in any event within 7 Business Days of the end of each fiscal month (or within 3 Business Days at any time during a Cash Dominion Trigger</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Period) or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77" w:name="page78"/>
    <w:bookmarkEnd w:id="77"/>
    <w:p>
      <w:pPr>
        <w:jc w:val="both"/>
        <w:spacing w:after="0" w:line="287" w:lineRule="auto"/>
        <w:rPr>
          <w:sz w:val="20"/>
          <w:szCs w:val="20"/>
          <w:color w:val="auto"/>
        </w:rPr>
      </w:pPr>
      <w:r>
        <w:rPr>
          <w:rFonts w:ascii="Arial" w:cs="Arial" w:eastAsia="Arial" w:hAnsi="Arial"/>
          <w:sz w:val="14"/>
          <w:szCs w:val="14"/>
          <w:color w:val="auto"/>
        </w:rPr>
        <w:t>such longer time as has been agreed to by the Administrative Agent, all delivered electronically, a formatted file reasonably acceptable to the Administrative Agent and consistent in form, scope and detail as such files previously delivered to the Administrative Agent pursuant to the terms hereof, that for clarification contains, without limitation, (i) the following information with respect to the Accounts of each Borrower (other than Micron): the customer name, customer number, payer (the master customer number), country (country code), region (state), payment terms (terms code), account document (invoice number), document type (transaction type) and balance due for each Account Debtor, as well as, aging data including invoice date and invoice due date, and (ii) (A) a schedule detailing the Borrowers’ Inventory, in form satisfactory to the Administrative Agent, (1) by location (showing Inventory in transit, any Inventory located with a third party under any consignment agreement), by class (Eligible Raw Materials, raw material, Eligible WIP, work-in-process, Eligible Finished Goods Inventory and finished goods), by product type, and with the Value, adjusted for Reserves as the Administrative Agent has previously indicated to the Borrower Representative, and deemed by the Administrative Agent to be appropriate in accordance with the terms hereof, and (2) including, at the Administrative Agent’s request, a report of any variances or other results of sample Inventory counts performed by the Borrowers’ accounting department since the last Inventory schedule (including information regarding Eligible Finished Goods Inventory, Eligible Raw Materials, Eligible WIP, sales or other reductions, additions, returns, credits issued by Borrowers and complaints and claims made against the Borrowers), (B) a worksheet of calculations prepared by the Borrowers to determine Eligible Inventory, such worksheets detailing Inventory excluded from Eligible Inventory and the reason for such exclusion, (C) at the Administrative Agent’s request and within thirty (30) days of the end of each fiscal quarter (or within such shorter period as requested by the Administrative Agent during a Cash Dominion Trigger Period), a reconciliation of the Borrowers’ Inventory between (1) the amounts shown in the Borrowers’ general ledger and financial statements and the reports delivered pursuant to clause (ii) above and (2) the amounts and dates shown in the reports delivered pursuant to clause (ii) above and the Borrowing Base Certificate delivered pursuant to clause (f) below as of such date;</w:t>
      </w:r>
    </w:p>
    <w:p>
      <w:pPr>
        <w:spacing w:after="0" w:line="200" w:lineRule="exact"/>
        <w:rPr>
          <w:sz w:val="20"/>
          <w:szCs w:val="20"/>
          <w:color w:val="auto"/>
        </w:rPr>
      </w:pPr>
    </w:p>
    <w:p>
      <w:pPr>
        <w:jc w:val="both"/>
        <w:ind w:right="20" w:firstLine="565"/>
        <w:spacing w:after="0" w:line="259" w:lineRule="auto"/>
        <w:tabs>
          <w:tab w:leader="none" w:pos="936" w:val="left"/>
        </w:tabs>
        <w:numPr>
          <w:ilvl w:val="0"/>
          <w:numId w:val="66"/>
        </w:numPr>
        <w:rPr>
          <w:rFonts w:ascii="Arial" w:cs="Arial" w:eastAsia="Arial" w:hAnsi="Arial"/>
          <w:sz w:val="16"/>
          <w:szCs w:val="16"/>
          <w:color w:val="auto"/>
        </w:rPr>
      </w:pPr>
      <w:r>
        <w:rPr>
          <w:rFonts w:ascii="Arial" w:cs="Arial" w:eastAsia="Arial" w:hAnsi="Arial"/>
          <w:sz w:val="16"/>
          <w:szCs w:val="16"/>
          <w:color w:val="auto"/>
        </w:rPr>
        <w:t>as soon as available but in any event within 5 days of the end of each fiscal month (or within 3 Business Days of the end of each week at any time during a Cash Dominion Trigger Period) or such longer time as has been agreed to by the Administrative Agent, all delivered electronically in a text formatted file reasonably acceptable to the Administrative Agent, a summary accounts payable listing for such fiscal month (or week as applicable);</w:t>
      </w:r>
    </w:p>
    <w:p>
      <w:pPr>
        <w:spacing w:after="0" w:line="212" w:lineRule="exact"/>
        <w:rPr>
          <w:rFonts w:ascii="Arial" w:cs="Arial" w:eastAsia="Arial" w:hAnsi="Arial"/>
          <w:sz w:val="16"/>
          <w:szCs w:val="16"/>
          <w:color w:val="auto"/>
        </w:rPr>
      </w:pPr>
    </w:p>
    <w:p>
      <w:pPr>
        <w:jc w:val="both"/>
        <w:ind w:firstLine="565"/>
        <w:spacing w:after="0" w:line="271" w:lineRule="auto"/>
        <w:tabs>
          <w:tab w:leader="none" w:pos="918" w:val="left"/>
        </w:tabs>
        <w:numPr>
          <w:ilvl w:val="0"/>
          <w:numId w:val="66"/>
        </w:numPr>
        <w:rPr>
          <w:rFonts w:ascii="Arial" w:cs="Arial" w:eastAsia="Arial" w:hAnsi="Arial"/>
          <w:sz w:val="15"/>
          <w:szCs w:val="15"/>
          <w:color w:val="auto"/>
        </w:rPr>
      </w:pPr>
      <w:r>
        <w:rPr>
          <w:rFonts w:ascii="Arial" w:cs="Arial" w:eastAsia="Arial" w:hAnsi="Arial"/>
          <w:sz w:val="15"/>
          <w:szCs w:val="15"/>
          <w:color w:val="auto"/>
        </w:rPr>
        <w:t>as soon as available but in any event within the later of (i) 10 days (or within 3 Business Days of the end of each week at any time during a Cash Dominion Trigger Period), of the Borrowers receipt from the Administrative Agent of a draft Borrowing Base Certificate (each, a “</w:t>
      </w:r>
      <w:r>
        <w:rPr>
          <w:rFonts w:ascii="Arial" w:cs="Arial" w:eastAsia="Arial" w:hAnsi="Arial"/>
          <w:sz w:val="15"/>
          <w:szCs w:val="15"/>
          <w:u w:val="single" w:color="auto"/>
          <w:color w:val="auto"/>
        </w:rPr>
        <w:t>Draft Borrowing Base Certificate</w:t>
      </w:r>
      <w:r>
        <w:rPr>
          <w:rFonts w:ascii="Arial" w:cs="Arial" w:eastAsia="Arial" w:hAnsi="Arial"/>
          <w:sz w:val="15"/>
          <w:szCs w:val="15"/>
          <w:color w:val="auto"/>
        </w:rPr>
        <w:t>”) setting forth the Borrowing Base as of the end of such fiscal month, prepared by the Administrative Agent based on the information received from the Borrowers pursuant to clause (d) above, field examinations and appraisals conducted in accordance with the terms hereof, and such other information and reports received by the Administrative Agent from time to time or (ii) 20 days of the end of each fiscal month (or within 3 Business Days of the end of each week at any time during a Cash Dominion Trigger Period) or such longer time as has been agreed to by the Administrative Agent, a fully executed and final Borrowing Base Certificate (each, an “</w:t>
      </w:r>
      <w:r>
        <w:rPr>
          <w:rFonts w:ascii="Arial" w:cs="Arial" w:eastAsia="Arial" w:hAnsi="Arial"/>
          <w:sz w:val="15"/>
          <w:szCs w:val="15"/>
          <w:u w:val="single" w:color="auto"/>
          <w:color w:val="auto"/>
        </w:rPr>
        <w:t>Executed Borrowing Base Certificate</w:t>
      </w:r>
      <w:r>
        <w:rPr>
          <w:rFonts w:ascii="Arial" w:cs="Arial" w:eastAsia="Arial" w:hAnsi="Arial"/>
          <w:sz w:val="15"/>
          <w:szCs w:val="15"/>
          <w:color w:val="auto"/>
        </w:rPr>
        <w:t>”), which calculates the Borrowing Base as of the end of such fiscal month (or week as applicable), together with,</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6"/>
          <w:szCs w:val="16"/>
          <w:color w:val="auto"/>
        </w:rPr>
        <w:t>solely to the extent the calculation of the Borrowing Base as set forth in such Executed Borrowing Base Certificate differs, in any way, from the calculation of the Borrowing Base as set forth in the Draft Borrowing Base Certificate, such supporting information as the Administrative Agent may reasonably request to evidence or otherwise establish the basis for such difference in the calculation of the Borrowing Base, in each case, acceptable to the Administrative Agent;</w:t>
      </w:r>
    </w:p>
    <w:p>
      <w:pPr>
        <w:spacing w:after="0" w:line="212" w:lineRule="exact"/>
        <w:rPr>
          <w:sz w:val="20"/>
          <w:szCs w:val="20"/>
          <w:color w:val="auto"/>
        </w:rPr>
      </w:pPr>
    </w:p>
    <w:p>
      <w:pPr>
        <w:ind w:right="20" w:firstLine="565"/>
        <w:spacing w:after="0" w:line="343" w:lineRule="auto"/>
        <w:tabs>
          <w:tab w:leader="none" w:pos="945" w:val="left"/>
        </w:tabs>
        <w:numPr>
          <w:ilvl w:val="0"/>
          <w:numId w:val="67"/>
        </w:numPr>
        <w:rPr>
          <w:rFonts w:ascii="Arial" w:cs="Arial" w:eastAsia="Arial" w:hAnsi="Arial"/>
          <w:sz w:val="14"/>
          <w:szCs w:val="14"/>
          <w:color w:val="auto"/>
        </w:rPr>
      </w:pPr>
      <w:r>
        <w:rPr>
          <w:rFonts w:ascii="Arial" w:cs="Arial" w:eastAsia="Arial" w:hAnsi="Arial"/>
          <w:sz w:val="14"/>
          <w:szCs w:val="14"/>
          <w:color w:val="auto"/>
        </w:rPr>
        <w:t>if the Collateralized Revolving Commitments as of the last day of such fiscal month are less than $50,000,000, a reporting of any credit memo for such fiscal month that exceeds five percent (5%) of the Aggregate Revolving Commitments, delivered electronically in a text formatted file reasonably acceptable to the Administrative Agent;</w:t>
      </w:r>
    </w:p>
    <w:p>
      <w:pPr>
        <w:spacing w:after="0" w:line="157" w:lineRule="exact"/>
        <w:rPr>
          <w:rFonts w:ascii="Arial" w:cs="Arial" w:eastAsia="Arial" w:hAnsi="Arial"/>
          <w:sz w:val="14"/>
          <w:szCs w:val="14"/>
          <w:color w:val="auto"/>
        </w:rPr>
      </w:pPr>
    </w:p>
    <w:p>
      <w:pPr>
        <w:jc w:val="both"/>
        <w:ind w:right="20" w:firstLine="565"/>
        <w:spacing w:after="0" w:line="259" w:lineRule="auto"/>
        <w:tabs>
          <w:tab w:leader="none" w:pos="945"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promptly upon the Administrative Agent’s request (such request to be limited to three (3) times per each fiscal year in connection with field examinations so long as no Event of Default has occurred and is continuing), an updated customer list for each Borrower, which list shall state the customer’s name, mailing address and phone number, delivered electronically in a text formatted file acceptable to the Administrative Agent;</w:t>
      </w:r>
    </w:p>
    <w:p>
      <w:pPr>
        <w:spacing w:after="0" w:line="212" w:lineRule="exact"/>
        <w:rPr>
          <w:rFonts w:ascii="Arial" w:cs="Arial" w:eastAsia="Arial" w:hAnsi="Arial"/>
          <w:sz w:val="16"/>
          <w:szCs w:val="16"/>
          <w:color w:val="auto"/>
        </w:rPr>
      </w:pPr>
    </w:p>
    <w:p>
      <w:pPr>
        <w:ind w:right="20" w:firstLine="565"/>
        <w:spacing w:after="0" w:line="270" w:lineRule="auto"/>
        <w:tabs>
          <w:tab w:leader="none" w:pos="91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promptly upon the Administrative Agent’s request after the occurrence and during the continuance of an Event of Default, copies of purchase orders, invoices, and shipping and delivery documents in connection with any Inventory purchased by any Loan Party; and</w:t>
      </w:r>
    </w:p>
    <w:p>
      <w:pPr>
        <w:spacing w:after="0" w:line="203" w:lineRule="exact"/>
        <w:rPr>
          <w:rFonts w:ascii="Arial" w:cs="Arial" w:eastAsia="Arial" w:hAnsi="Arial"/>
          <w:sz w:val="16"/>
          <w:szCs w:val="16"/>
          <w:color w:val="auto"/>
        </w:rPr>
      </w:pPr>
    </w:p>
    <w:p>
      <w:pPr>
        <w:ind w:firstLine="565"/>
        <w:spacing w:after="0" w:line="270" w:lineRule="auto"/>
        <w:tabs>
          <w:tab w:leader="none" w:pos="91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promptly following any request therefor, such other information regarding the operations, business affairs and financial condition of any Loan Party, or compliance with the terms of this Agreement, as the Administrative Agent or any Lender may reasonably request.</w:t>
      </w:r>
    </w:p>
    <w:p>
      <w:pPr>
        <w:spacing w:after="0" w:line="204"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Notices of Material Events</w:t>
      </w:r>
      <w:r>
        <w:rPr>
          <w:rFonts w:ascii="Arial" w:cs="Arial" w:eastAsia="Arial" w:hAnsi="Arial"/>
          <w:sz w:val="16"/>
          <w:szCs w:val="16"/>
          <w:color w:val="auto"/>
        </w:rPr>
        <w:t>. The Borrowers will furnish to the Administrative Agent for distribution to each Lender prompt (but in any event within any time period that may be specified below) written notice of the following:</w:t>
      </w:r>
    </w:p>
    <w:p>
      <w:pPr>
        <w:spacing w:after="0" w:line="204" w:lineRule="exact"/>
        <w:rPr>
          <w:sz w:val="20"/>
          <w:szCs w:val="20"/>
          <w:color w:val="auto"/>
        </w:rPr>
      </w:pPr>
    </w:p>
    <w:p>
      <w:pPr>
        <w:ind w:left="940" w:hanging="375"/>
        <w:spacing w:after="0"/>
        <w:tabs>
          <w:tab w:leader="none" w:pos="9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occurrence of any Default;</w:t>
      </w:r>
    </w:p>
    <w:p>
      <w:pPr>
        <w:spacing w:after="0" w:line="243" w:lineRule="exact"/>
        <w:rPr>
          <w:rFonts w:ascii="Arial" w:cs="Arial" w:eastAsia="Arial" w:hAnsi="Arial"/>
          <w:sz w:val="16"/>
          <w:szCs w:val="16"/>
          <w:color w:val="auto"/>
        </w:rPr>
      </w:pPr>
    </w:p>
    <w:p>
      <w:pPr>
        <w:ind w:left="940" w:hanging="375"/>
        <w:spacing w:after="0"/>
        <w:tabs>
          <w:tab w:leader="none" w:pos="9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Lien (other than Permitted Encumbrances) on any material portion of the Collateral;</w:t>
      </w:r>
    </w:p>
    <w:p>
      <w:pPr>
        <w:spacing w:after="0" w:line="243" w:lineRule="exact"/>
        <w:rPr>
          <w:rFonts w:ascii="Arial" w:cs="Arial" w:eastAsia="Arial" w:hAnsi="Arial"/>
          <w:sz w:val="16"/>
          <w:szCs w:val="16"/>
          <w:color w:val="auto"/>
        </w:rPr>
      </w:pPr>
    </w:p>
    <w:p>
      <w:pPr>
        <w:ind w:left="940" w:hanging="375"/>
        <w:spacing w:after="0"/>
        <w:tabs>
          <w:tab w:leader="none" w:pos="9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loss, damage, or destruction to the Collateral in the amount of $25,000,000 or more not covered by insurance;</w:t>
      </w:r>
    </w:p>
    <w:p>
      <w:pPr>
        <w:spacing w:after="0" w:line="243" w:lineRule="exact"/>
        <w:rPr>
          <w:rFonts w:ascii="Arial" w:cs="Arial" w:eastAsia="Arial" w:hAnsi="Arial"/>
          <w:sz w:val="16"/>
          <w:szCs w:val="16"/>
          <w:color w:val="auto"/>
        </w:rPr>
      </w:pPr>
    </w:p>
    <w:p>
      <w:pPr>
        <w:ind w:left="940" w:hanging="375"/>
        <w:spacing w:after="0"/>
        <w:tabs>
          <w:tab w:leader="none" w:pos="9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any and all payment default or termination notices received under or with respect to any leased location or public warehouse where Eligible Inventory is located; and</w:t>
      </w:r>
    </w:p>
    <w:p>
      <w:pPr>
        <w:spacing w:after="0" w:line="266" w:lineRule="exact"/>
        <w:rPr>
          <w:rFonts w:ascii="Arial" w:cs="Arial" w:eastAsia="Arial" w:hAnsi="Arial"/>
          <w:sz w:val="14"/>
          <w:szCs w:val="14"/>
          <w:color w:val="auto"/>
        </w:rPr>
      </w:pPr>
    </w:p>
    <w:p>
      <w:pPr>
        <w:ind w:left="940" w:hanging="375"/>
        <w:spacing w:after="0"/>
        <w:tabs>
          <w:tab w:leader="none" w:pos="9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other development that results in, or could reasonably be expected to result in, a Material Adverse Effect.</w:t>
      </w:r>
    </w:p>
    <w:p>
      <w:pPr>
        <w:spacing w:after="0" w:line="22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Each notice delivered under this Section shall be accompanied by a statement of a Financial Officer or other executive officer of the Borrower Representative setting forth the details of the event or development requiring such notice and any action taken or proposed to be taken with respect thereto.</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79" w:name="page80"/>
    <w:bookmarkEnd w:id="79"/>
    <w:p>
      <w:pPr>
        <w:jc w:val="both"/>
        <w:ind w:firstLine="570"/>
        <w:spacing w:after="0" w:line="298" w:lineRule="auto"/>
        <w:rPr>
          <w:sz w:val="20"/>
          <w:szCs w:val="20"/>
          <w:color w:val="auto"/>
        </w:rPr>
      </w:pPr>
      <w:r>
        <w:rPr>
          <w:rFonts w:ascii="Arial" w:cs="Arial" w:eastAsia="Arial" w:hAnsi="Arial"/>
          <w:sz w:val="14"/>
          <w:szCs w:val="14"/>
          <w:color w:val="auto"/>
        </w:rPr>
        <w:t xml:space="preserve">SECTION 5.03. </w:t>
      </w:r>
      <w:r>
        <w:rPr>
          <w:rFonts w:ascii="Arial" w:cs="Arial" w:eastAsia="Arial" w:hAnsi="Arial"/>
          <w:sz w:val="14"/>
          <w:szCs w:val="14"/>
          <w:u w:val="single" w:color="auto"/>
          <w:color w:val="auto"/>
        </w:rPr>
        <w:t>Existence; Conduct of Business</w:t>
      </w:r>
      <w:r>
        <w:rPr>
          <w:rFonts w:ascii="Arial" w:cs="Arial" w:eastAsia="Arial" w:hAnsi="Arial"/>
          <w:sz w:val="14"/>
          <w:szCs w:val="14"/>
          <w:color w:val="auto"/>
        </w:rPr>
        <w:t>. Each Loan Party will, (a) do or cause to be done all things necessary to (i) preserve, renew and keep in full force and effect its legal existence, (ii) all rights, qualifications, licenses, and permits necessary or desirable to the normal conduct of its business, except to the extent that the failure to do so could not reasonably be expected to result in a Material Adverse Effect, and (iii) maintain all requisite authority to conduct its business in each material jurisdiction in which its business is conducted, except to the extent that the failure to do so could not reasonably be expected to result in a Material Adverse Effect, and (b) continue to engage in the Semiconductor Business as conducted by the Loan Parties on the Effective Date and any business that is similar, reasonably related, incidental, complementary or ancillary thereto.</w:t>
      </w:r>
    </w:p>
    <w:p>
      <w:pPr>
        <w:spacing w:after="0" w:line="188"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Payment of Taxes</w:t>
      </w:r>
      <w:r>
        <w:rPr>
          <w:rFonts w:ascii="Arial" w:cs="Arial" w:eastAsia="Arial" w:hAnsi="Arial"/>
          <w:sz w:val="16"/>
          <w:szCs w:val="16"/>
          <w:color w:val="auto"/>
        </w:rPr>
        <w:t xml:space="preserve">. Each Loan Party will, pay or discharge all Taxes, before the same shall become delinquent or in default, except where the failure to make payment could not reasonably be expected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each Loan Party will, remit withholding taxes and other payroll taxes to appropriate Governmental Authorities as and when claimed to be due, notwithstanding the foregoing exception.</w:t>
      </w:r>
    </w:p>
    <w:p>
      <w:pPr>
        <w:spacing w:after="0" w:line="212" w:lineRule="exact"/>
        <w:rPr>
          <w:sz w:val="20"/>
          <w:szCs w:val="20"/>
          <w:color w:val="auto"/>
        </w:rPr>
      </w:pPr>
    </w:p>
    <w:p>
      <w:pPr>
        <w:jc w:val="both"/>
        <w:ind w:firstLine="570"/>
        <w:spacing w:after="0" w:line="267" w:lineRule="auto"/>
        <w:rPr>
          <w:sz w:val="20"/>
          <w:szCs w:val="20"/>
          <w:color w:val="auto"/>
        </w:rPr>
      </w:pPr>
      <w:r>
        <w:rPr>
          <w:rFonts w:ascii="Arial" w:cs="Arial" w:eastAsia="Arial" w:hAnsi="Arial"/>
          <w:sz w:val="15"/>
          <w:szCs w:val="15"/>
          <w:color w:val="auto"/>
        </w:rPr>
        <w:t xml:space="preserve">SECTION 5.05. </w:t>
      </w:r>
      <w:r>
        <w:rPr>
          <w:rFonts w:ascii="Arial" w:cs="Arial" w:eastAsia="Arial" w:hAnsi="Arial"/>
          <w:sz w:val="15"/>
          <w:szCs w:val="15"/>
          <w:u w:val="single" w:color="auto"/>
          <w:color w:val="auto"/>
        </w:rPr>
        <w:t>Books and Records; Inspection Rights</w:t>
      </w:r>
      <w:r>
        <w:rPr>
          <w:rFonts w:ascii="Arial" w:cs="Arial" w:eastAsia="Arial" w:hAnsi="Arial"/>
          <w:sz w:val="15"/>
          <w:szCs w:val="15"/>
          <w:color w:val="auto"/>
        </w:rPr>
        <w:t xml:space="preserve">. Each Borrower will,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and appraisers retained by the Administrative Agent), to visit and inspect its properties, conduct at such Borrower’s premises, field examinations and inventory appraisals of such Borrower’s assets, liabilities, books and records, including examining and making extracts from its books and records, and to discuss its affairs, finances and condition with its officers and independent accountants, in each case upon reasonable prior notice (which shall not be less than ten (10) Business Days so long as no Event of Default has occurred or is continuing) and all at such reasonable times, during normal business hours, as often as reasonably requested and at the expense of the Borrowers;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so long as no Event of Default has occurred and is continuing, the Administrative Agent and the Lenders shall not conduct more than three (3) in the aggregate of such field examinations, visits, inspections or inventory appraisals during any fiscal year of the Borrowers at the expense of the Borrowers;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Administrative Agent, in its sole discretion, will determine the composition of such field examinations or inventory appraisals, and shall conduct at least one (1) field examination and one (1) inventory appraisal per fiscal year of the Borrowers, with the third review to be at the Administrative Agent’s reasonable discretion; and (ii) so long as no Event of Default has occurred and is continuing and Availability is less than or equal to $100,000,000, the Administrative Agent and the Lenders shall be permitted to conduct one (1) additional field examination or appraisal during any fiscal year of the Borrowers at the expense of the Borrowers. For the avoidance of doubt, the foregoing limitations set forth in this Section shall not apply if an Event of Default has occurred and is continuing. The Borrowers acknowledge that the Administrative Agent, after exercising its rights of inspection, may prepare and distribute to the Lenders certain Reports pertaining to the Borrowers’ assets for internal use by the Administrative Agent and the Lenders.</w:t>
      </w:r>
    </w:p>
    <w:p>
      <w:pPr>
        <w:spacing w:after="0" w:line="210"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5.06.</w:t>
      </w:r>
      <w:r>
        <w:rPr>
          <w:sz w:val="20"/>
          <w:szCs w:val="20"/>
          <w:color w:val="auto"/>
        </w:rPr>
        <w:tab/>
      </w:r>
      <w:r>
        <w:rPr>
          <w:rFonts w:ascii="Arial" w:cs="Arial" w:eastAsia="Arial" w:hAnsi="Arial"/>
          <w:sz w:val="14"/>
          <w:szCs w:val="14"/>
          <w:u w:val="single" w:color="auto"/>
          <w:color w:val="auto"/>
        </w:rPr>
        <w:t>Compliance with Laws</w:t>
      </w:r>
      <w:r>
        <w:rPr>
          <w:rFonts w:ascii="Arial" w:cs="Arial" w:eastAsia="Arial" w:hAnsi="Arial"/>
          <w:sz w:val="14"/>
          <w:szCs w:val="14"/>
          <w:color w:val="auto"/>
        </w:rPr>
        <w:t>. Each Loan Party will comply with all Requirements of Law applicable to it or its property, except where the failure to do so,</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80" w:name="page81"/>
    <w:bookmarkEnd w:id="80"/>
    <w:p>
      <w:pPr>
        <w:jc w:val="both"/>
        <w:ind w:right="20"/>
        <w:spacing w:after="0" w:line="259" w:lineRule="auto"/>
        <w:rPr>
          <w:sz w:val="20"/>
          <w:szCs w:val="20"/>
          <w:color w:val="auto"/>
        </w:rPr>
      </w:pPr>
      <w:r>
        <w:rPr>
          <w:rFonts w:ascii="Arial" w:cs="Arial" w:eastAsia="Arial" w:hAnsi="Arial"/>
          <w:sz w:val="16"/>
          <w:szCs w:val="16"/>
          <w:color w:val="auto"/>
        </w:rPr>
        <w:t>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 Laws and Regulations.</w:t>
      </w:r>
    </w:p>
    <w:p>
      <w:pPr>
        <w:spacing w:after="0" w:line="212"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Loans will be used (a) to refinance the Indebtedness owing under the Existing Credit Agreement and (b) for working capital needs and general corporate purposes. No part of the proceeds of any Loan and no Letter of Credit will be used, whether directly or indirectly, for any purpose that entails a violation of any of the Regulations of the Board, including Regulations T, U and X.</w:t>
      </w:r>
    </w:p>
    <w:p>
      <w:pPr>
        <w:spacing w:after="0" w:line="212"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5.08.</w:t>
      </w:r>
      <w:r>
        <w:rPr>
          <w:sz w:val="20"/>
          <w:szCs w:val="20"/>
          <w:color w:val="auto"/>
        </w:rPr>
        <w:tab/>
      </w:r>
      <w:r>
        <w:rPr>
          <w:rFonts w:ascii="Arial" w:cs="Arial" w:eastAsia="Arial" w:hAnsi="Arial"/>
          <w:sz w:val="14"/>
          <w:szCs w:val="14"/>
          <w:u w:val="single" w:color="auto"/>
          <w:color w:val="auto"/>
        </w:rPr>
        <w:t>Cash Management Banks; Collateral Deposit Accounts; Deposit Account Control Agreements</w:t>
      </w:r>
      <w:r>
        <w:rPr>
          <w:rFonts w:ascii="Arial" w:cs="Arial" w:eastAsia="Arial" w:hAnsi="Arial"/>
          <w:sz w:val="14"/>
          <w:szCs w:val="14"/>
          <w:color w:val="auto"/>
        </w:rPr>
        <w:t>.</w:t>
      </w:r>
    </w:p>
    <w:p>
      <w:pPr>
        <w:spacing w:after="0" w:line="244" w:lineRule="exact"/>
        <w:rPr>
          <w:sz w:val="20"/>
          <w:szCs w:val="20"/>
          <w:color w:val="auto"/>
        </w:rPr>
      </w:pPr>
    </w:p>
    <w:p>
      <w:pPr>
        <w:jc w:val="both"/>
        <w:ind w:firstLine="565"/>
        <w:spacing w:after="0" w:line="298" w:lineRule="auto"/>
        <w:tabs>
          <w:tab w:leader="none" w:pos="948" w:val="left"/>
        </w:tabs>
        <w:numPr>
          <w:ilvl w:val="0"/>
          <w:numId w:val="69"/>
        </w:numPr>
        <w:rPr>
          <w:rFonts w:ascii="Arial" w:cs="Arial" w:eastAsia="Arial" w:hAnsi="Arial"/>
          <w:sz w:val="14"/>
          <w:szCs w:val="14"/>
          <w:color w:val="auto"/>
        </w:rPr>
      </w:pPr>
      <w:r>
        <w:rPr>
          <w:rFonts w:ascii="Arial" w:cs="Arial" w:eastAsia="Arial" w:hAnsi="Arial"/>
          <w:sz w:val="14"/>
          <w:szCs w:val="14"/>
          <w:color w:val="auto"/>
        </w:rPr>
        <w:t>Each Borrower (other than Micron) shall direct all of their Account Debtors to forward payments directly to a Collateral Deposit Account subject to a Deposit Account Control Agreement. The Borrowers shall have and maintain operational procedures (acceptable to the Administrative Agent in its reasonable discretion) providing that, if notwithstanding the foregoing instructions, any Borrower receives any proceeds of any Receivables of any Borrower (other than Micron), such Borrower shall thereafter promptly remit such proceeds (whether consisting of a deposit of cash, checks or other similar payments) to a Collateral Deposit Account subject to a Deposit Account Control Agreement. All proceeds of Receivables of any Borrower (other than Micron) received by any Borrower are to be received by such Borrower as the Administrative Agent’s trustee.</w:t>
      </w:r>
    </w:p>
    <w:p>
      <w:pPr>
        <w:spacing w:after="0" w:line="188" w:lineRule="exact"/>
        <w:rPr>
          <w:rFonts w:ascii="Arial" w:cs="Arial" w:eastAsia="Arial" w:hAnsi="Arial"/>
          <w:sz w:val="14"/>
          <w:szCs w:val="14"/>
          <w:color w:val="auto"/>
        </w:rPr>
      </w:pPr>
    </w:p>
    <w:p>
      <w:pPr>
        <w:ind w:right="20" w:firstLine="565"/>
        <w:spacing w:after="0" w:line="270" w:lineRule="auto"/>
        <w:tabs>
          <w:tab w:leader="none" w:pos="957" w:val="left"/>
        </w:tabs>
        <w:numPr>
          <w:ilvl w:val="0"/>
          <w:numId w:val="69"/>
        </w:numPr>
        <w:rPr>
          <w:rFonts w:ascii="Arial" w:cs="Arial" w:eastAsia="Arial" w:hAnsi="Arial"/>
          <w:sz w:val="16"/>
          <w:szCs w:val="16"/>
          <w:color w:val="auto"/>
        </w:rPr>
      </w:pPr>
      <w:r>
        <w:rPr>
          <w:rFonts w:ascii="Arial" w:cs="Arial" w:eastAsia="Arial" w:hAnsi="Arial"/>
          <w:sz w:val="16"/>
          <w:szCs w:val="16"/>
          <w:color w:val="auto"/>
        </w:rPr>
        <w:t>Each Borrower (other than Micron) will at all times maintain the Cash Management Banks for the maintenance of operating, administrative, cash management, collection activity, and other Collateral Deposit Accounts for the conduct of its business.</w:t>
      </w:r>
    </w:p>
    <w:p>
      <w:pPr>
        <w:spacing w:after="0" w:line="203" w:lineRule="exact"/>
        <w:rPr>
          <w:rFonts w:ascii="Arial" w:cs="Arial" w:eastAsia="Arial" w:hAnsi="Arial"/>
          <w:sz w:val="16"/>
          <w:szCs w:val="16"/>
          <w:color w:val="auto"/>
        </w:rPr>
      </w:pPr>
    </w:p>
    <w:p>
      <w:pPr>
        <w:ind w:right="20" w:firstLine="565"/>
        <w:spacing w:after="0" w:line="270" w:lineRule="auto"/>
        <w:tabs>
          <w:tab w:leader="none" w:pos="948" w:val="left"/>
        </w:tabs>
        <w:numPr>
          <w:ilvl w:val="0"/>
          <w:numId w:val="69"/>
        </w:numPr>
        <w:rPr>
          <w:rFonts w:ascii="Arial" w:cs="Arial" w:eastAsia="Arial" w:hAnsi="Arial"/>
          <w:sz w:val="16"/>
          <w:szCs w:val="16"/>
          <w:color w:val="auto"/>
        </w:rPr>
      </w:pPr>
      <w:r>
        <w:rPr>
          <w:rFonts w:ascii="Arial" w:cs="Arial" w:eastAsia="Arial" w:hAnsi="Arial"/>
          <w:sz w:val="16"/>
          <w:szCs w:val="16"/>
          <w:color w:val="auto"/>
        </w:rPr>
        <w:t>On or before the Effective Date, the Company will cause each Cash Management Bank to enter into a Deposit Account Control Agreement with respect to all Collateral Deposit Accounts maintained by the Company with the applicable Cash Management Bank as of the Effective Date.</w:t>
      </w:r>
    </w:p>
    <w:p>
      <w:pPr>
        <w:spacing w:after="0" w:line="203" w:lineRule="exact"/>
        <w:rPr>
          <w:rFonts w:ascii="Arial" w:cs="Arial" w:eastAsia="Arial" w:hAnsi="Arial"/>
          <w:sz w:val="16"/>
          <w:szCs w:val="16"/>
          <w:color w:val="auto"/>
        </w:rPr>
      </w:pPr>
    </w:p>
    <w:p>
      <w:pPr>
        <w:jc w:val="both"/>
        <w:ind w:firstLine="565"/>
        <w:spacing w:after="0" w:line="284" w:lineRule="auto"/>
        <w:tabs>
          <w:tab w:leader="none" w:pos="945"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The Borrower Representative will (i) provide prompt written notice to the Administrative Agent of the establishment of any new Collateral Deposit Account after the Effective Date and deliver to the Administrative Agent an updated </w:t>
      </w:r>
      <w:r>
        <w:rPr>
          <w:rFonts w:ascii="Arial" w:cs="Arial" w:eastAsia="Arial" w:hAnsi="Arial"/>
          <w:sz w:val="15"/>
          <w:szCs w:val="15"/>
          <w:u w:val="single" w:color="auto"/>
          <w:color w:val="auto"/>
        </w:rPr>
        <w:t>Schedule 1.01</w:t>
      </w:r>
      <w:r>
        <w:rPr>
          <w:rFonts w:ascii="Arial" w:cs="Arial" w:eastAsia="Arial" w:hAnsi="Arial"/>
          <w:sz w:val="15"/>
          <w:szCs w:val="15"/>
          <w:color w:val="auto"/>
        </w:rPr>
        <w:t xml:space="preserve"> in form and substance reasonably satisfactory to the Administrative Agent and (ii) contemporaneous with the establishment of such Collateral Deposit Account, obtain a Deposit Account Control Agreement with respect to such Collateral Deposit Account.</w:t>
      </w:r>
    </w:p>
    <w:p>
      <w:pPr>
        <w:spacing w:after="0" w:line="195" w:lineRule="exact"/>
        <w:rPr>
          <w:rFonts w:ascii="Arial" w:cs="Arial" w:eastAsia="Arial" w:hAnsi="Arial"/>
          <w:sz w:val="15"/>
          <w:szCs w:val="15"/>
          <w:color w:val="auto"/>
        </w:rPr>
      </w:pPr>
    </w:p>
    <w:p>
      <w:pPr>
        <w:jc w:val="both"/>
        <w:ind w:right="20" w:firstLine="565"/>
        <w:spacing w:after="0" w:line="259" w:lineRule="auto"/>
        <w:tabs>
          <w:tab w:leader="none" w:pos="936"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 all times during the continuance of a Cash Dominion Trigger Period and after issuance of a notice of exclusive control in accordance with the applicable Deposit Account Control Agreement, each Cash Management Bank shall remit to the Collection Account on a daily basis all (i) available funds on deposit in any Collateral Deposit Account maintained by any Borrower (other than Micron) with such Cash Management Bank and (ii) collections and other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81" w:name="page82"/>
    <w:bookmarkEnd w:id="81"/>
    <w:p>
      <w:pPr>
        <w:jc w:val="both"/>
        <w:spacing w:after="0" w:line="270" w:lineRule="auto"/>
        <w:rPr>
          <w:sz w:val="20"/>
          <w:szCs w:val="20"/>
          <w:color w:val="auto"/>
        </w:rPr>
      </w:pPr>
      <w:r>
        <w:rPr>
          <w:rFonts w:ascii="Arial" w:cs="Arial" w:eastAsia="Arial" w:hAnsi="Arial"/>
          <w:sz w:val="16"/>
          <w:szCs w:val="16"/>
          <w:color w:val="auto"/>
        </w:rPr>
        <w:t>payments received by such Cash Management Bank in respect of the Receivables of any Borrower (other than Micron), in each case in accordance with the terms set forth in the applicable Deposit Account Control Agreement.</w:t>
      </w:r>
    </w:p>
    <w:p>
      <w:pPr>
        <w:spacing w:after="0" w:line="204" w:lineRule="exact"/>
        <w:rPr>
          <w:sz w:val="20"/>
          <w:szCs w:val="20"/>
          <w:color w:val="auto"/>
        </w:rPr>
      </w:pPr>
    </w:p>
    <w:p>
      <w:pPr>
        <w:jc w:val="both"/>
        <w:ind w:firstLine="570"/>
        <w:spacing w:after="0" w:line="272" w:lineRule="auto"/>
        <w:rPr>
          <w:sz w:val="20"/>
          <w:szCs w:val="20"/>
          <w:color w:val="auto"/>
        </w:rPr>
      </w:pPr>
      <w:r>
        <w:rPr>
          <w:rFonts w:ascii="Arial" w:cs="Arial" w:eastAsia="Arial" w:hAnsi="Arial"/>
          <w:sz w:val="15"/>
          <w:szCs w:val="15"/>
          <w:color w:val="auto"/>
        </w:rPr>
        <w:t xml:space="preserve">SECTION 5.09. </w:t>
      </w:r>
      <w:r>
        <w:rPr>
          <w:rFonts w:ascii="Arial" w:cs="Arial" w:eastAsia="Arial" w:hAnsi="Arial"/>
          <w:sz w:val="15"/>
          <w:szCs w:val="15"/>
          <w:u w:val="single" w:color="auto"/>
          <w:color w:val="auto"/>
        </w:rPr>
        <w:t>Further Assurances</w:t>
      </w:r>
      <w:r>
        <w:rPr>
          <w:rFonts w:ascii="Arial" w:cs="Arial" w:eastAsia="Arial" w:hAnsi="Arial"/>
          <w:sz w:val="15"/>
          <w:szCs w:val="15"/>
          <w:color w:val="auto"/>
        </w:rPr>
        <w:t xml:space="preserve">. Each Loan Party will, execute and deliver, or cause to be executed and delivered, to the Administrative Agent such documents, agreements and instruments, and will take or cause to be taken such further actions (including the filing and recording of financing statements, and other documents and such other actions or deliveries of the type required by </w:t>
      </w:r>
      <w:r>
        <w:rPr>
          <w:rFonts w:ascii="Arial" w:cs="Arial" w:eastAsia="Arial" w:hAnsi="Arial"/>
          <w:sz w:val="15"/>
          <w:szCs w:val="15"/>
          <w:u w:val="single" w:color="auto"/>
          <w:color w:val="auto"/>
        </w:rPr>
        <w:t>Section 4.01</w:t>
      </w:r>
      <w:r>
        <w:rPr>
          <w:rFonts w:ascii="Arial" w:cs="Arial" w:eastAsia="Arial" w:hAnsi="Arial"/>
          <w:sz w:val="15"/>
          <w:szCs w:val="15"/>
          <w:color w:val="auto"/>
        </w:rPr>
        <w:t xml:space="preserve">,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at the expense of the Borrowers;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Inventory located outside of the United States, the Administrative Agent shall not make such request unless an Event of Default has occurred and is continuing.</w:t>
      </w:r>
    </w:p>
    <w:p>
      <w:pPr>
        <w:spacing w:after="0" w:line="205" w:lineRule="exact"/>
        <w:rPr>
          <w:sz w:val="20"/>
          <w:szCs w:val="20"/>
          <w:color w:val="auto"/>
        </w:rPr>
      </w:pPr>
    </w:p>
    <w:p>
      <w:pPr>
        <w:ind w:left="560"/>
        <w:spacing w:after="0"/>
        <w:tabs>
          <w:tab w:leader="none" w:pos="1840" w:val="left"/>
        </w:tabs>
        <w:rPr>
          <w:sz w:val="20"/>
          <w:szCs w:val="20"/>
          <w:color w:val="auto"/>
        </w:rPr>
      </w:pPr>
      <w:r>
        <w:rPr>
          <w:rFonts w:ascii="Arial" w:cs="Arial" w:eastAsia="Arial" w:hAnsi="Arial"/>
          <w:sz w:val="16"/>
          <w:szCs w:val="16"/>
          <w:color w:val="auto"/>
        </w:rPr>
        <w:t>SECTION 5.10.</w:t>
      </w:r>
      <w:r>
        <w:rPr>
          <w:sz w:val="20"/>
          <w:szCs w:val="20"/>
          <w:color w:val="auto"/>
        </w:rPr>
        <w:tab/>
      </w:r>
      <w:r>
        <w:rPr>
          <w:rFonts w:ascii="Arial" w:cs="Arial" w:eastAsia="Arial" w:hAnsi="Arial"/>
          <w:sz w:val="14"/>
          <w:szCs w:val="14"/>
          <w:u w:val="single" w:color="auto"/>
          <w:color w:val="auto"/>
        </w:rPr>
        <w:t>Sanctions Laws and Regulations</w:t>
      </w:r>
      <w:r>
        <w:rPr>
          <w:rFonts w:ascii="Arial" w:cs="Arial" w:eastAsia="Arial" w:hAnsi="Arial"/>
          <w:sz w:val="14"/>
          <w:szCs w:val="14"/>
          <w:color w:val="auto"/>
        </w:rPr>
        <w:t>.</w:t>
      </w:r>
    </w:p>
    <w:p>
      <w:pPr>
        <w:spacing w:after="0" w:line="244" w:lineRule="exact"/>
        <w:rPr>
          <w:sz w:val="20"/>
          <w:szCs w:val="20"/>
          <w:color w:val="auto"/>
        </w:rPr>
      </w:pPr>
    </w:p>
    <w:p>
      <w:pPr>
        <w:jc w:val="both"/>
        <w:ind w:firstLine="565"/>
        <w:spacing w:after="0" w:line="255" w:lineRule="auto"/>
        <w:tabs>
          <w:tab w:leader="none" w:pos="9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Borrower shall, directly or indirectly, (i) use the proceeds of the Loans or any other financial accommodation made hereunder or (ii) lend, contribute or otherwise make available such proceeds thereof to any subsidiary, joint venture partner or other person or entity (x) to fund any activities or business of or with any Designated Person, or in any country or territory, that at the time of such funding is the subject of any sanctions under any Sanctions Laws and Regulations, or (y) in any other manner that would result in a violation of any Sanctions Laws and Regulations by any party to this Agreement.</w:t>
      </w:r>
    </w:p>
    <w:p>
      <w:pPr>
        <w:spacing w:after="0" w:line="215" w:lineRule="exact"/>
        <w:rPr>
          <w:rFonts w:ascii="Arial" w:cs="Arial" w:eastAsia="Arial" w:hAnsi="Arial"/>
          <w:sz w:val="16"/>
          <w:szCs w:val="16"/>
          <w:color w:val="auto"/>
        </w:rPr>
      </w:pPr>
    </w:p>
    <w:p>
      <w:pPr>
        <w:ind w:right="20" w:firstLine="565"/>
        <w:spacing w:after="0" w:line="343" w:lineRule="auto"/>
        <w:tabs>
          <w:tab w:leader="none" w:pos="945" w:val="left"/>
        </w:tabs>
        <w:numPr>
          <w:ilvl w:val="0"/>
          <w:numId w:val="70"/>
        </w:numPr>
        <w:rPr>
          <w:rFonts w:ascii="Arial" w:cs="Arial" w:eastAsia="Arial" w:hAnsi="Arial"/>
          <w:sz w:val="14"/>
          <w:szCs w:val="14"/>
          <w:color w:val="auto"/>
        </w:rPr>
      </w:pPr>
      <w:r>
        <w:rPr>
          <w:rFonts w:ascii="Arial" w:cs="Arial" w:eastAsia="Arial" w:hAnsi="Arial"/>
          <w:sz w:val="14"/>
          <w:szCs w:val="14"/>
          <w:color w:val="auto"/>
        </w:rPr>
        <w:t>None of the funds or assets of the Borrowers that are used to pay any amount due pursuant to the Credit Agreement and the other Loan Documents shall constitute funds obtained from transactions with or relating to Designated Persons or countries which are the subject of sanctions under any Sanctions Laws and Regulations.</w:t>
      </w:r>
    </w:p>
    <w:p>
      <w:pPr>
        <w:spacing w:after="0" w:line="157" w:lineRule="exact"/>
        <w:rPr>
          <w:rFonts w:ascii="Arial" w:cs="Arial" w:eastAsia="Arial" w:hAnsi="Arial"/>
          <w:sz w:val="14"/>
          <w:szCs w:val="14"/>
          <w:color w:val="auto"/>
        </w:rPr>
      </w:pPr>
    </w:p>
    <w:p>
      <w:pPr>
        <w:ind w:left="940" w:hanging="375"/>
        <w:spacing w:after="0"/>
        <w:tabs>
          <w:tab w:leader="none" w:pos="940"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No Borrower nor any Subsidiary will use the proceeds of any Borrowing or Letter of Credit in violation of the representations set forth in </w:t>
      </w:r>
      <w:r>
        <w:rPr>
          <w:rFonts w:ascii="Arial" w:cs="Arial" w:eastAsia="Arial" w:hAnsi="Arial"/>
          <w:sz w:val="15"/>
          <w:szCs w:val="15"/>
          <w:u w:val="single" w:color="auto"/>
          <w:color w:val="auto"/>
        </w:rPr>
        <w:t>Section 3.13</w:t>
      </w:r>
      <w:r>
        <w:rPr>
          <w:rFonts w:ascii="Arial" w:cs="Arial" w:eastAsia="Arial" w:hAnsi="Arial"/>
          <w:sz w:val="15"/>
          <w:szCs w:val="15"/>
          <w:color w:val="auto"/>
        </w:rPr>
        <w:t>.</w:t>
      </w:r>
    </w:p>
    <w:p>
      <w:pPr>
        <w:spacing w:after="0" w:line="255" w:lineRule="exact"/>
        <w:rPr>
          <w:sz w:val="20"/>
          <w:szCs w:val="20"/>
          <w:color w:val="auto"/>
        </w:rPr>
      </w:pPr>
    </w:p>
    <w:p>
      <w:pPr>
        <w:jc w:val="both"/>
        <w:ind w:firstLine="570"/>
        <w:spacing w:after="0" w:line="298" w:lineRule="auto"/>
        <w:rPr>
          <w:sz w:val="20"/>
          <w:szCs w:val="20"/>
          <w:color w:val="auto"/>
        </w:rPr>
      </w:pPr>
      <w:r>
        <w:rPr>
          <w:rFonts w:ascii="Arial" w:cs="Arial" w:eastAsia="Arial" w:hAnsi="Arial"/>
          <w:sz w:val="14"/>
          <w:szCs w:val="14"/>
          <w:color w:val="auto"/>
        </w:rPr>
        <w:t xml:space="preserve">SECTION 5.11. </w:t>
      </w:r>
      <w:r>
        <w:rPr>
          <w:rFonts w:ascii="Arial" w:cs="Arial" w:eastAsia="Arial" w:hAnsi="Arial"/>
          <w:sz w:val="14"/>
          <w:szCs w:val="14"/>
          <w:u w:val="single" w:color="auto"/>
          <w:color w:val="auto"/>
        </w:rPr>
        <w:t>Insurance</w:t>
      </w:r>
      <w:r>
        <w:rPr>
          <w:rFonts w:ascii="Arial" w:cs="Arial" w:eastAsia="Arial" w:hAnsi="Arial"/>
          <w:sz w:val="14"/>
          <w:szCs w:val="14"/>
          <w:color w:val="auto"/>
        </w:rPr>
        <w:t>. Each Borrower will maintain with financially sound and reputable carriers (a) insurance covering Collateral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Administrative Agent for distributions to the Lenders, upon the reasonable request of the Administrative Agent, information in reasonable detail as to the insurance so maintained.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color w:val="auto"/>
        </w:rPr>
        <w:t>ARTICLE VI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Negative Covenants</w:t>
      </w:r>
    </w:p>
    <w:p>
      <w:pPr>
        <w:spacing w:after="0" w:line="209" w:lineRule="exact"/>
        <w:rPr>
          <w:sz w:val="20"/>
          <w:szCs w:val="20"/>
          <w:color w:val="auto"/>
        </w:rPr>
      </w:pPr>
    </w:p>
    <w:p>
      <w:pPr>
        <w:jc w:val="both"/>
        <w:ind w:right="20" w:firstLine="570"/>
        <w:spacing w:after="0" w:line="313" w:lineRule="auto"/>
        <w:rPr>
          <w:sz w:val="20"/>
          <w:szCs w:val="20"/>
          <w:color w:val="auto"/>
        </w:rPr>
      </w:pPr>
      <w:r>
        <w:rPr>
          <w:rFonts w:ascii="Arial" w:cs="Arial" w:eastAsia="Arial" w:hAnsi="Arial"/>
          <w:sz w:val="14"/>
          <w:szCs w:val="14"/>
          <w:color w:val="auto"/>
        </w:rPr>
        <w:t>Until the Commitments have expired or terminated and the principal of and interest on each Loan and all fees, expenses and other amounts payable under any Loan Document have been paid in full and all Letters of Credit have expired or terminated (or cash collateralized in an amount equal to 103% of the aggregate undrawn amount of all outstanding Letters of Credit) and all LC Disbursements have been reimbursed, each Borrower covenants and agrees, jointly and severally, with the Lenders that:</w:t>
      </w:r>
    </w:p>
    <w:p>
      <w:pPr>
        <w:spacing w:after="0" w:line="178"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Indebtedness</w:t>
      </w:r>
      <w:r>
        <w:rPr>
          <w:rFonts w:ascii="Arial" w:cs="Arial" w:eastAsia="Arial" w:hAnsi="Arial"/>
          <w:sz w:val="16"/>
          <w:szCs w:val="16"/>
          <w:color w:val="auto"/>
        </w:rPr>
        <w:t>. Unless otherwise waived by the Administrative Agent in its reasonable discretion, the Company will not create, incur or suffer to exist any Indebtedness secured by the assets of the Company, unless such Liens and secured Indebtedness are subject to an intercreditor agreement by and among the Administrative Agent and the holders of such Indebtedness (or a representative of such holders) that is in form and substance satisfactory to the Administrative Agent in its commercially reasonable discretion.</w:t>
      </w:r>
    </w:p>
    <w:p>
      <w:pPr>
        <w:spacing w:after="0" w:line="216"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Liens</w:t>
      </w:r>
      <w:r>
        <w:rPr>
          <w:rFonts w:ascii="Arial" w:cs="Arial" w:eastAsia="Arial" w:hAnsi="Arial"/>
          <w:sz w:val="16"/>
          <w:szCs w:val="16"/>
          <w:color w:val="auto"/>
        </w:rPr>
        <w:t>. No Borrower will, create, incur, assume or permit to exist any Lien on any Collateral, now owned or hereafter acquired by it, or assign or sell any income or revenues (including, with respect to the Company, accounts receivable) or rights in respect of any thereof, except:</w:t>
      </w:r>
    </w:p>
    <w:p>
      <w:pPr>
        <w:spacing w:after="0" w:line="204" w:lineRule="exact"/>
        <w:rPr>
          <w:sz w:val="20"/>
          <w:szCs w:val="20"/>
          <w:color w:val="auto"/>
        </w:rPr>
      </w:pPr>
    </w:p>
    <w:p>
      <w:pPr>
        <w:ind w:left="940" w:hanging="375"/>
        <w:spacing w:after="0"/>
        <w:tabs>
          <w:tab w:leader="none" w:pos="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Liens created pursuant to any Loan Document;</w:t>
      </w:r>
    </w:p>
    <w:p>
      <w:pPr>
        <w:spacing w:after="0" w:line="243" w:lineRule="exact"/>
        <w:rPr>
          <w:rFonts w:ascii="Arial" w:cs="Arial" w:eastAsia="Arial" w:hAnsi="Arial"/>
          <w:sz w:val="16"/>
          <w:szCs w:val="16"/>
          <w:color w:val="auto"/>
        </w:rPr>
      </w:pPr>
    </w:p>
    <w:p>
      <w:pPr>
        <w:ind w:left="940" w:hanging="375"/>
        <w:spacing w:after="0"/>
        <w:tabs>
          <w:tab w:leader="none" w:pos="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Permitted Encumbrances;</w:t>
      </w:r>
    </w:p>
    <w:p>
      <w:pPr>
        <w:spacing w:after="0" w:line="243" w:lineRule="exact"/>
        <w:rPr>
          <w:rFonts w:ascii="Arial" w:cs="Arial" w:eastAsia="Arial" w:hAnsi="Arial"/>
          <w:sz w:val="16"/>
          <w:szCs w:val="16"/>
          <w:color w:val="auto"/>
        </w:rPr>
      </w:pPr>
    </w:p>
    <w:p>
      <w:pPr>
        <w:jc w:val="both"/>
        <w:ind w:right="20" w:firstLine="565"/>
        <w:spacing w:after="0" w:line="259" w:lineRule="auto"/>
        <w:tabs>
          <w:tab w:leader="none" w:pos="9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Liens (i) of a collecting bank arising in the ordinary course of business under Section 4-208 of the Uniform Commercial Code in effect in the relevant jurisdiction covering only the items being collected upon or (ii) in favor of a banking institution arising as a matter of law, encumbering amounts credited to a deposit account (including the right of set-off) and which are within the general parameters customary in the banking industry;</w:t>
      </w:r>
    </w:p>
    <w:p>
      <w:pPr>
        <w:spacing w:after="0" w:line="212" w:lineRule="exact"/>
        <w:rPr>
          <w:rFonts w:ascii="Arial" w:cs="Arial" w:eastAsia="Arial" w:hAnsi="Arial"/>
          <w:sz w:val="16"/>
          <w:szCs w:val="16"/>
          <w:color w:val="auto"/>
        </w:rPr>
      </w:pPr>
    </w:p>
    <w:p>
      <w:pPr>
        <w:ind w:left="940" w:hanging="375"/>
        <w:spacing w:after="0"/>
        <w:tabs>
          <w:tab w:leader="none" w:pos="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Liens securing Indebtedness subject to the terms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hereof, if any; and</w:t>
      </w:r>
    </w:p>
    <w:p>
      <w:pPr>
        <w:spacing w:after="0" w:line="243" w:lineRule="exact"/>
        <w:rPr>
          <w:rFonts w:ascii="Arial" w:cs="Arial" w:eastAsia="Arial" w:hAnsi="Arial"/>
          <w:sz w:val="16"/>
          <w:szCs w:val="16"/>
          <w:color w:val="auto"/>
        </w:rPr>
      </w:pPr>
    </w:p>
    <w:p>
      <w:pPr>
        <w:ind w:left="940" w:hanging="375"/>
        <w:spacing w:after="0"/>
        <w:tabs>
          <w:tab w:leader="none" w:pos="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Sales permitted under </w:t>
      </w:r>
      <w:r>
        <w:rPr>
          <w:rFonts w:ascii="Arial" w:cs="Arial" w:eastAsia="Arial" w:hAnsi="Arial"/>
          <w:sz w:val="16"/>
          <w:szCs w:val="16"/>
          <w:u w:val="single" w:color="auto"/>
          <w:color w:val="auto"/>
        </w:rPr>
        <w:t>Section 6.04(d)</w:t>
      </w:r>
      <w:r>
        <w:rPr>
          <w:rFonts w:ascii="Arial" w:cs="Arial" w:eastAsia="Arial" w:hAnsi="Arial"/>
          <w:sz w:val="16"/>
          <w:szCs w:val="16"/>
          <w:color w:val="auto"/>
        </w:rPr>
        <w:t xml:space="preserve"> hereof.</w:t>
      </w:r>
    </w:p>
    <w:p>
      <w:pPr>
        <w:spacing w:after="0" w:line="220"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 xml:space="preserve">Notwithstanding the foregoing, none of the Liens permitted pursuant to this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may at any time attach to (1) any Borrower’s (other than Micron) Receivables, other than those permitted under clauses (a), (c) and (d) of the definition of Permitted Encumbrance and clause (a) above, and (2) any Borrower’s Inventory, other than those permitted under clauses (a), (d), (f), (g), (h) and (i) of the definition of Permitted Encumbrance and clause (a) above.</w:t>
      </w:r>
    </w:p>
    <w:p>
      <w:pPr>
        <w:spacing w:after="0" w:line="212" w:lineRule="exact"/>
        <w:rPr>
          <w:sz w:val="20"/>
          <w:szCs w:val="20"/>
          <w:color w:val="auto"/>
        </w:rPr>
      </w:pPr>
    </w:p>
    <w:p>
      <w:pPr>
        <w:jc w:val="both"/>
        <w:ind w:firstLine="570"/>
        <w:spacing w:after="0" w:line="284" w:lineRule="auto"/>
        <w:rPr>
          <w:sz w:val="20"/>
          <w:szCs w:val="20"/>
          <w:color w:val="auto"/>
        </w:rPr>
      </w:pPr>
      <w:r>
        <w:rPr>
          <w:rFonts w:ascii="Arial" w:cs="Arial" w:eastAsia="Arial" w:hAnsi="Arial"/>
          <w:sz w:val="15"/>
          <w:szCs w:val="15"/>
          <w:color w:val="auto"/>
        </w:rPr>
        <w:t xml:space="preserve">SECTION 6.03. </w:t>
      </w:r>
      <w:r>
        <w:rPr>
          <w:rFonts w:ascii="Arial" w:cs="Arial" w:eastAsia="Arial" w:hAnsi="Arial"/>
          <w:sz w:val="15"/>
          <w:szCs w:val="15"/>
          <w:u w:val="single" w:color="auto"/>
          <w:color w:val="auto"/>
        </w:rPr>
        <w:t>Fundamental Changes</w:t>
      </w:r>
      <w:r>
        <w:rPr>
          <w:rFonts w:ascii="Arial" w:cs="Arial" w:eastAsia="Arial" w:hAnsi="Arial"/>
          <w:sz w:val="15"/>
          <w:szCs w:val="15"/>
          <w:color w:val="auto"/>
        </w:rPr>
        <w:t>. No Borrower will merge into or consolidate with any other Person, or permit any other Person to merge into or consolidate with it, or liquidate or dissolve, except that, if at the time thereof and immediately after giving effect thereto no Event of Default shall have occurred and be continuing, any Person may merge into a Borrower in a transaction in which such Borrower is the surviving corporation. Micron shall not liquidate or dissolve.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83" w:name="page84"/>
    <w:bookmarkEnd w:id="83"/>
    <w:p>
      <w:pPr>
        <w:ind w:firstLine="570"/>
        <w:spacing w:after="0" w:line="270"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Asset Sales</w:t>
      </w:r>
      <w:r>
        <w:rPr>
          <w:rFonts w:ascii="Arial" w:cs="Arial" w:eastAsia="Arial" w:hAnsi="Arial"/>
          <w:sz w:val="16"/>
          <w:szCs w:val="16"/>
          <w:color w:val="auto"/>
        </w:rPr>
        <w:t>. No Borrower will sell, transfer, lease or otherwise dispose of any Collateral without the prior written consent of the Administrative Agent, except:</w:t>
      </w:r>
    </w:p>
    <w:p>
      <w:pPr>
        <w:spacing w:after="0" w:line="204" w:lineRule="exact"/>
        <w:rPr>
          <w:sz w:val="20"/>
          <w:szCs w:val="20"/>
          <w:color w:val="auto"/>
        </w:rPr>
      </w:pPr>
    </w:p>
    <w:p>
      <w:pPr>
        <w:ind w:left="940" w:hanging="375"/>
        <w:spacing w:after="0"/>
        <w:tabs>
          <w:tab w:leader="none" w:pos="9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sales, transfers or dispositions of Inventory by such Borrower to any other Borrower;</w:t>
      </w:r>
    </w:p>
    <w:p>
      <w:pPr>
        <w:spacing w:after="0" w:line="243" w:lineRule="exact"/>
        <w:rPr>
          <w:rFonts w:ascii="Arial" w:cs="Arial" w:eastAsia="Arial" w:hAnsi="Arial"/>
          <w:sz w:val="16"/>
          <w:szCs w:val="16"/>
          <w:color w:val="auto"/>
        </w:rPr>
      </w:pPr>
    </w:p>
    <w:p>
      <w:pPr>
        <w:ind w:left="940" w:hanging="375"/>
        <w:spacing w:after="0"/>
        <w:tabs>
          <w:tab w:leader="none" w:pos="9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sales, transfers or dispositions of Inventory in the ordinary course of business;</w:t>
      </w:r>
    </w:p>
    <w:p>
      <w:pPr>
        <w:spacing w:after="0" w:line="243" w:lineRule="exact"/>
        <w:rPr>
          <w:rFonts w:ascii="Arial" w:cs="Arial" w:eastAsia="Arial" w:hAnsi="Arial"/>
          <w:sz w:val="16"/>
          <w:szCs w:val="16"/>
          <w:color w:val="auto"/>
        </w:rPr>
      </w:pPr>
    </w:p>
    <w:p>
      <w:pPr>
        <w:ind w:right="20" w:firstLine="565"/>
        <w:spacing w:after="0" w:line="270" w:lineRule="auto"/>
        <w:tabs>
          <w:tab w:leader="none" w:pos="9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sales, transfers or dispositions, in the ordinary course of business, of Inventory that is used, obsolete, worn-out, surplus or no longer used or useful in the business of such Borrower;</w:t>
      </w:r>
    </w:p>
    <w:p>
      <w:pPr>
        <w:spacing w:after="0" w:line="203" w:lineRule="exact"/>
        <w:rPr>
          <w:rFonts w:ascii="Arial" w:cs="Arial" w:eastAsia="Arial" w:hAnsi="Arial"/>
          <w:sz w:val="16"/>
          <w:szCs w:val="16"/>
          <w:color w:val="auto"/>
        </w:rPr>
      </w:pPr>
    </w:p>
    <w:p>
      <w:pPr>
        <w:ind w:right="20" w:firstLine="565"/>
        <w:spacing w:after="0" w:line="270" w:lineRule="auto"/>
        <w:tabs>
          <w:tab w:leader="none" w:pos="957" w:val="left"/>
        </w:tabs>
        <w:numPr>
          <w:ilvl w:val="0"/>
          <w:numId w:val="72"/>
        </w:numPr>
        <w:rPr>
          <w:rFonts w:ascii="Arial" w:cs="Arial" w:eastAsia="Arial" w:hAnsi="Arial"/>
          <w:sz w:val="16"/>
          <w:szCs w:val="16"/>
          <w:color w:val="auto"/>
        </w:rPr>
      </w:pPr>
      <w:r>
        <w:rPr>
          <w:rFonts w:ascii="Arial" w:cs="Arial" w:eastAsia="Arial" w:hAnsi="Arial"/>
          <w:sz w:val="16"/>
          <w:szCs w:val="16"/>
          <w:color w:val="auto"/>
        </w:rPr>
        <w:t>sales, transfers and other dispositions of accounts receivable in connection with the compromise, settlement or collection thereof, so long as with respect to any Borrower (other than Micron), such sale, transfer or other disposition is not a part of any accounts receivable financing transaction; and</w:t>
      </w:r>
    </w:p>
    <w:p>
      <w:pPr>
        <w:spacing w:after="0" w:line="203" w:lineRule="exact"/>
        <w:rPr>
          <w:rFonts w:ascii="Arial" w:cs="Arial" w:eastAsia="Arial" w:hAnsi="Arial"/>
          <w:sz w:val="16"/>
          <w:szCs w:val="16"/>
          <w:color w:val="auto"/>
        </w:rPr>
      </w:pPr>
    </w:p>
    <w:p>
      <w:pPr>
        <w:ind w:left="940" w:hanging="375"/>
        <w:spacing w:after="0"/>
        <w:tabs>
          <w:tab w:leader="none" w:pos="9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dispositions resulting from any casualty or other insured damage to any asset of the Borrowers;</w:t>
      </w:r>
    </w:p>
    <w:p>
      <w:pPr>
        <w:spacing w:after="0" w:line="220" w:lineRule="exact"/>
        <w:rPr>
          <w:sz w:val="20"/>
          <w:szCs w:val="20"/>
          <w:color w:val="auto"/>
        </w:rPr>
      </w:pPr>
    </w:p>
    <w:p>
      <w:pPr>
        <w:jc w:val="both"/>
        <w:ind w:firstLine="570"/>
        <w:spacing w:after="0" w:line="303"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notwithstanding anything to contrary contained herein, the Borrowers shall be permitted to sell, transfer, or otherwise dispose of Collateral not otherwise permitted pursuant to the foregoing clauses (a) through (e) of this </w:t>
      </w:r>
      <w:r>
        <w:rPr>
          <w:rFonts w:ascii="Arial" w:cs="Arial" w:eastAsia="Arial" w:hAnsi="Arial"/>
          <w:sz w:val="14"/>
          <w:szCs w:val="14"/>
          <w:u w:val="single" w:color="auto"/>
          <w:color w:val="auto"/>
        </w:rPr>
        <w:t>Section 6.04</w:t>
      </w:r>
      <w:r>
        <w:rPr>
          <w:rFonts w:ascii="Arial" w:cs="Arial" w:eastAsia="Arial" w:hAnsi="Arial"/>
          <w:sz w:val="14"/>
          <w:szCs w:val="14"/>
          <w:color w:val="auto"/>
        </w:rPr>
        <w:t xml:space="preserve"> so long as, (i) both before and after giving effect to the consummation of such sale, transfer, or other disposition, no Default or Event of Default shall have occurred and be continuing and (ii) at the time of such determination and immediately following, and after giving effect to, such sale, transfer, or other disposition, Availability is equal to or greater than an amount equal to ten percent (10%) of the Aggregate Revolving Commitments.</w:t>
      </w:r>
    </w:p>
    <w:p>
      <w:pPr>
        <w:spacing w:after="0" w:line="185"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No Borrower will, directly or indirectly, enter into, incur or permit to exist any agreement or other arrangement, other than the Indenture or other indentures with substantially similar provisions, that prohibits, restricts or imposes any condition upon the ability of such Borrower to create, incur or permit to exist any Lien upon any of its property or assets comprising a part of the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restrictions and conditions imposed by law or by any Loan Document.</w:t>
      </w:r>
    </w:p>
    <w:p>
      <w:pPr>
        <w:spacing w:after="0" w:line="216"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Amendment of Material Documents</w:t>
      </w:r>
      <w:r>
        <w:rPr>
          <w:rFonts w:ascii="Arial" w:cs="Arial" w:eastAsia="Arial" w:hAnsi="Arial"/>
          <w:sz w:val="16"/>
          <w:szCs w:val="16"/>
          <w:color w:val="auto"/>
        </w:rPr>
        <w:t>. No Loan Party will amend, modify or waive any of its rights under its certificate of incorporation, by-laws, operating, management or partnership agreement or other organizational documents, in each case except for such amendments, modifications or waivers that would not, in any material respect, adversely affect the interests of the Administrative Agent and the Lenders.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color w:val="auto"/>
        </w:rPr>
        <w:t>ARTICLE VII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Events of Default</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any of the following events (“Events of Default”) shall occur:</w:t>
      </w:r>
    </w:p>
    <w:p>
      <w:pPr>
        <w:spacing w:after="0" w:line="244" w:lineRule="exact"/>
        <w:rPr>
          <w:sz w:val="20"/>
          <w:szCs w:val="20"/>
          <w:color w:val="auto"/>
        </w:rPr>
      </w:pPr>
    </w:p>
    <w:p>
      <w:pPr>
        <w:ind w:right="20" w:firstLine="565"/>
        <w:spacing w:after="0" w:line="270" w:lineRule="auto"/>
        <w:tabs>
          <w:tab w:leader="none" w:pos="93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Borrowers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203" w:lineRule="exact"/>
        <w:rPr>
          <w:rFonts w:ascii="Arial" w:cs="Arial" w:eastAsia="Arial" w:hAnsi="Arial"/>
          <w:sz w:val="16"/>
          <w:szCs w:val="16"/>
          <w:color w:val="auto"/>
        </w:rPr>
      </w:pPr>
    </w:p>
    <w:p>
      <w:pPr>
        <w:ind w:right="20" w:firstLine="565"/>
        <w:spacing w:after="0" w:line="304" w:lineRule="auto"/>
        <w:tabs>
          <w:tab w:leader="none" w:pos="945"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Borrowers shall fail to pay any interest on any Loan or any fee or any other amount (other than an amount referred to in clause (a) of this Article) payable under this Agreement, when and as the same shall become due and payable, and such failure shall continue unremedied for a period of five Business Days;</w:t>
      </w:r>
    </w:p>
    <w:p>
      <w:pPr>
        <w:spacing w:after="0" w:line="180" w:lineRule="exact"/>
        <w:rPr>
          <w:rFonts w:ascii="Arial" w:cs="Arial" w:eastAsia="Arial" w:hAnsi="Arial"/>
          <w:sz w:val="15"/>
          <w:szCs w:val="15"/>
          <w:color w:val="auto"/>
        </w:rPr>
      </w:pPr>
    </w:p>
    <w:p>
      <w:pPr>
        <w:jc w:val="both"/>
        <w:ind w:right="20" w:firstLine="565"/>
        <w:spacing w:after="0" w:line="255" w:lineRule="auto"/>
        <w:tabs>
          <w:tab w:leader="none" w:pos="94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or on behalf of any Loan Party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215" w:lineRule="exact"/>
        <w:rPr>
          <w:rFonts w:ascii="Arial" w:cs="Arial" w:eastAsia="Arial" w:hAnsi="Arial"/>
          <w:sz w:val="16"/>
          <w:szCs w:val="16"/>
          <w:color w:val="auto"/>
        </w:rPr>
      </w:pPr>
    </w:p>
    <w:p>
      <w:pPr>
        <w:ind w:right="20" w:firstLine="565"/>
        <w:spacing w:after="0" w:line="270" w:lineRule="auto"/>
        <w:tabs>
          <w:tab w:leader="none" w:pos="968"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any Loan Party shall fail to observe or perform any covenant, condition or agreement contained in (i) </w:t>
      </w:r>
      <w:r>
        <w:rPr>
          <w:rFonts w:ascii="Arial" w:cs="Arial" w:eastAsia="Arial" w:hAnsi="Arial"/>
          <w:sz w:val="16"/>
          <w:szCs w:val="16"/>
          <w:u w:val="single" w:color="auto"/>
          <w:color w:val="auto"/>
        </w:rPr>
        <w:t>Sections 5.02(a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5.03</w:t>
      </w:r>
      <w:r>
        <w:rPr>
          <w:rFonts w:ascii="Arial" w:cs="Arial" w:eastAsia="Arial" w:hAnsi="Arial"/>
          <w:sz w:val="16"/>
          <w:szCs w:val="16"/>
          <w:color w:val="auto"/>
        </w:rPr>
        <w:t xml:space="preserve"> (with respect to a Loan Party’s existence), </w:t>
      </w:r>
      <w:r>
        <w:rPr>
          <w:rFonts w:ascii="Arial" w:cs="Arial" w:eastAsia="Arial" w:hAnsi="Arial"/>
          <w:sz w:val="16"/>
          <w:szCs w:val="16"/>
          <w:u w:val="single" w:color="auto"/>
          <w:color w:val="auto"/>
        </w:rPr>
        <w:t>5.05</w:t>
      </w:r>
      <w:r>
        <w:rPr>
          <w:rFonts w:ascii="Arial" w:cs="Arial" w:eastAsia="Arial" w:hAnsi="Arial"/>
          <w:sz w:val="16"/>
          <w:szCs w:val="16"/>
          <w:color w:val="auto"/>
        </w:rPr>
        <w:t xml:space="preserve">, </w:t>
      </w:r>
      <w:r>
        <w:rPr>
          <w:rFonts w:ascii="Arial" w:cs="Arial" w:eastAsia="Arial" w:hAnsi="Arial"/>
          <w:sz w:val="16"/>
          <w:szCs w:val="16"/>
          <w:u w:val="single" w:color="auto"/>
          <w:color w:val="auto"/>
        </w:rPr>
        <w:t>5.08</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(ii) in Article IV of the Security Agreement;</w:t>
      </w:r>
    </w:p>
    <w:p>
      <w:pPr>
        <w:spacing w:after="0" w:line="203" w:lineRule="exact"/>
        <w:rPr>
          <w:rFonts w:ascii="Arial" w:cs="Arial" w:eastAsia="Arial" w:hAnsi="Arial"/>
          <w:sz w:val="16"/>
          <w:szCs w:val="16"/>
          <w:color w:val="auto"/>
        </w:rPr>
      </w:pPr>
    </w:p>
    <w:p>
      <w:pPr>
        <w:jc w:val="both"/>
        <w:ind w:right="20" w:firstLine="565"/>
        <w:spacing w:after="0" w:line="255" w:lineRule="auto"/>
        <w:tabs>
          <w:tab w:leader="none" w:pos="948"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any Loan Party shall fail to observe or perform any covenant, condition or agreement contained in (i) this Agreement (other than those which constitute a default under another Section of this Article and clause (ii) below) or any other Loan Document, and such failure shall continue unremedied for a period of 30 days after the earlier of any Loan Party’s knowledge of such breach or notice thereof from the Administrative Agent, and (ii) </w:t>
      </w:r>
      <w:r>
        <w:rPr>
          <w:rFonts w:ascii="Arial" w:cs="Arial" w:eastAsia="Arial" w:hAnsi="Arial"/>
          <w:sz w:val="16"/>
          <w:szCs w:val="16"/>
          <w:u w:val="single" w:color="auto"/>
          <w:color w:val="auto"/>
        </w:rPr>
        <w:t>Sections 5.01(d)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5.01(f)</w:t>
      </w:r>
      <w:r>
        <w:rPr>
          <w:rFonts w:ascii="Arial" w:cs="Arial" w:eastAsia="Arial" w:hAnsi="Arial"/>
          <w:sz w:val="16"/>
          <w:szCs w:val="16"/>
          <w:color w:val="auto"/>
        </w:rPr>
        <w:t>, and such failure shall continue unremedied for a period of 5 days after notice thereof from the Administrative Agent;</w:t>
      </w:r>
    </w:p>
    <w:p>
      <w:pPr>
        <w:spacing w:after="0" w:line="215" w:lineRule="exact"/>
        <w:rPr>
          <w:rFonts w:ascii="Arial" w:cs="Arial" w:eastAsia="Arial" w:hAnsi="Arial"/>
          <w:sz w:val="16"/>
          <w:szCs w:val="16"/>
          <w:color w:val="auto"/>
        </w:rPr>
      </w:pPr>
    </w:p>
    <w:p>
      <w:pPr>
        <w:jc w:val="both"/>
        <w:ind w:right="20" w:firstLine="565"/>
        <w:spacing w:after="0" w:line="253" w:lineRule="auto"/>
        <w:tabs>
          <w:tab w:leader="none" w:pos="918"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Contractual Debt Obligation constituting Material Indebtedness of a Loan Party becoming due prior to its scheduled maturity without such Material Indebtedness having been discharged or such acceleration having been cured, waived, rescinded or annulled within a period of thirty (30)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(f) shall not apply to secured Material Indebtedness that becomes due as a result of the voluntary sale or transfer of the property or assets securing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for the avoidance of doubt, prior to the expiration of the thirty (30) day period, a Default shall have occurred and be continuing for purposes of </w:t>
      </w:r>
      <w:r>
        <w:rPr>
          <w:rFonts w:ascii="Arial" w:cs="Arial" w:eastAsia="Arial" w:hAnsi="Arial"/>
          <w:sz w:val="16"/>
          <w:szCs w:val="16"/>
          <w:u w:val="single" w:color="auto"/>
          <w:color w:val="auto"/>
        </w:rPr>
        <w:t>Section 4.02(b)</w:t>
      </w:r>
      <w:r>
        <w:rPr>
          <w:rFonts w:ascii="Arial" w:cs="Arial" w:eastAsia="Arial" w:hAnsi="Arial"/>
          <w:sz w:val="16"/>
          <w:szCs w:val="16"/>
          <w:color w:val="auto"/>
        </w:rPr>
        <w:t>;</w:t>
      </w:r>
    </w:p>
    <w:p>
      <w:pPr>
        <w:spacing w:after="0" w:line="217" w:lineRule="exact"/>
        <w:rPr>
          <w:rFonts w:ascii="Arial" w:cs="Arial" w:eastAsia="Arial" w:hAnsi="Arial"/>
          <w:sz w:val="16"/>
          <w:szCs w:val="16"/>
          <w:color w:val="auto"/>
        </w:rPr>
      </w:pPr>
    </w:p>
    <w:p>
      <w:pPr>
        <w:jc w:val="both"/>
        <w:ind w:firstLine="565"/>
        <w:spacing w:after="0" w:line="259" w:lineRule="auto"/>
        <w:tabs>
          <w:tab w:leader="none" w:pos="968"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administration, administrative receivership or other relief in respect of any Loan Party or its debts, or of a substantial part of its assets, under any Federal, state or foreign bankruptcy, insolvency, receivership, administration, administrative receivership, or similar law now or hereafter in effect or (ii) the appointment of a receiver,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85" w:name="page86"/>
    <w:bookmarkEnd w:id="85"/>
    <w:p>
      <w:pPr>
        <w:ind w:right="20"/>
        <w:spacing w:after="0" w:line="304" w:lineRule="auto"/>
        <w:rPr>
          <w:sz w:val="20"/>
          <w:szCs w:val="20"/>
          <w:color w:val="auto"/>
        </w:rPr>
      </w:pPr>
      <w:r>
        <w:rPr>
          <w:rFonts w:ascii="Arial" w:cs="Arial" w:eastAsia="Arial" w:hAnsi="Arial"/>
          <w:sz w:val="15"/>
          <w:szCs w:val="15"/>
          <w:color w:val="auto"/>
        </w:rPr>
        <w:t>trustee, administrator, administrative receiver, custodian, sequestrator, conservator or similar official for any Loan Party or for a substantial part of its assets, and, in any such case, such proceeding or petition shall continue undismissed for 60 days or an order or decree approving or ordering any of the foregoing shall be entered;</w:t>
      </w:r>
    </w:p>
    <w:p>
      <w:pPr>
        <w:spacing w:after="0" w:line="181" w:lineRule="exact"/>
        <w:rPr>
          <w:sz w:val="20"/>
          <w:szCs w:val="20"/>
          <w:color w:val="auto"/>
        </w:rPr>
      </w:pPr>
    </w:p>
    <w:p>
      <w:pPr>
        <w:jc w:val="both"/>
        <w:ind w:firstLine="565"/>
        <w:spacing w:after="0" w:line="252" w:lineRule="auto"/>
        <w:tabs>
          <w:tab w:leader="none" w:pos="94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Loan Party shall (i) voluntarily commence any proceeding or file any petition seeking liquidation, reorganization, administration, administrative receivership, or other relief under any Federal, state or foreign bankruptcy, insolvency, receivership, administration, administrative receivership or similar law now or hereafter in effect, (ii) consent to the institution of, or fail to contest in a timely and appropriate manner, any proceeding or petition described in clause (g) of this Article, (iii) apply for or consent to the appointment of a receiver, trustee, administrator, administrative receiver, custodian, sequestrator, conservator or similar official for such Loan Party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218" w:lineRule="exact"/>
        <w:rPr>
          <w:rFonts w:ascii="Arial" w:cs="Arial" w:eastAsia="Arial" w:hAnsi="Arial"/>
          <w:sz w:val="16"/>
          <w:szCs w:val="16"/>
          <w:color w:val="auto"/>
        </w:rPr>
      </w:pPr>
    </w:p>
    <w:p>
      <w:pPr>
        <w:ind w:left="900" w:hanging="335"/>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Loan Party shall become unable, admit in writing its inability or fail generally to pay its debts as they become due;</w:t>
      </w:r>
    </w:p>
    <w:p>
      <w:pPr>
        <w:spacing w:after="0" w:line="243" w:lineRule="exact"/>
        <w:rPr>
          <w:rFonts w:ascii="Arial" w:cs="Arial" w:eastAsia="Arial" w:hAnsi="Arial"/>
          <w:sz w:val="16"/>
          <w:szCs w:val="16"/>
          <w:color w:val="auto"/>
        </w:rPr>
      </w:pPr>
    </w:p>
    <w:p>
      <w:pPr>
        <w:ind w:right="20" w:firstLine="565"/>
        <w:spacing w:after="0" w:line="270" w:lineRule="auto"/>
        <w:tabs>
          <w:tab w:leader="none" w:pos="91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 any action shall be legally taken by a judgment creditor to attach or levy upon any Collateral having an aggregate value equal to or greater than $10,000,000 to enforce any such judgment;</w:t>
      </w:r>
    </w:p>
    <w:p>
      <w:pPr>
        <w:spacing w:after="0" w:line="203" w:lineRule="exact"/>
        <w:rPr>
          <w:rFonts w:ascii="Arial" w:cs="Arial" w:eastAsia="Arial" w:hAnsi="Arial"/>
          <w:sz w:val="16"/>
          <w:szCs w:val="16"/>
          <w:color w:val="auto"/>
        </w:rPr>
      </w:pPr>
    </w:p>
    <w:p>
      <w:pPr>
        <w:ind w:left="940" w:hanging="375"/>
        <w:spacing w:after="0"/>
        <w:tabs>
          <w:tab w:leader="none" w:pos="9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Change in Control shall occur;</w:t>
      </w:r>
    </w:p>
    <w:p>
      <w:pPr>
        <w:spacing w:after="0" w:line="243" w:lineRule="exact"/>
        <w:rPr>
          <w:rFonts w:ascii="Arial" w:cs="Arial" w:eastAsia="Arial" w:hAnsi="Arial"/>
          <w:sz w:val="16"/>
          <w:szCs w:val="16"/>
          <w:color w:val="auto"/>
        </w:rPr>
      </w:pPr>
    </w:p>
    <w:p>
      <w:pPr>
        <w:jc w:val="both"/>
        <w:ind w:right="20" w:firstLine="565"/>
        <w:spacing w:after="0" w:line="259" w:lineRule="auto"/>
        <w:tabs>
          <w:tab w:leader="none" w:pos="91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Guaranty shall fail to remain in full force or effect or any action shall be taken to discontinue or to assert the invalidity or unenforceability of such Guaranty, or any Loan Guarantor shall fail to comply with any of the terms or provisions of any Guaranty to which it is a party, or any Loan Guarantor shall deny that it has any further liability under the Guaranty to which it is a party, or shall give notice to such effect;</w:t>
      </w:r>
    </w:p>
    <w:p>
      <w:pPr>
        <w:spacing w:after="0" w:line="212" w:lineRule="exact"/>
        <w:rPr>
          <w:rFonts w:ascii="Arial" w:cs="Arial" w:eastAsia="Arial" w:hAnsi="Arial"/>
          <w:sz w:val="16"/>
          <w:szCs w:val="16"/>
          <w:color w:val="auto"/>
        </w:rPr>
      </w:pPr>
    </w:p>
    <w:p>
      <w:pPr>
        <w:ind w:firstLine="565"/>
        <w:spacing w:after="0" w:line="304" w:lineRule="auto"/>
        <w:tabs>
          <w:tab w:leader="none" w:pos="989" w:val="left"/>
        </w:tabs>
        <w:numPr>
          <w:ilvl w:val="0"/>
          <w:numId w:val="74"/>
        </w:numPr>
        <w:rPr>
          <w:rFonts w:ascii="Arial" w:cs="Arial" w:eastAsia="Arial" w:hAnsi="Arial"/>
          <w:sz w:val="15"/>
          <w:szCs w:val="15"/>
          <w:color w:val="auto"/>
        </w:rPr>
      </w:pPr>
      <w:r>
        <w:rPr>
          <w:rFonts w:ascii="Arial" w:cs="Arial" w:eastAsia="Arial" w:hAnsi="Arial"/>
          <w:sz w:val="15"/>
          <w:szCs w:val="15"/>
          <w:color w:val="auto"/>
        </w:rPr>
        <w:t>except as permitted by the terms hereof or of any Collateral Document, (i) any Collateral Document shall for any reason fail to create a valid security interest in any Collateral purported to be covered thereby, or (ii) any Lien securing any Secured Obligation shall cease to be a perfected, first priority Lien; or</w:t>
      </w:r>
    </w:p>
    <w:p>
      <w:pPr>
        <w:spacing w:after="0" w:line="180" w:lineRule="exact"/>
        <w:rPr>
          <w:rFonts w:ascii="Arial" w:cs="Arial" w:eastAsia="Arial" w:hAnsi="Arial"/>
          <w:sz w:val="15"/>
          <w:szCs w:val="15"/>
          <w:color w:val="auto"/>
        </w:rPr>
      </w:pPr>
    </w:p>
    <w:p>
      <w:pPr>
        <w:ind w:firstLine="565"/>
        <w:spacing w:after="0" w:line="270" w:lineRule="auto"/>
        <w:tabs>
          <w:tab w:leader="none" w:pos="94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Collateral Document shall fail to remain in full force or effect or any action shall be taken by any Loan Party or any of its Affiliates to discontinue or to assert the invalidity or unenforceability of any Collateral Document; or</w:t>
      </w:r>
    </w:p>
    <w:p>
      <w:pPr>
        <w:spacing w:after="0" w:line="203" w:lineRule="exact"/>
        <w:rPr>
          <w:rFonts w:ascii="Arial" w:cs="Arial" w:eastAsia="Arial" w:hAnsi="Arial"/>
          <w:sz w:val="16"/>
          <w:szCs w:val="16"/>
          <w:color w:val="auto"/>
        </w:rPr>
      </w:pPr>
    </w:p>
    <w:p>
      <w:pPr>
        <w:jc w:val="both"/>
        <w:ind w:firstLine="565"/>
        <w:spacing w:after="0" w:line="259" w:lineRule="auto"/>
        <w:tabs>
          <w:tab w:leader="none" w:pos="957"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86" w:name="page87"/>
    <w:bookmarkEnd w:id="86"/>
    <w:p>
      <w:pPr>
        <w:jc w:val="both"/>
        <w:ind w:right="20"/>
        <w:spacing w:after="0" w:line="268" w:lineRule="auto"/>
        <w:rPr>
          <w:sz w:val="20"/>
          <w:szCs w:val="20"/>
          <w:color w:val="auto"/>
        </w:rPr>
      </w:pPr>
      <w:r>
        <w:rPr>
          <w:rFonts w:ascii="Arial" w:cs="Arial" w:eastAsia="Arial" w:hAnsi="Arial"/>
          <w:sz w:val="15"/>
          <w:szCs w:val="15"/>
          <w:color w:val="auto"/>
        </w:rPr>
        <w:t>then, and in every such event (other than an event with respect to the Loan Parties described in clause (g) or (h) of this Article), and at any time thereafter during the continuance of such event, the Administrative Agent may, and at the request of the Required Lenders shall, by notice to the Borrowers, take either or both of the following actions, at the same or different times: (i) terminate the Commitments, whereupon the Commitments shall terminate immediately, and (ii) declare the Loans then outstanding to be due and payable in whole (or in part, in which case any principal not so declared to be due and payable may thereafter be declared to be due and payable), whereupon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the Borrowers described in clause (g) or (h) of this Article,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 Upon the occurrence and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The Administrative Agent</w:t>
      </w:r>
    </w:p>
    <w:p>
      <w:pPr>
        <w:spacing w:after="0" w:line="209" w:lineRule="exact"/>
        <w:rPr>
          <w:sz w:val="20"/>
          <w:szCs w:val="20"/>
          <w:color w:val="auto"/>
        </w:rPr>
      </w:pPr>
    </w:p>
    <w:p>
      <w:pPr>
        <w:jc w:val="both"/>
        <w:ind w:firstLine="570"/>
        <w:spacing w:after="0" w:line="284" w:lineRule="auto"/>
        <w:rPr>
          <w:sz w:val="20"/>
          <w:szCs w:val="20"/>
          <w:color w:val="auto"/>
        </w:rPr>
      </w:pPr>
      <w:r>
        <w:rPr>
          <w:rFonts w:ascii="Arial" w:cs="Arial" w:eastAsia="Arial" w:hAnsi="Arial"/>
          <w:sz w:val="15"/>
          <w:szCs w:val="15"/>
          <w:color w:val="auto"/>
        </w:rPr>
        <w:t>Each of the Lenders (for itself and on behalf of its Affiliates providing any Banking Services) and the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72" w:lineRule="exact"/>
        <w:rPr>
          <w:sz w:val="20"/>
          <w:szCs w:val="20"/>
          <w:color w:val="auto"/>
        </w:rPr>
      </w:pPr>
    </w:p>
    <w:p>
      <w:pPr>
        <w:jc w:val="both"/>
        <w:ind w:firstLine="570"/>
        <w:spacing w:after="0" w:line="284" w:lineRule="auto"/>
        <w:rPr>
          <w:sz w:val="20"/>
          <w:szCs w:val="20"/>
          <w:color w:val="auto"/>
        </w:rPr>
      </w:pPr>
      <w:r>
        <w:rPr>
          <w:rFonts w:ascii="Arial" w:cs="Arial" w:eastAsia="Arial" w:hAnsi="Arial"/>
          <w:sz w:val="15"/>
          <w:szCs w:val="15"/>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Loan Parties or any Subsidiary of a Loan Party or other Affiliate thereof as if it were not the Administrative Agent hereunder.</w:t>
      </w:r>
    </w:p>
    <w:p>
      <w:pPr>
        <w:spacing w:after="0" w:line="172"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 xml:space="preserve">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9.02</w:t>
      </w:r>
      <w:r>
        <w:rPr>
          <w:rFonts w:ascii="Arial" w:cs="Arial" w:eastAsia="Arial" w:hAnsi="Arial"/>
          <w:sz w:val="16"/>
          <w:szCs w:val="16"/>
          <w:color w:val="auto"/>
        </w:rPr>
        <w:t>), and (c) except as expressly set forth in the Loan Documents, the Administrative Agent shall not have any duty to disclose, and shall not be liable for the failure to</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87" w:name="page88"/>
    <w:bookmarkEnd w:id="87"/>
    <w:p>
      <w:pPr>
        <w:jc w:val="both"/>
        <w:spacing w:after="0" w:line="268" w:lineRule="auto"/>
        <w:rPr>
          <w:sz w:val="20"/>
          <w:szCs w:val="20"/>
          <w:color w:val="auto"/>
        </w:rPr>
      </w:pPr>
      <w:r>
        <w:rPr>
          <w:rFonts w:ascii="Arial" w:cs="Arial" w:eastAsia="Arial" w:hAnsi="Arial"/>
          <w:sz w:val="15"/>
          <w:szCs w:val="15"/>
          <w:color w:val="auto"/>
        </w:rPr>
        <w:t xml:space="preserve">disclose, any information relating to any Loan Party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5"/>
          <w:szCs w:val="15"/>
          <w:u w:val="single" w:color="auto"/>
          <w:color w:val="auto"/>
        </w:rPr>
        <w:t>Section 9.02</w:t>
      </w:r>
      <w:r>
        <w:rPr>
          <w:rFonts w:ascii="Arial" w:cs="Arial" w:eastAsia="Arial" w:hAnsi="Arial"/>
          <w:sz w:val="15"/>
          <w:szCs w:val="15"/>
          <w:color w:val="auto"/>
        </w:rPr>
        <w:t>) or in the absence of its own gross negligence or willful misconduct. The Administrative Agent shall be deemed not to have knowledge of any Default unless and until written notice thereof is given to the Administrative Agent by the Borrower Representative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Article IV or elsewhere in any Loan Document, other than to confirm receipt of items expressly required to be delivered to the Administrative Agent.</w:t>
      </w:r>
    </w:p>
    <w:p>
      <w:pPr>
        <w:spacing w:after="0" w:line="188" w:lineRule="exact"/>
        <w:rPr>
          <w:sz w:val="20"/>
          <w:szCs w:val="20"/>
          <w:color w:val="auto"/>
        </w:rPr>
      </w:pPr>
    </w:p>
    <w:p>
      <w:pPr>
        <w:jc w:val="both"/>
        <w:ind w:firstLine="570"/>
        <w:spacing w:after="0" w:line="253"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94" w:lineRule="exact"/>
        <w:rPr>
          <w:sz w:val="20"/>
          <w:szCs w:val="20"/>
          <w:color w:val="auto"/>
        </w:rPr>
      </w:pPr>
    </w:p>
    <w:p>
      <w:pPr>
        <w:jc w:val="both"/>
        <w:ind w:firstLine="570"/>
        <w:spacing w:after="0" w:line="303" w:lineRule="auto"/>
        <w:rPr>
          <w:sz w:val="20"/>
          <w:szCs w:val="20"/>
          <w:color w:val="auto"/>
        </w:rPr>
      </w:pPr>
      <w:r>
        <w:rPr>
          <w:rFonts w:ascii="Arial" w:cs="Arial" w:eastAsia="Arial" w:hAnsi="Arial"/>
          <w:sz w:val="14"/>
          <w:szCs w:val="14"/>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61" w:lineRule="exact"/>
        <w:rPr>
          <w:sz w:val="20"/>
          <w:szCs w:val="20"/>
          <w:color w:val="auto"/>
        </w:rPr>
      </w:pPr>
    </w:p>
    <w:p>
      <w:pPr>
        <w:jc w:val="both"/>
        <w:ind w:right="20" w:firstLine="570"/>
        <w:spacing w:after="0" w:line="274" w:lineRule="auto"/>
        <w:rPr>
          <w:sz w:val="20"/>
          <w:szCs w:val="20"/>
          <w:color w:val="auto"/>
        </w:rPr>
      </w:pPr>
      <w:r>
        <w:rPr>
          <w:rFonts w:ascii="Arial" w:cs="Arial" w:eastAsia="Arial" w:hAnsi="Arial"/>
          <w:sz w:val="15"/>
          <w:szCs w:val="15"/>
          <w:color w:val="auto"/>
        </w:rPr>
        <w:t>Subject to the appointment and acceptance of a successor Administrative Agent as provided in this paragraph, the Administrative Agent may resign at any time by notifying the Lenders, the Issuing Bank and the Borrower Representative. Upon any such resignation,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 appoint a successor Administrative Agent which shall be a commercial bank or an Affiliate of any such commercial bank. Upon the acceptance of its appointment as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88" w:name="page89"/>
    <w:bookmarkEnd w:id="88"/>
    <w:p>
      <w:pPr>
        <w:jc w:val="both"/>
        <w:ind w:left="5"/>
        <w:spacing w:after="0" w:line="274" w:lineRule="auto"/>
        <w:rPr>
          <w:sz w:val="20"/>
          <w:szCs w:val="20"/>
          <w:color w:val="auto"/>
        </w:rPr>
      </w:pPr>
      <w:r>
        <w:rPr>
          <w:rFonts w:ascii="Arial" w:cs="Arial" w:eastAsia="Arial" w:hAnsi="Arial"/>
          <w:sz w:val="15"/>
          <w:szCs w:val="15"/>
          <w:color w:val="auto"/>
        </w:rPr>
        <w:t xml:space="preserve">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hereunder, the provisions of this Article, </w:t>
      </w:r>
      <w:r>
        <w:rPr>
          <w:rFonts w:ascii="Arial" w:cs="Arial" w:eastAsia="Arial" w:hAnsi="Arial"/>
          <w:sz w:val="15"/>
          <w:szCs w:val="15"/>
          <w:u w:val="single" w:color="auto"/>
          <w:color w:val="auto"/>
        </w:rPr>
        <w:t>Section 2.17(d)</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9.03</w:t>
      </w:r>
      <w:r>
        <w:rPr>
          <w:rFonts w:ascii="Arial" w:cs="Arial" w:eastAsia="Arial" w:hAnsi="Arial"/>
          <w:sz w:val="15"/>
          <w:szCs w:val="15"/>
          <w:color w:val="auto"/>
        </w:rPr>
        <w:t xml:space="preserve"> shall continue in effect for the benefit of such retiring Administrative Agent, its sub agents and their respective Related Parties in respect of any actions taken or omitted to be taken by any of them while it was acting as Administrative Agent.</w:t>
      </w:r>
    </w:p>
    <w:p>
      <w:pPr>
        <w:spacing w:after="0" w:line="179" w:lineRule="exact"/>
        <w:rPr>
          <w:sz w:val="20"/>
          <w:szCs w:val="20"/>
          <w:color w:val="auto"/>
        </w:rPr>
      </w:pPr>
    </w:p>
    <w:p>
      <w:pPr>
        <w:jc w:val="both"/>
        <w:ind w:left="5" w:firstLine="570"/>
        <w:spacing w:after="0" w:line="253" w:lineRule="auto"/>
        <w:rPr>
          <w:sz w:val="20"/>
          <w:szCs w:val="20"/>
          <w:color w:val="auto"/>
        </w:rPr>
      </w:pPr>
      <w:r>
        <w:rPr>
          <w:rFonts w:ascii="Arial" w:cs="Arial" w:eastAsia="Arial" w:hAnsi="Arial"/>
          <w:sz w:val="16"/>
          <w:szCs w:val="16"/>
          <w:color w:val="auto"/>
        </w:rPr>
        <w:t>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w:t>
      </w:r>
    </w:p>
    <w:p>
      <w:pPr>
        <w:spacing w:after="0" w:line="194" w:lineRule="exact"/>
        <w:rPr>
          <w:sz w:val="20"/>
          <w:szCs w:val="20"/>
          <w:color w:val="auto"/>
        </w:rPr>
      </w:pPr>
    </w:p>
    <w:p>
      <w:pPr>
        <w:jc w:val="both"/>
        <w:ind w:left="5" w:right="20" w:firstLine="570"/>
        <w:spacing w:after="0" w:line="286" w:lineRule="auto"/>
        <w:rPr>
          <w:sz w:val="20"/>
          <w:szCs w:val="20"/>
          <w:color w:val="auto"/>
        </w:rPr>
      </w:pPr>
      <w:r>
        <w:rPr>
          <w:rFonts w:ascii="Arial" w:cs="Arial" w:eastAsia="Arial" w:hAnsi="Arial"/>
          <w:sz w:val="14"/>
          <w:szCs w:val="14"/>
          <w:color w:val="auto"/>
        </w:rPr>
        <w:t>Each Lender hereby agrees that (a) it has requested a copy of each Report prepared by or on behalf of the Administrative Agent; (b) the Administrative Agent (i) makes no representation or warranty, express or implied, as to the completeness or accuracy of any Report or any of the information contained therein or any inaccuracy or omission contained in or relating to a Report and (ii) shall not be liable for any information contained in any Report; (c) the Reports are not comprehensive audits or examinations, and that any Person performing any field examination or appraisal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w:t>
      </w:r>
    </w:p>
    <w:p>
      <w:pPr>
        <w:spacing w:after="0" w:line="2" w:lineRule="exact"/>
        <w:rPr>
          <w:sz w:val="20"/>
          <w:szCs w:val="20"/>
          <w:color w:val="auto"/>
        </w:rPr>
      </w:pPr>
    </w:p>
    <w:p>
      <w:pPr>
        <w:jc w:val="both"/>
        <w:ind w:left="5" w:hanging="5"/>
        <w:spacing w:after="0" w:line="249" w:lineRule="auto"/>
        <w:tabs>
          <w:tab w:leader="none" w:pos="233" w:val="left"/>
        </w:tabs>
        <w:numPr>
          <w:ilvl w:val="0"/>
          <w:numId w:val="75"/>
        </w:numPr>
        <w:rPr>
          <w:rFonts w:ascii="Arial" w:cs="Arial" w:eastAsia="Arial" w:hAnsi="Arial"/>
          <w:sz w:val="16"/>
          <w:szCs w:val="16"/>
          <w:color w:val="auto"/>
        </w:rPr>
      </w:pPr>
      <w:r>
        <w:rPr>
          <w:rFonts w:ascii="Arial" w:cs="Arial" w:eastAsia="Arial" w:hAnsi="Arial"/>
          <w:sz w:val="16"/>
          <w:szCs w:val="16"/>
          <w:color w:val="auto"/>
        </w:rPr>
        <w:t>it will keep all Reports confidential and strictly for its internal use, not share the Report with any Loan Party or any other Person except as otherwise permitted pursuant to this Agreement; and (e) without limiting the generality of any other indemnification provision contained in this Agreement, it will pay and protect, and indemnify, defend, and hold the Administrative Agent and any such other Person preparing a Report harmless from and against, the claims, actions, proceedings, damages, costs, expenses, and other amounts (including reasonable attorney fees) incurred by the Administrative Agent or such other Person as the direct or indirect result of any third parties who might obtain all or part of any Report through the indemnifying Lender.</w:t>
      </w:r>
    </w:p>
    <w:p>
      <w:pPr>
        <w:spacing w:after="0" w:line="199" w:lineRule="exact"/>
        <w:rPr>
          <w:sz w:val="20"/>
          <w:szCs w:val="20"/>
          <w:color w:val="auto"/>
        </w:rPr>
      </w:pPr>
    </w:p>
    <w:p>
      <w:pPr>
        <w:ind w:left="5" w:right="20" w:firstLine="570"/>
        <w:spacing w:after="0" w:line="270" w:lineRule="auto"/>
        <w:rPr>
          <w:sz w:val="20"/>
          <w:szCs w:val="20"/>
          <w:color w:val="auto"/>
        </w:rPr>
      </w:pPr>
      <w:r>
        <w:rPr>
          <w:rFonts w:ascii="Arial" w:cs="Arial" w:eastAsia="Arial" w:hAnsi="Arial"/>
          <w:sz w:val="16"/>
          <w:szCs w:val="16"/>
          <w:color w:val="auto"/>
        </w:rPr>
        <w:t>The Syndication Agent, the Co-Documentation Agents, and the Co-Collateral Agents shall not have any rights, powers, obligations, liabilities, responsibilities or duties under this Agreement other than those applicable to all Lenders as such.</w:t>
      </w:r>
    </w:p>
    <w:p>
      <w:pPr>
        <w:spacing w:after="0" w:line="180" w:lineRule="exact"/>
        <w:rPr>
          <w:sz w:val="20"/>
          <w:szCs w:val="20"/>
          <w:color w:val="auto"/>
        </w:rPr>
      </w:pPr>
    </w:p>
    <w:p>
      <w:pPr>
        <w:ind w:left="5285"/>
        <w:spacing w:after="0"/>
        <w:rPr>
          <w:sz w:val="20"/>
          <w:szCs w:val="20"/>
          <w:color w:val="auto"/>
        </w:rPr>
      </w:pPr>
      <w:r>
        <w:rPr>
          <w:rFonts w:ascii="Arial" w:cs="Arial" w:eastAsia="Arial" w:hAnsi="Arial"/>
          <w:sz w:val="16"/>
          <w:szCs w:val="16"/>
          <w:color w:val="auto"/>
        </w:rPr>
        <w:t>ARTICLE IX</w:t>
      </w:r>
    </w:p>
    <w:p>
      <w:pPr>
        <w:spacing w:after="0" w:line="17" w:lineRule="exact"/>
        <w:rPr>
          <w:sz w:val="20"/>
          <w:szCs w:val="20"/>
          <w:color w:val="auto"/>
        </w:rPr>
      </w:pPr>
    </w:p>
    <w:p>
      <w:pPr>
        <w:ind w:left="5265"/>
        <w:spacing w:after="0"/>
        <w:rPr>
          <w:sz w:val="20"/>
          <w:szCs w:val="20"/>
          <w:color w:val="auto"/>
        </w:rPr>
      </w:pPr>
      <w:r>
        <w:rPr>
          <w:rFonts w:ascii="Arial" w:cs="Arial" w:eastAsia="Arial" w:hAnsi="Arial"/>
          <w:sz w:val="16"/>
          <w:szCs w:val="16"/>
          <w:u w:val="single" w:color="auto"/>
          <w:color w:val="auto"/>
        </w:rPr>
        <w:t>Miscellaneous</w:t>
      </w:r>
    </w:p>
    <w:p>
      <w:pPr>
        <w:spacing w:after="0" w:line="233" w:lineRule="exact"/>
        <w:rPr>
          <w:sz w:val="20"/>
          <w:szCs w:val="20"/>
          <w:color w:val="auto"/>
        </w:rPr>
      </w:pPr>
    </w:p>
    <w:p>
      <w:pPr>
        <w:ind w:left="5" w:right="460" w:firstLine="570"/>
        <w:spacing w:after="0" w:line="270" w:lineRule="auto"/>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Notices</w:t>
      </w:r>
      <w:r>
        <w:rPr>
          <w:rFonts w:ascii="Arial" w:cs="Arial" w:eastAsia="Arial" w:hAnsi="Arial"/>
          <w:sz w:val="16"/>
          <w:szCs w:val="16"/>
          <w:color w:val="auto"/>
        </w:rPr>
        <w:t>. (a) Except in the case of notices and other communications expressly permitted to be given by telephone (and subject to paragraph (b) below), all notices</w:t>
      </w:r>
    </w:p>
    <w:p>
      <w:pPr>
        <w:spacing w:after="0" w:line="28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821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258" w:right="219" w:bottom="1440" w:gutter="0" w:footer="0" w:header="0"/>
        </w:sectPr>
      </w:pPr>
    </w:p>
    <w:bookmarkStart w:id="89" w:name="page90"/>
    <w:bookmarkEnd w:id="89"/>
    <w:p>
      <w:pPr>
        <w:spacing w:after="0" w:line="270" w:lineRule="auto"/>
        <w:rPr>
          <w:sz w:val="20"/>
          <w:szCs w:val="20"/>
          <w:color w:val="auto"/>
        </w:rPr>
      </w:pPr>
      <w:r>
        <w:rPr>
          <w:rFonts w:ascii="Arial" w:cs="Arial" w:eastAsia="Arial" w:hAnsi="Arial"/>
          <w:sz w:val="16"/>
          <w:szCs w:val="16"/>
          <w:color w:val="auto"/>
        </w:rPr>
        <w:t>and other communications provided for herein shall be in writing and shall be delivered by hand or overnight courier service, mailed by certified or registered mail or sent by facsimile or .pdf transmission, as follows:</w:t>
      </w:r>
    </w:p>
    <w:p>
      <w:pPr>
        <w:spacing w:after="0" w:line="204" w:lineRule="exact"/>
        <w:rPr>
          <w:sz w:val="20"/>
          <w:szCs w:val="20"/>
          <w:color w:val="auto"/>
        </w:rPr>
      </w:pPr>
    </w:p>
    <w:p>
      <w:pPr>
        <w:ind w:left="2040" w:hanging="335"/>
        <w:spacing w:after="0"/>
        <w:tabs>
          <w:tab w:leader="none" w:pos="20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to any Loan Party, to the Borrowers at:</w:t>
      </w:r>
    </w:p>
    <w:p>
      <w:pPr>
        <w:spacing w:after="0" w:line="22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MICRON SEMICONDUCTOR PRODUCTS, INC.</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8000 S. Federal Way</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P.O. Box 6</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Boise, ID 83707-0006</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 Treasury</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Facsimile No: (208) 368-5763</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Email: krizvi@micron.com</w:t>
      </w:r>
    </w:p>
    <w:p>
      <w:pPr>
        <w:spacing w:after="0" w:line="233" w:lineRule="exact"/>
        <w:rPr>
          <w:sz w:val="20"/>
          <w:szCs w:val="20"/>
          <w:color w:val="auto"/>
        </w:rPr>
      </w:pPr>
    </w:p>
    <w:p>
      <w:pPr>
        <w:ind w:left="2080" w:hanging="375"/>
        <w:spacing w:after="0"/>
        <w:tabs>
          <w:tab w:leader="none" w:pos="2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to the Administrative Agent, the Issuing Bank or the Swingline Lender:</w:t>
      </w:r>
    </w:p>
    <w:p>
      <w:pPr>
        <w:spacing w:after="0" w:line="22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HSBC BANK USA, N.A.</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425 Fifth Avenue</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New York, NY 10016-2223</w:t>
      </w:r>
    </w:p>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Arial" w:cs="Arial" w:eastAsia="Arial" w:hAnsi="Arial"/>
                <w:sz w:val="16"/>
                <w:szCs w:val="16"/>
                <w:color w:val="auto"/>
              </w:rPr>
              <w:t>Attention:</w:t>
            </w:r>
          </w:p>
        </w:tc>
        <w:tc>
          <w:tcPr>
            <w:tcW w:w="3400" w:type="dxa"/>
            <w:vAlign w:val="bottom"/>
            <w:gridSpan w:val="3"/>
          </w:tcPr>
          <w:p>
            <w:pPr>
              <w:ind w:left="100"/>
              <w:spacing w:after="0"/>
              <w:rPr>
                <w:sz w:val="20"/>
                <w:szCs w:val="20"/>
                <w:color w:val="auto"/>
              </w:rPr>
            </w:pPr>
            <w:r>
              <w:rPr>
                <w:rFonts w:ascii="Arial" w:cs="Arial" w:eastAsia="Arial" w:hAnsi="Arial"/>
                <w:sz w:val="16"/>
                <w:szCs w:val="16"/>
                <w:color w:val="auto"/>
                <w:w w:val="89"/>
              </w:rPr>
              <w:t>Thomas A. Getty, Jr., SVP – Commercial Executive</w:t>
            </w:r>
          </w:p>
        </w:tc>
      </w:tr>
      <w:tr>
        <w:trPr>
          <w:trHeight w:val="190"/>
        </w:trPr>
        <w:tc>
          <w:tcPr>
            <w:tcW w:w="4500" w:type="dxa"/>
            <w:vAlign w:val="bottom"/>
            <w:gridSpan w:val="4"/>
          </w:tcPr>
          <w:p>
            <w:pPr>
              <w:spacing w:after="0"/>
              <w:rPr>
                <w:sz w:val="20"/>
                <w:szCs w:val="20"/>
                <w:color w:val="auto"/>
              </w:rPr>
            </w:pPr>
            <w:r>
              <w:rPr>
                <w:rFonts w:ascii="Arial" w:cs="Arial" w:eastAsia="Arial" w:hAnsi="Arial"/>
                <w:sz w:val="16"/>
                <w:szCs w:val="16"/>
                <w:color w:val="auto"/>
              </w:rPr>
              <w:t>Thomas Kainamura, VP- Relationship Manager</w:t>
            </w:r>
          </w:p>
        </w:tc>
      </w:tr>
      <w:tr>
        <w:trPr>
          <w:trHeight w:val="190"/>
        </w:trPr>
        <w:tc>
          <w:tcPr>
            <w:tcW w:w="4500" w:type="dxa"/>
            <w:vAlign w:val="bottom"/>
            <w:gridSpan w:val="4"/>
          </w:tcPr>
          <w:p>
            <w:pPr>
              <w:spacing w:after="0"/>
              <w:rPr>
                <w:sz w:val="20"/>
                <w:szCs w:val="20"/>
                <w:color w:val="auto"/>
              </w:rPr>
            </w:pPr>
            <w:r>
              <w:rPr>
                <w:rFonts w:ascii="Arial" w:cs="Arial" w:eastAsia="Arial" w:hAnsi="Arial"/>
                <w:sz w:val="16"/>
                <w:szCs w:val="16"/>
                <w:color w:val="auto"/>
              </w:rPr>
              <w:t>D’Andre Dina, Vice President</w:t>
            </w:r>
          </w:p>
        </w:tc>
      </w:tr>
      <w:tr>
        <w:trPr>
          <w:trHeight w:val="190"/>
        </w:trPr>
        <w:tc>
          <w:tcPr>
            <w:tcW w:w="1100" w:type="dxa"/>
            <w:vAlign w:val="bottom"/>
          </w:tcPr>
          <w:p>
            <w:pPr>
              <w:spacing w:after="0"/>
              <w:rPr>
                <w:sz w:val="20"/>
                <w:szCs w:val="20"/>
                <w:color w:val="auto"/>
              </w:rPr>
            </w:pPr>
            <w:r>
              <w:rPr>
                <w:rFonts w:ascii="Arial" w:cs="Arial" w:eastAsia="Arial" w:hAnsi="Arial"/>
                <w:sz w:val="16"/>
                <w:szCs w:val="16"/>
                <w:color w:val="auto"/>
              </w:rPr>
              <w:t>Facsimile No:</w:t>
            </w:r>
          </w:p>
        </w:tc>
        <w:tc>
          <w:tcPr>
            <w:tcW w:w="2180" w:type="dxa"/>
            <w:vAlign w:val="bottom"/>
            <w:gridSpan w:val="2"/>
          </w:tcPr>
          <w:p>
            <w:pPr>
              <w:ind w:left="120"/>
              <w:spacing w:after="0"/>
              <w:rPr>
                <w:sz w:val="20"/>
                <w:szCs w:val="20"/>
                <w:color w:val="auto"/>
              </w:rPr>
            </w:pPr>
            <w:r>
              <w:rPr>
                <w:rFonts w:ascii="Arial" w:cs="Arial" w:eastAsia="Arial" w:hAnsi="Arial"/>
                <w:sz w:val="16"/>
                <w:szCs w:val="16"/>
                <w:color w:val="auto"/>
              </w:rPr>
              <w:t>(212) 639-2090</w:t>
            </w:r>
          </w:p>
        </w:tc>
        <w:tc>
          <w:tcPr>
            <w:tcW w:w="1220" w:type="dxa"/>
            <w:vAlign w:val="bottom"/>
          </w:tcPr>
          <w:p>
            <w:pPr>
              <w:spacing w:after="0"/>
              <w:rPr>
                <w:sz w:val="16"/>
                <w:szCs w:val="16"/>
                <w:color w:val="auto"/>
              </w:rPr>
            </w:pPr>
          </w:p>
        </w:tc>
      </w:tr>
      <w:tr>
        <w:trPr>
          <w:trHeight w:val="190"/>
        </w:trPr>
        <w:tc>
          <w:tcPr>
            <w:tcW w:w="1100" w:type="dxa"/>
            <w:vAlign w:val="bottom"/>
          </w:tcPr>
          <w:p>
            <w:pPr>
              <w:spacing w:after="0"/>
              <w:rPr>
                <w:sz w:val="20"/>
                <w:szCs w:val="20"/>
                <w:color w:val="auto"/>
              </w:rPr>
            </w:pPr>
            <w:r>
              <w:rPr>
                <w:rFonts w:ascii="Arial" w:cs="Arial" w:eastAsia="Arial" w:hAnsi="Arial"/>
                <w:sz w:val="16"/>
                <w:szCs w:val="16"/>
                <w:color w:val="auto"/>
                <w:w w:val="98"/>
              </w:rPr>
              <w:t>(212) 525-2520</w:t>
            </w: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7"/>
        </w:trPr>
        <w:tc>
          <w:tcPr>
            <w:tcW w:w="1100" w:type="dxa"/>
            <w:vAlign w:val="bottom"/>
          </w:tcPr>
          <w:p>
            <w:pPr>
              <w:spacing w:after="0" w:line="167" w:lineRule="exact"/>
              <w:rPr>
                <w:sz w:val="20"/>
                <w:szCs w:val="20"/>
                <w:color w:val="auto"/>
              </w:rPr>
            </w:pPr>
            <w:r>
              <w:rPr>
                <w:rFonts w:ascii="Arial" w:cs="Arial" w:eastAsia="Arial" w:hAnsi="Arial"/>
                <w:sz w:val="16"/>
                <w:szCs w:val="16"/>
                <w:color w:val="auto"/>
              </w:rPr>
              <w:t>Email:</w:t>
            </w:r>
          </w:p>
        </w:tc>
        <w:tc>
          <w:tcPr>
            <w:tcW w:w="200" w:type="dxa"/>
            <w:vAlign w:val="bottom"/>
          </w:tcPr>
          <w:p>
            <w:pPr>
              <w:spacing w:after="0"/>
              <w:rPr>
                <w:sz w:val="14"/>
                <w:szCs w:val="14"/>
                <w:color w:val="auto"/>
              </w:rPr>
            </w:pPr>
          </w:p>
        </w:tc>
        <w:tc>
          <w:tcPr>
            <w:tcW w:w="1980" w:type="dxa"/>
            <w:vAlign w:val="bottom"/>
            <w:tcBorders>
              <w:bottom w:val="single" w:sz="8" w:color="auto"/>
            </w:tcBorders>
          </w:tcPr>
          <w:p>
            <w:pPr>
              <w:spacing w:after="0" w:line="167" w:lineRule="exact"/>
              <w:rPr>
                <w:sz w:val="20"/>
                <w:szCs w:val="20"/>
                <w:color w:val="auto"/>
              </w:rPr>
            </w:pPr>
            <w:r>
              <w:rPr>
                <w:rFonts w:ascii="Arial" w:cs="Arial" w:eastAsia="Arial" w:hAnsi="Arial"/>
                <w:sz w:val="16"/>
                <w:szCs w:val="16"/>
                <w:color w:val="auto"/>
                <w:w w:val="87"/>
              </w:rPr>
              <w:t>thomas.a.getty.jr@us.hsbc.com</w:t>
            </w:r>
          </w:p>
        </w:tc>
        <w:tc>
          <w:tcPr>
            <w:tcW w:w="1220" w:type="dxa"/>
            <w:vAlign w:val="bottom"/>
          </w:tcPr>
          <w:p>
            <w:pPr>
              <w:spacing w:after="0"/>
              <w:rPr>
                <w:sz w:val="14"/>
                <w:szCs w:val="14"/>
                <w:color w:val="auto"/>
              </w:rPr>
            </w:pPr>
          </w:p>
        </w:tc>
      </w:tr>
    </w:tbl>
    <w:p>
      <w:pPr>
        <w:spacing w:after="0" w:line="11" w:lineRule="exact"/>
        <w:rPr>
          <w:sz w:val="20"/>
          <w:szCs w:val="20"/>
          <w:color w:val="auto"/>
        </w:rPr>
      </w:pPr>
    </w:p>
    <w:p>
      <w:pPr>
        <w:ind w:left="1700"/>
        <w:spacing w:after="0"/>
        <w:rPr>
          <w:sz w:val="20"/>
          <w:szCs w:val="20"/>
          <w:color w:val="auto"/>
        </w:rPr>
      </w:pPr>
      <w:r>
        <w:rPr>
          <w:rFonts w:ascii="Arial" w:cs="Arial" w:eastAsia="Arial" w:hAnsi="Arial"/>
          <w:sz w:val="16"/>
          <w:szCs w:val="16"/>
          <w:u w:val="single" w:color="auto"/>
          <w:color w:val="auto"/>
        </w:rPr>
        <w:t>thomas.k.kainamura@us.hsbc.com</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d’andre.x.dina@us.hsbc.com</w:t>
      </w:r>
    </w:p>
    <w:p>
      <w:pPr>
        <w:spacing w:after="0" w:line="209"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with copies to in each case:</w:t>
      </w:r>
    </w:p>
    <w:p>
      <w:pPr>
        <w:spacing w:after="0" w:line="220"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MORGAN, LEWIS &amp; BOCKIUS LLP</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300 South Grand Avenue, 22nd Floor</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Los Angeles, California 90071-3132</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Attn: Marshall Stoddard, Jr., Esq.</w:t>
      </w:r>
    </w:p>
    <w:p>
      <w:pPr>
        <w:spacing w:after="0" w:line="6"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Facsimile No: (212) 309-6001</w:t>
      </w:r>
    </w:p>
    <w:p>
      <w:pPr>
        <w:spacing w:after="0" w:line="6" w:lineRule="exact"/>
        <w:rPr>
          <w:sz w:val="20"/>
          <w:szCs w:val="20"/>
          <w:color w:val="auto"/>
        </w:rPr>
      </w:pPr>
    </w:p>
    <w:p>
      <w:pPr>
        <w:ind w:left="1700"/>
        <w:spacing w:after="0"/>
        <w:tabs>
          <w:tab w:leader="none" w:pos="274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u w:val="single" w:color="auto"/>
          <w:color w:val="auto"/>
        </w:rPr>
        <w:t>mstoddard@morganlewis.com</w:t>
      </w:r>
    </w:p>
    <w:p>
      <w:pPr>
        <w:spacing w:after="0" w:line="233" w:lineRule="exact"/>
        <w:rPr>
          <w:sz w:val="20"/>
          <w:szCs w:val="20"/>
          <w:color w:val="auto"/>
        </w:rPr>
      </w:pPr>
    </w:p>
    <w:p>
      <w:pPr>
        <w:ind w:left="2140" w:hanging="435"/>
        <w:spacing w:after="0"/>
        <w:tabs>
          <w:tab w:leader="none" w:pos="2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to any other Lender, to it at its address or facsimile number set forth in its Administrative Questionnaire.</w:t>
      </w:r>
    </w:p>
    <w:p>
      <w:pPr>
        <w:spacing w:after="0" w:line="22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All such notices and other communications (i) sent by hand or overnight courier service, or mailed by certified or registered mail, shall be deemed to have been given when received or (ii) sent by facsimile or .pdf transmission shall be deemed to have been given when sent, provided that if not given during normal business hours for the recipient, shall be deemed to have been given at the opening of business on the next Business Day for the recipient.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90" w:name="page91"/>
    <w:bookmarkEnd w:id="90"/>
    <w:p>
      <w:pPr>
        <w:jc w:val="both"/>
        <w:ind w:firstLine="565"/>
        <w:spacing w:after="0" w:line="290" w:lineRule="auto"/>
        <w:tabs>
          <w:tab w:leader="none" w:pos="945"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Notices and other communications to the Lenders and the Borrowers hereunder may be delivered or furnished by electronic communications (including e-mail and internet or intranet websites) pursuant to procedures approved by the Administrative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not apply to notices pursuant to Article II unless otherwise agreed by the Administrative Agent and the applicable Lender and notices to the Borrowers of Default. The Administrative Agent or the Borrower Representative (on behalf of the Loan Parties) may, in its discretion, agree to accept notices and other communications to it hereunder by electronic communications pursuant to procedures approved by it; provided that approval of such procedures may be limited to particular notices or communications. All such notices and other communications (i) sent to an e-mail address shall be deemed received upon the sender’s receipt of an acknowledgement from the intended recipient (such as by the “</w:t>
      </w:r>
      <w:r>
        <w:rPr>
          <w:rFonts w:ascii="Arial" w:cs="Arial" w:eastAsia="Arial" w:hAnsi="Arial"/>
          <w:sz w:val="14"/>
          <w:szCs w:val="14"/>
          <w:u w:val="single" w:color="auto"/>
          <w:color w:val="auto"/>
        </w:rPr>
        <w:t>return receipt requested</w:t>
      </w:r>
      <w:r>
        <w:rPr>
          <w:rFonts w:ascii="Arial" w:cs="Arial" w:eastAsia="Arial" w:hAnsi="Arial"/>
          <w:sz w:val="14"/>
          <w:szCs w:val="14"/>
          <w:color w:val="auto"/>
        </w:rPr>
        <w:t xml:space="preserve">” function, as available, return e-mail or other written acknowledgement),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not given during the normal business hours of the recipient,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(b)(i) of notification that such notice or communication is available and identifying the website address therefor.</w:t>
      </w:r>
    </w:p>
    <w:p>
      <w:pPr>
        <w:spacing w:after="0" w:line="197" w:lineRule="exact"/>
        <w:rPr>
          <w:rFonts w:ascii="Arial" w:cs="Arial" w:eastAsia="Arial" w:hAnsi="Arial"/>
          <w:sz w:val="14"/>
          <w:szCs w:val="14"/>
          <w:color w:val="auto"/>
        </w:rPr>
      </w:pPr>
    </w:p>
    <w:p>
      <w:pPr>
        <w:ind w:left="940" w:hanging="375"/>
        <w:spacing w:after="0"/>
        <w:tabs>
          <w:tab w:leader="none" w:pos="9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party hereto may change its address or facsimile number for notices and other communications hereunder by notice to the other parties hereto.</w:t>
      </w:r>
    </w:p>
    <w:p>
      <w:pPr>
        <w:spacing w:after="0" w:line="243" w:lineRule="exact"/>
        <w:rPr>
          <w:rFonts w:ascii="Arial" w:cs="Arial" w:eastAsia="Arial" w:hAnsi="Arial"/>
          <w:sz w:val="16"/>
          <w:szCs w:val="16"/>
          <w:color w:val="auto"/>
        </w:rPr>
      </w:pPr>
    </w:p>
    <w:p>
      <w:pPr>
        <w:jc w:val="both"/>
        <w:ind w:firstLine="565"/>
        <w:spacing w:after="0" w:line="255" w:lineRule="auto"/>
        <w:tabs>
          <w:tab w:leader="none" w:pos="945"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Notwithstanding the foregoing, any notice of a Default hereunder shall be in writing and sent by facsimile or delivered by hand or overnight courier service to the address of the Borrowers set forth in </w:t>
      </w:r>
      <w:r>
        <w:rPr>
          <w:rFonts w:ascii="Arial" w:cs="Arial" w:eastAsia="Arial" w:hAnsi="Arial"/>
          <w:sz w:val="16"/>
          <w:szCs w:val="16"/>
          <w:u w:val="single" w:color="auto"/>
          <w:color w:val="auto"/>
        </w:rPr>
        <w:t>Section 9.01(a)(i)</w:t>
      </w:r>
      <w:r>
        <w:rPr>
          <w:rFonts w:ascii="Arial" w:cs="Arial" w:eastAsia="Arial" w:hAnsi="Arial"/>
          <w:sz w:val="16"/>
          <w:szCs w:val="16"/>
          <w:color w:val="auto"/>
        </w:rPr>
        <w:t>, with a copy to each of: Micron Technology, Inc., Attention: General Counsel, Mail Stop 1-507, 8000 S. Federal Way, P.O. Box 6, Boise, ID 83707-0006, Facsimile: 208-368-4540 and Micron Technology Inc., Attention: George Mullin, Senior Assistant General Counsel, Mail Stop 1-507, 8000 S. Federal Way, P.O. Box 6, Boise, ID 83707-0006.</w:t>
      </w:r>
    </w:p>
    <w:p>
      <w:pPr>
        <w:spacing w:after="0" w:line="216"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5"/>
          <w:szCs w:val="15"/>
          <w:color w:val="auto"/>
        </w:rPr>
        <w:t xml:space="preserve">SECTION 9.02. </w:t>
      </w:r>
      <w:r>
        <w:rPr>
          <w:rFonts w:ascii="Arial" w:cs="Arial" w:eastAsia="Arial" w:hAnsi="Arial"/>
          <w:sz w:val="15"/>
          <w:szCs w:val="15"/>
          <w:u w:val="single" w:color="auto"/>
          <w:color w:val="auto"/>
        </w:rPr>
        <w:t>Waivers; Amendments</w:t>
      </w:r>
      <w:r>
        <w:rPr>
          <w:rFonts w:ascii="Arial" w:cs="Arial" w:eastAsia="Arial" w:hAnsi="Arial"/>
          <w:sz w:val="15"/>
          <w:szCs w:val="15"/>
          <w:color w:val="auto"/>
        </w:rPr>
        <w:t>.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206" w:lineRule="exact"/>
        <w:rPr>
          <w:sz w:val="20"/>
          <w:szCs w:val="20"/>
          <w:color w:val="auto"/>
        </w:rPr>
      </w:pPr>
    </w:p>
    <w:p>
      <w:pPr>
        <w:ind w:left="1000" w:hanging="435"/>
        <w:spacing w:after="0"/>
        <w:tabs>
          <w:tab w:leader="none" w:pos="10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Neither this Agreement nor any other Loan Document nor any provision hereof or thereof may be waived, amended or modified except (x) in the case of this</w:t>
      </w:r>
    </w:p>
    <w:p>
      <w:pPr>
        <w:spacing w:after="0" w:line="2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91" w:name="page92"/>
    <w:bookmarkEnd w:id="91"/>
    <w:p>
      <w:pPr>
        <w:jc w:val="both"/>
        <w:spacing w:after="0" w:line="286" w:lineRule="auto"/>
        <w:rPr>
          <w:sz w:val="20"/>
          <w:szCs w:val="20"/>
          <w:color w:val="auto"/>
        </w:rPr>
      </w:pPr>
      <w:r>
        <w:rPr>
          <w:rFonts w:ascii="Arial" w:cs="Arial" w:eastAsia="Arial" w:hAnsi="Arial"/>
          <w:sz w:val="14"/>
          <w:szCs w:val="14"/>
          <w:color w:val="auto"/>
        </w:rPr>
        <w:t xml:space="preserve">pursuant to an agreement or agreements in writing entered into by the Borrowers and the Required Lenders or (y) in the case of any other Loan Document, pursuant to an agreement or agreements in writing entered into by the Administrative Agent and the Loan Party or Loan Parties that are parties thereto, with the consent of the Required Lenders; provided 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affected thereby,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affected thereby, (iv) change </w:t>
      </w:r>
      <w:r>
        <w:rPr>
          <w:rFonts w:ascii="Arial" w:cs="Arial" w:eastAsia="Arial" w:hAnsi="Arial"/>
          <w:sz w:val="14"/>
          <w:szCs w:val="14"/>
          <w:u w:val="single" w:color="auto"/>
          <w:color w:val="auto"/>
        </w:rPr>
        <w:t>Sections 2.18(b)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2.18(d)</w:t>
      </w:r>
      <w:r>
        <w:rPr>
          <w:rFonts w:ascii="Arial" w:cs="Arial" w:eastAsia="Arial" w:hAnsi="Arial"/>
          <w:sz w:val="14"/>
          <w:szCs w:val="14"/>
          <w:color w:val="auto"/>
        </w:rPr>
        <w:t xml:space="preserve"> in a manner that would alter the manner in which payments are shared, without the written consent of each Lender (including any such Lender that is a Defaulting Lender), (v) increase the advance rates set forth in the definition of the Borrowing Base or add new categories of eligible assets without the written consent of each Revolving Lender (other than any Defaulting Lender), (vi) change the definition of “Applicable Percentage” or “Required Lenders” without the written consent of each Lender (other than any Defaulting Lender), (vii) change any of the provisions of this Section or any other provision of any Loan Document (other than the definition of “Required Lenders”) specifying the number or percentage of Lenders (or Lenders of any Class) required to waive, amend or modify any rights thereunder or make any determination or grant any consent thereunder, without the written consent of each Lender (including any such Lender that is a Defaulting Lender) directly affected thereby, (viii) change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without the consent of each Lender (other than any Defaulting Lender), (ix) release any Loan Guarantor from its obligation under its Guaranty (except as otherwise permitted herein or in the other Loan Documents), without the written consent of each Lender (other than any Defaulting Lender), or (x) except as provided in clause (c) of this Section or in any Collateral Document, release all or substantially all of the Collateral, without the written consent of each Lender (other than any Defaulting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further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change to </w:t>
      </w:r>
      <w:r>
        <w:rPr>
          <w:rFonts w:ascii="Arial" w:cs="Arial" w:eastAsia="Arial" w:hAnsi="Arial"/>
          <w:sz w:val="14"/>
          <w:szCs w:val="14"/>
          <w:u w:val="single" w:color="auto"/>
          <w:color w:val="auto"/>
        </w:rPr>
        <w:t>Section 2.20</w:t>
      </w:r>
      <w:r>
        <w:rPr>
          <w:rFonts w:ascii="Arial" w:cs="Arial" w:eastAsia="Arial" w:hAnsi="Arial"/>
          <w:sz w:val="14"/>
          <w:szCs w:val="14"/>
          <w:color w:val="auto"/>
        </w:rPr>
        <w:t xml:space="preserve"> shall require the consent of the Administrative Agent, the Issuing Bank and the Swingline Lender). The Administrative Agent may also amend the Commitment Schedule to reflect assignments entered into pursuant to </w:t>
      </w:r>
      <w:r>
        <w:rPr>
          <w:rFonts w:ascii="Arial" w:cs="Arial" w:eastAsia="Arial" w:hAnsi="Arial"/>
          <w:sz w:val="14"/>
          <w:szCs w:val="14"/>
          <w:u w:val="single" w:color="auto"/>
          <w:color w:val="auto"/>
        </w:rPr>
        <w:t>Section 9.04</w:t>
      </w:r>
      <w:r>
        <w:rPr>
          <w:rFonts w:ascii="Arial" w:cs="Arial" w:eastAsia="Arial" w:hAnsi="Arial"/>
          <w:sz w:val="14"/>
          <w:szCs w:val="14"/>
          <w:color w:val="auto"/>
        </w:rPr>
        <w:t xml:space="preserve"> or any increase in the Commitments pursuant to </w:t>
      </w:r>
      <w:r>
        <w:rPr>
          <w:rFonts w:ascii="Arial" w:cs="Arial" w:eastAsia="Arial" w:hAnsi="Arial"/>
          <w:sz w:val="14"/>
          <w:szCs w:val="14"/>
          <w:u w:val="single" w:color="auto"/>
          <w:color w:val="auto"/>
        </w:rPr>
        <w:t>Section 2.09(e)</w:t>
      </w:r>
      <w:r>
        <w:rPr>
          <w:rFonts w:ascii="Arial" w:cs="Arial" w:eastAsia="Arial" w:hAnsi="Arial"/>
          <w:sz w:val="14"/>
          <w:szCs w:val="14"/>
          <w:color w:val="auto"/>
        </w:rPr>
        <w:t>.</w:t>
      </w:r>
    </w:p>
    <w:p>
      <w:pPr>
        <w:spacing w:after="0" w:line="201" w:lineRule="exact"/>
        <w:rPr>
          <w:sz w:val="20"/>
          <w:szCs w:val="20"/>
          <w:color w:val="auto"/>
        </w:rPr>
      </w:pPr>
    </w:p>
    <w:p>
      <w:pPr>
        <w:jc w:val="both"/>
        <w:ind w:firstLine="565"/>
        <w:spacing w:after="0" w:line="253" w:lineRule="auto"/>
        <w:tabs>
          <w:tab w:leader="none" w:pos="936"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Lenders hereby irrevocably authorize the Administrative Agent, at its option and in its sole discretion, to release any Liens granted to the Administrative Agent by the Loan Parties on any Collateral (i) upon the termination of the Commitments, payment and satisfaction in full in cash of all Secured Obligations (other than Unliquidated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92" w:name="page93"/>
    <w:bookmarkEnd w:id="92"/>
    <w:p>
      <w:pPr>
        <w:jc w:val="both"/>
        <w:spacing w:after="0" w:line="298" w:lineRule="auto"/>
        <w:rPr>
          <w:sz w:val="20"/>
          <w:szCs w:val="20"/>
          <w:color w:val="auto"/>
        </w:rPr>
      </w:pPr>
      <w:r>
        <w:rPr>
          <w:rFonts w:ascii="Arial" w:cs="Arial" w:eastAsia="Arial" w:hAnsi="Arial"/>
          <w:sz w:val="14"/>
          <w:szCs w:val="14"/>
          <w:color w:val="auto"/>
        </w:rPr>
        <w:t>certificate, without further inquiry), or (iii)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(or all Lenders (other than any Defaulting Lender) to the extent Agent is releasing Liens on all or substantially all of the Collateral).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w:t>
      </w:r>
    </w:p>
    <w:p>
      <w:pPr>
        <w:spacing w:after="0" w:line="188" w:lineRule="exact"/>
        <w:rPr>
          <w:sz w:val="20"/>
          <w:szCs w:val="20"/>
          <w:color w:val="auto"/>
        </w:rPr>
      </w:pPr>
    </w:p>
    <w:p>
      <w:pPr>
        <w:jc w:val="both"/>
        <w:ind w:firstLine="565"/>
        <w:spacing w:after="0" w:line="268" w:lineRule="auto"/>
        <w:tabs>
          <w:tab w:leader="none" w:pos="957" w:val="left"/>
        </w:tabs>
        <w:numPr>
          <w:ilvl w:val="0"/>
          <w:numId w:val="82"/>
        </w:numPr>
        <w:rPr>
          <w:rFonts w:ascii="Arial" w:cs="Arial" w:eastAsia="Arial" w:hAnsi="Arial"/>
          <w:sz w:val="15"/>
          <w:szCs w:val="15"/>
          <w:color w:val="auto"/>
        </w:rPr>
      </w:pPr>
      <w:r>
        <w:rPr>
          <w:rFonts w:ascii="Arial" w:cs="Arial" w:eastAsia="Arial" w:hAnsi="Arial"/>
          <w:sz w:val="15"/>
          <w:szCs w:val="15"/>
          <w:color w:val="auto"/>
        </w:rPr>
        <w:t>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5"/>
          <w:szCs w:val="15"/>
          <w:u w:val="single" w:color="auto"/>
          <w:color w:val="auto"/>
        </w:rPr>
        <w:t>Non-Consenting Lender</w:t>
      </w:r>
      <w:r>
        <w:rPr>
          <w:rFonts w:ascii="Arial" w:cs="Arial" w:eastAsia="Arial" w:hAnsi="Arial"/>
          <w:sz w:val="15"/>
          <w:szCs w:val="15"/>
          <w:color w:val="auto"/>
        </w:rPr>
        <w:t xml:space="preserve">”), then the Borrowers may elect to replace a Non-Consenting Lender as a Lender party to this Agreement, provided that, concurrently with such replacement, (i) another bank or other entity which is reasonably satisfactory to the Borrowers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w:t>
      </w:r>
      <w:r>
        <w:rPr>
          <w:rFonts w:ascii="Arial" w:cs="Arial" w:eastAsia="Arial" w:hAnsi="Arial"/>
          <w:sz w:val="15"/>
          <w:szCs w:val="15"/>
          <w:u w:val="single" w:color="auto"/>
          <w:color w:val="auto"/>
        </w:rPr>
        <w:t>Section 9.04</w:t>
      </w:r>
      <w:r>
        <w:rPr>
          <w:rFonts w:ascii="Arial" w:cs="Arial" w:eastAsia="Arial" w:hAnsi="Arial"/>
          <w:sz w:val="15"/>
          <w:szCs w:val="15"/>
          <w:color w:val="auto"/>
        </w:rPr>
        <w:t xml:space="preserve">,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w:t>
      </w:r>
      <w:r>
        <w:rPr>
          <w:rFonts w:ascii="Arial" w:cs="Arial" w:eastAsia="Arial" w:hAnsi="Arial"/>
          <w:sz w:val="15"/>
          <w:szCs w:val="15"/>
          <w:u w:val="single" w:color="auto"/>
          <w:color w:val="auto"/>
        </w:rPr>
        <w:t>Sections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2.15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and (2) an amount, if any, equal to the payment which would have been due to such Lender on the day of such replacement under </w:t>
      </w:r>
      <w:r>
        <w:rPr>
          <w:rFonts w:ascii="Arial" w:cs="Arial" w:eastAsia="Arial" w:hAnsi="Arial"/>
          <w:sz w:val="15"/>
          <w:szCs w:val="15"/>
          <w:u w:val="single" w:color="auto"/>
          <w:color w:val="auto"/>
        </w:rPr>
        <w:t>Section 2.16</w:t>
      </w:r>
      <w:r>
        <w:rPr>
          <w:rFonts w:ascii="Arial" w:cs="Arial" w:eastAsia="Arial" w:hAnsi="Arial"/>
          <w:sz w:val="15"/>
          <w:szCs w:val="15"/>
          <w:color w:val="auto"/>
        </w:rPr>
        <w:t xml:space="preserve"> had the Loans of such Non-Consenting Lender been prepaid on such date rather than sold to the replacement Lender.</w:t>
      </w:r>
    </w:p>
    <w:p>
      <w:pPr>
        <w:spacing w:after="0" w:line="212" w:lineRule="exact"/>
        <w:rPr>
          <w:sz w:val="20"/>
          <w:szCs w:val="20"/>
          <w:color w:val="auto"/>
        </w:rPr>
      </w:pPr>
    </w:p>
    <w:p>
      <w:pPr>
        <w:jc w:val="both"/>
        <w:ind w:firstLine="570"/>
        <w:spacing w:after="0" w:line="290" w:lineRule="auto"/>
        <w:rPr>
          <w:sz w:val="20"/>
          <w:szCs w:val="20"/>
          <w:color w:val="auto"/>
        </w:rPr>
      </w:pPr>
      <w:r>
        <w:rPr>
          <w:rFonts w:ascii="Arial" w:cs="Arial" w:eastAsia="Arial" w:hAnsi="Arial"/>
          <w:sz w:val="14"/>
          <w:szCs w:val="14"/>
          <w:color w:val="auto"/>
        </w:rPr>
        <w:t xml:space="preserve">SECTION 9.03. </w:t>
      </w:r>
      <w:r>
        <w:rPr>
          <w:rFonts w:ascii="Arial" w:cs="Arial" w:eastAsia="Arial" w:hAnsi="Arial"/>
          <w:sz w:val="14"/>
          <w:szCs w:val="14"/>
          <w:u w:val="single" w:color="auto"/>
          <w:color w:val="auto"/>
        </w:rPr>
        <w:t>Expenses; Indemnity; Damage Waiver</w:t>
      </w:r>
      <w:r>
        <w:rPr>
          <w:rFonts w:ascii="Arial" w:cs="Arial" w:eastAsia="Arial" w:hAnsi="Arial"/>
          <w:sz w:val="14"/>
          <w:szCs w:val="14"/>
          <w:color w:val="auto"/>
        </w:rPr>
        <w:t>. (a) The Borrowers shall pay (i) all reasonable out of pocket expenses incurred by the Administrative Agent and its Affiliates, including the reasonable fees, charges and disbursements of counsel for the Administrative Agent (limited, in the absence of an actual conflict of interest, to one counsel for the Administrative Agent and its Affiliates in each relevant jurisdiction), in connection with the syndication and distribution (including, without limitation, via the internet or through a service such as Debtdomain or any other services that may be implemented by the Administrative Agent)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out-of-pocket expenses incurred by the Issuing Bank in connection with the issuance, amendment, renewal or extension of any Letter of Credit or any demand for payment thereunder, and (iii) all reasonable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93" w:name="page94"/>
    <w:bookmarkEnd w:id="93"/>
    <w:p>
      <w:pPr>
        <w:jc w:val="both"/>
        <w:spacing w:after="0" w:line="272" w:lineRule="auto"/>
        <w:rPr>
          <w:sz w:val="20"/>
          <w:szCs w:val="20"/>
          <w:color w:val="auto"/>
        </w:rPr>
      </w:pPr>
      <w:r>
        <w:rPr>
          <w:rFonts w:ascii="Arial" w:cs="Arial" w:eastAsia="Arial" w:hAnsi="Arial"/>
          <w:sz w:val="15"/>
          <w:szCs w:val="15"/>
          <w:color w:val="auto"/>
        </w:rPr>
        <w:t>or Letters of Credit issued hereunder, including all such reasonable out-of pocket expenses incurred during any workout, restructuring or negotiations in respect of such Loans or Letters of Credit; provided, that the Borrowers shall only pay the foregoing expenses in this clause (iii) incurred by any Lender not the Administrative Agent or the Issuing Bank after the occurrence and during the continuance of any Event of Default, and the Lenders (other than the Administrative Agent and the Issuing Bank) shall be entitled to reimbursement for no more than one counsel representing all such Lenders, one local counsel in each reasonably necessary jurisdiction, one specialty counsel in each reasonably necessary specialty area, and one or more additional counsel if one or more conflicts of interest arise. Expenses being reimbursed by the Borrowers under this Section include, without limiting the generality of the foregoing, costs and expenses incurred in connection with:</w:t>
      </w:r>
    </w:p>
    <w:p>
      <w:pPr>
        <w:spacing w:after="0" w:line="205" w:lineRule="exact"/>
        <w:rPr>
          <w:sz w:val="20"/>
          <w:szCs w:val="20"/>
          <w:color w:val="auto"/>
        </w:rPr>
      </w:pPr>
    </w:p>
    <w:p>
      <w:pPr>
        <w:jc w:val="both"/>
        <w:ind w:left="560" w:right="20" w:firstLine="1145"/>
        <w:spacing w:after="0" w:line="259" w:lineRule="auto"/>
        <w:tabs>
          <w:tab w:leader="none" w:pos="20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field examinations and appraisals subject to the limitations set forth in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and the preparation of Reports based on the fees charged by a third party retained by the Administrative Agent or the internally allocated fees for each Person employed by the Administrative Agent with respect to each field examination and/or appraisal;</w:t>
      </w:r>
    </w:p>
    <w:p>
      <w:pPr>
        <w:spacing w:after="0" w:line="212" w:lineRule="exact"/>
        <w:rPr>
          <w:rFonts w:ascii="Arial" w:cs="Arial" w:eastAsia="Arial" w:hAnsi="Arial"/>
          <w:sz w:val="16"/>
          <w:szCs w:val="16"/>
          <w:color w:val="auto"/>
        </w:rPr>
      </w:pPr>
    </w:p>
    <w:p>
      <w:pPr>
        <w:ind w:left="2120" w:hanging="415"/>
        <w:spacing w:after="0"/>
        <w:tabs>
          <w:tab w:leader="none" w:pos="21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background checks regarding senior management and/or key investors, as deemed necessary or appropriate in the sole discretion of the</w:t>
      </w:r>
    </w:p>
    <w:p>
      <w:pPr>
        <w:spacing w:after="0" w:line="28"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6"/>
          <w:szCs w:val="16"/>
          <w:color w:val="auto"/>
        </w:rPr>
        <w:t>Administrative Agent;</w:t>
      </w:r>
    </w:p>
    <w:p>
      <w:pPr>
        <w:spacing w:after="0" w:line="232" w:lineRule="exact"/>
        <w:rPr>
          <w:rFonts w:ascii="Arial" w:cs="Arial" w:eastAsia="Arial" w:hAnsi="Arial"/>
          <w:sz w:val="15"/>
          <w:szCs w:val="15"/>
          <w:color w:val="auto"/>
        </w:rPr>
      </w:pPr>
    </w:p>
    <w:p>
      <w:pPr>
        <w:ind w:left="560" w:right="20" w:firstLine="1145"/>
        <w:spacing w:after="0" w:line="270" w:lineRule="auto"/>
        <w:tabs>
          <w:tab w:leader="none" w:pos="2128" w:val="left"/>
        </w:tabs>
        <w:numPr>
          <w:ilvl w:val="0"/>
          <w:numId w:val="83"/>
        </w:numPr>
        <w:rPr>
          <w:rFonts w:ascii="Arial" w:cs="Arial" w:eastAsia="Arial" w:hAnsi="Arial"/>
          <w:sz w:val="16"/>
          <w:szCs w:val="16"/>
          <w:color w:val="auto"/>
        </w:rPr>
      </w:pPr>
      <w:r>
        <w:rPr>
          <w:rFonts w:ascii="Arial" w:cs="Arial" w:eastAsia="Arial" w:hAnsi="Arial"/>
          <w:sz w:val="16"/>
          <w:szCs w:val="16"/>
          <w:color w:val="auto"/>
        </w:rPr>
        <w:t>fees and other charges for (A) lien and title searches and (B) filing financing statements and continuations, and other actions to perfect, protect, and continue the Administrative Agent’s Liens;</w:t>
      </w:r>
    </w:p>
    <w:p>
      <w:pPr>
        <w:spacing w:after="0" w:line="203" w:lineRule="exact"/>
        <w:rPr>
          <w:rFonts w:ascii="Arial" w:cs="Arial" w:eastAsia="Arial" w:hAnsi="Arial"/>
          <w:sz w:val="16"/>
          <w:szCs w:val="16"/>
          <w:color w:val="auto"/>
        </w:rPr>
      </w:pPr>
    </w:p>
    <w:p>
      <w:pPr>
        <w:ind w:left="2120" w:hanging="415"/>
        <w:spacing w:after="0"/>
        <w:tabs>
          <w:tab w:leader="none" w:pos="21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sums paid or incurred to take any action required of any Loan Party under the Loan Documents that such Loan Party fails to pay or take; and</w:t>
      </w:r>
    </w:p>
    <w:p>
      <w:pPr>
        <w:spacing w:after="0" w:line="266" w:lineRule="exact"/>
        <w:rPr>
          <w:rFonts w:ascii="Arial" w:cs="Arial" w:eastAsia="Arial" w:hAnsi="Arial"/>
          <w:sz w:val="14"/>
          <w:szCs w:val="14"/>
          <w:color w:val="auto"/>
        </w:rPr>
      </w:pPr>
    </w:p>
    <w:p>
      <w:pPr>
        <w:ind w:left="560" w:firstLine="1145"/>
        <w:spacing w:after="0" w:line="270" w:lineRule="auto"/>
        <w:tabs>
          <w:tab w:leader="none" w:pos="2075" w:val="left"/>
        </w:tabs>
        <w:numPr>
          <w:ilvl w:val="0"/>
          <w:numId w:val="83"/>
        </w:numPr>
        <w:rPr>
          <w:rFonts w:ascii="Arial" w:cs="Arial" w:eastAsia="Arial" w:hAnsi="Arial"/>
          <w:sz w:val="16"/>
          <w:szCs w:val="16"/>
          <w:color w:val="auto"/>
        </w:rPr>
      </w:pPr>
      <w:r>
        <w:rPr>
          <w:rFonts w:ascii="Arial" w:cs="Arial" w:eastAsia="Arial" w:hAnsi="Arial"/>
          <w:sz w:val="16"/>
          <w:szCs w:val="16"/>
          <w:color w:val="auto"/>
        </w:rPr>
        <w:t>forwarding loan proceeds, collecting checks and other items of payment, and establishing and maintaining the accounts and lock boxes, and costs and expenses of preserving and protecting the Collateral.</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All of the foregoing costs and expenses may be charged to the Borrowers as Revolving Loans or to another deposit account, all as described in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9.03(a)</w:t>
      </w:r>
      <w:r>
        <w:rPr>
          <w:rFonts w:ascii="Arial" w:cs="Arial" w:eastAsia="Arial" w:hAnsi="Arial"/>
          <w:sz w:val="16"/>
          <w:szCs w:val="16"/>
          <w:color w:val="auto"/>
        </w:rPr>
        <w:t xml:space="preserve"> shall not apply with respect to Taxes.</w:t>
      </w:r>
    </w:p>
    <w:p>
      <w:pPr>
        <w:spacing w:after="0" w:line="204" w:lineRule="exact"/>
        <w:rPr>
          <w:sz w:val="20"/>
          <w:szCs w:val="20"/>
          <w:color w:val="auto"/>
        </w:rPr>
      </w:pPr>
    </w:p>
    <w:p>
      <w:pPr>
        <w:jc w:val="both"/>
        <w:ind w:right="20" w:firstLine="565"/>
        <w:spacing w:after="0" w:line="295" w:lineRule="auto"/>
        <w:tabs>
          <w:tab w:leader="none" w:pos="945"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Borrowers shall, jointly and severally, indemnify the Administrative Agent, the Issuing Bank and each Lender, and each Related Party of any of the foregoing Persons (each such Person being called an “</w:t>
      </w:r>
      <w:r>
        <w:rPr>
          <w:rFonts w:ascii="Arial" w:cs="Arial" w:eastAsia="Arial" w:hAnsi="Arial"/>
          <w:sz w:val="14"/>
          <w:szCs w:val="14"/>
          <w:u w:val="single" w:color="auto"/>
          <w:color w:val="auto"/>
        </w:rPr>
        <w:t>Indemnitee</w:t>
      </w:r>
      <w:r>
        <w:rPr>
          <w:rFonts w:ascii="Arial" w:cs="Arial" w:eastAsia="Arial" w:hAnsi="Arial"/>
          <w:sz w:val="14"/>
          <w:szCs w:val="14"/>
          <w:color w:val="auto"/>
        </w:rPr>
        <w:t>”) against, and hold each Indemnitee harmless from, any and all losses, claims, damages, penalties, liabilities and related expenses, including the reasonable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94" w:name="page95"/>
    <w:bookmarkEnd w:id="94"/>
    <w:p>
      <w:pPr>
        <w:jc w:val="both"/>
        <w:spacing w:after="0" w:line="251" w:lineRule="auto"/>
        <w:rPr>
          <w:sz w:val="20"/>
          <w:szCs w:val="20"/>
          <w:color w:val="auto"/>
        </w:rPr>
      </w:pPr>
      <w:r>
        <w:rPr>
          <w:rFonts w:ascii="Arial" w:cs="Arial" w:eastAsia="Arial" w:hAnsi="Arial"/>
          <w:sz w:val="16"/>
          <w:szCs w:val="16"/>
          <w:color w:val="auto"/>
        </w:rPr>
        <w:t xml:space="preserve">connection with such demand do not strictly comply with the terms of such Letter of Credit), (iii) any actual or alleged presence or release of Hazardous Materials on or from any property owned or operated by any Borrower, or any Environmental Liability related in any way to any Borrower, (iv) the failure of the Borrowers to deliver to the Administrative Agent the required receipts or other required documentary evidence with respect to a payment made by the Borrowers for Taxes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or (v) any actual or prospective claim, litigation, investigation or proceeding relating to any of the foregoing, whether based on contract, tort or any other theory and regardless of whether any Borrower or Indemnitee is a party thereto; provided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w:t>
      </w:r>
      <w:r>
        <w:rPr>
          <w:rFonts w:ascii="Arial" w:cs="Arial" w:eastAsia="Arial" w:hAnsi="Arial"/>
          <w:sz w:val="16"/>
          <w:szCs w:val="16"/>
          <w:u w:val="single" w:color="auto"/>
          <w:color w:val="auto"/>
        </w:rPr>
        <w:t>Section 9.03(b)</w:t>
      </w:r>
      <w:r>
        <w:rPr>
          <w:rFonts w:ascii="Arial" w:cs="Arial" w:eastAsia="Arial" w:hAnsi="Arial"/>
          <w:sz w:val="16"/>
          <w:szCs w:val="16"/>
          <w:color w:val="auto"/>
        </w:rPr>
        <w:t xml:space="preserve"> shall not apply with respect to Taxes, other than Taxes that represent losses, claims, damages, liabilities, and related expenses arising from any non-Tax claim.</w:t>
      </w:r>
    </w:p>
    <w:p>
      <w:pPr>
        <w:spacing w:after="0" w:line="219" w:lineRule="exact"/>
        <w:rPr>
          <w:sz w:val="20"/>
          <w:szCs w:val="20"/>
          <w:color w:val="auto"/>
        </w:rPr>
      </w:pPr>
    </w:p>
    <w:p>
      <w:pPr>
        <w:jc w:val="both"/>
        <w:ind w:firstLine="565"/>
        <w:spacing w:after="0" w:line="253" w:lineRule="auto"/>
        <w:tabs>
          <w:tab w:leader="none" w:pos="94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the extent that the Borrowers fail to pay any amount required to be paid by it to the Administrative Agent, the Issuing Bank or the Swingline Lender under paragraph (a) or (b) of this Section, each Lender severally agrees to pay to the Administrative Agent, the Issuing Bank or the Swingline Lender, as the case may be, such Lender’s Applicable Percentage (determined as of the time that the applicable unreimbursed expense or indemnity payment is sought) of such unpaid amount; provided that the unreimbursed expense or indemnified loss, claim, damage, penalty, liability or related expense, as the case may be, was incurred by or asserted against the Administrative Agent, the Issuing Bank or the Swingline Lender in its capacity as such.</w:t>
      </w:r>
    </w:p>
    <w:p>
      <w:pPr>
        <w:spacing w:after="0" w:line="217" w:lineRule="exact"/>
        <w:rPr>
          <w:rFonts w:ascii="Arial" w:cs="Arial" w:eastAsia="Arial" w:hAnsi="Arial"/>
          <w:sz w:val="16"/>
          <w:szCs w:val="16"/>
          <w:color w:val="auto"/>
        </w:rPr>
      </w:pPr>
    </w:p>
    <w:p>
      <w:pPr>
        <w:jc w:val="both"/>
        <w:ind w:right="20" w:firstLine="565"/>
        <w:spacing w:after="0" w:line="274" w:lineRule="auto"/>
        <w:tabs>
          <w:tab w:leader="none" w:pos="957" w:val="left"/>
        </w:tabs>
        <w:numPr>
          <w:ilvl w:val="0"/>
          <w:numId w:val="85"/>
        </w:numPr>
        <w:rPr>
          <w:rFonts w:ascii="Arial" w:cs="Arial" w:eastAsia="Arial" w:hAnsi="Arial"/>
          <w:sz w:val="15"/>
          <w:szCs w:val="15"/>
          <w:color w:val="auto"/>
        </w:rPr>
      </w:pPr>
      <w:r>
        <w:rPr>
          <w:rFonts w:ascii="Arial" w:cs="Arial" w:eastAsia="Arial" w:hAnsi="Arial"/>
          <w:sz w:val="15"/>
          <w:szCs w:val="15"/>
          <w:color w:val="auto"/>
        </w:rPr>
        <w:t xml:space="preserve">To the extent permitted by applicable law, no Loan Party shall assert, and each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No Indemnitee referred to in </w:t>
      </w:r>
      <w:r>
        <w:rPr>
          <w:rFonts w:ascii="Arial" w:cs="Arial" w:eastAsia="Arial" w:hAnsi="Arial"/>
          <w:sz w:val="15"/>
          <w:szCs w:val="15"/>
          <w:u w:val="single" w:color="auto"/>
          <w:color w:val="auto"/>
        </w:rPr>
        <w:t>clause (b)</w:t>
      </w:r>
      <w:r>
        <w:rPr>
          <w:rFonts w:ascii="Arial" w:cs="Arial" w:eastAsia="Arial" w:hAnsi="Arial"/>
          <w:sz w:val="15"/>
          <w:szCs w:val="15"/>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3" w:lineRule="exact"/>
        <w:rPr>
          <w:rFonts w:ascii="Arial" w:cs="Arial" w:eastAsia="Arial" w:hAnsi="Arial"/>
          <w:sz w:val="15"/>
          <w:szCs w:val="15"/>
          <w:color w:val="auto"/>
        </w:rPr>
      </w:pPr>
    </w:p>
    <w:p>
      <w:pPr>
        <w:ind w:left="940" w:hanging="375"/>
        <w:spacing w:after="0"/>
        <w:tabs>
          <w:tab w:leader="none" w:pos="9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amounts due under this Section shall be payable promptly after written demand therefor.</w:t>
      </w:r>
    </w:p>
    <w:p>
      <w:pPr>
        <w:spacing w:after="0" w:line="244" w:lineRule="exact"/>
        <w:rPr>
          <w:sz w:val="20"/>
          <w:szCs w:val="20"/>
          <w:color w:val="auto"/>
        </w:rPr>
      </w:pPr>
    </w:p>
    <w:p>
      <w:pPr>
        <w:jc w:val="both"/>
        <w:ind w:firstLine="570"/>
        <w:spacing w:after="0" w:line="298" w:lineRule="auto"/>
        <w:rPr>
          <w:sz w:val="20"/>
          <w:szCs w:val="20"/>
          <w:color w:val="auto"/>
        </w:rPr>
      </w:pPr>
      <w:r>
        <w:rPr>
          <w:rFonts w:ascii="Arial" w:cs="Arial" w:eastAsia="Arial" w:hAnsi="Arial"/>
          <w:sz w:val="14"/>
          <w:szCs w:val="14"/>
          <w:color w:val="auto"/>
        </w:rPr>
        <w:t xml:space="preserve">SECTION 9.04.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95" w:name="page96"/>
    <w:bookmarkEnd w:id="95"/>
    <w:p>
      <w:pPr>
        <w:jc w:val="both"/>
        <w:spacing w:after="0" w:line="259" w:lineRule="auto"/>
        <w:rPr>
          <w:sz w:val="20"/>
          <w:szCs w:val="20"/>
          <w:color w:val="auto"/>
        </w:rPr>
      </w:pPr>
      <w:r>
        <w:rPr>
          <w:rFonts w:ascii="Arial" w:cs="Arial" w:eastAsia="Arial" w:hAnsi="Arial"/>
          <w:sz w:val="16"/>
          <w:szCs w:val="16"/>
          <w:color w:val="auto"/>
        </w:rPr>
        <w:t>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188" w:lineRule="exact"/>
        <w:rPr>
          <w:sz w:val="20"/>
          <w:szCs w:val="20"/>
          <w:color w:val="auto"/>
        </w:rPr>
      </w:pPr>
    </w:p>
    <w:p>
      <w:pPr>
        <w:jc w:val="both"/>
        <w:ind w:right="20" w:firstLine="565"/>
        <w:spacing w:after="0" w:line="259" w:lineRule="auto"/>
        <w:tabs>
          <w:tab w:leader="none" w:pos="1342"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paragraph (b)(ii)</w:t>
      </w:r>
      <w:r>
        <w:rPr>
          <w:rFonts w:ascii="Arial" w:cs="Arial" w:eastAsia="Arial" w:hAnsi="Arial"/>
          <w:sz w:val="16"/>
          <w:szCs w:val="16"/>
          <w:color w:val="auto"/>
        </w:rPr>
        <w:t xml:space="preserve"> below, any Lender may assign to one or more assignees (other than an Ineligible Institution) all or a portion of its rights and obligations under this Agreement (including all or a portion of its Commitment and the Loans at the time owing to it) with the prior written consent (such consent not to be unreasonably withheld, conditioned or delayed) of:</w:t>
      </w:r>
    </w:p>
    <w:p>
      <w:pPr>
        <w:spacing w:after="0" w:line="188" w:lineRule="exact"/>
        <w:rPr>
          <w:rFonts w:ascii="Arial" w:cs="Arial" w:eastAsia="Arial" w:hAnsi="Arial"/>
          <w:sz w:val="16"/>
          <w:szCs w:val="16"/>
          <w:color w:val="auto"/>
        </w:rPr>
      </w:pPr>
    </w:p>
    <w:p>
      <w:pPr>
        <w:jc w:val="both"/>
        <w:ind w:left="560" w:firstLine="1145"/>
        <w:spacing w:after="0" w:line="255" w:lineRule="auto"/>
        <w:tabs>
          <w:tab w:leader="none" w:pos="2416" w:val="left"/>
        </w:tabs>
        <w:numPr>
          <w:ilvl w:val="2"/>
          <w:numId w:val="86"/>
        </w:numPr>
        <w:rPr>
          <w:rFonts w:ascii="Arial" w:cs="Arial" w:eastAsia="Arial" w:hAnsi="Arial"/>
          <w:sz w:val="16"/>
          <w:szCs w:val="16"/>
          <w:color w:val="auto"/>
        </w:rPr>
      </w:pPr>
      <w:r>
        <w:rPr>
          <w:rFonts w:ascii="Arial" w:cs="Arial" w:eastAsia="Arial" w:hAnsi="Arial"/>
          <w:sz w:val="16"/>
          <w:szCs w:val="16"/>
          <w:color w:val="auto"/>
        </w:rPr>
        <w:t xml:space="preserve">the Borrower Representative, provided that the Borrower Representative shall be deemed to have consented to any such assignment unless it shall object thereto by written notice to the Administrative Agent within 5 Business Days after having received notice thereof,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192" w:lineRule="exact"/>
        <w:rPr>
          <w:rFonts w:ascii="Arial" w:cs="Arial" w:eastAsia="Arial" w:hAnsi="Arial"/>
          <w:sz w:val="16"/>
          <w:szCs w:val="16"/>
          <w:color w:val="auto"/>
        </w:rPr>
      </w:pPr>
    </w:p>
    <w:p>
      <w:pPr>
        <w:ind w:left="2360" w:hanging="655"/>
        <w:spacing w:after="0"/>
        <w:tabs>
          <w:tab w:leader="none" w:pos="2360"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Administrative Agent; and</w:t>
      </w:r>
    </w:p>
    <w:p>
      <w:pPr>
        <w:spacing w:after="0" w:line="219" w:lineRule="exact"/>
        <w:rPr>
          <w:rFonts w:ascii="Arial" w:cs="Arial" w:eastAsia="Arial" w:hAnsi="Arial"/>
          <w:sz w:val="16"/>
          <w:szCs w:val="16"/>
          <w:color w:val="auto"/>
        </w:rPr>
      </w:pPr>
    </w:p>
    <w:p>
      <w:pPr>
        <w:ind w:left="2360" w:hanging="655"/>
        <w:spacing w:after="0"/>
        <w:tabs>
          <w:tab w:leader="none" w:pos="2360"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Issuing Bank.</w:t>
      </w:r>
    </w:p>
    <w:p>
      <w:pPr>
        <w:spacing w:after="0" w:line="219" w:lineRule="exact"/>
        <w:rPr>
          <w:rFonts w:ascii="Arial" w:cs="Arial" w:eastAsia="Arial" w:hAnsi="Arial"/>
          <w:sz w:val="16"/>
          <w:szCs w:val="16"/>
          <w:color w:val="auto"/>
        </w:rPr>
      </w:pPr>
    </w:p>
    <w:p>
      <w:pPr>
        <w:ind w:left="1760" w:hanging="625"/>
        <w:spacing w:after="0"/>
        <w:tabs>
          <w:tab w:leader="none" w:pos="176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Assignments shall be subject to the following additional conditions:</w:t>
      </w:r>
    </w:p>
    <w:p>
      <w:pPr>
        <w:spacing w:after="0" w:line="219" w:lineRule="exact"/>
        <w:rPr>
          <w:rFonts w:ascii="Arial" w:cs="Arial" w:eastAsia="Arial" w:hAnsi="Arial"/>
          <w:sz w:val="16"/>
          <w:szCs w:val="16"/>
          <w:color w:val="auto"/>
        </w:rPr>
      </w:pPr>
    </w:p>
    <w:p>
      <w:pPr>
        <w:jc w:val="both"/>
        <w:ind w:left="560" w:firstLine="1145"/>
        <w:spacing w:after="0" w:line="253" w:lineRule="auto"/>
        <w:tabs>
          <w:tab w:leader="none" w:pos="2419" w:val="left"/>
        </w:tabs>
        <w:numPr>
          <w:ilvl w:val="2"/>
          <w:numId w:val="86"/>
        </w:numPr>
        <w:rPr>
          <w:rFonts w:ascii="Arial" w:cs="Arial" w:eastAsia="Arial" w:hAnsi="Arial"/>
          <w:sz w:val="16"/>
          <w:szCs w:val="16"/>
          <w:color w:val="auto"/>
        </w:rPr>
      </w:pPr>
      <w:r>
        <w:rPr>
          <w:rFonts w:ascii="Arial" w:cs="Arial" w:eastAsia="Arial" w:hAnsi="Arial"/>
          <w:sz w:val="16"/>
          <w:szCs w:val="16"/>
          <w:color w:val="auto"/>
        </w:rPr>
        <w:t>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provided that no such consent of the Borrower Representative shall be required if an Event of Default has occurred and is continuing;</w:t>
      </w:r>
    </w:p>
    <w:p>
      <w:pPr>
        <w:spacing w:after="0" w:line="194" w:lineRule="exact"/>
        <w:rPr>
          <w:rFonts w:ascii="Arial" w:cs="Arial" w:eastAsia="Arial" w:hAnsi="Arial"/>
          <w:sz w:val="16"/>
          <w:szCs w:val="16"/>
          <w:color w:val="auto"/>
        </w:rPr>
      </w:pPr>
    </w:p>
    <w:p>
      <w:pPr>
        <w:ind w:left="2420" w:hanging="715"/>
        <w:spacing w:after="0"/>
        <w:tabs>
          <w:tab w:leader="none" w:pos="2420" w:val="left"/>
        </w:tabs>
        <w:numPr>
          <w:ilvl w:val="2"/>
          <w:numId w:val="86"/>
        </w:numPr>
        <w:rPr>
          <w:rFonts w:ascii="Arial" w:cs="Arial" w:eastAsia="Arial" w:hAnsi="Arial"/>
          <w:sz w:val="14"/>
          <w:szCs w:val="14"/>
          <w:color w:val="auto"/>
        </w:rPr>
      </w:pPr>
      <w:r>
        <w:rPr>
          <w:rFonts w:ascii="Arial" w:cs="Arial" w:eastAsia="Arial" w:hAnsi="Arial"/>
          <w:sz w:val="14"/>
          <w:szCs w:val="14"/>
          <w:color w:val="auto"/>
        </w:rPr>
        <w:t>each partial assignment shall be made as an assignment of a proportionate part of all the assigning Lender’s rights and obligations under this</w:t>
      </w:r>
    </w:p>
    <w:p>
      <w:pPr>
        <w:spacing w:after="0" w:line="4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Agreement;</w:t>
      </w:r>
    </w:p>
    <w:p>
      <w:pPr>
        <w:spacing w:after="0" w:line="208" w:lineRule="exact"/>
        <w:rPr>
          <w:rFonts w:ascii="Arial" w:cs="Arial" w:eastAsia="Arial" w:hAnsi="Arial"/>
          <w:sz w:val="14"/>
          <w:szCs w:val="14"/>
          <w:color w:val="auto"/>
        </w:rPr>
      </w:pPr>
    </w:p>
    <w:p>
      <w:pPr>
        <w:ind w:left="560" w:right="20" w:firstLine="1145"/>
        <w:spacing w:after="0" w:line="270" w:lineRule="auto"/>
        <w:tabs>
          <w:tab w:leader="none" w:pos="2590" w:val="left"/>
        </w:tabs>
        <w:numPr>
          <w:ilvl w:val="2"/>
          <w:numId w:val="86"/>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together with a processing and recordation fee of $3,500 and the tax forms required by </w:t>
      </w:r>
      <w:r>
        <w:rPr>
          <w:rFonts w:ascii="Arial" w:cs="Arial" w:eastAsia="Arial" w:hAnsi="Arial"/>
          <w:sz w:val="16"/>
          <w:szCs w:val="16"/>
          <w:u w:val="single" w:color="auto"/>
          <w:color w:val="auto"/>
        </w:rPr>
        <w:t>Section 2.17(f)</w:t>
      </w:r>
      <w:r>
        <w:rPr>
          <w:rFonts w:ascii="Arial" w:cs="Arial" w:eastAsia="Arial" w:hAnsi="Arial"/>
          <w:sz w:val="16"/>
          <w:szCs w:val="16"/>
          <w:color w:val="auto"/>
        </w:rPr>
        <w:t>;</w:t>
      </w:r>
    </w:p>
    <w:p>
      <w:pPr>
        <w:spacing w:after="0" w:line="179" w:lineRule="exact"/>
        <w:rPr>
          <w:rFonts w:ascii="Arial" w:cs="Arial" w:eastAsia="Arial" w:hAnsi="Arial"/>
          <w:sz w:val="16"/>
          <w:szCs w:val="16"/>
          <w:color w:val="auto"/>
        </w:rPr>
      </w:pPr>
    </w:p>
    <w:p>
      <w:pPr>
        <w:jc w:val="both"/>
        <w:ind w:left="560" w:firstLine="1145"/>
        <w:spacing w:after="0" w:line="255" w:lineRule="auto"/>
        <w:tabs>
          <w:tab w:leader="none" w:pos="2514"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Loan Parties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96" w:name="page97"/>
    <w:bookmarkEnd w:id="96"/>
    <w:p>
      <w:pPr>
        <w:jc w:val="both"/>
        <w:ind w:left="560" w:firstLine="1145"/>
        <w:spacing w:after="0" w:line="259" w:lineRule="auto"/>
        <w:tabs>
          <w:tab w:leader="none" w:pos="2447"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assignment may be made to a Competitor without the prior written consent of the Borrower Representative; provided that the Borrower Representative shall be deemed to have consented to any such assignment unless it shall object thereto by written notice to the Administrative Agent within 5 Business Days after having received notice thereof.</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Any attempted assignment that does not comply with the provisions of this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shall be null and void.</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For the purposes of this </w:t>
      </w:r>
      <w:r>
        <w:rPr>
          <w:rFonts w:ascii="Arial" w:cs="Arial" w:eastAsia="Arial" w:hAnsi="Arial"/>
          <w:sz w:val="16"/>
          <w:szCs w:val="16"/>
          <w:u w:val="single" w:color="auto"/>
          <w:color w:val="auto"/>
        </w:rPr>
        <w:t>Section 9.04(b</w:t>
      </w:r>
      <w:r>
        <w:rPr>
          <w:rFonts w:ascii="Arial" w:cs="Arial" w:eastAsia="Arial" w:hAnsi="Arial"/>
          <w:sz w:val="16"/>
          <w:szCs w:val="16"/>
          <w:color w:val="auto"/>
        </w:rPr>
        <w:t>), the terms “</w:t>
      </w:r>
      <w:r>
        <w:rPr>
          <w:rFonts w:ascii="Arial" w:cs="Arial" w:eastAsia="Arial" w:hAnsi="Arial"/>
          <w:sz w:val="16"/>
          <w:szCs w:val="16"/>
          <w:u w:val="single" w:color="auto"/>
          <w:color w:val="auto"/>
        </w:rPr>
        <w:t>Approved Fund</w:t>
      </w:r>
      <w:r>
        <w:rPr>
          <w:rFonts w:ascii="Arial" w:cs="Arial" w:eastAsia="Arial" w:hAnsi="Arial"/>
          <w:sz w:val="16"/>
          <w:szCs w:val="16"/>
          <w:color w:val="auto"/>
        </w:rPr>
        <w:t>” and “</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have the following meanings:</w:t>
      </w:r>
    </w:p>
    <w:p>
      <w:pPr>
        <w:spacing w:after="0" w:line="220"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Ineligible Institution</w:t>
      </w:r>
      <w:r>
        <w:rPr>
          <w:rFonts w:ascii="Arial" w:cs="Arial" w:eastAsia="Arial" w:hAnsi="Arial"/>
          <w:sz w:val="16"/>
          <w:szCs w:val="16"/>
          <w:color w:val="auto"/>
        </w:rPr>
        <w:t>” means a (a) natural person or (b) Loan Party or a subsidiary or other Affiliate of a Loan Party</w:t>
      </w:r>
    </w:p>
    <w:p>
      <w:pPr>
        <w:spacing w:after="0" w:line="220" w:lineRule="exact"/>
        <w:rPr>
          <w:sz w:val="20"/>
          <w:szCs w:val="20"/>
          <w:color w:val="auto"/>
        </w:rPr>
      </w:pPr>
    </w:p>
    <w:p>
      <w:pPr>
        <w:jc w:val="both"/>
        <w:ind w:left="560" w:firstLine="575"/>
        <w:spacing w:after="0" w:line="252" w:lineRule="auto"/>
        <w:tabs>
          <w:tab w:leader="none" w:pos="1807"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subject to the requirements of each respective provision).</w:t>
      </w:r>
    </w:p>
    <w:p>
      <w:pPr>
        <w:spacing w:after="0" w:line="194" w:lineRule="exact"/>
        <w:rPr>
          <w:rFonts w:ascii="Arial" w:cs="Arial" w:eastAsia="Arial" w:hAnsi="Arial"/>
          <w:sz w:val="16"/>
          <w:szCs w:val="16"/>
          <w:color w:val="auto"/>
        </w:rPr>
      </w:pPr>
    </w:p>
    <w:p>
      <w:pPr>
        <w:jc w:val="both"/>
        <w:ind w:left="560" w:firstLine="575"/>
        <w:spacing w:after="0" w:line="295" w:lineRule="auto"/>
        <w:tabs>
          <w:tab w:leader="none" w:pos="1904"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amounts and stated interest on of the Loans and LC Disbursements owing to, each Lender pursuant to the terms hereof from time to time (the “</w:t>
      </w:r>
      <w:r>
        <w:rPr>
          <w:rFonts w:ascii="Arial" w:cs="Arial" w:eastAsia="Arial" w:hAnsi="Arial"/>
          <w:sz w:val="14"/>
          <w:szCs w:val="14"/>
          <w:u w:val="single" w:color="auto"/>
          <w:color w:val="auto"/>
        </w:rPr>
        <w:t>Register</w:t>
      </w:r>
      <w:r>
        <w:rPr>
          <w:rFonts w:ascii="Arial" w:cs="Arial" w:eastAsia="Arial" w:hAnsi="Arial"/>
          <w:sz w:val="14"/>
          <w:szCs w:val="14"/>
          <w:color w:val="auto"/>
        </w:rPr>
        <w:t>”). The entries in the Register shall be conclusive absent manifest error,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97" w:name="page98"/>
    <w:bookmarkEnd w:id="97"/>
    <w:p>
      <w:pPr>
        <w:jc w:val="both"/>
        <w:ind w:left="560" w:firstLine="570"/>
        <w:spacing w:after="0" w:line="293" w:lineRule="auto"/>
        <w:rPr>
          <w:sz w:val="20"/>
          <w:szCs w:val="20"/>
          <w:color w:val="auto"/>
        </w:rPr>
      </w:pPr>
      <w:r>
        <w:rPr>
          <w:rFonts w:ascii="Arial" w:cs="Arial" w:eastAsia="Arial" w:hAnsi="Arial"/>
          <w:sz w:val="14"/>
          <w:szCs w:val="14"/>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and tax forms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either the assigning Lender or the assignee shall have failed to make any payment required to be made by it pursuant to </w:t>
      </w:r>
      <w:r>
        <w:rPr>
          <w:rFonts w:ascii="Arial" w:cs="Arial" w:eastAsia="Arial" w:hAnsi="Arial"/>
          <w:sz w:val="14"/>
          <w:szCs w:val="14"/>
          <w:u w:val="single" w:color="auto"/>
          <w:color w:val="auto"/>
        </w:rPr>
        <w:t>Sections 2.05</w:t>
      </w:r>
      <w:r>
        <w:rPr>
          <w:rFonts w:ascii="Arial" w:cs="Arial" w:eastAsia="Arial" w:hAnsi="Arial"/>
          <w:sz w:val="14"/>
          <w:szCs w:val="14"/>
          <w:color w:val="auto"/>
        </w:rPr>
        <w:t xml:space="preserve">, </w:t>
      </w:r>
      <w:r>
        <w:rPr>
          <w:rFonts w:ascii="Arial" w:cs="Arial" w:eastAsia="Arial" w:hAnsi="Arial"/>
          <w:sz w:val="14"/>
          <w:szCs w:val="14"/>
          <w:u w:val="single" w:color="auto"/>
          <w:color w:val="auto"/>
        </w:rPr>
        <w:t>2.06(d)</w:t>
      </w:r>
      <w:r>
        <w:rPr>
          <w:rFonts w:ascii="Arial" w:cs="Arial" w:eastAsia="Arial" w:hAnsi="Arial"/>
          <w:sz w:val="14"/>
          <w:szCs w:val="14"/>
          <w:color w:val="auto"/>
        </w:rPr>
        <w:t xml:space="preserve">, </w:t>
      </w:r>
      <w:r>
        <w:rPr>
          <w:rFonts w:ascii="Arial" w:cs="Arial" w:eastAsia="Arial" w:hAnsi="Arial"/>
          <w:sz w:val="14"/>
          <w:szCs w:val="14"/>
          <w:u w:val="single" w:color="auto"/>
          <w:color w:val="auto"/>
        </w:rPr>
        <w:t>2.06(e)</w:t>
      </w:r>
      <w:r>
        <w:rPr>
          <w:rFonts w:ascii="Arial" w:cs="Arial" w:eastAsia="Arial" w:hAnsi="Arial"/>
          <w:sz w:val="14"/>
          <w:szCs w:val="14"/>
          <w:color w:val="auto"/>
        </w:rPr>
        <w:t xml:space="preserve">, </w:t>
      </w:r>
      <w:r>
        <w:rPr>
          <w:rFonts w:ascii="Arial" w:cs="Arial" w:eastAsia="Arial" w:hAnsi="Arial"/>
          <w:sz w:val="14"/>
          <w:szCs w:val="14"/>
          <w:u w:val="single" w:color="auto"/>
          <w:color w:val="auto"/>
        </w:rPr>
        <w:t>2.07(b)</w:t>
      </w:r>
      <w:r>
        <w:rPr>
          <w:rFonts w:ascii="Arial" w:cs="Arial" w:eastAsia="Arial" w:hAnsi="Arial"/>
          <w:sz w:val="14"/>
          <w:szCs w:val="14"/>
          <w:color w:val="auto"/>
        </w:rPr>
        <w:t xml:space="preserve">, </w:t>
      </w:r>
      <w:r>
        <w:rPr>
          <w:rFonts w:ascii="Arial" w:cs="Arial" w:eastAsia="Arial" w:hAnsi="Arial"/>
          <w:sz w:val="14"/>
          <w:szCs w:val="14"/>
          <w:u w:val="single" w:color="auto"/>
          <w:color w:val="auto"/>
        </w:rPr>
        <w:t>2.18(d)</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9.03(c</w:t>
      </w:r>
      <w:r>
        <w:rPr>
          <w:rFonts w:ascii="Arial" w:cs="Arial" w:eastAsia="Arial" w:hAnsi="Arial"/>
          <w:sz w:val="14"/>
          <w:szCs w:val="14"/>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8" w:lineRule="exact"/>
        <w:rPr>
          <w:sz w:val="20"/>
          <w:szCs w:val="20"/>
          <w:color w:val="auto"/>
        </w:rPr>
      </w:pPr>
    </w:p>
    <w:p>
      <w:pPr>
        <w:jc w:val="both"/>
        <w:ind w:firstLine="565"/>
        <w:spacing w:after="0" w:line="267" w:lineRule="auto"/>
        <w:tabs>
          <w:tab w:leader="none" w:pos="1236" w:val="left"/>
        </w:tabs>
        <w:numPr>
          <w:ilvl w:val="0"/>
          <w:numId w:val="89"/>
        </w:numPr>
        <w:rPr>
          <w:rFonts w:ascii="Arial" w:cs="Arial" w:eastAsia="Arial" w:hAnsi="Arial"/>
          <w:sz w:val="15"/>
          <w:szCs w:val="15"/>
          <w:color w:val="auto"/>
        </w:rPr>
      </w:pPr>
      <w:r>
        <w:rPr>
          <w:rFonts w:ascii="Arial" w:cs="Arial" w:eastAsia="Arial" w:hAnsi="Arial"/>
          <w:sz w:val="15"/>
          <w:szCs w:val="15"/>
          <w:color w:val="auto"/>
        </w:rPr>
        <w:t>Any Lender may, without the consent of the Borrowers, the Administrative Agent, the Issuing Bank or the Swingline Lender, sell participations to one or more banks or other entities (other than to any Competitor or any Ineligible Institution) (a “</w:t>
      </w:r>
      <w:r>
        <w:rPr>
          <w:rFonts w:ascii="Arial" w:cs="Arial" w:eastAsia="Arial" w:hAnsi="Arial"/>
          <w:sz w:val="15"/>
          <w:szCs w:val="15"/>
          <w:u w:val="single" w:color="auto"/>
          <w:color w:val="auto"/>
        </w:rPr>
        <w:t>Participant</w:t>
      </w:r>
      <w:r>
        <w:rPr>
          <w:rFonts w:ascii="Arial" w:cs="Arial" w:eastAsia="Arial" w:hAnsi="Arial"/>
          <w:sz w:val="15"/>
          <w:szCs w:val="15"/>
          <w:color w:val="auto"/>
        </w:rPr>
        <w:t xml:space="preserve">”) in all or a portion of such Lender’s rights and obligations under this Agreement (including all or a portion of its Commitment and the Loans owing to it);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agreement or instrument may provide that such Lender will not, without the consent of the Participant, agree to any amendment, modification or waiver described in the first proviso to </w:t>
      </w:r>
      <w:r>
        <w:rPr>
          <w:rFonts w:ascii="Arial" w:cs="Arial" w:eastAsia="Arial" w:hAnsi="Arial"/>
          <w:sz w:val="15"/>
          <w:szCs w:val="15"/>
          <w:u w:val="single" w:color="auto"/>
          <w:color w:val="auto"/>
        </w:rPr>
        <w:t>Section 9.02(b</w:t>
      </w:r>
      <w:r>
        <w:rPr>
          <w:rFonts w:ascii="Arial" w:cs="Arial" w:eastAsia="Arial" w:hAnsi="Arial"/>
          <w:sz w:val="15"/>
          <w:szCs w:val="15"/>
          <w:color w:val="auto"/>
        </w:rPr>
        <w:t xml:space="preserve">) that affects such Participant. The Borrowers agree that each Participant shall be entitled to the benefits of </w:t>
      </w:r>
      <w:r>
        <w:rPr>
          <w:rFonts w:ascii="Arial" w:cs="Arial" w:eastAsia="Arial" w:hAnsi="Arial"/>
          <w:sz w:val="15"/>
          <w:szCs w:val="15"/>
          <w:u w:val="single" w:color="auto"/>
          <w:color w:val="auto"/>
        </w:rPr>
        <w:t>Sections 2.15</w:t>
      </w:r>
      <w:r>
        <w:rPr>
          <w:rFonts w:ascii="Arial" w:cs="Arial" w:eastAsia="Arial" w:hAnsi="Arial"/>
          <w:sz w:val="15"/>
          <w:szCs w:val="15"/>
          <w:color w:val="auto"/>
        </w:rPr>
        <w:t xml:space="preserve">, </w:t>
      </w:r>
      <w:r>
        <w:rPr>
          <w:rFonts w:ascii="Arial" w:cs="Arial" w:eastAsia="Arial" w:hAnsi="Arial"/>
          <w:sz w:val="15"/>
          <w:szCs w:val="15"/>
          <w:u w:val="single" w:color="auto"/>
          <w:color w:val="auto"/>
        </w:rPr>
        <w:t>2.16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2.17</w:t>
      </w:r>
      <w:r>
        <w:rPr>
          <w:rFonts w:ascii="Arial" w:cs="Arial" w:eastAsia="Arial" w:hAnsi="Arial"/>
          <w:sz w:val="15"/>
          <w:szCs w:val="15"/>
          <w:color w:val="auto"/>
        </w:rPr>
        <w:t xml:space="preserve"> (subject to the requirements and limitations therein, including the requirements under </w:t>
      </w:r>
      <w:r>
        <w:rPr>
          <w:rFonts w:ascii="Arial" w:cs="Arial" w:eastAsia="Arial" w:hAnsi="Arial"/>
          <w:sz w:val="15"/>
          <w:szCs w:val="15"/>
          <w:u w:val="single" w:color="auto"/>
          <w:color w:val="auto"/>
        </w:rPr>
        <w:t>Section 2.17(f</w:t>
      </w:r>
      <w:r>
        <w:rPr>
          <w:rFonts w:ascii="Arial" w:cs="Arial" w:eastAsia="Arial" w:hAnsi="Arial"/>
          <w:sz w:val="15"/>
          <w:szCs w:val="15"/>
          <w:color w:val="auto"/>
        </w:rPr>
        <w:t xml:space="preserve">) (it being understood that the documentation required under </w:t>
      </w:r>
      <w:r>
        <w:rPr>
          <w:rFonts w:ascii="Arial" w:cs="Arial" w:eastAsia="Arial" w:hAnsi="Arial"/>
          <w:sz w:val="15"/>
          <w:szCs w:val="15"/>
          <w:u w:val="single" w:color="auto"/>
          <w:color w:val="auto"/>
        </w:rPr>
        <w:t>Section 2.17(f</w:t>
      </w:r>
      <w:r>
        <w:rPr>
          <w:rFonts w:ascii="Arial" w:cs="Arial" w:eastAsia="Arial" w:hAnsi="Arial"/>
          <w:sz w:val="15"/>
          <w:szCs w:val="15"/>
          <w:color w:val="auto"/>
        </w:rPr>
        <w:t xml:space="preserve">) shall be delivered to the participating Lender)) to the same extent as if it were a Lender and had acquired its interest by assignment pursuant to paragraph (b) of this Section;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Participant (A) agrees to be subject to the provisions of </w:t>
      </w:r>
      <w:r>
        <w:rPr>
          <w:rFonts w:ascii="Arial" w:cs="Arial" w:eastAsia="Arial" w:hAnsi="Arial"/>
          <w:sz w:val="15"/>
          <w:szCs w:val="15"/>
          <w:u w:val="single" w:color="auto"/>
          <w:color w:val="auto"/>
        </w:rPr>
        <w:t>Sections 2.18</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2.19</w:t>
      </w:r>
      <w:r>
        <w:rPr>
          <w:rFonts w:ascii="Arial" w:cs="Arial" w:eastAsia="Arial" w:hAnsi="Arial"/>
          <w:sz w:val="15"/>
          <w:szCs w:val="15"/>
          <w:color w:val="auto"/>
        </w:rPr>
        <w:t xml:space="preserve"> as if it were an assignee under paragraph (b) of this Section; and (B) shall not be entitled to receive any greater payment under </w:t>
      </w:r>
      <w:r>
        <w:rPr>
          <w:rFonts w:ascii="Arial" w:cs="Arial" w:eastAsia="Arial" w:hAnsi="Arial"/>
          <w:sz w:val="15"/>
          <w:szCs w:val="15"/>
          <w:u w:val="single" w:color="auto"/>
          <w:color w:val="auto"/>
        </w:rPr>
        <w:t>Section 2.15</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2.17</w:t>
      </w:r>
      <w:r>
        <w:rPr>
          <w:rFonts w:ascii="Arial" w:cs="Arial" w:eastAsia="Arial" w:hAnsi="Arial"/>
          <w:sz w:val="15"/>
          <w:szCs w:val="15"/>
          <w:color w:val="auto"/>
        </w:rPr>
        <w:t>, with respect to any participation, than its participating Lender would have been entitled to receive.</w:t>
      </w:r>
    </w:p>
    <w:p>
      <w:pPr>
        <w:spacing w:after="0" w:line="190"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 xml:space="preserve">To the extent permitted by law, each Participant also shall be entitled to the benefits of </w:t>
      </w:r>
      <w:r>
        <w:rPr>
          <w:rFonts w:ascii="Arial" w:cs="Arial" w:eastAsia="Arial" w:hAnsi="Arial"/>
          <w:sz w:val="16"/>
          <w:szCs w:val="16"/>
          <w:u w:val="single" w:color="auto"/>
          <w:color w:val="auto"/>
        </w:rPr>
        <w:t>Section 9.08</w:t>
      </w:r>
      <w:r>
        <w:rPr>
          <w:rFonts w:ascii="Arial" w:cs="Arial" w:eastAsia="Arial" w:hAnsi="Arial"/>
          <w:sz w:val="16"/>
          <w:szCs w:val="16"/>
          <w:color w:val="auto"/>
        </w:rPr>
        <w:t xml:space="preserve"> as though it were a Lender, provided such Participant agrees to be subject to </w:t>
      </w:r>
      <w:r>
        <w:rPr>
          <w:rFonts w:ascii="Arial" w:cs="Arial" w:eastAsia="Arial" w:hAnsi="Arial"/>
          <w:sz w:val="16"/>
          <w:szCs w:val="16"/>
          <w:u w:val="single" w:color="auto"/>
          <w:color w:val="auto"/>
        </w:rPr>
        <w:t>Section 2.18(c</w:t>
      </w:r>
      <w:r>
        <w:rPr>
          <w:rFonts w:ascii="Arial" w:cs="Arial" w:eastAsia="Arial" w:hAnsi="Arial"/>
          <w:sz w:val="16"/>
          <w:szCs w:val="16"/>
          <w:color w:val="auto"/>
        </w:rPr>
        <w:t>) as though it were a Lender. Each Lender that sells a participation shall, acting solely for this purpose as a nonfiduciary agent of the Borrowers, maintain a register on which it enters the name and address of each Participant and the principal amounts (and stated interest) of each</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98" w:name="page99"/>
    <w:bookmarkEnd w:id="98"/>
    <w:p>
      <w:pPr>
        <w:jc w:val="both"/>
        <w:spacing w:after="0" w:line="252" w:lineRule="auto"/>
        <w:rPr>
          <w:sz w:val="20"/>
          <w:szCs w:val="20"/>
          <w:color w:val="auto"/>
        </w:rPr>
      </w:pPr>
      <w:r>
        <w:rPr>
          <w:rFonts w:ascii="Arial" w:cs="Arial" w:eastAsia="Arial" w:hAnsi="Arial"/>
          <w:sz w:val="16"/>
          <w:szCs w:val="16"/>
          <w:color w:val="auto"/>
        </w:rPr>
        <w:t>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95" w:lineRule="exact"/>
        <w:rPr>
          <w:sz w:val="20"/>
          <w:szCs w:val="20"/>
          <w:color w:val="auto"/>
        </w:rPr>
      </w:pPr>
    </w:p>
    <w:p>
      <w:pPr>
        <w:jc w:val="both"/>
        <w:ind w:right="20" w:firstLine="565"/>
        <w:spacing w:after="0" w:line="255" w:lineRule="auto"/>
        <w:tabs>
          <w:tab w:leader="none" w:pos="1285"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216" w:lineRule="exact"/>
        <w:rPr>
          <w:sz w:val="20"/>
          <w:szCs w:val="20"/>
          <w:color w:val="auto"/>
        </w:rPr>
      </w:pPr>
    </w:p>
    <w:p>
      <w:pPr>
        <w:jc w:val="both"/>
        <w:ind w:firstLine="570"/>
        <w:spacing w:after="0" w:line="250"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223" w:lineRule="exact"/>
        <w:rPr>
          <w:sz w:val="20"/>
          <w:szCs w:val="20"/>
          <w:color w:val="auto"/>
        </w:rPr>
      </w:pPr>
    </w:p>
    <w:p>
      <w:pPr>
        <w:jc w:val="both"/>
        <w:ind w:firstLine="570"/>
        <w:spacing w:after="0" w:line="251"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transmission shall be effective as delivery of a manually executed counterpart of this Agreement.</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99" w:name="page100"/>
    <w:bookmarkEnd w:id="99"/>
    <w:p>
      <w:pPr>
        <w:jc w:val="both"/>
        <w:ind w:left="5" w:firstLine="570"/>
        <w:spacing w:after="0" w:line="259"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12" w:lineRule="exact"/>
        <w:rPr>
          <w:sz w:val="20"/>
          <w:szCs w:val="20"/>
          <w:color w:val="auto"/>
        </w:rPr>
      </w:pPr>
    </w:p>
    <w:p>
      <w:pPr>
        <w:jc w:val="both"/>
        <w:ind w:left="5" w:firstLine="570"/>
        <w:spacing w:after="0" w:line="271" w:lineRule="auto"/>
        <w:rPr>
          <w:sz w:val="20"/>
          <w:szCs w:val="20"/>
          <w:color w:val="auto"/>
        </w:rPr>
      </w:pPr>
      <w:r>
        <w:rPr>
          <w:rFonts w:ascii="Arial" w:cs="Arial" w:eastAsia="Arial" w:hAnsi="Arial"/>
          <w:sz w:val="15"/>
          <w:szCs w:val="15"/>
          <w:color w:val="auto"/>
        </w:rPr>
        <w:t xml:space="preserve">SECTION 9.08. </w:t>
      </w:r>
      <w:r>
        <w:rPr>
          <w:rFonts w:ascii="Arial" w:cs="Arial" w:eastAsia="Arial" w:hAnsi="Arial"/>
          <w:sz w:val="15"/>
          <w:szCs w:val="15"/>
          <w:u w:val="single" w:color="auto"/>
          <w:color w:val="auto"/>
        </w:rPr>
        <w:t>Right of Setoff</w:t>
      </w:r>
      <w:r>
        <w:rPr>
          <w:rFonts w:ascii="Arial" w:cs="Arial" w:eastAsia="Arial" w:hAnsi="Arial"/>
          <w:sz w:val="15"/>
          <w:szCs w:val="15"/>
          <w:color w:val="auto"/>
        </w:rPr>
        <w:t>. If an Event of Default shall have occurred and be continuing, each Lender and each of its Affiliates is hereby authorized at any time and from time to time, to the fullest extent permitted by law, to set off and apply any and all deposits in any Deposit Account which constitutes Collateral or which otherwise consists of proceeds of Collateral at any time held and other obligations at any time owing by such Lender or Affiliate to or for the credit or the account of the Borrowers or any Loan Guarantor against any of and all the Secured Obligations held by such Lender, irrespective of whether or not such Lender shall have made any demand under the Loan Documents and although such obligations may be unmatured. The applicable Lender shall notify the Borrower Representative and the Administrative Agent of such set-off or application, provided that any failure to give or any delay in giving such notice shall not affect the validity of any such set-off or application under this Section. The rights of each Lender under this Section are in addition to other rights and remedies (including other rights of setoff) which such Lender may have.</w:t>
      </w:r>
    </w:p>
    <w:p>
      <w:pPr>
        <w:spacing w:after="0" w:line="204" w:lineRule="exact"/>
        <w:rPr>
          <w:sz w:val="20"/>
          <w:szCs w:val="20"/>
          <w:color w:val="auto"/>
        </w:rPr>
      </w:pPr>
    </w:p>
    <w:p>
      <w:pPr>
        <w:jc w:val="both"/>
        <w:ind w:left="5" w:firstLine="570"/>
        <w:spacing w:after="0" w:line="259"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 (a) The Loan Documents (other than those containing a contrary express choice of law provision) shall be governed by and construed in accordance with the internal laws (and not the law of conflicts) of the State of New York, but giving effect to federal laws applicable to national banks.</w:t>
      </w:r>
    </w:p>
    <w:p>
      <w:pPr>
        <w:spacing w:after="0" w:line="212" w:lineRule="exact"/>
        <w:rPr>
          <w:sz w:val="20"/>
          <w:szCs w:val="20"/>
          <w:color w:val="auto"/>
        </w:rPr>
      </w:pPr>
    </w:p>
    <w:p>
      <w:pPr>
        <w:jc w:val="both"/>
        <w:ind w:left="5" w:right="20" w:firstLine="565"/>
        <w:spacing w:after="0" w:line="271" w:lineRule="auto"/>
        <w:tabs>
          <w:tab w:leader="none" w:pos="950" w:val="left"/>
        </w:tabs>
        <w:numPr>
          <w:ilvl w:val="1"/>
          <w:numId w:val="91"/>
        </w:numPr>
        <w:rPr>
          <w:rFonts w:ascii="Arial" w:cs="Arial" w:eastAsia="Arial" w:hAnsi="Arial"/>
          <w:sz w:val="15"/>
          <w:szCs w:val="15"/>
          <w:color w:val="auto"/>
        </w:rPr>
      </w:pPr>
      <w:r>
        <w:rPr>
          <w:rFonts w:ascii="Arial" w:cs="Arial" w:eastAsia="Arial" w:hAnsi="Arial"/>
          <w:sz w:val="15"/>
          <w:szCs w:val="15"/>
          <w:color w:val="auto"/>
        </w:rPr>
        <w:t>Each Loan Party hereby irrevocably and unconditionally submits, for itself and its property, to the exclusive jurisdiction of any U.S. Federal or New York State court sitting in New York, New York, County of New York in any action or proceeding arising out of or relating to any Loan Documents,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204" w:lineRule="exact"/>
        <w:rPr>
          <w:rFonts w:ascii="Arial" w:cs="Arial" w:eastAsia="Arial" w:hAnsi="Arial"/>
          <w:sz w:val="15"/>
          <w:szCs w:val="15"/>
          <w:color w:val="auto"/>
        </w:rPr>
      </w:pPr>
    </w:p>
    <w:p>
      <w:pPr>
        <w:jc w:val="both"/>
        <w:ind w:left="5" w:firstLine="565"/>
        <w:spacing w:after="0" w:line="291" w:lineRule="auto"/>
        <w:tabs>
          <w:tab w:leader="none" w:pos="953" w:val="left"/>
        </w:tabs>
        <w:numPr>
          <w:ilvl w:val="1"/>
          <w:numId w:val="91"/>
        </w:numPr>
        <w:rPr>
          <w:rFonts w:ascii="Arial" w:cs="Arial" w:eastAsia="Arial" w:hAnsi="Arial"/>
          <w:sz w:val="14"/>
          <w:szCs w:val="14"/>
          <w:color w:val="auto"/>
        </w:rPr>
      </w:pPr>
      <w:r>
        <w:rPr>
          <w:rFonts w:ascii="Arial" w:cs="Arial" w:eastAsia="Arial" w:hAnsi="Arial"/>
          <w:sz w:val="14"/>
          <w:szCs w:val="14"/>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w:t>
      </w:r>
    </w:p>
    <w:p>
      <w:pPr>
        <w:ind w:left="5" w:right="20" w:hanging="5"/>
        <w:spacing w:after="0" w:line="255" w:lineRule="auto"/>
        <w:tabs>
          <w:tab w:leader="none" w:pos="238" w:val="left"/>
        </w:tabs>
        <w:numPr>
          <w:ilvl w:val="0"/>
          <w:numId w:val="92"/>
        </w:numPr>
        <w:rPr>
          <w:rFonts w:ascii="Arial" w:cs="Arial" w:eastAsia="Arial" w:hAnsi="Arial"/>
          <w:sz w:val="16"/>
          <w:szCs w:val="16"/>
          <w:color w:val="auto"/>
        </w:rPr>
      </w:pPr>
      <w:r>
        <w:rPr>
          <w:rFonts w:ascii="Arial" w:cs="Arial" w:eastAsia="Arial" w:hAnsi="Arial"/>
          <w:sz w:val="16"/>
          <w:szCs w:val="16"/>
          <w:color w:val="auto"/>
        </w:rPr>
        <w:t>of this Section. Each of the parties hereto hereby irrevocably waives, to the fullest extent permitted by law, the defense of an inconvenient forum to the maintenance of such action or proceeding in any such court.</w:t>
      </w:r>
    </w:p>
    <w:p>
      <w:pPr>
        <w:spacing w:after="0" w:line="323"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821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281" w:right="219" w:bottom="1440" w:gutter="0" w:footer="0" w:header="0"/>
        </w:sectPr>
      </w:pPr>
    </w:p>
    <w:bookmarkStart w:id="100" w:name="page101"/>
    <w:bookmarkEnd w:id="100"/>
    <w:p>
      <w:pPr>
        <w:ind w:right="20" w:firstLine="565"/>
        <w:spacing w:after="0" w:line="270" w:lineRule="auto"/>
        <w:tabs>
          <w:tab w:leader="none" w:pos="94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Each party to this Agreement irrevocably consents to service of process in the manner provided for notices in </w:t>
      </w:r>
      <w:r>
        <w:rPr>
          <w:rFonts w:ascii="Arial" w:cs="Arial" w:eastAsia="Arial" w:hAnsi="Arial"/>
          <w:sz w:val="16"/>
          <w:szCs w:val="16"/>
          <w:u w:val="single" w:color="auto"/>
          <w:color w:val="auto"/>
        </w:rPr>
        <w:t>Section 9.01</w:t>
      </w:r>
      <w:r>
        <w:rPr>
          <w:rFonts w:ascii="Arial" w:cs="Arial" w:eastAsia="Arial" w:hAnsi="Arial"/>
          <w:sz w:val="16"/>
          <w:szCs w:val="16"/>
          <w:color w:val="auto"/>
        </w:rPr>
        <w:t>. Nothing in this Agreement or any other Loan Document will affect the right of any party to this Agreement to serve process in any other manner permitted by law.</w:t>
      </w:r>
    </w:p>
    <w:p>
      <w:pPr>
        <w:spacing w:after="0" w:line="204" w:lineRule="exact"/>
        <w:rPr>
          <w:sz w:val="20"/>
          <w:szCs w:val="20"/>
          <w:color w:val="auto"/>
        </w:rPr>
      </w:pPr>
    </w:p>
    <w:p>
      <w:pPr>
        <w:jc w:val="both"/>
        <w:ind w:firstLine="570"/>
        <w:spacing w:after="0" w:line="251"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21"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Headings</w:t>
      </w:r>
      <w:r>
        <w:rPr>
          <w:rFonts w:ascii="Arial" w:cs="Arial" w:eastAsia="Arial" w:hAnsi="Arial"/>
          <w:sz w:val="16"/>
          <w:szCs w:val="16"/>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204"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5"/>
          <w:szCs w:val="15"/>
          <w:color w:val="auto"/>
        </w:rPr>
        <w:t xml:space="preserve">SECTION 9.12. </w:t>
      </w:r>
      <w:r>
        <w:rPr>
          <w:rFonts w:ascii="Arial" w:cs="Arial" w:eastAsia="Arial" w:hAnsi="Arial"/>
          <w:sz w:val="15"/>
          <w:szCs w:val="15"/>
          <w:u w:val="single" w:color="auto"/>
          <w:color w:val="auto"/>
        </w:rPr>
        <w:t>Confidentiality</w:t>
      </w:r>
      <w:r>
        <w:rPr>
          <w:rFonts w:ascii="Arial" w:cs="Arial" w:eastAsia="Arial" w:hAnsi="Arial"/>
          <w:sz w:val="15"/>
          <w:szCs w:val="15"/>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Requirement of Law or by any subpoena or similar legal process, (d) to any other party to this Agreement, (e) in connection with the exercise of any remedies hereunder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Borrowers, or (h) to the extent such Information (i) becomes publicly available other than as a result of a breach of this Section, (ii) becomes available to the Administrative Agent, the Issuing Bank or any Lender on a non-confidential basis from a source other than the Borrowers, or (iii) is required to be reported for league table purposes. For the purposes of this Section, “Information” means all information received from any Loan Party relating to any Loan Party or their businesses, other than any such information that is available to the Administrative Agent, the Issuing Bank or any Lender on a non-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101" w:name="page102"/>
    <w:bookmarkEnd w:id="101"/>
    <w:p>
      <w:pPr>
        <w:jc w:val="both"/>
        <w:ind w:right="20"/>
        <w:spacing w:after="0" w:line="255" w:lineRule="auto"/>
        <w:rPr>
          <w:sz w:val="20"/>
          <w:szCs w:val="20"/>
          <w:color w:val="auto"/>
        </w:rPr>
      </w:pPr>
      <w:r>
        <w:rPr>
          <w:rFonts w:ascii="Arial" w:cs="Arial" w:eastAsia="Arial" w:hAnsi="Arial"/>
          <w:sz w:val="16"/>
          <w:szCs w:val="16"/>
          <w:color w:val="auto"/>
        </w:rPr>
        <w:t>confidential basis prior to disclosure by the Borrowers; provided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8" w:lineRule="exact"/>
        <w:rPr>
          <w:sz w:val="20"/>
          <w:szCs w:val="20"/>
          <w:color w:val="auto"/>
        </w:rPr>
      </w:pPr>
    </w:p>
    <w:p>
      <w:pPr>
        <w:jc w:val="both"/>
        <w:ind w:firstLine="570"/>
        <w:spacing w:after="0" w:line="254" w:lineRule="auto"/>
        <w:rPr>
          <w:sz w:val="20"/>
          <w:szCs w:val="20"/>
          <w:color w:val="auto"/>
        </w:rPr>
      </w:pPr>
      <w:r>
        <w:rPr>
          <w:rFonts w:ascii="Arial" w:cs="Arial" w:eastAsia="Arial" w:hAnsi="Arial"/>
          <w:sz w:val="16"/>
          <w:szCs w:val="16"/>
          <w:b w:val="1"/>
          <w:bCs w:val="1"/>
          <w:color w:val="auto"/>
        </w:rPr>
        <w:t xml:space="preserve">EACH LENDER ACKNOWLEDGES THAT INFORMATION AS DEFINED IN </w:t>
      </w:r>
      <w:r>
        <w:rPr>
          <w:rFonts w:ascii="Arial" w:cs="Arial" w:eastAsia="Arial" w:hAnsi="Arial"/>
          <w:sz w:val="16"/>
          <w:szCs w:val="16"/>
          <w:b w:val="1"/>
          <w:bCs w:val="1"/>
          <w:u w:val="single" w:color="auto"/>
          <w:color w:val="auto"/>
        </w:rPr>
        <w:t>SECTION 9.12</w:t>
      </w:r>
      <w:r>
        <w:rPr>
          <w:rFonts w:ascii="Arial" w:cs="Arial" w:eastAsia="Arial" w:hAnsi="Arial"/>
          <w:sz w:val="16"/>
          <w:szCs w:val="16"/>
          <w:b w:val="1"/>
          <w:bCs w:val="1"/>
          <w:color w:val="auto"/>
        </w:rPr>
        <w:t xml:space="preserve"> FURNISHED TO IT PURSUANT TO THIS AGREEMENT MAY INCLUDE MATERIAL NON-PUBLIC INFORMATION CONCERNING THE BORROWERS AND THEIR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0"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b w:val="1"/>
          <w:bCs w:val="1"/>
          <w:color w:val="auto"/>
        </w:rPr>
        <w:t>ALL INFORMATION, INCLUDING REQUESTS FOR WAIVERS AND AMENDMENTS, FURNISHED BY THE LOAN PARTIES OR THE ADMINISTRATIVE AGENT PURSUANT TO, OR IN THE COURSE OF ADMINISTERING, THIS AGREEMENT WILL BE SYNDICATE-LEVEL INFORMATION, WHICH MAY CONTAIN MATERIAL NON-PUBLIC INFORMATION ABOUT THE BORROWERS, THE LOAN PARTIES AND THEIR RELATED PARTIES OR THEIR RESPECTIVE SECURITIES. ACCORDINGLY, EACH LENDER REPRESENTS TO THE LOAN PARTIES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220" w:lineRule="exact"/>
        <w:rPr>
          <w:sz w:val="20"/>
          <w:szCs w:val="20"/>
          <w:color w:val="auto"/>
        </w:rPr>
      </w:pPr>
    </w:p>
    <w:p>
      <w:pPr>
        <w:jc w:val="both"/>
        <w:ind w:firstLine="570"/>
        <w:spacing w:after="0" w:line="277" w:lineRule="auto"/>
        <w:rPr>
          <w:sz w:val="20"/>
          <w:szCs w:val="20"/>
          <w:color w:val="auto"/>
        </w:rPr>
      </w:pPr>
      <w:r>
        <w:rPr>
          <w:rFonts w:ascii="Arial" w:cs="Arial" w:eastAsia="Arial" w:hAnsi="Arial"/>
          <w:sz w:val="15"/>
          <w:szCs w:val="15"/>
          <w:color w:val="auto"/>
        </w:rPr>
        <w:t xml:space="preserve">SECTION 9.13. </w:t>
      </w:r>
      <w:r>
        <w:rPr>
          <w:rFonts w:ascii="Arial" w:cs="Arial" w:eastAsia="Arial" w:hAnsi="Arial"/>
          <w:sz w:val="15"/>
          <w:szCs w:val="15"/>
          <w:u w:val="single" w:color="auto"/>
          <w:color w:val="auto"/>
        </w:rPr>
        <w:t>Several Obligations; Nonreliance; Violation of Law</w:t>
      </w:r>
      <w:r>
        <w:rPr>
          <w:rFonts w:ascii="Arial" w:cs="Arial" w:eastAsia="Arial" w:hAnsi="Arial"/>
          <w:sz w:val="15"/>
          <w:szCs w:val="15"/>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201" w:lineRule="exact"/>
        <w:rPr>
          <w:sz w:val="20"/>
          <w:szCs w:val="20"/>
          <w:color w:val="auto"/>
        </w:rPr>
      </w:pPr>
    </w:p>
    <w:p>
      <w:pPr>
        <w:jc w:val="both"/>
        <w:ind w:firstLine="570"/>
        <w:spacing w:after="0" w:line="313" w:lineRule="auto"/>
        <w:rPr>
          <w:sz w:val="20"/>
          <w:szCs w:val="20"/>
          <w:color w:val="auto"/>
        </w:rPr>
      </w:pPr>
      <w:r>
        <w:rPr>
          <w:rFonts w:ascii="Arial" w:cs="Arial" w:eastAsia="Arial" w:hAnsi="Arial"/>
          <w:sz w:val="14"/>
          <w:szCs w:val="14"/>
          <w:color w:val="auto"/>
        </w:rPr>
        <w:t xml:space="preserve">SECTION 9.14. </w:t>
      </w:r>
      <w:r>
        <w:rPr>
          <w:rFonts w:ascii="Arial" w:cs="Arial" w:eastAsia="Arial" w:hAnsi="Arial"/>
          <w:sz w:val="14"/>
          <w:szCs w:val="14"/>
          <w:u w:val="single" w:color="auto"/>
          <w:color w:val="auto"/>
        </w:rPr>
        <w:t>USA PATRIOT Act</w:t>
      </w:r>
      <w:r>
        <w:rPr>
          <w:rFonts w:ascii="Arial" w:cs="Arial" w:eastAsia="Arial" w:hAnsi="Arial"/>
          <w:sz w:val="14"/>
          <w:szCs w:val="14"/>
          <w:color w:val="auto"/>
        </w:rPr>
        <w:t>. Each Lender that is subject to the requirements of the USA Patriot Act (Title III of Pub. L. 107-56 (signed into law October 26, 2001)) (the “</w:t>
      </w:r>
      <w:r>
        <w:rPr>
          <w:rFonts w:ascii="Arial" w:cs="Arial" w:eastAsia="Arial" w:hAnsi="Arial"/>
          <w:sz w:val="14"/>
          <w:szCs w:val="14"/>
          <w:u w:val="single" w:color="auto"/>
          <w:color w:val="auto"/>
        </w:rPr>
        <w:t>Act</w:t>
      </w:r>
      <w:r>
        <w:rPr>
          <w:rFonts w:ascii="Arial" w:cs="Arial" w:eastAsia="Arial" w:hAnsi="Arial"/>
          <w:sz w:val="14"/>
          <w:szCs w:val="14"/>
          <w:color w:val="auto"/>
        </w:rPr>
        <w:t>”) hereby notifies the Borrowers that pursuant to the requirements of the Act, it is required to obtain, verify and record information that identifies the Borrowers, which information includes the names and addresses of the Borrowers and other information that will allow such Lender to identify the Borrowers in accordance with the Act.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02" w:name="page103"/>
    <w:bookmarkEnd w:id="102"/>
    <w:p>
      <w:pPr>
        <w:jc w:val="both"/>
        <w:ind w:right="20" w:firstLine="570"/>
        <w:spacing w:after="0" w:line="270"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Disclosure</w:t>
      </w:r>
      <w:r>
        <w:rPr>
          <w:rFonts w:ascii="Arial" w:cs="Arial" w:eastAsia="Arial" w:hAnsi="Arial"/>
          <w:sz w:val="16"/>
          <w:szCs w:val="16"/>
          <w:color w:val="auto"/>
        </w:rPr>
        <w:t>.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spacing w:after="0" w:line="204" w:lineRule="exact"/>
        <w:rPr>
          <w:sz w:val="20"/>
          <w:szCs w:val="20"/>
          <w:color w:val="auto"/>
        </w:rPr>
      </w:pPr>
    </w:p>
    <w:p>
      <w:pPr>
        <w:jc w:val="both"/>
        <w:ind w:right="20" w:firstLine="570"/>
        <w:spacing w:after="0" w:line="253"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Appointment for Perfection</w:t>
      </w:r>
      <w:r>
        <w:rPr>
          <w:rFonts w:ascii="Arial" w:cs="Arial" w:eastAsia="Arial" w:hAnsi="Arial"/>
          <w:sz w:val="16"/>
          <w:szCs w:val="16"/>
          <w:color w:val="auto"/>
        </w:rPr>
        <w:t>. Each Lender hereby appoints each other Lender as its agent for the purpose of perfecting Liens, for the benefit of the Administrative Agent and the Lenders, in assets which, in accordance with Article 9 of the UCC or any other applicable law can be perfected only by possession. Should any Lender (other than the Administrative Agent) obtain possession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218" w:lineRule="exact"/>
        <w:rPr>
          <w:sz w:val="20"/>
          <w:szCs w:val="20"/>
          <w:color w:val="auto"/>
        </w:rPr>
      </w:pPr>
    </w:p>
    <w:p>
      <w:pPr>
        <w:jc w:val="both"/>
        <w:ind w:firstLine="570"/>
        <w:spacing w:after="0" w:line="271" w:lineRule="auto"/>
        <w:rPr>
          <w:sz w:val="20"/>
          <w:szCs w:val="20"/>
          <w:color w:val="auto"/>
        </w:rPr>
      </w:pPr>
      <w:r>
        <w:rPr>
          <w:rFonts w:ascii="Arial" w:cs="Arial" w:eastAsia="Arial" w:hAnsi="Arial"/>
          <w:sz w:val="15"/>
          <w:szCs w:val="15"/>
          <w:color w:val="auto"/>
        </w:rPr>
        <w:t xml:space="preserve">SECTION 9.17. </w:t>
      </w:r>
      <w:r>
        <w:rPr>
          <w:rFonts w:ascii="Arial" w:cs="Arial" w:eastAsia="Arial" w:hAnsi="Arial"/>
          <w:sz w:val="15"/>
          <w:szCs w:val="15"/>
          <w:u w:val="single" w:color="auto"/>
          <w:color w:val="auto"/>
        </w:rPr>
        <w:t>Interest Rate Limitation</w:t>
      </w:r>
      <w:r>
        <w:rPr>
          <w:rFonts w:ascii="Arial" w:cs="Arial" w:eastAsia="Arial" w:hAnsi="Arial"/>
          <w:sz w:val="15"/>
          <w:szCs w:val="15"/>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5"/>
          <w:szCs w:val="15"/>
          <w:u w:val="single" w:color="auto"/>
          <w:color w:val="auto"/>
        </w:rPr>
        <w:t>Charges</w:t>
      </w:r>
      <w:r>
        <w:rPr>
          <w:rFonts w:ascii="Arial" w:cs="Arial" w:eastAsia="Arial" w:hAnsi="Arial"/>
          <w:sz w:val="15"/>
          <w:szCs w:val="15"/>
          <w:color w:val="auto"/>
        </w:rPr>
        <w:t>”), shall exceed the maximum lawful rate (the “</w:t>
      </w:r>
      <w:r>
        <w:rPr>
          <w:rFonts w:ascii="Arial" w:cs="Arial" w:eastAsia="Arial" w:hAnsi="Arial"/>
          <w:sz w:val="15"/>
          <w:szCs w:val="15"/>
          <w:u w:val="single" w:color="auto"/>
          <w:color w:val="auto"/>
        </w:rPr>
        <w:t>Maximum</w:t>
      </w:r>
      <w:r>
        <w:rPr>
          <w:rFonts w:ascii="Arial" w:cs="Arial" w:eastAsia="Arial" w:hAnsi="Arial"/>
          <w:sz w:val="15"/>
          <w:szCs w:val="15"/>
          <w:color w:val="auto"/>
        </w:rPr>
        <w:t xml:space="preserve"> </w:t>
      </w:r>
      <w:r>
        <w:rPr>
          <w:rFonts w:ascii="Arial" w:cs="Arial" w:eastAsia="Arial" w:hAnsi="Arial"/>
          <w:sz w:val="15"/>
          <w:szCs w:val="15"/>
          <w:u w:val="single" w:color="auto"/>
          <w:color w:val="auto"/>
        </w:rPr>
        <w:t>Rate</w:t>
      </w:r>
      <w:r>
        <w:rPr>
          <w:rFonts w:ascii="Arial" w:cs="Arial" w:eastAsia="Arial" w:hAnsi="Arial"/>
          <w:sz w:val="15"/>
          <w:szCs w:val="15"/>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04"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5"/>
          <w:szCs w:val="15"/>
          <w:color w:val="auto"/>
        </w:rPr>
        <w:t xml:space="preserve">SECTION 9.18. </w:t>
      </w:r>
      <w:r>
        <w:rPr>
          <w:rFonts w:ascii="Arial" w:cs="Arial" w:eastAsia="Arial" w:hAnsi="Arial"/>
          <w:sz w:val="15"/>
          <w:szCs w:val="15"/>
          <w:u w:val="single" w:color="auto"/>
          <w:color w:val="auto"/>
        </w:rPr>
        <w:t>No Fiduciary Duty or Economic Conflicts of Interest</w:t>
      </w:r>
      <w:r>
        <w:rPr>
          <w:rFonts w:ascii="Arial" w:cs="Arial" w:eastAsia="Arial" w:hAnsi="Arial"/>
          <w:sz w:val="15"/>
          <w:szCs w:val="15"/>
          <w:color w:val="auto"/>
        </w:rPr>
        <w:t>. Each Credit Party and its Affiliates may have economic interests that conflict with those of the Loan Parties, their stockholders and/or their Affiliates. Each Loan Party agrees that nothing in the Loan Documents or otherwise will be deemed to create an advisory, fiduciary or agency relationship or fiduciary or other implied duty between any Credit Party or its Affiliates, on the one hand, and such Loan Party, its stockholders or its Affiliates, on the other hand. The Loan Parties acknowledge and agree that (a) the transactions contemplated by the Loan Documents (including the exercise of rights and remedies hereunder and thereunder) are arm’s-length commercial transactions between the Credit Parties and their Affiliates, on the one hand, and the Loan Parties, on the other hand, and (b) in connection therewith and with the process leading thereto, (i) no Credit Party nor its Affiliates have assumed an advisory or fiduciary responsibility in favor of any Loan Party, its stockholders or its Affiliates with respect to the transactions hereby (or the exercise of rights or remedies with respect thereto) or the process leading thereto (irrespective of whether any Lender or its Affiliates have advised, are currently advising, or will advise any Loan Party, its stockholders or its Affiliates on other matters) or any other obligation to any Loan Party except the obligations set forth in the Loan Documents and (ii) each Credit Party and its Affiliates are acting solely as principal and not as the agent or fiduciary of any Loan Party, its management, stockholders, creditors or any other Person. Each Loan Party acknowledges and agrees that it has consulted its own legal and financial advisors to the extent it deemed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103" w:name="page104"/>
    <w:bookmarkEnd w:id="103"/>
    <w:p>
      <w:pPr>
        <w:jc w:val="both"/>
        <w:ind w:right="20"/>
        <w:spacing w:after="0" w:line="259" w:lineRule="auto"/>
        <w:rPr>
          <w:sz w:val="20"/>
          <w:szCs w:val="20"/>
          <w:color w:val="auto"/>
        </w:rPr>
      </w:pPr>
      <w:r>
        <w:rPr>
          <w:rFonts w:ascii="Arial" w:cs="Arial" w:eastAsia="Arial" w:hAnsi="Arial"/>
          <w:sz w:val="16"/>
          <w:szCs w:val="16"/>
          <w:color w:val="auto"/>
        </w:rPr>
        <w:t>appropriate and that it is responsible for making its own independent judgment with respect to such transactions and the process leading thereto. Each Loan Party agrees that it will not claim that any Credit Party or its Affiliates has rendered advisory services of any nature or respect, or owes a fiduciary or similar duty to such Loan Party, in connection with such transaction or the process leading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Loan Guaranty</w:t>
      </w:r>
    </w:p>
    <w:p>
      <w:pPr>
        <w:spacing w:after="0" w:line="233"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5"/>
          <w:szCs w:val="15"/>
          <w:color w:val="auto"/>
        </w:rPr>
        <w:t xml:space="preserve">SECTION 10.01. </w:t>
      </w:r>
      <w:r>
        <w:rPr>
          <w:rFonts w:ascii="Arial" w:cs="Arial" w:eastAsia="Arial" w:hAnsi="Arial"/>
          <w:sz w:val="15"/>
          <w:szCs w:val="15"/>
          <w:u w:val="single" w:color="auto"/>
          <w:color w:val="auto"/>
        </w:rPr>
        <w:t>Guaranty</w:t>
      </w:r>
      <w:r>
        <w:rPr>
          <w:rFonts w:ascii="Arial" w:cs="Arial" w:eastAsia="Arial" w:hAnsi="Arial"/>
          <w:sz w:val="15"/>
          <w:szCs w:val="15"/>
          <w:color w:val="auto"/>
        </w:rPr>
        <w:t>. Each Loan Guarantor (other than those that have delivered a separate Guaranty) hereby agrees that it is jointly and severally liable for, and absolutely and unconditionally guarantees to the Lenders,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Arial" w:cs="Arial" w:eastAsia="Arial" w:hAnsi="Arial"/>
          <w:sz w:val="15"/>
          <w:szCs w:val="15"/>
          <w:u w:val="single" w:color="auto"/>
          <w:color w:val="auto"/>
        </w:rPr>
        <w:t>Guaranteed Obligations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 however</w:t>
      </w:r>
      <w:r>
        <w:rPr>
          <w:rFonts w:ascii="Arial" w:cs="Arial" w:eastAsia="Arial" w:hAnsi="Arial"/>
          <w:sz w:val="15"/>
          <w:szCs w:val="15"/>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 Each Loan Guarantor acknowledges that this Loan Guaranty is a continuing guarantee.</w:t>
      </w:r>
    </w:p>
    <w:p>
      <w:pPr>
        <w:spacing w:after="0" w:line="209" w:lineRule="exact"/>
        <w:rPr>
          <w:sz w:val="20"/>
          <w:szCs w:val="20"/>
          <w:color w:val="auto"/>
        </w:rPr>
      </w:pPr>
    </w:p>
    <w:p>
      <w:pPr>
        <w:jc w:val="both"/>
        <w:ind w:right="20" w:firstLine="570"/>
        <w:spacing w:after="0" w:line="284" w:lineRule="auto"/>
        <w:rPr>
          <w:sz w:val="20"/>
          <w:szCs w:val="20"/>
          <w:color w:val="auto"/>
        </w:rPr>
      </w:pPr>
      <w:r>
        <w:rPr>
          <w:rFonts w:ascii="Arial" w:cs="Arial" w:eastAsia="Arial" w:hAnsi="Arial"/>
          <w:sz w:val="15"/>
          <w:szCs w:val="15"/>
          <w:color w:val="auto"/>
        </w:rPr>
        <w:t xml:space="preserve">SECTION 10.02. </w:t>
      </w:r>
      <w:r>
        <w:rPr>
          <w:rFonts w:ascii="Arial" w:cs="Arial" w:eastAsia="Arial" w:hAnsi="Arial"/>
          <w:sz w:val="15"/>
          <w:szCs w:val="15"/>
          <w:u w:val="single" w:color="auto"/>
          <w:color w:val="auto"/>
        </w:rPr>
        <w:t>Guaranty of Payment</w:t>
      </w:r>
      <w:r>
        <w:rPr>
          <w:rFonts w:ascii="Arial" w:cs="Arial" w:eastAsia="Arial" w:hAnsi="Arial"/>
          <w:sz w:val="15"/>
          <w:szCs w:val="15"/>
          <w:color w:val="auto"/>
        </w:rPr>
        <w:t>. This Loan Guaranty is a guaranty of payment and not of collection. Each Loan Guarantor waives any right to require the Administrative Agent, the Issuing Bank or any Lender to sue any Borrower, any Loan Guarantor, any other guarantor, or any other Person obligated for all or any part of the Guaranteed Obligations (each, an “Obligated Party”), or otherwise to enforce its payment against any collateral securing all or any part of the Guaranteed Obligations.</w:t>
      </w:r>
    </w:p>
    <w:p>
      <w:pPr>
        <w:spacing w:after="0" w:line="195"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 xml:space="preserve">SECTION 10.03. </w:t>
      </w:r>
      <w:r>
        <w:rPr>
          <w:rFonts w:ascii="Arial" w:cs="Arial" w:eastAsia="Arial" w:hAnsi="Arial"/>
          <w:sz w:val="16"/>
          <w:szCs w:val="16"/>
          <w:u w:val="single" w:color="auto"/>
          <w:color w:val="auto"/>
        </w:rPr>
        <w:t>No Discharge or Diminishment of Loan Guaranty</w:t>
      </w:r>
      <w:r>
        <w:rPr>
          <w:rFonts w:ascii="Arial" w:cs="Arial" w:eastAsia="Arial" w:hAnsi="Arial"/>
          <w:sz w:val="16"/>
          <w:szCs w:val="16"/>
          <w:color w:val="auto"/>
        </w:rPr>
        <w:t>. (a)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04" w:name="page105"/>
    <w:bookmarkEnd w:id="104"/>
    <w:p>
      <w:pPr>
        <w:ind w:right="20"/>
        <w:spacing w:after="0" w:line="270" w:lineRule="auto"/>
        <w:rPr>
          <w:sz w:val="20"/>
          <w:szCs w:val="20"/>
          <w:color w:val="auto"/>
        </w:rPr>
      </w:pPr>
      <w:r>
        <w:rPr>
          <w:rFonts w:ascii="Arial" w:cs="Arial" w:eastAsia="Arial" w:hAnsi="Arial"/>
          <w:sz w:val="16"/>
          <w:szCs w:val="16"/>
          <w:color w:val="auto"/>
        </w:rPr>
        <w:t>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204" w:lineRule="exact"/>
        <w:rPr>
          <w:sz w:val="20"/>
          <w:szCs w:val="20"/>
          <w:color w:val="auto"/>
        </w:rPr>
      </w:pPr>
    </w:p>
    <w:p>
      <w:pPr>
        <w:jc w:val="both"/>
        <w:ind w:firstLine="565"/>
        <w:spacing w:after="0" w:line="259" w:lineRule="auto"/>
        <w:tabs>
          <w:tab w:leader="none" w:pos="95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212" w:lineRule="exact"/>
        <w:rPr>
          <w:rFonts w:ascii="Arial" w:cs="Arial" w:eastAsia="Arial" w:hAnsi="Arial"/>
          <w:sz w:val="16"/>
          <w:szCs w:val="16"/>
          <w:color w:val="auto"/>
        </w:rPr>
      </w:pPr>
    </w:p>
    <w:p>
      <w:pPr>
        <w:jc w:val="both"/>
        <w:ind w:firstLine="565"/>
        <w:spacing w:after="0" w:line="270" w:lineRule="auto"/>
        <w:tabs>
          <w:tab w:leader="none" w:pos="9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206"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u w:val="single" w:color="auto"/>
          <w:color w:val="auto"/>
        </w:rPr>
        <w:t>Defenses Waived</w:t>
      </w:r>
      <w:r>
        <w:rPr>
          <w:rFonts w:ascii="Arial" w:cs="Arial" w:eastAsia="Arial" w:hAnsi="Arial"/>
          <w:sz w:val="15"/>
          <w:szCs w:val="15"/>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or any Loan Guarantor,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05" w:name="page106"/>
    <w:bookmarkEnd w:id="105"/>
    <w:p>
      <w:pPr>
        <w:jc w:val="both"/>
        <w:ind w:right="20" w:firstLine="570"/>
        <w:spacing w:after="0" w:line="259" w:lineRule="auto"/>
        <w:rPr>
          <w:sz w:val="20"/>
          <w:szCs w:val="20"/>
          <w:color w:val="auto"/>
        </w:rPr>
      </w:pPr>
      <w:r>
        <w:rPr>
          <w:rFonts w:ascii="Arial" w:cs="Arial" w:eastAsia="Arial" w:hAnsi="Arial"/>
          <w:sz w:val="16"/>
          <w:szCs w:val="16"/>
          <w:color w:val="auto"/>
        </w:rPr>
        <w:t xml:space="preserve">SECTION 10.05. </w:t>
      </w:r>
      <w:r>
        <w:rPr>
          <w:rFonts w:ascii="Arial" w:cs="Arial" w:eastAsia="Arial" w:hAnsi="Arial"/>
          <w:sz w:val="16"/>
          <w:szCs w:val="16"/>
          <w:u w:val="single" w:color="auto"/>
          <w:color w:val="auto"/>
        </w:rPr>
        <w:t>Rights of Subrogation</w:t>
      </w:r>
      <w:r>
        <w:rPr>
          <w:rFonts w:ascii="Arial" w:cs="Arial" w:eastAsia="Arial" w:hAnsi="Arial"/>
          <w:sz w:val="16"/>
          <w:szCs w:val="16"/>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212"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 xml:space="preserve">SECTION 10.06. </w:t>
      </w:r>
      <w:r>
        <w:rPr>
          <w:rFonts w:ascii="Arial" w:cs="Arial" w:eastAsia="Arial" w:hAnsi="Arial"/>
          <w:sz w:val="16"/>
          <w:szCs w:val="16"/>
          <w:u w:val="single" w:color="auto"/>
          <w:color w:val="auto"/>
        </w:rPr>
        <w:t>Reinstatement; Stay of Acceleration</w:t>
      </w:r>
      <w:r>
        <w:rPr>
          <w:rFonts w:ascii="Arial" w:cs="Arial" w:eastAsia="Arial" w:hAnsi="Arial"/>
          <w:sz w:val="16"/>
          <w:szCs w:val="16"/>
          <w:color w:val="auto"/>
        </w:rPr>
        <w:t>. If at any time any payment of any portion of the Guaranteed Obligations is rescinded or must otherwise be restored or returned upon the insolvency, bankruptcy or reorganization of any Borrower or otherwise,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219"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Information</w:t>
      </w:r>
      <w:r>
        <w:rPr>
          <w:rFonts w:ascii="Arial" w:cs="Arial" w:eastAsia="Arial" w:hAnsi="Arial"/>
          <w:sz w:val="16"/>
          <w:szCs w:val="16"/>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neither the Administrative Agent, the Issuing Bank nor any Lender shall have any duty to advise any Loan Guarantor of information known to it regarding those circumstances or risks.</w:t>
      </w:r>
    </w:p>
    <w:p>
      <w:pPr>
        <w:spacing w:after="0" w:line="216" w:lineRule="exact"/>
        <w:rPr>
          <w:sz w:val="20"/>
          <w:szCs w:val="20"/>
          <w:color w:val="auto"/>
        </w:rPr>
      </w:pPr>
    </w:p>
    <w:p>
      <w:pPr>
        <w:jc w:val="both"/>
        <w:ind w:right="20" w:firstLine="570"/>
        <w:spacing w:after="0" w:line="277" w:lineRule="auto"/>
        <w:rPr>
          <w:sz w:val="20"/>
          <w:szCs w:val="20"/>
          <w:color w:val="auto"/>
        </w:rPr>
      </w:pPr>
      <w:r>
        <w:rPr>
          <w:rFonts w:ascii="Arial" w:cs="Arial" w:eastAsia="Arial" w:hAnsi="Arial"/>
          <w:sz w:val="15"/>
          <w:szCs w:val="15"/>
          <w:color w:val="auto"/>
        </w:rPr>
        <w:t xml:space="preserve">SECTION 10.08. </w:t>
      </w:r>
      <w:r>
        <w:rPr>
          <w:rFonts w:ascii="Arial" w:cs="Arial" w:eastAsia="Arial" w:hAnsi="Arial"/>
          <w:sz w:val="15"/>
          <w:szCs w:val="15"/>
          <w:u w:val="single" w:color="auto"/>
          <w:color w:val="auto"/>
        </w:rPr>
        <w:t>Termination</w:t>
      </w:r>
      <w:r>
        <w:rPr>
          <w:rFonts w:ascii="Arial" w:cs="Arial" w:eastAsia="Arial" w:hAnsi="Arial"/>
          <w:sz w:val="15"/>
          <w:szCs w:val="15"/>
          <w:color w:val="auto"/>
        </w:rPr>
        <w:t>. Each of the Lenders and the Issuing Bank may continue to make loans or extend credit to the Borrowers based on this Loan Guaranty until five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w:t>
      </w:r>
    </w:p>
    <w:p>
      <w:pPr>
        <w:spacing w:after="0" w:line="201" w:lineRule="exact"/>
        <w:rPr>
          <w:sz w:val="20"/>
          <w:szCs w:val="20"/>
          <w:color w:val="auto"/>
        </w:rPr>
      </w:pPr>
    </w:p>
    <w:p>
      <w:pPr>
        <w:ind w:left="560"/>
        <w:spacing w:after="0"/>
        <w:tabs>
          <w:tab w:leader="none" w:pos="1920" w:val="left"/>
        </w:tabs>
        <w:rPr>
          <w:sz w:val="20"/>
          <w:szCs w:val="20"/>
          <w:color w:val="auto"/>
        </w:rPr>
      </w:pPr>
      <w:r>
        <w:rPr>
          <w:rFonts w:ascii="Arial" w:cs="Arial" w:eastAsia="Arial" w:hAnsi="Arial"/>
          <w:sz w:val="16"/>
          <w:szCs w:val="16"/>
          <w:color w:val="auto"/>
        </w:rPr>
        <w:t>SECTION 10.09.</w:t>
      </w:r>
      <w:r>
        <w:rPr>
          <w:sz w:val="20"/>
          <w:szCs w:val="20"/>
          <w:color w:val="auto"/>
        </w:rPr>
        <w:tab/>
      </w:r>
      <w:r>
        <w:rPr>
          <w:rFonts w:ascii="Arial" w:cs="Arial" w:eastAsia="Arial" w:hAnsi="Arial"/>
          <w:sz w:val="14"/>
          <w:szCs w:val="14"/>
          <w:color w:val="auto"/>
        </w:rPr>
        <w:t>Intentionally Omitted.</w:t>
      </w:r>
    </w:p>
    <w:p>
      <w:pPr>
        <w:spacing w:after="0" w:line="244" w:lineRule="exact"/>
        <w:rPr>
          <w:sz w:val="20"/>
          <w:szCs w:val="20"/>
          <w:color w:val="auto"/>
        </w:rPr>
      </w:pPr>
    </w:p>
    <w:p>
      <w:pPr>
        <w:jc w:val="both"/>
        <w:ind w:right="20" w:firstLine="570"/>
        <w:spacing w:after="0" w:line="295" w:lineRule="auto"/>
        <w:rPr>
          <w:sz w:val="20"/>
          <w:szCs w:val="20"/>
          <w:color w:val="auto"/>
        </w:rPr>
      </w:pPr>
      <w:r>
        <w:rPr>
          <w:rFonts w:ascii="Arial" w:cs="Arial" w:eastAsia="Arial" w:hAnsi="Arial"/>
          <w:sz w:val="14"/>
          <w:szCs w:val="14"/>
          <w:color w:val="auto"/>
        </w:rPr>
        <w:t xml:space="preserve">SECTION 10.10. </w:t>
      </w:r>
      <w:r>
        <w:rPr>
          <w:rFonts w:ascii="Arial" w:cs="Arial" w:eastAsia="Arial" w:hAnsi="Arial"/>
          <w:sz w:val="14"/>
          <w:szCs w:val="14"/>
          <w:u w:val="single" w:color="auto"/>
          <w:color w:val="auto"/>
        </w:rPr>
        <w:t>Maximum Liability</w:t>
      </w:r>
      <w:r>
        <w:rPr>
          <w:rFonts w:ascii="Arial" w:cs="Arial" w:eastAsia="Arial" w:hAnsi="Arial"/>
          <w:sz w:val="14"/>
          <w:szCs w:val="14"/>
          <w:color w:val="auto"/>
        </w:rPr>
        <w:t>. The provisions of this Loan Guaranty are severable, and in any action or proceeding involving any state corporate law, or any state, federal or foreign bankruptcy, insolvency, reorganization or other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Administrative Agent, the Issuing Bank or any Lender, be automatically limited and reduced to the highest amount that is valid and enforceable as determined in such action or proceeding (such highest amount determined hereunder being the relevant Loan Guarantor’s “Maximum Liability”. This Section with respect to the Maximum</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106" w:name="page107"/>
    <w:bookmarkEnd w:id="106"/>
    <w:p>
      <w:pPr>
        <w:jc w:val="both"/>
        <w:spacing w:after="0" w:line="252" w:lineRule="auto"/>
        <w:rPr>
          <w:sz w:val="20"/>
          <w:szCs w:val="20"/>
          <w:color w:val="auto"/>
        </w:rPr>
      </w:pPr>
      <w:r>
        <w:rPr>
          <w:rFonts w:ascii="Arial" w:cs="Arial" w:eastAsia="Arial" w:hAnsi="Arial"/>
          <w:sz w:val="16"/>
          <w:szCs w:val="16"/>
          <w:color w:val="auto"/>
        </w:rPr>
        <w:t>Liability of each Loan Guarantor is intended solely to preserve the rights of the Administrative Agent, the Issuing Bank and the Lenders to the maximum extent not subject to avoidance under applicable law, and no Loan Guarantor nor any other Person shall have any right or claim under this Section with respect to such Maximum Liability, except to the extent necessary so that the obligations of any Loan Guarantor hereunder shall not be rendered voidable under applicable law. Each Loan Guarantor agrees that the Guaranteed Obligations may at any time and from time to time exceed the Maximum Liability of each Loan Guarantor without impairing this Loan Guaranty or affecting the rights and remedies of the Administrative Agent, the Issuing Bank or the Lenders hereunder, provided that, nothing in this sentence shall be construed to increase any Loan Guarantor’s obligations hereunder beyond its Maximum Liability.</w:t>
      </w:r>
    </w:p>
    <w:p>
      <w:pPr>
        <w:spacing w:after="0" w:line="219" w:lineRule="exact"/>
        <w:rPr>
          <w:sz w:val="20"/>
          <w:szCs w:val="20"/>
          <w:color w:val="auto"/>
        </w:rPr>
      </w:pPr>
    </w:p>
    <w:p>
      <w:pPr>
        <w:jc w:val="both"/>
        <w:ind w:firstLine="570"/>
        <w:spacing w:after="0" w:line="267" w:lineRule="auto"/>
        <w:rPr>
          <w:sz w:val="20"/>
          <w:szCs w:val="20"/>
          <w:color w:val="auto"/>
        </w:rPr>
      </w:pPr>
      <w:r>
        <w:rPr>
          <w:rFonts w:ascii="Arial" w:cs="Arial" w:eastAsia="Arial" w:hAnsi="Arial"/>
          <w:sz w:val="15"/>
          <w:szCs w:val="15"/>
          <w:color w:val="auto"/>
        </w:rPr>
        <w:t xml:space="preserve">SECTION 10.11. </w:t>
      </w:r>
      <w:r>
        <w:rPr>
          <w:rFonts w:ascii="Arial" w:cs="Arial" w:eastAsia="Arial" w:hAnsi="Arial"/>
          <w:sz w:val="15"/>
          <w:szCs w:val="15"/>
          <w:u w:val="single" w:color="auto"/>
          <w:color w:val="auto"/>
        </w:rPr>
        <w:t>Contribution</w:t>
      </w:r>
      <w:r>
        <w:rPr>
          <w:rFonts w:ascii="Arial" w:cs="Arial" w:eastAsia="Arial" w:hAnsi="Arial"/>
          <w:sz w:val="15"/>
          <w:szCs w:val="15"/>
          <w:color w:val="auto"/>
        </w:rPr>
        <w:t>. In the event any Loan Guarantor (a “</w:t>
      </w:r>
      <w:r>
        <w:rPr>
          <w:rFonts w:ascii="Arial" w:cs="Arial" w:eastAsia="Arial" w:hAnsi="Arial"/>
          <w:sz w:val="15"/>
          <w:szCs w:val="15"/>
          <w:u w:val="single" w:color="auto"/>
          <w:color w:val="auto"/>
        </w:rPr>
        <w:t>Paying Guarantor</w:t>
      </w:r>
      <w:r>
        <w:rPr>
          <w:rFonts w:ascii="Arial" w:cs="Arial" w:eastAsia="Arial" w:hAnsi="Arial"/>
          <w:sz w:val="15"/>
          <w:szCs w:val="15"/>
          <w:color w:val="auto"/>
        </w:rPr>
        <w:t>”) shall make any payment or payments under this Loan Guaranty or shall suffer any loss as a result of any realization upon any collateral granted by it to secure its obligations under this Loan Guaranty, each other Loan Guarantor (each a “</w:t>
      </w:r>
      <w:r>
        <w:rPr>
          <w:rFonts w:ascii="Arial" w:cs="Arial" w:eastAsia="Arial" w:hAnsi="Arial"/>
          <w:sz w:val="15"/>
          <w:szCs w:val="15"/>
          <w:u w:val="single" w:color="auto"/>
          <w:color w:val="auto"/>
        </w:rPr>
        <w:t>Non-Paying</w:t>
      </w:r>
      <w:r>
        <w:rPr>
          <w:rFonts w:ascii="Arial" w:cs="Arial" w:eastAsia="Arial" w:hAnsi="Arial"/>
          <w:sz w:val="15"/>
          <w:szCs w:val="15"/>
          <w:color w:val="auto"/>
        </w:rPr>
        <w:t xml:space="preserve"> </w:t>
      </w:r>
      <w:r>
        <w:rPr>
          <w:rFonts w:ascii="Arial" w:cs="Arial" w:eastAsia="Arial" w:hAnsi="Arial"/>
          <w:sz w:val="15"/>
          <w:szCs w:val="15"/>
          <w:u w:val="single" w:color="auto"/>
          <w:color w:val="auto"/>
        </w:rPr>
        <w:t>Guarantor</w:t>
      </w:r>
      <w:r>
        <w:rPr>
          <w:rFonts w:ascii="Arial" w:cs="Arial" w:eastAsia="Arial" w:hAnsi="Arial"/>
          <w:sz w:val="15"/>
          <w:szCs w:val="15"/>
          <w:color w:val="auto"/>
        </w:rPr>
        <w:t>”) shall contribute to such Paying Guarantor an amount equal to such Non-Paying Guarantor’s “Applicable Percentage” of such payment or payments made, or losses suffered, by such Paying Guarantor. For purposes of this Article X, each Non-Paying Guarantor’s “Applicable Percentage” with respect to any such payment or loss by a Paying Guarantor shall be determined as of the date on which such payment or loss was made by reference to the ratio of (i) such Non-Paying Guarantor’s Maximum Liability as of such date (without giving effect to any right to receive, or obligation to make, any contribution hereunder) or, if such Non-Paying Guarantor’s Maximum Liability has not been determined, the aggregate amount of all monies received by such Non-Paying Guarantor from the Borrowers after the date hereof (whether by loan, capital infusion or by other means) to (ii) the aggregate Maximum Liability of all Loan Guarantors hereunder (including such Paying Guarantor) as of such date (without giving effect to any right to receive, or obligation to make, any contribution hereunder), or to the extent that a Maximum Liability has not been determined for any Loan Guarantor, the aggregate amount of all monies received by such Loan Guarantors from the Borrowers after the date hereof (whether by loan, capital infusion or by other means). Nothing in this provision shall affect any Loan Guarantor’s several liability for the entire amount of the Guaranteed Obligations (up to such Loan Guarantor’s Maximum Liability). Each of the Loan Guarantors covenants and agrees that its right to receive any contribution under this Loan Guaranty from a Non-Paying Guarantor shall be subordinate and junior in right of payment to the payment in full in cash of the Guaranteed Obligations. This provision is for the benefit of all of the Administrative Agent, the Issuing Bank, the Lenders and the Loan Guarantors and may be enforced by any one, or more, or all of them in accordance with the terms hereof.</w:t>
      </w:r>
    </w:p>
    <w:p>
      <w:pPr>
        <w:spacing w:after="0" w:line="212"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Liability Cumulative</w:t>
      </w:r>
      <w:r>
        <w:rPr>
          <w:rFonts w:ascii="Arial" w:cs="Arial" w:eastAsia="Arial" w:hAnsi="Arial"/>
          <w:sz w:val="16"/>
          <w:szCs w:val="16"/>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216"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Keepwell</w:t>
      </w:r>
      <w:r>
        <w:rPr>
          <w:rFonts w:ascii="Arial" w:cs="Arial" w:eastAsia="Arial" w:hAnsi="Arial"/>
          <w:sz w:val="16"/>
          <w:szCs w:val="16"/>
          <w:color w:val="auto"/>
        </w:rPr>
        <w:t>. Each Qualified ECP Guarantor hereby jointly and severally absolutely, unconditionally and irrevocably undertakes to provide such funds or other support as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07" w:name="page108"/>
    <w:bookmarkEnd w:id="107"/>
    <w:p>
      <w:pPr>
        <w:jc w:val="both"/>
        <w:spacing w:after="0" w:line="272" w:lineRule="auto"/>
        <w:rPr>
          <w:sz w:val="20"/>
          <w:szCs w:val="20"/>
          <w:color w:val="auto"/>
        </w:rPr>
      </w:pPr>
      <w:r>
        <w:rPr>
          <w:rFonts w:ascii="Arial" w:cs="Arial" w:eastAsia="Arial" w:hAnsi="Arial"/>
          <w:sz w:val="15"/>
          <w:szCs w:val="15"/>
          <w:color w:val="auto"/>
        </w:rPr>
        <w:t xml:space="preserve">may be needed from time to time by each other Loan Guarantor to honor all of its obligations under this Loan Guaranty in respect of a Swap Obligation (provided, however, that each Qualified ECP Guarantor shall only be liable under this </w:t>
      </w:r>
      <w:r>
        <w:rPr>
          <w:rFonts w:ascii="Arial" w:cs="Arial" w:eastAsia="Arial" w:hAnsi="Arial"/>
          <w:sz w:val="15"/>
          <w:szCs w:val="15"/>
          <w:u w:val="single" w:color="auto"/>
          <w:color w:val="auto"/>
        </w:rPr>
        <w:t>Section 10.13</w:t>
      </w:r>
      <w:r>
        <w:rPr>
          <w:rFonts w:ascii="Arial" w:cs="Arial" w:eastAsia="Arial" w:hAnsi="Arial"/>
          <w:sz w:val="15"/>
          <w:szCs w:val="15"/>
          <w:color w:val="auto"/>
        </w:rPr>
        <w:t xml:space="preserve"> for the maximum amount of such liability that can be hereby incurred without rendering its obligations under this </w:t>
      </w:r>
      <w:r>
        <w:rPr>
          <w:rFonts w:ascii="Arial" w:cs="Arial" w:eastAsia="Arial" w:hAnsi="Arial"/>
          <w:sz w:val="15"/>
          <w:szCs w:val="15"/>
          <w:u w:val="single" w:color="auto"/>
          <w:color w:val="auto"/>
        </w:rPr>
        <w:t>Section 10.13</w:t>
      </w:r>
      <w:r>
        <w:rPr>
          <w:rFonts w:ascii="Arial" w:cs="Arial" w:eastAsia="Arial" w:hAnsi="Arial"/>
          <w:sz w:val="15"/>
          <w:szCs w:val="15"/>
          <w:color w:val="auto"/>
        </w:rPr>
        <w:t xml:space="preserve"> or otherwise under this Loan Guaranty voidable under applicable law relating to fraudulent conveyance or fraudulent transfer, and not for any greater amount). Except as otherwise provided herein, the obligations of each Qualified ECP Guarantor under this </w:t>
      </w:r>
      <w:r>
        <w:rPr>
          <w:rFonts w:ascii="Arial" w:cs="Arial" w:eastAsia="Arial" w:hAnsi="Arial"/>
          <w:sz w:val="15"/>
          <w:szCs w:val="15"/>
          <w:u w:val="single" w:color="auto"/>
          <w:color w:val="auto"/>
        </w:rPr>
        <w:t>Section 10.13</w:t>
      </w:r>
      <w:r>
        <w:rPr>
          <w:rFonts w:ascii="Arial" w:cs="Arial" w:eastAsia="Arial" w:hAnsi="Arial"/>
          <w:sz w:val="15"/>
          <w:szCs w:val="15"/>
          <w:color w:val="auto"/>
        </w:rPr>
        <w:t xml:space="preserve"> shall remain in full force and effect until the termination of all Swap Obligations. Each Qualified ECP Guarantor intends that this </w:t>
      </w:r>
      <w:r>
        <w:rPr>
          <w:rFonts w:ascii="Arial" w:cs="Arial" w:eastAsia="Arial" w:hAnsi="Arial"/>
          <w:sz w:val="15"/>
          <w:szCs w:val="15"/>
          <w:u w:val="single" w:color="auto"/>
          <w:color w:val="auto"/>
        </w:rPr>
        <w:t>Section 10.13</w:t>
      </w:r>
      <w:r>
        <w:rPr>
          <w:rFonts w:ascii="Arial" w:cs="Arial" w:eastAsia="Arial" w:hAnsi="Arial"/>
          <w:sz w:val="15"/>
          <w:szCs w:val="15"/>
          <w:color w:val="auto"/>
        </w:rPr>
        <w:t xml:space="preserve"> constitute, and this </w:t>
      </w:r>
      <w:r>
        <w:rPr>
          <w:rFonts w:ascii="Arial" w:cs="Arial" w:eastAsia="Arial" w:hAnsi="Arial"/>
          <w:sz w:val="15"/>
          <w:szCs w:val="15"/>
          <w:u w:val="single" w:color="auto"/>
          <w:color w:val="auto"/>
        </w:rPr>
        <w:t>Section 10.13</w:t>
      </w:r>
      <w:r>
        <w:rPr>
          <w:rFonts w:ascii="Arial" w:cs="Arial" w:eastAsia="Arial" w:hAnsi="Arial"/>
          <w:sz w:val="15"/>
          <w:szCs w:val="15"/>
          <w:color w:val="auto"/>
        </w:rPr>
        <w:t xml:space="preserve"> shall be deemed to constitute, a “keepwell, support, or other agreement” for the benefit of each Loan Guarantor for all purposes of Section 1a(18)(A)(v)(II) of the Commodity Exchange 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The Borrower Representative</w:t>
      </w:r>
    </w:p>
    <w:p>
      <w:pPr>
        <w:spacing w:after="0" w:line="233" w:lineRule="exact"/>
        <w:rPr>
          <w:sz w:val="20"/>
          <w:szCs w:val="20"/>
          <w:color w:val="auto"/>
        </w:rPr>
      </w:pPr>
    </w:p>
    <w:p>
      <w:pPr>
        <w:jc w:val="both"/>
        <w:ind w:firstLine="570"/>
        <w:spacing w:after="0" w:line="271" w:lineRule="auto"/>
        <w:rPr>
          <w:sz w:val="20"/>
          <w:szCs w:val="20"/>
          <w:color w:val="auto"/>
        </w:rPr>
      </w:pPr>
      <w:r>
        <w:rPr>
          <w:rFonts w:ascii="Arial" w:cs="Arial" w:eastAsia="Arial" w:hAnsi="Arial"/>
          <w:sz w:val="15"/>
          <w:szCs w:val="15"/>
          <w:color w:val="auto"/>
        </w:rPr>
        <w:t xml:space="preserve">SECTION 11.01. </w:t>
      </w:r>
      <w:r>
        <w:rPr>
          <w:rFonts w:ascii="Arial" w:cs="Arial" w:eastAsia="Arial" w:hAnsi="Arial"/>
          <w:sz w:val="15"/>
          <w:szCs w:val="15"/>
          <w:u w:val="single" w:color="auto"/>
          <w:color w:val="auto"/>
        </w:rPr>
        <w:t>Appointment; Nature of Relationship</w:t>
      </w:r>
      <w:r>
        <w:rPr>
          <w:rFonts w:ascii="Arial" w:cs="Arial" w:eastAsia="Arial" w:hAnsi="Arial"/>
          <w:sz w:val="15"/>
          <w:szCs w:val="15"/>
          <w:color w:val="auto"/>
        </w:rPr>
        <w:t>. Micron is hereby appointed by each of the Borrowers as its contractual representative (herein referred to as the “</w:t>
      </w:r>
      <w:r>
        <w:rPr>
          <w:rFonts w:ascii="Arial" w:cs="Arial" w:eastAsia="Arial" w:hAnsi="Arial"/>
          <w:sz w:val="15"/>
          <w:szCs w:val="15"/>
          <w:u w:val="single" w:color="auto"/>
          <w:color w:val="auto"/>
        </w:rPr>
        <w:t>Borrower Representative</w:t>
      </w:r>
      <w:r>
        <w:rPr>
          <w:rFonts w:ascii="Arial" w:cs="Arial" w:eastAsia="Arial" w:hAnsi="Arial"/>
          <w:sz w:val="15"/>
          <w:szCs w:val="15"/>
          <w:color w:val="auto"/>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The Administrative Agent and the Lenders, and their respective officers, directors, agents or employees, shall not be liable to the Borrower Representative or any Borrower for any action taken or omitted to be taken by the Borrower Representative or the Borrowers pursuant to this </w:t>
      </w:r>
      <w:r>
        <w:rPr>
          <w:rFonts w:ascii="Arial" w:cs="Arial" w:eastAsia="Arial" w:hAnsi="Arial"/>
          <w:sz w:val="15"/>
          <w:szCs w:val="15"/>
          <w:u w:val="single" w:color="auto"/>
          <w:color w:val="auto"/>
        </w:rPr>
        <w:t>Section 11.01</w:t>
      </w:r>
      <w:r>
        <w:rPr>
          <w:rFonts w:ascii="Arial" w:cs="Arial" w:eastAsia="Arial" w:hAnsi="Arial"/>
          <w:sz w:val="15"/>
          <w:szCs w:val="15"/>
          <w:color w:val="auto"/>
        </w:rPr>
        <w:t>.</w:t>
      </w:r>
    </w:p>
    <w:p>
      <w:pPr>
        <w:spacing w:after="0" w:line="204"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u w:val="single" w:color="auto"/>
          <w:color w:val="auto"/>
        </w:rPr>
        <w:t>Powers</w:t>
      </w:r>
      <w:r>
        <w:rPr>
          <w:rFonts w:ascii="Arial" w:cs="Arial" w:eastAsia="Arial" w:hAnsi="Arial"/>
          <w:sz w:val="16"/>
          <w:szCs w:val="16"/>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216"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u w:val="single" w:color="auto"/>
          <w:color w:val="auto"/>
        </w:rPr>
        <w:t>Employment of Agents</w:t>
      </w:r>
      <w:r>
        <w:rPr>
          <w:rFonts w:ascii="Arial" w:cs="Arial" w:eastAsia="Arial" w:hAnsi="Arial"/>
          <w:sz w:val="16"/>
          <w:szCs w:val="16"/>
          <w:color w:val="auto"/>
        </w:rPr>
        <w:t>. The Borrower Representative may execute any of its duties as the Borrower Representative hereunder and under any other Loan Document by or through authorized officers.</w:t>
      </w:r>
    </w:p>
    <w:p>
      <w:pPr>
        <w:spacing w:after="0" w:line="204"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SECTION 11.04. </w:t>
      </w:r>
      <w:r>
        <w:rPr>
          <w:rFonts w:ascii="Arial" w:cs="Arial" w:eastAsia="Arial" w:hAnsi="Arial"/>
          <w:sz w:val="16"/>
          <w:szCs w:val="16"/>
          <w:u w:val="single" w:color="auto"/>
          <w:color w:val="auto"/>
        </w:rPr>
        <w:t>Notices</w:t>
      </w:r>
      <w:r>
        <w:rPr>
          <w:rFonts w:ascii="Arial" w:cs="Arial" w:eastAsia="Arial" w:hAnsi="Arial"/>
          <w:sz w:val="16"/>
          <w:szCs w:val="16"/>
          <w:color w:val="auto"/>
        </w:rPr>
        <w:t>. Each Borrower shall immediately notify the Borrower Representative of the occurrence of any Default hereunder referring to this Agreement describing such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08" w:name="page109"/>
    <w:bookmarkEnd w:id="108"/>
    <w:p>
      <w:pPr>
        <w:jc w:val="both"/>
        <w:ind w:firstLine="570"/>
        <w:spacing w:after="0" w:line="259"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Successor Borrower Representative</w:t>
      </w:r>
      <w:r>
        <w:rPr>
          <w:rFonts w:ascii="Arial" w:cs="Arial" w:eastAsia="Arial" w:hAnsi="Arial"/>
          <w:sz w:val="16"/>
          <w:szCs w:val="16"/>
          <w:color w:val="auto"/>
        </w:rPr>
        <w:t>. Upon the prior written consent of the Administrative Agent, which consent shall not be unreasonably withheld, delayed or conditioned, the Borrower Representative may resign at any time, such resignation to be effective upon the appointment of a successor Borrower Representative. The Administrative Agent shall give prompt written notice of such resignation to the Lenders.</w:t>
      </w:r>
    </w:p>
    <w:p>
      <w:pPr>
        <w:spacing w:after="0" w:line="212" w:lineRule="exact"/>
        <w:rPr>
          <w:sz w:val="20"/>
          <w:szCs w:val="20"/>
          <w:color w:val="auto"/>
        </w:rPr>
      </w:pPr>
    </w:p>
    <w:p>
      <w:pPr>
        <w:jc w:val="both"/>
        <w:ind w:right="20" w:firstLine="570"/>
        <w:spacing w:after="0" w:line="252"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Execution of Loan Documents; Borrowing Base Certificate</w:t>
      </w:r>
      <w:r>
        <w:rPr>
          <w:rFonts w:ascii="Arial" w:cs="Arial" w:eastAsia="Arial" w:hAnsi="Arial"/>
          <w:sz w:val="16"/>
          <w:szCs w:val="16"/>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 each case in accordance with the terms set forth herein, including, without limitation, the Borrowing Base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219"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 xml:space="preserve">SECTION 11.07. </w:t>
      </w:r>
      <w:r>
        <w:rPr>
          <w:rFonts w:ascii="Arial" w:cs="Arial" w:eastAsia="Arial" w:hAnsi="Arial"/>
          <w:sz w:val="16"/>
          <w:szCs w:val="16"/>
          <w:u w:val="single" w:color="auto"/>
          <w:color w:val="auto"/>
        </w:rPr>
        <w:t>Reporting</w:t>
      </w:r>
      <w:r>
        <w:rPr>
          <w:rFonts w:ascii="Arial" w:cs="Arial" w:eastAsia="Arial" w:hAnsi="Arial"/>
          <w:sz w:val="16"/>
          <w:szCs w:val="16"/>
          <w:color w:val="auto"/>
        </w:rPr>
        <w:t>. Each Borrower hereby agrees that such Borrower shall furnish promptly after each calendar month to the Borrower Representative a copy of its Borrowing Base Certificate and any other certificate or report required hereunder or requested by the Borrower Representative on which the Borrower Representative shall rely to prepare the Borrowing Base Certificates required pursuant to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81" w:right="219" w:bottom="1440" w:gutter="0" w:footer="0" w:header="0"/>
        </w:sectPr>
      </w:pPr>
    </w:p>
    <w:bookmarkStart w:id="109" w:name="page110"/>
    <w:bookmarkEnd w:id="109"/>
    <w:p>
      <w:pPr>
        <w:ind w:left="560"/>
        <w:spacing w:after="0"/>
        <w:rPr>
          <w:sz w:val="20"/>
          <w:szCs w:val="20"/>
          <w:color w:val="auto"/>
        </w:rPr>
      </w:pPr>
      <w:r>
        <w:rPr>
          <w:rFonts w:ascii="Arial" w:cs="Arial" w:eastAsia="Arial" w:hAnsi="Arial"/>
          <w:sz w:val="14"/>
          <w:szCs w:val="14"/>
          <w:color w:val="auto"/>
        </w:rPr>
        <w:t>IN WITNESS WHEREOF, the parties hereto have caused this Agreement to be duly executed by their respective authorized officers as of the day and year first above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written.</w:t>
      </w:r>
    </w:p>
    <w:p>
      <w:pPr>
        <w:spacing w:after="0" w:line="205"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MICRON TECHNOLOGY, INC.</w:t>
      </w:r>
      <w:r>
        <w:rPr>
          <w:rFonts w:ascii="Arial" w:cs="Arial" w:eastAsia="Arial" w:hAnsi="Arial"/>
          <w:sz w:val="16"/>
          <w:szCs w:val="16"/>
          <w:color w:val="auto"/>
        </w:rPr>
        <w:t>, as a Borrower</w:t>
      </w:r>
    </w:p>
    <w:p>
      <w:pPr>
        <w:spacing w:after="0" w:line="200" w:lineRule="exact"/>
        <w:rPr>
          <w:sz w:val="20"/>
          <w:szCs w:val="20"/>
          <w:color w:val="auto"/>
        </w:rPr>
      </w:pPr>
    </w:p>
    <w:p>
      <w:pPr>
        <w:ind w:left="5280"/>
        <w:spacing w:after="0"/>
        <w:tabs>
          <w:tab w:leader="none" w:pos="60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Ken Rizvi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12065</wp:posOffset>
            </wp:positionV>
            <wp:extent cx="345440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Name: Ken Rizvi</w:t>
      </w:r>
    </w:p>
    <w:p>
      <w:pPr>
        <w:spacing w:after="0" w:line="17" w:lineRule="exact"/>
        <w:rPr>
          <w:sz w:val="20"/>
          <w:szCs w:val="20"/>
          <w:color w:val="auto"/>
        </w:rPr>
      </w:pPr>
    </w:p>
    <w:p>
      <w:pPr>
        <w:ind w:left="6000"/>
        <w:spacing w:after="0"/>
        <w:tabs>
          <w:tab w:leader="none" w:pos="64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Vice president of Finance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6821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080"/>
          </w:cols>
          <w:pgMar w:left="240" w:top="471" w:right="579" w:bottom="1440" w:gutter="0" w:footer="0" w:header="0"/>
        </w:sectPr>
      </w:pPr>
    </w:p>
    <w:bookmarkStart w:id="110" w:name="page111"/>
    <w:bookmarkEnd w:id="110"/>
    <w:p>
      <w:pPr>
        <w:ind w:left="4080"/>
        <w:spacing w:after="0"/>
        <w:rPr>
          <w:sz w:val="20"/>
          <w:szCs w:val="20"/>
          <w:color w:val="auto"/>
        </w:rPr>
      </w:pPr>
      <w:r>
        <w:rPr>
          <w:rFonts w:ascii="Arial" w:cs="Arial" w:eastAsia="Arial" w:hAnsi="Arial"/>
          <w:sz w:val="15"/>
          <w:szCs w:val="15"/>
          <w:b w:val="1"/>
          <w:bCs w:val="1"/>
          <w:color w:val="auto"/>
        </w:rPr>
        <w:t>MICRON SEMICONDUCTOR PRODUCTS, INC.</w:t>
      </w:r>
      <w:r>
        <w:rPr>
          <w:rFonts w:ascii="Arial" w:cs="Arial" w:eastAsia="Arial" w:hAnsi="Arial"/>
          <w:sz w:val="15"/>
          <w:szCs w:val="15"/>
          <w:color w:val="auto"/>
        </w:rPr>
        <w:t>, as a Borrower</w:t>
      </w:r>
    </w:p>
    <w:p>
      <w:pPr>
        <w:spacing w:after="0" w:line="212"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Thomas L. Laws,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Thomas L Laws, Jr.</w:t>
      </w:r>
    </w:p>
    <w:p>
      <w:pPr>
        <w:spacing w:after="0" w:line="17"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287655</wp:posOffset>
            </wp:positionV>
            <wp:extent cx="726821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11" w:name="page112"/>
    <w:bookmarkEnd w:id="111"/>
    <w:p>
      <w:pPr>
        <w:ind w:left="4080"/>
        <w:spacing w:after="0"/>
        <w:rPr>
          <w:sz w:val="20"/>
          <w:szCs w:val="20"/>
          <w:color w:val="auto"/>
        </w:rPr>
      </w:pPr>
      <w:r>
        <w:rPr>
          <w:rFonts w:ascii="Arial" w:cs="Arial" w:eastAsia="Arial" w:hAnsi="Arial"/>
          <w:sz w:val="14"/>
          <w:szCs w:val="14"/>
          <w:b w:val="1"/>
          <w:bCs w:val="1"/>
          <w:color w:val="auto"/>
        </w:rPr>
        <w:t>HSBC BANK USA, N.A.</w:t>
      </w:r>
      <w:r>
        <w:rPr>
          <w:rFonts w:ascii="Arial" w:cs="Arial" w:eastAsia="Arial" w:hAnsi="Arial"/>
          <w:sz w:val="14"/>
          <w:szCs w:val="14"/>
          <w:color w:val="auto"/>
        </w:rPr>
        <w:t>, as Administrative Agent, Issuing Bank, and Swingline Lender</w:t>
      </w:r>
    </w:p>
    <w:p>
      <w:pPr>
        <w:spacing w:after="0" w:line="223"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Thomas A. Getty,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Thomas A. Getty, Jr.</w:t>
      </w:r>
    </w:p>
    <w:p>
      <w:pPr>
        <w:spacing w:after="0" w:line="17"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273050</wp:posOffset>
            </wp:positionV>
            <wp:extent cx="726821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760"/>
          </w:cols>
          <w:pgMar w:left="1440" w:top="467" w:right="699" w:bottom="1440" w:gutter="0" w:footer="0" w:header="0"/>
        </w:sectPr>
      </w:pPr>
    </w:p>
    <w:bookmarkStart w:id="112" w:name="page113"/>
    <w:bookmarkEnd w:id="112"/>
    <w:p>
      <w:pPr>
        <w:ind w:left="4080"/>
        <w:spacing w:after="0"/>
        <w:rPr>
          <w:sz w:val="20"/>
          <w:szCs w:val="20"/>
          <w:color w:val="auto"/>
        </w:rPr>
      </w:pPr>
      <w:r>
        <w:rPr>
          <w:rFonts w:ascii="Arial" w:cs="Arial" w:eastAsia="Arial" w:hAnsi="Arial"/>
          <w:sz w:val="16"/>
          <w:szCs w:val="16"/>
          <w:b w:val="1"/>
          <w:bCs w:val="1"/>
          <w:color w:val="auto"/>
        </w:rPr>
        <w:t>HSBC BANK USA, N.A.</w:t>
      </w:r>
      <w:r>
        <w:rPr>
          <w:rFonts w:ascii="Arial" w:cs="Arial" w:eastAsia="Arial" w:hAnsi="Arial"/>
          <w:sz w:val="16"/>
          <w:szCs w:val="16"/>
          <w:color w:val="auto"/>
        </w:rPr>
        <w:t>, as a Lender</w:t>
      </w:r>
    </w:p>
    <w:p>
      <w:pPr>
        <w:spacing w:after="0" w:line="200"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Mike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Mike Mitchell</w:t>
      </w:r>
    </w:p>
    <w:p>
      <w:pPr>
        <w:spacing w:after="0" w:line="17" w:lineRule="exact"/>
        <w:rPr>
          <w:sz w:val="20"/>
          <w:szCs w:val="20"/>
          <w:color w:val="auto"/>
        </w:rPr>
      </w:pPr>
    </w:p>
    <w:p>
      <w:pPr>
        <w:ind w:left="4800"/>
        <w:spacing w:after="0"/>
        <w:tabs>
          <w:tab w:leader="none" w:pos="5300" w:val="left"/>
        </w:tabs>
        <w:rPr>
          <w:sz w:val="20"/>
          <w:szCs w:val="20"/>
          <w:color w:val="auto"/>
        </w:rPr>
      </w:pPr>
      <w:r>
        <w:rPr>
          <w:rFonts w:ascii="Arial" w:cs="Arial" w:eastAsia="Arial" w:hAnsi="Arial"/>
          <w:sz w:val="14"/>
          <w:szCs w:val="14"/>
          <w:color w:val="auto"/>
        </w:rPr>
        <w:t>Title:</w:t>
        <w:tab/>
        <w:t>Senior Corporate Banking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287655</wp:posOffset>
            </wp:positionV>
            <wp:extent cx="726821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13" w:name="page114"/>
    <w:bookmarkEnd w:id="113"/>
    <w:p>
      <w:pPr>
        <w:ind w:left="4080"/>
        <w:spacing w:after="0"/>
        <w:rPr>
          <w:sz w:val="20"/>
          <w:szCs w:val="20"/>
          <w:color w:val="auto"/>
        </w:rPr>
      </w:pPr>
      <w:r>
        <w:rPr>
          <w:rFonts w:ascii="Arial" w:cs="Arial" w:eastAsia="Arial" w:hAnsi="Arial"/>
          <w:sz w:val="15"/>
          <w:szCs w:val="15"/>
          <w:b w:val="1"/>
          <w:bCs w:val="1"/>
          <w:color w:val="auto"/>
        </w:rPr>
        <w:t>JPMORGAN CHASE BANK, N.A.</w:t>
      </w:r>
      <w:r>
        <w:rPr>
          <w:rFonts w:ascii="Arial" w:cs="Arial" w:eastAsia="Arial" w:hAnsi="Arial"/>
          <w:sz w:val="15"/>
          <w:szCs w:val="15"/>
          <w:color w:val="auto"/>
        </w:rPr>
        <w:t>, as a Lender</w:t>
      </w:r>
    </w:p>
    <w:p>
      <w:pPr>
        <w:spacing w:after="0" w:line="212"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Jolinda N. Walden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Jolinda N. Walden</w:t>
      </w:r>
    </w:p>
    <w:p>
      <w:pPr>
        <w:spacing w:after="0" w:line="17"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287655</wp:posOffset>
            </wp:positionV>
            <wp:extent cx="726821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14" w:name="page115"/>
    <w:bookmarkEnd w:id="114"/>
    <w:p>
      <w:pPr>
        <w:ind w:left="4060"/>
        <w:spacing w:after="0"/>
        <w:rPr>
          <w:sz w:val="20"/>
          <w:szCs w:val="20"/>
          <w:color w:val="auto"/>
        </w:rPr>
      </w:pPr>
      <w:r>
        <w:rPr>
          <w:rFonts w:ascii="Arial" w:cs="Arial" w:eastAsia="Arial" w:hAnsi="Arial"/>
          <w:sz w:val="15"/>
          <w:szCs w:val="15"/>
          <w:b w:val="1"/>
          <w:bCs w:val="1"/>
          <w:color w:val="auto"/>
        </w:rPr>
        <w:t xml:space="preserve">BANK OF AMERICA, N.A., </w:t>
      </w:r>
      <w:r>
        <w:rPr>
          <w:rFonts w:ascii="Arial" w:cs="Arial" w:eastAsia="Arial" w:hAnsi="Arial"/>
          <w:sz w:val="15"/>
          <w:szCs w:val="15"/>
          <w:color w:val="auto"/>
        </w:rPr>
        <w:t>as a Lender</w:t>
      </w:r>
    </w:p>
    <w:p>
      <w:pPr>
        <w:spacing w:after="0" w:line="212" w:lineRule="exact"/>
        <w:rPr>
          <w:sz w:val="20"/>
          <w:szCs w:val="20"/>
          <w:color w:val="auto"/>
        </w:rPr>
      </w:pPr>
    </w:p>
    <w:p>
      <w:pPr>
        <w:ind w:left="4060"/>
        <w:spacing w:after="0"/>
        <w:tabs>
          <w:tab w:leader="none" w:pos="4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Matthew Van Steenhuyse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12065</wp:posOffset>
            </wp:positionV>
            <wp:extent cx="348424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84245" cy="15240"/>
                    </a:xfrm>
                    <a:prstGeom prst="rect">
                      <a:avLst/>
                    </a:prstGeom>
                    <a:noFill/>
                  </pic:spPr>
                </pic:pic>
              </a:graphicData>
            </a:graphic>
          </wp:anchor>
        </w:drawing>
      </w:r>
    </w:p>
    <w:p>
      <w:pPr>
        <w:spacing w:after="0" w:line="10"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Name: Matthew Van Steenhuyse</w:t>
      </w:r>
    </w:p>
    <w:p>
      <w:pPr>
        <w:spacing w:after="0" w:line="40" w:lineRule="exact"/>
        <w:rPr>
          <w:sz w:val="20"/>
          <w:szCs w:val="20"/>
          <w:color w:val="auto"/>
        </w:rPr>
      </w:pPr>
    </w:p>
    <w:p>
      <w:pPr>
        <w:ind w:left="4740"/>
        <w:spacing w:after="0"/>
        <w:tabs>
          <w:tab w:leader="none" w:pos="52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287655</wp:posOffset>
            </wp:positionV>
            <wp:extent cx="7268210" cy="203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15" w:name="page116"/>
    <w:bookmarkEnd w:id="115"/>
    <w:p>
      <w:pPr>
        <w:ind w:left="4080"/>
        <w:spacing w:after="0"/>
        <w:rPr>
          <w:sz w:val="20"/>
          <w:szCs w:val="20"/>
          <w:color w:val="auto"/>
        </w:rPr>
      </w:pPr>
      <w:r>
        <w:rPr>
          <w:rFonts w:ascii="Arial" w:cs="Arial" w:eastAsia="Arial" w:hAnsi="Arial"/>
          <w:sz w:val="16"/>
          <w:szCs w:val="16"/>
          <w:b w:val="1"/>
          <w:bCs w:val="1"/>
          <w:color w:val="auto"/>
        </w:rPr>
        <w:t xml:space="preserve">CITIBANK, N.A., </w:t>
      </w:r>
      <w:r>
        <w:rPr>
          <w:rFonts w:ascii="Arial" w:cs="Arial" w:eastAsia="Arial" w:hAnsi="Arial"/>
          <w:sz w:val="16"/>
          <w:szCs w:val="16"/>
          <w:color w:val="auto"/>
        </w:rPr>
        <w:t>as a Lender</w:t>
      </w:r>
    </w:p>
    <w:p>
      <w:pPr>
        <w:spacing w:after="0" w:line="200"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Justin McMahan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Name: Justin McMahan</w:t>
      </w:r>
    </w:p>
    <w:p>
      <w:pPr>
        <w:spacing w:after="0" w:line="40"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287655</wp:posOffset>
            </wp:positionV>
            <wp:extent cx="726821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16" w:name="page117"/>
    <w:bookmarkEnd w:id="116"/>
    <w:p>
      <w:pPr>
        <w:ind w:left="4080"/>
        <w:spacing w:after="0"/>
        <w:rPr>
          <w:sz w:val="20"/>
          <w:szCs w:val="20"/>
          <w:color w:val="auto"/>
        </w:rPr>
      </w:pPr>
      <w:r>
        <w:rPr>
          <w:rFonts w:ascii="Arial" w:cs="Arial" w:eastAsia="Arial" w:hAnsi="Arial"/>
          <w:sz w:val="15"/>
          <w:szCs w:val="15"/>
          <w:b w:val="1"/>
          <w:bCs w:val="1"/>
          <w:color w:val="auto"/>
        </w:rPr>
        <w:t xml:space="preserve">WELLS FARGO BANK, N.A., </w:t>
      </w:r>
      <w:r>
        <w:rPr>
          <w:rFonts w:ascii="Arial" w:cs="Arial" w:eastAsia="Arial" w:hAnsi="Arial"/>
          <w:sz w:val="15"/>
          <w:szCs w:val="15"/>
          <w:color w:val="auto"/>
        </w:rPr>
        <w:t>as a Lender</w:t>
      </w:r>
    </w:p>
    <w:p>
      <w:pPr>
        <w:spacing w:after="0" w:line="212"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Jeff Royston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Jeff Royston</w:t>
      </w:r>
    </w:p>
    <w:p>
      <w:pPr>
        <w:spacing w:after="0" w:line="17"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302895</wp:posOffset>
            </wp:positionV>
            <wp:extent cx="726821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17" w:name="page118"/>
    <w:bookmarkEnd w:id="117"/>
    <w:p>
      <w:pPr>
        <w:ind w:left="4060"/>
        <w:spacing w:after="0"/>
        <w:rPr>
          <w:sz w:val="20"/>
          <w:szCs w:val="20"/>
          <w:color w:val="auto"/>
        </w:rPr>
      </w:pPr>
      <w:r>
        <w:rPr>
          <w:rFonts w:ascii="Arial" w:cs="Arial" w:eastAsia="Arial" w:hAnsi="Arial"/>
          <w:sz w:val="15"/>
          <w:szCs w:val="15"/>
          <w:b w:val="1"/>
          <w:bCs w:val="1"/>
          <w:color w:val="auto"/>
        </w:rPr>
        <w:t xml:space="preserve">GOLDMAN SACHS BANK USA, </w:t>
      </w:r>
      <w:r>
        <w:rPr>
          <w:rFonts w:ascii="Arial" w:cs="Arial" w:eastAsia="Arial" w:hAnsi="Arial"/>
          <w:sz w:val="15"/>
          <w:szCs w:val="15"/>
          <w:color w:val="auto"/>
        </w:rPr>
        <w:t>as a Lender</w:t>
      </w:r>
    </w:p>
    <w:p>
      <w:pPr>
        <w:spacing w:after="0" w:line="212" w:lineRule="exact"/>
        <w:rPr>
          <w:sz w:val="20"/>
          <w:szCs w:val="20"/>
          <w:color w:val="auto"/>
        </w:rPr>
      </w:pPr>
    </w:p>
    <w:p>
      <w:pPr>
        <w:ind w:left="4060"/>
        <w:spacing w:after="0"/>
        <w:tabs>
          <w:tab w:leader="none" w:pos="4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Rebecca Kratz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12065</wp:posOffset>
            </wp:positionV>
            <wp:extent cx="348424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84245" cy="15240"/>
                    </a:xfrm>
                    <a:prstGeom prst="rect">
                      <a:avLst/>
                    </a:prstGeom>
                    <a:noFill/>
                  </pic:spPr>
                </pic:pic>
              </a:graphicData>
            </a:graphic>
          </wp:anchor>
        </w:drawing>
      </w:r>
    </w:p>
    <w:p>
      <w:pPr>
        <w:spacing w:after="0" w:line="10"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Name: Rebecca Kratz</w:t>
      </w:r>
    </w:p>
    <w:p>
      <w:pPr>
        <w:spacing w:after="0" w:line="17" w:lineRule="exact"/>
        <w:rPr>
          <w:sz w:val="20"/>
          <w:szCs w:val="20"/>
          <w:color w:val="auto"/>
        </w:rPr>
      </w:pPr>
    </w:p>
    <w:p>
      <w:pPr>
        <w:ind w:left="4740"/>
        <w:spacing w:after="0"/>
        <w:tabs>
          <w:tab w:leader="none" w:pos="52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287655</wp:posOffset>
            </wp:positionV>
            <wp:extent cx="726821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18" w:name="page119"/>
    <w:bookmarkEnd w:id="118"/>
    <w:p>
      <w:pPr>
        <w:ind w:left="4080"/>
        <w:spacing w:after="0"/>
        <w:rPr>
          <w:sz w:val="20"/>
          <w:szCs w:val="20"/>
          <w:color w:val="auto"/>
        </w:rPr>
      </w:pPr>
      <w:r>
        <w:rPr>
          <w:rFonts w:ascii="Arial" w:cs="Arial" w:eastAsia="Arial" w:hAnsi="Arial"/>
          <w:sz w:val="15"/>
          <w:szCs w:val="15"/>
          <w:b w:val="1"/>
          <w:bCs w:val="1"/>
          <w:color w:val="auto"/>
        </w:rPr>
        <w:t xml:space="preserve">MORGAN STANLEY BANK, N.A., </w:t>
      </w:r>
      <w:r>
        <w:rPr>
          <w:rFonts w:ascii="Arial" w:cs="Arial" w:eastAsia="Arial" w:hAnsi="Arial"/>
          <w:sz w:val="15"/>
          <w:szCs w:val="15"/>
          <w:color w:val="auto"/>
        </w:rPr>
        <w:t>as a Lender</w:t>
      </w:r>
    </w:p>
    <w:p>
      <w:pPr>
        <w:spacing w:after="0" w:line="212"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Michael King</w:t>
      </w:r>
    </w:p>
    <w:p>
      <w:pPr>
        <w:spacing w:after="0" w:line="17"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302895</wp:posOffset>
            </wp:positionV>
            <wp:extent cx="726821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19" w:name="page120"/>
    <w:bookmarkEnd w:id="119"/>
    <w:p>
      <w:pPr>
        <w:ind w:left="4080"/>
        <w:spacing w:after="0"/>
        <w:rPr>
          <w:sz w:val="20"/>
          <w:szCs w:val="20"/>
          <w:color w:val="auto"/>
        </w:rPr>
      </w:pPr>
      <w:r>
        <w:rPr>
          <w:rFonts w:ascii="Arial" w:cs="Arial" w:eastAsia="Arial" w:hAnsi="Arial"/>
          <w:sz w:val="15"/>
          <w:szCs w:val="15"/>
          <w:b w:val="1"/>
          <w:bCs w:val="1"/>
          <w:color w:val="auto"/>
        </w:rPr>
        <w:t xml:space="preserve">CREDIT SUISSE AG, CAYMAN ISLANDS BRANCH, </w:t>
      </w:r>
      <w:r>
        <w:rPr>
          <w:rFonts w:ascii="Arial" w:cs="Arial" w:eastAsia="Arial" w:hAnsi="Arial"/>
          <w:sz w:val="15"/>
          <w:szCs w:val="15"/>
          <w:color w:val="auto"/>
        </w:rPr>
        <w:t>as a Lender</w:t>
      </w:r>
    </w:p>
    <w:p>
      <w:pPr>
        <w:spacing w:after="0" w:line="212"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Judith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Judith E. Smith</w:t>
      </w:r>
    </w:p>
    <w:p>
      <w:pPr>
        <w:spacing w:after="0" w:line="17"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Authorized Signatory</w:t>
      </w:r>
    </w:p>
    <w:p>
      <w:pPr>
        <w:spacing w:after="0" w:line="205"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 xml:space="preserve">CREDIT SUISSE AG, CAYMAN ISLANDS BRANCH, </w:t>
      </w:r>
      <w:r>
        <w:rPr>
          <w:rFonts w:ascii="Arial" w:cs="Arial" w:eastAsia="Arial" w:hAnsi="Arial"/>
          <w:sz w:val="15"/>
          <w:szCs w:val="15"/>
          <w:color w:val="auto"/>
        </w:rPr>
        <w:t>as a Lender</w:t>
      </w:r>
    </w:p>
    <w:p>
      <w:pPr>
        <w:spacing w:after="0" w:line="212"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Sean L. MacGregor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Sean L. MacGregor</w:t>
      </w:r>
    </w:p>
    <w:p>
      <w:pPr>
        <w:spacing w:after="0" w:line="17"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[Micron – 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287655</wp:posOffset>
            </wp:positionV>
            <wp:extent cx="726821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9019"/>
          </w:cols>
          <w:pgMar w:left="1440" w:top="467" w:right="1440" w:bottom="1440" w:gutter="0" w:footer="0" w:header="0"/>
        </w:sectPr>
      </w:pPr>
    </w:p>
    <w:bookmarkStart w:id="120" w:name="page121"/>
    <w:bookmarkEnd w:id="120"/>
    <w:p>
      <w:pPr>
        <w:ind w:left="4080"/>
        <w:spacing w:after="0"/>
        <w:rPr>
          <w:sz w:val="20"/>
          <w:szCs w:val="20"/>
          <w:color w:val="auto"/>
        </w:rPr>
      </w:pPr>
      <w:r>
        <w:rPr>
          <w:rFonts w:ascii="Arial" w:cs="Arial" w:eastAsia="Arial" w:hAnsi="Arial"/>
          <w:sz w:val="15"/>
          <w:szCs w:val="15"/>
          <w:b w:val="1"/>
          <w:bCs w:val="1"/>
          <w:color w:val="auto"/>
        </w:rPr>
        <w:t xml:space="preserve">MUFG UNION BANK, N.A., </w:t>
      </w:r>
      <w:r>
        <w:rPr>
          <w:rFonts w:ascii="Arial" w:cs="Arial" w:eastAsia="Arial" w:hAnsi="Arial"/>
          <w:sz w:val="15"/>
          <w:szCs w:val="15"/>
          <w:color w:val="auto"/>
        </w:rPr>
        <w:t>as a Lender</w:t>
      </w:r>
    </w:p>
    <w:p>
      <w:pPr>
        <w:spacing w:after="0" w:line="212" w:lineRule="exact"/>
        <w:rPr>
          <w:sz w:val="20"/>
          <w:szCs w:val="20"/>
          <w:color w:val="auto"/>
        </w:rPr>
      </w:pPr>
    </w:p>
    <w:p>
      <w:pPr>
        <w:ind w:left="4080"/>
        <w:spacing w:after="0"/>
        <w:tabs>
          <w:tab w:leader="none" w:pos="4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Edward 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12065</wp:posOffset>
            </wp:positionV>
            <wp:extent cx="3454400"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54400" cy="15240"/>
                    </a:xfrm>
                    <a:prstGeom prst="rect">
                      <a:avLst/>
                    </a:prstGeom>
                    <a:noFill/>
                  </pic:spPr>
                </pic:pic>
              </a:graphicData>
            </a:graphic>
          </wp:anchor>
        </w:drawing>
      </w:r>
    </w:p>
    <w:p>
      <w:pPr>
        <w:spacing w:after="0" w:line="10" w:lineRule="exact"/>
        <w:rPr>
          <w:sz w:val="20"/>
          <w:szCs w:val="20"/>
          <w:color w:val="auto"/>
        </w:rPr>
      </w:pPr>
    </w:p>
    <w:p>
      <w:pPr>
        <w:ind w:left="4800"/>
        <w:spacing w:after="0"/>
        <w:rPr>
          <w:sz w:val="20"/>
          <w:szCs w:val="20"/>
          <w:color w:val="auto"/>
        </w:rPr>
      </w:pPr>
      <w:r>
        <w:rPr>
          <w:rFonts w:ascii="Arial" w:cs="Arial" w:eastAsia="Arial" w:hAnsi="Arial"/>
          <w:sz w:val="16"/>
          <w:szCs w:val="16"/>
          <w:color w:val="auto"/>
        </w:rPr>
        <w:t>Name: Edward Dridge</w:t>
      </w:r>
    </w:p>
    <w:p>
      <w:pPr>
        <w:spacing w:after="0" w:line="17" w:lineRule="exact"/>
        <w:rPr>
          <w:sz w:val="20"/>
          <w:szCs w:val="20"/>
          <w:color w:val="auto"/>
        </w:rPr>
      </w:pPr>
    </w:p>
    <w:p>
      <w:pPr>
        <w:ind w:left="4800"/>
        <w:spacing w:after="0"/>
        <w:tabs>
          <w:tab w:leader="none" w:pos="52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605790</wp:posOffset>
            </wp:positionV>
            <wp:extent cx="7268210"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sectPr>
      <w:pgSz w:w="11900" w:h="16838" w:orient="portrait"/>
      <w:cols w:equalWidth="0" w:num="1">
        <w:col w:w="9019"/>
      </w:cols>
      <w:pgMar w:left="1440" w:top="4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1)"/>
      <w:numFmt w:val="lowerLetter"/>
      <w:start w:val="4"/>
    </w:lvl>
  </w:abstractNum>
  <w:abstractNum w:abstractNumId="2">
    <w:nsid w:val="32FFF902"/>
    <w:multiLevelType w:val="hybridMultilevel"/>
    <w:lvl w:ilvl="0">
      <w:lvlJc w:val="left"/>
      <w:lvlText w:val="(%1)"/>
      <w:numFmt w:val="lowerLetter"/>
      <w:start w:val="1"/>
    </w:lvl>
  </w:abstractNum>
  <w:abstractNum w:abstractNumId="3">
    <w:nsid w:val="684A481A"/>
    <w:multiLevelType w:val="hybridMultilevel"/>
    <w:lvl w:ilvl="0">
      <w:lvlJc w:val="left"/>
      <w:lvlText w:val="(%1)"/>
      <w:numFmt w:val="lowerLetter"/>
      <w:start w:val="2"/>
    </w:lvl>
  </w:abstractNum>
  <w:abstractNum w:abstractNumId="4">
    <w:nsid w:val="579478FE"/>
    <w:multiLevelType w:val="hybridMultilevel"/>
    <w:lvl w:ilvl="0">
      <w:lvlJc w:val="left"/>
      <w:lvlText w:val="(%1)"/>
      <w:numFmt w:val="lowerLetter"/>
      <w:start w:val="1"/>
    </w:lvl>
  </w:abstractNum>
  <w:abstractNum w:abstractNumId="5">
    <w:nsid w:val="749ABB43"/>
    <w:multiLevelType w:val="hybridMultilevel"/>
    <w:lvl w:ilvl="0">
      <w:lvlJc w:val="left"/>
      <w:lvlText w:val="%1"/>
      <w:numFmt w:val="lowerLetter"/>
      <w:start w:val="1"/>
    </w:lvl>
    <w:lvl w:ilvl="1">
      <w:lvlJc w:val="left"/>
      <w:lvlText w:val="(%2)"/>
      <w:numFmt w:val="lowerLetter"/>
      <w:start w:val="6"/>
    </w:lvl>
  </w:abstractNum>
  <w:abstractNum w:abstractNumId="6">
    <w:nsid w:val="3DC240FB"/>
    <w:multiLevelType w:val="hybridMultilevel"/>
    <w:lvl w:ilvl="0">
      <w:lvlJc w:val="left"/>
      <w:lvlText w:val="(%1)"/>
      <w:numFmt w:val="lowerLetter"/>
      <w:start w:val="7"/>
    </w:lvl>
    <w:lvl w:ilvl="1">
      <w:lvlJc w:val="left"/>
      <w:lvlText w:val="%2"/>
      <w:numFmt w:val="lowerLetter"/>
      <w:start w:val="1"/>
    </w:lvl>
  </w:abstractNum>
  <w:abstractNum w:abstractNumId="7">
    <w:nsid w:val="1BA026FA"/>
    <w:multiLevelType w:val="hybridMultilevel"/>
    <w:lvl w:ilvl="0">
      <w:lvlJc w:val="left"/>
      <w:lvlText w:val="%1"/>
      <w:numFmt w:val="lowerLetter"/>
      <w:start w:val="1"/>
    </w:lvl>
    <w:lvl w:ilvl="1">
      <w:lvlJc w:val="left"/>
      <w:lvlText w:val="(%2)"/>
      <w:numFmt w:val="lowerLetter"/>
      <w:start w:val="13"/>
    </w:lvl>
  </w:abstractNum>
  <w:abstractNum w:abstractNumId="8">
    <w:nsid w:val="79A1DEAA"/>
    <w:multiLevelType w:val="hybridMultilevel"/>
    <w:lvl w:ilvl="0">
      <w:lvlJc w:val="left"/>
      <w:lvlText w:val="(%1)"/>
      <w:numFmt w:val="lowerLetter"/>
      <w:start w:val="35"/>
    </w:lvl>
    <w:lvl w:ilvl="1">
      <w:lvlJc w:val="left"/>
      <w:lvlText w:val="%2"/>
      <w:numFmt w:val="lowerLetter"/>
      <w:start w:val="1"/>
    </w:lvl>
  </w:abstractNum>
  <w:abstractNum w:abstractNumId="9">
    <w:nsid w:val="75C6C33A"/>
    <w:multiLevelType w:val="hybridMultilevel"/>
    <w:lvl w:ilvl="0">
      <w:lvlJc w:val="left"/>
      <w:lvlText w:val="(%1)"/>
      <w:numFmt w:val="lowerLetter"/>
      <w:start w:val="24"/>
    </w:lvl>
  </w:abstractNum>
  <w:abstractNum w:abstractNumId="10">
    <w:nsid w:val="12E685FB"/>
    <w:multiLevelType w:val="hybridMultilevel"/>
    <w:lvl w:ilvl="0">
      <w:lvlJc w:val="left"/>
      <w:lvlText w:val="(%1)"/>
      <w:numFmt w:val="lowerLetter"/>
      <w:start w:val="27"/>
    </w:lvl>
  </w:abstractNum>
  <w:abstractNum w:abstractNumId="11">
    <w:nsid w:val="70C6A529"/>
    <w:multiLevelType w:val="hybridMultilevel"/>
    <w:lvl w:ilvl="0">
      <w:lvlJc w:val="left"/>
      <w:lvlText w:val="(%1)"/>
      <w:numFmt w:val="lowerLetter"/>
      <w:start w:val="1"/>
    </w:lvl>
  </w:abstractNum>
  <w:abstractNum w:abstractNumId="12">
    <w:nsid w:val="520EEDD1"/>
    <w:multiLevelType w:val="hybridMultilevel"/>
    <w:lvl w:ilvl="0">
      <w:lvlJc w:val="left"/>
      <w:lvlText w:val="(%1)"/>
      <w:numFmt w:val="lowerLetter"/>
      <w:start w:val="2"/>
    </w:lvl>
  </w:abstractNum>
  <w:abstractNum w:abstractNumId="13">
    <w:nsid w:val="374A3FE6"/>
    <w:multiLevelType w:val="hybridMultilevel"/>
    <w:lvl w:ilvl="0">
      <w:lvlJc w:val="left"/>
      <w:lvlText w:val="(%1)"/>
      <w:numFmt w:val="lowerLetter"/>
      <w:start w:val="10"/>
    </w:lvl>
  </w:abstractNum>
  <w:abstractNum w:abstractNumId="14">
    <w:nsid w:val="4F4EF005"/>
    <w:multiLevelType w:val="hybridMultilevel"/>
    <w:lvl w:ilvl="0">
      <w:lvlJc w:val="left"/>
      <w:lvlText w:val="(%1)"/>
      <w:numFmt w:val="lowerLetter"/>
      <w:start w:val="1"/>
    </w:lvl>
  </w:abstractNum>
  <w:abstractNum w:abstractNumId="15">
    <w:nsid w:val="23F9C13C"/>
    <w:multiLevelType w:val="hybridMultilevel"/>
    <w:lvl w:ilvl="0">
      <w:lvlJc w:val="left"/>
      <w:lvlText w:val="(%1)"/>
      <w:numFmt w:val="lowerLetter"/>
      <w:start w:val="1"/>
    </w:lvl>
  </w:abstractNum>
  <w:abstractNum w:abstractNumId="16">
    <w:nsid w:val="649BB77C"/>
    <w:multiLevelType w:val="hybridMultilevel"/>
    <w:lvl w:ilvl="0">
      <w:lvlJc w:val="left"/>
      <w:lvlText w:val="(%1)"/>
      <w:numFmt w:val="lowerLetter"/>
      <w:start w:val="2"/>
    </w:lvl>
  </w:abstractNum>
  <w:abstractNum w:abstractNumId="17">
    <w:nsid w:val="275AC794"/>
    <w:multiLevelType w:val="hybridMultilevel"/>
    <w:lvl w:ilvl="0">
      <w:lvlJc w:val="left"/>
      <w:lvlText w:val="(%1)"/>
      <w:numFmt w:val="lowerLetter"/>
      <w:start w:val="1"/>
    </w:lvl>
  </w:abstractNum>
  <w:abstractNum w:abstractNumId="18">
    <w:nsid w:val="39386575"/>
    <w:multiLevelType w:val="hybridMultilevel"/>
    <w:lvl w:ilvl="0">
      <w:lvlJc w:val="left"/>
      <w:lvlText w:val="(%1)"/>
      <w:numFmt w:val="lowerLetter"/>
      <w:start w:val="4"/>
    </w:lvl>
  </w:abstractNum>
  <w:abstractNum w:abstractNumId="19">
    <w:nsid w:val="1CF10FD8"/>
    <w:multiLevelType w:val="hybridMultilevel"/>
    <w:lvl w:ilvl="0">
      <w:lvlJc w:val="left"/>
      <w:lvlText w:val="(%1)"/>
      <w:numFmt w:val="lowerLetter"/>
      <w:start w:val="1"/>
    </w:lvl>
  </w:abstractNum>
  <w:abstractNum w:abstractNumId="20">
    <w:nsid w:val="180115BE"/>
    <w:multiLevelType w:val="hybridMultilevel"/>
    <w:lvl w:ilvl="0">
      <w:lvlJc w:val="left"/>
      <w:lvlText w:val="(%1)"/>
      <w:numFmt w:val="lowerLetter"/>
      <w:start w:val="2"/>
    </w:lvl>
  </w:abstractNum>
  <w:abstractNum w:abstractNumId="21">
    <w:nsid w:val="235BA861"/>
    <w:multiLevelType w:val="hybridMultilevel"/>
    <w:lvl w:ilvl="0">
      <w:lvlJc w:val="left"/>
      <w:lvlText w:val="(%1)"/>
      <w:numFmt w:val="lowerRoman"/>
      <w:start w:val="1"/>
    </w:lvl>
  </w:abstractNum>
  <w:abstractNum w:abstractNumId="22">
    <w:nsid w:val="47398C89"/>
    <w:multiLevelType w:val="hybridMultilevel"/>
    <w:lvl w:ilvl="0">
      <w:lvlJc w:val="left"/>
      <w:lvlText w:val="(%1)"/>
      <w:numFmt w:val="lowerLetter"/>
      <w:start w:val="2"/>
    </w:lvl>
  </w:abstractNum>
  <w:abstractNum w:abstractNumId="23">
    <w:nsid w:val="354FE9F9"/>
    <w:multiLevelType w:val="hybridMultilevel"/>
    <w:lvl w:ilvl="0">
      <w:lvlJc w:val="left"/>
      <w:lvlText w:val="(%1)"/>
      <w:numFmt w:val="lowerLetter"/>
      <w:start w:val="1"/>
    </w:lvl>
  </w:abstractNum>
  <w:abstractNum w:abstractNumId="24">
    <w:nsid w:val="15B5AF5C"/>
    <w:multiLevelType w:val="hybridMultilevel"/>
    <w:lvl w:ilvl="0">
      <w:lvlJc w:val="left"/>
      <w:lvlText w:val="(%1)"/>
      <w:numFmt w:val="lowerLetter"/>
      <w:start w:val="3"/>
    </w:lvl>
  </w:abstractNum>
  <w:abstractNum w:abstractNumId="25">
    <w:nsid w:val="741226BB"/>
    <w:multiLevelType w:val="hybridMultilevel"/>
    <w:lvl w:ilvl="0">
      <w:lvlJc w:val="left"/>
      <w:lvlText w:val="(%1)"/>
      <w:numFmt w:val="lowerLetter"/>
      <w:start w:val="2"/>
    </w:lvl>
  </w:abstractNum>
  <w:abstractNum w:abstractNumId="26">
    <w:nsid w:val="D34B6A8"/>
    <w:multiLevelType w:val="hybridMultilevel"/>
    <w:lvl w:ilvl="0">
      <w:lvlJc w:val="left"/>
      <w:lvlText w:val="(%1)"/>
      <w:numFmt w:val="lowerLetter"/>
      <w:start w:val="5"/>
    </w:lvl>
  </w:abstractNum>
  <w:abstractNum w:abstractNumId="27">
    <w:nsid w:val="10233C99"/>
    <w:multiLevelType w:val="hybridMultilevel"/>
    <w:lvl w:ilvl="0">
      <w:lvlJc w:val="left"/>
      <w:lvlText w:val="(%1)"/>
      <w:numFmt w:val="lowerLetter"/>
      <w:start w:val="7"/>
    </w:lvl>
  </w:abstractNum>
  <w:abstractNum w:abstractNumId="28">
    <w:nsid w:val="3F6AB60F"/>
    <w:multiLevelType w:val="hybridMultilevel"/>
    <w:lvl w:ilvl="0">
      <w:lvlJc w:val="left"/>
      <w:lvlText w:val="(%1)"/>
      <w:numFmt w:val="lowerLetter"/>
      <w:start w:val="10"/>
    </w:lvl>
  </w:abstractNum>
  <w:abstractNum w:abstractNumId="29">
    <w:nsid w:val="61574095"/>
    <w:multiLevelType w:val="hybridMultilevel"/>
    <w:lvl w:ilvl="0">
      <w:lvlJc w:val="left"/>
      <w:lvlText w:val="(%1)"/>
      <w:numFmt w:val="lowerLetter"/>
      <w:start w:val="2"/>
    </w:lvl>
  </w:abstractNum>
  <w:abstractNum w:abstractNumId="30">
    <w:nsid w:val="7E0C57B1"/>
    <w:multiLevelType w:val="hybridMultilevel"/>
    <w:lvl w:ilvl="0">
      <w:lvlJc w:val="left"/>
      <w:lvlText w:val="(%1)"/>
      <w:numFmt w:val="lowerLetter"/>
      <w:start w:val="2"/>
    </w:lvl>
    <w:lvl w:ilvl="1">
      <w:lvlJc w:val="left"/>
      <w:lvlText w:val="(%2)"/>
      <w:numFmt w:val="lowerRoman"/>
      <w:start w:val="1"/>
    </w:lvl>
  </w:abstractNum>
  <w:abstractNum w:abstractNumId="31">
    <w:nsid w:val="77AE35EB"/>
    <w:multiLevelType w:val="hybridMultilevel"/>
    <w:lvl w:ilvl="0">
      <w:lvlJc w:val="left"/>
      <w:lvlText w:val="(%1)"/>
      <w:numFmt w:val="lowerLetter"/>
      <w:start w:val="61"/>
    </w:lvl>
    <w:lvl w:ilvl="1">
      <w:lvlJc w:val="left"/>
      <w:lvlText w:val="(%2)"/>
      <w:numFmt w:val="lowerRoman"/>
      <w:start w:val="2"/>
    </w:lvl>
  </w:abstractNum>
  <w:abstractNum w:abstractNumId="32">
    <w:nsid w:val="579BE4F1"/>
    <w:multiLevelType w:val="hybridMultilevel"/>
    <w:lvl w:ilvl="0">
      <w:lvlJc w:val="left"/>
      <w:lvlText w:val="(%1)"/>
      <w:numFmt w:val="lowerLetter"/>
      <w:start w:val="4"/>
    </w:lvl>
  </w:abstractNum>
  <w:abstractNum w:abstractNumId="33">
    <w:nsid w:val="310C50B3"/>
    <w:multiLevelType w:val="hybridMultilevel"/>
    <w:lvl w:ilvl="0">
      <w:lvlJc w:val="left"/>
      <w:lvlText w:val="(%1)"/>
      <w:numFmt w:val="lowerLetter"/>
      <w:start w:val="2"/>
    </w:lvl>
  </w:abstractNum>
  <w:abstractNum w:abstractNumId="34">
    <w:nsid w:val="5FF87E05"/>
    <w:multiLevelType w:val="hybridMultilevel"/>
    <w:lvl w:ilvl="0">
      <w:lvlJc w:val="left"/>
      <w:lvlText w:val="(%1)"/>
      <w:numFmt w:val="lowerLetter"/>
      <w:start w:val="6"/>
    </w:lvl>
  </w:abstractNum>
  <w:abstractNum w:abstractNumId="35">
    <w:nsid w:val="2F305DEF"/>
    <w:multiLevelType w:val="hybridMultilevel"/>
    <w:lvl w:ilvl="0">
      <w:lvlJc w:val="left"/>
      <w:lvlText w:val="(%1)"/>
      <w:numFmt w:val="lowerLetter"/>
      <w:start w:val="2"/>
    </w:lvl>
  </w:abstractNum>
  <w:abstractNum w:abstractNumId="36">
    <w:nsid w:val="25A70BF7"/>
    <w:multiLevelType w:val="hybridMultilevel"/>
    <w:lvl w:ilvl="0">
      <w:lvlJc w:val="left"/>
      <w:lvlText w:val="(%1)"/>
      <w:numFmt w:val="lowerLetter"/>
      <w:start w:val="2"/>
    </w:lvl>
  </w:abstractNum>
  <w:abstractNum w:abstractNumId="37">
    <w:nsid w:val="1DBABF00"/>
    <w:multiLevelType w:val="hybridMultilevel"/>
    <w:lvl w:ilvl="0">
      <w:lvlJc w:val="left"/>
      <w:lvlText w:val="(%1)"/>
      <w:numFmt w:val="lowerLetter"/>
      <w:start w:val="2"/>
    </w:lvl>
  </w:abstractNum>
  <w:abstractNum w:abstractNumId="38">
    <w:nsid w:val="4AD084E9"/>
    <w:multiLevelType w:val="hybridMultilevel"/>
    <w:lvl w:ilvl="0">
      <w:lvlJc w:val="left"/>
      <w:lvlText w:val="(%1)"/>
      <w:numFmt w:val="lowerLetter"/>
      <w:start w:val="3"/>
    </w:lvl>
  </w:abstractNum>
  <w:abstractNum w:abstractNumId="39">
    <w:nsid w:val="1F48EAA1"/>
    <w:multiLevelType w:val="hybridMultilevel"/>
    <w:lvl w:ilvl="0">
      <w:lvlJc w:val="left"/>
      <w:lvlText w:val="(%1)"/>
      <w:numFmt w:val="lowerLetter"/>
      <w:start w:val="2"/>
    </w:lvl>
  </w:abstractNum>
  <w:abstractNum w:abstractNumId="40">
    <w:nsid w:val="1381823A"/>
    <w:multiLevelType w:val="hybridMultilevel"/>
    <w:lvl w:ilvl="0">
      <w:lvlJc w:val="left"/>
      <w:lvlText w:val="(%1)"/>
      <w:numFmt w:val="lowerLetter"/>
      <w:start w:val="1"/>
    </w:lvl>
  </w:abstractNum>
  <w:abstractNum w:abstractNumId="41">
    <w:nsid w:val="5DB70AE5"/>
    <w:multiLevelType w:val="hybridMultilevel"/>
    <w:lvl w:ilvl="0">
      <w:lvlJc w:val="left"/>
      <w:lvlText w:val="(%1)"/>
      <w:numFmt w:val="lowerRoman"/>
      <w:start w:val="1"/>
    </w:lvl>
  </w:abstractNum>
  <w:abstractNum w:abstractNumId="42">
    <w:nsid w:val="100F8FCA"/>
    <w:multiLevelType w:val="hybridMultilevel"/>
    <w:lvl w:ilvl="0">
      <w:lvlJc w:val="left"/>
      <w:lvlText w:val="(%1)"/>
      <w:numFmt w:val="lowerLetter"/>
      <w:start w:val="2"/>
    </w:lvl>
  </w:abstractNum>
  <w:abstractNum w:abstractNumId="43">
    <w:nsid w:val="6590700B"/>
    <w:multiLevelType w:val="hybridMultilevel"/>
    <w:lvl w:ilvl="0">
      <w:lvlJc w:val="left"/>
      <w:lvlText w:val="(%1)"/>
      <w:numFmt w:val="lowerLetter"/>
      <w:start w:val="3"/>
    </w:lvl>
  </w:abstractNum>
  <w:abstractNum w:abstractNumId="44">
    <w:nsid w:val="15014ACB"/>
    <w:multiLevelType w:val="hybridMultilevel"/>
    <w:lvl w:ilvl="0">
      <w:lvlJc w:val="left"/>
      <w:lvlText w:val="(%1)"/>
      <w:numFmt w:val="lowerLetter"/>
      <w:start w:val="2"/>
    </w:lvl>
  </w:abstractNum>
  <w:abstractNum w:abstractNumId="45">
    <w:nsid w:val="5F5E7FD0"/>
    <w:multiLevelType w:val="hybridMultilevel"/>
    <w:lvl w:ilvl="0">
      <w:lvlJc w:val="left"/>
      <w:lvlText w:val="(%1)"/>
      <w:numFmt w:val="lowerLetter"/>
      <w:start w:val="5"/>
    </w:lvl>
    <w:lvl w:ilvl="1">
      <w:lvlJc w:val="left"/>
      <w:lvlText w:val="(%2)"/>
      <w:numFmt w:val="lowerLetter"/>
      <w:start w:val="35"/>
    </w:lvl>
  </w:abstractNum>
  <w:abstractNum w:abstractNumId="46">
    <w:nsid w:val="98A3148"/>
    <w:multiLevelType w:val="hybridMultilevel"/>
    <w:lvl w:ilvl="0">
      <w:lvlJc w:val="left"/>
      <w:lvlText w:val="%1"/>
      <w:numFmt w:val="lowerLetter"/>
      <w:start w:val="1"/>
    </w:lvl>
    <w:lvl w:ilvl="1">
      <w:lvlJc w:val="left"/>
      <w:lvlText w:val="(%2)"/>
      <w:numFmt w:val="upperLetter"/>
      <w:start w:val="1"/>
    </w:lvl>
  </w:abstractNum>
  <w:abstractNum w:abstractNumId="47">
    <w:nsid w:val="799D0247"/>
    <w:multiLevelType w:val="hybridMultilevel"/>
    <w:lvl w:ilvl="0">
      <w:lvlJc w:val="left"/>
      <w:lvlText w:val="(%1)"/>
      <w:numFmt w:val="lowerLetter"/>
      <w:start w:val="3"/>
    </w:lvl>
    <w:lvl w:ilvl="1">
      <w:lvlJc w:val="left"/>
      <w:lvlText w:val="(%2)"/>
      <w:numFmt w:val="upperLetter"/>
      <w:start w:val="5"/>
    </w:lvl>
  </w:abstractNum>
  <w:abstractNum w:abstractNumId="48">
    <w:nsid w:val="6B94764"/>
    <w:multiLevelType w:val="hybridMultilevel"/>
    <w:lvl w:ilvl="0">
      <w:lvlJc w:val="left"/>
      <w:lvlText w:val="(%1)"/>
      <w:numFmt w:val="lowerLetter"/>
      <w:start w:val="7"/>
    </w:lvl>
  </w:abstractNum>
  <w:abstractNum w:abstractNumId="49">
    <w:nsid w:val="42C296BD"/>
    <w:multiLevelType w:val="hybridMultilevel"/>
    <w:lvl w:ilvl="0">
      <w:lvlJc w:val="left"/>
      <w:lvlText w:val="(%1)"/>
      <w:numFmt w:val="lowerLetter"/>
      <w:start w:val="2"/>
    </w:lvl>
  </w:abstractNum>
  <w:abstractNum w:abstractNumId="50">
    <w:nsid w:val="168E121F"/>
    <w:multiLevelType w:val="hybridMultilevel"/>
    <w:lvl w:ilvl="0">
      <w:lvlJc w:val="left"/>
      <w:lvlText w:val="(%1)"/>
      <w:numFmt w:val="lowerLetter"/>
      <w:start w:val="4"/>
    </w:lvl>
  </w:abstractNum>
  <w:abstractNum w:abstractNumId="51">
    <w:nsid w:val="1EBA5D23"/>
    <w:multiLevelType w:val="hybridMultilevel"/>
    <w:lvl w:ilvl="0">
      <w:lvlJc w:val="left"/>
      <w:lvlText w:val="(%1)"/>
      <w:numFmt w:val="lowerLetter"/>
      <w:start w:val="6"/>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lowerLetter"/>
      <w:start w:val="1"/>
    </w:lvl>
    <w:lvl w:ilvl="1">
      <w:lvlJc w:val="left"/>
      <w:lvlText w:val="(%2)"/>
      <w:numFmt w:val="lowerRoman"/>
      <w:start w:val="1"/>
    </w:lvl>
  </w:abstractNum>
  <w:abstractNum w:abstractNumId="54">
    <w:nsid w:val="540A471C"/>
    <w:multiLevelType w:val="hybridMultilevel"/>
    <w:lvl w:ilvl="0">
      <w:lvlJc w:val="left"/>
      <w:lvlText w:val="(%1)"/>
      <w:numFmt w:val="lowerLetter"/>
      <w:start w:val="4"/>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2"/>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lowerLetter"/>
      <w:start w:val="4"/>
    </w:lvl>
  </w:abstractNum>
  <w:abstractNum w:abstractNumId="62">
    <w:nsid w:val="8F2B15E"/>
    <w:multiLevelType w:val="hybridMultilevel"/>
    <w:lvl w:ilvl="0">
      <w:lvlJc w:val="left"/>
      <w:lvlText w:val="(%1)"/>
      <w:numFmt w:val="lowerLetter"/>
      <w:start w:val="12"/>
    </w:lvl>
  </w:abstractNum>
  <w:abstractNum w:abstractNumId="63">
    <w:nsid w:val="1A32234B"/>
    <w:multiLevelType w:val="hybridMultilevel"/>
    <w:lvl w:ilvl="0">
      <w:lvlJc w:val="left"/>
      <w:lvlText w:val="(%1)"/>
      <w:numFmt w:val="lowerLetter"/>
      <w:start w:val="1"/>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5"/>
    </w:lvl>
  </w:abstractNum>
  <w:abstractNum w:abstractNumId="66">
    <w:nsid w:val="4962813B"/>
    <w:multiLevelType w:val="hybridMultilevel"/>
    <w:lvl w:ilvl="0">
      <w:lvlJc w:val="left"/>
      <w:lvlText w:val="(%1)"/>
      <w:numFmt w:val="lowerLetter"/>
      <w:start w:val="7"/>
    </w:lvl>
  </w:abstractNum>
  <w:abstractNum w:abstractNumId="67">
    <w:nsid w:val="60B6DF70"/>
    <w:multiLevelType w:val="hybridMultilevel"/>
    <w:lvl w:ilvl="0">
      <w:lvlJc w:val="left"/>
      <w:lvlText w:val="(%1)"/>
      <w:numFmt w:val="lowerLetter"/>
      <w:start w:val="1"/>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8"/>
    </w:lvl>
  </w:abstractNum>
  <w:abstractNum w:abstractNumId="74">
    <w:nsid w:val="7FB7E0AA"/>
    <w:multiLevelType w:val="hybridMultilevel"/>
    <w:lvl w:ilvl="0">
      <w:lvlJc w:val="left"/>
      <w:lvlText w:val="(%1)"/>
      <w:numFmt w:val="lowerLetter"/>
      <w:start w:val="4"/>
    </w:lvl>
  </w:abstractNum>
  <w:abstractNum w:abstractNumId="75">
    <w:nsid w:val="6EB5BD4"/>
    <w:multiLevelType w:val="hybridMultilevel"/>
    <w:lvl w:ilvl="0">
      <w:lvlJc w:val="left"/>
      <w:lvlText w:val="(%1)"/>
      <w:numFmt w:val="lowerRoman"/>
      <w:start w:val="1"/>
    </w:lvl>
  </w:abstractNum>
  <w:abstractNum w:abstractNumId="76">
    <w:nsid w:val="6F6DD9AC"/>
    <w:multiLevelType w:val="hybridMultilevel"/>
    <w:lvl w:ilvl="0">
      <w:lvlJc w:val="left"/>
      <w:lvlText w:val="(%1)"/>
      <w:numFmt w:val="lowerRoman"/>
      <w:start w:val="2"/>
    </w:lvl>
  </w:abstractNum>
  <w:abstractNum w:abstractNumId="77">
    <w:nsid w:val="94211F2"/>
    <w:multiLevelType w:val="hybridMultilevel"/>
    <w:lvl w:ilvl="0">
      <w:lvlJc w:val="left"/>
      <w:lvlText w:val="(%1)"/>
      <w:numFmt w:val="lowerRoman"/>
      <w:start w:val="3"/>
    </w:lvl>
  </w:abstractNum>
  <w:abstractNum w:abstractNumId="78">
    <w:nsid w:val="885E1B"/>
    <w:multiLevelType w:val="hybridMultilevel"/>
    <w:lvl w:ilvl="0">
      <w:lvlJc w:val="left"/>
      <w:lvlText w:val="(%1)"/>
      <w:numFmt w:val="lowerLetter"/>
      <w:start w:val="2"/>
    </w:lvl>
  </w:abstractNum>
  <w:abstractNum w:abstractNumId="79">
    <w:nsid w:val="76272110"/>
    <w:multiLevelType w:val="hybridMultilevel"/>
    <w:lvl w:ilvl="0">
      <w:lvlJc w:val="left"/>
      <w:lvlText w:val="(%1)"/>
      <w:numFmt w:val="lowerLetter"/>
      <w:start w:val="2"/>
    </w:lvl>
  </w:abstractNum>
  <w:abstractNum w:abstractNumId="80">
    <w:nsid w:val="4C04A8AF"/>
    <w:multiLevelType w:val="hybridMultilevel"/>
    <w:lvl w:ilvl="0">
      <w:lvlJc w:val="left"/>
      <w:lvlText w:val="(%1)"/>
      <w:numFmt w:val="lowerLetter"/>
      <w:start w:val="3"/>
    </w:lvl>
  </w:abstractNum>
  <w:abstractNum w:abstractNumId="81">
    <w:nsid w:val="1716703B"/>
    <w:multiLevelType w:val="hybridMultilevel"/>
    <w:lvl w:ilvl="0">
      <w:lvlJc w:val="left"/>
      <w:lvlText w:val="(%1)"/>
      <w:numFmt w:val="lowerLetter"/>
      <w:start w:val="4"/>
    </w:lvl>
  </w:abstractNum>
  <w:abstractNum w:abstractNumId="82">
    <w:nsid w:val="14E17E33"/>
    <w:multiLevelType w:val="hybridMultilevel"/>
    <w:lvl w:ilvl="0">
      <w:lvlJc w:val="left"/>
      <w:lvlText w:val="(%1)"/>
      <w:numFmt w:val="lowerRoman"/>
      <w:start w:val="1"/>
    </w:lvl>
  </w:abstractNum>
  <w:abstractNum w:abstractNumId="83">
    <w:nsid w:val="3222E7CD"/>
    <w:multiLevelType w:val="hybridMultilevel"/>
    <w:lvl w:ilvl="0">
      <w:lvlJc w:val="left"/>
      <w:lvlText w:val="(%1)"/>
      <w:numFmt w:val="lowerLetter"/>
      <w:start w:val="2"/>
    </w:lvl>
  </w:abstractNum>
  <w:abstractNum w:abstractNumId="84">
    <w:nsid w:val="74DE0EE3"/>
    <w:multiLevelType w:val="hybridMultilevel"/>
    <w:lvl w:ilvl="0">
      <w:lvlJc w:val="left"/>
      <w:lvlText w:val="(%1)"/>
      <w:numFmt w:val="lowerLetter"/>
      <w:start w:val="3"/>
    </w:lvl>
  </w:abstractNum>
  <w:abstractNum w:abstractNumId="85">
    <w:nsid w:val="68EBC55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6">
    <w:nsid w:val="2DF6D648"/>
    <w:multiLevelType w:val="hybridMultilevel"/>
    <w:lvl w:ilvl="0">
      <w:lvlJc w:val="left"/>
      <w:lvlText w:val="(%1)"/>
      <w:numFmt w:val="upperLetter"/>
      <w:start w:val="5"/>
    </w:lvl>
  </w:abstractNum>
  <w:abstractNum w:abstractNumId="87">
    <w:nsid w:val="46B7D447"/>
    <w:multiLevelType w:val="hybridMultilevel"/>
    <w:lvl w:ilvl="0">
      <w:lvlJc w:val="left"/>
      <w:lvlText w:val="(%1)"/>
      <w:numFmt w:val="lowerRoman"/>
      <w:start w:val="3"/>
    </w:lvl>
  </w:abstractNum>
  <w:abstractNum w:abstractNumId="88">
    <w:nsid w:val="4A2AC315"/>
    <w:multiLevelType w:val="hybridMultilevel"/>
    <w:lvl w:ilvl="0">
      <w:lvlJc w:val="left"/>
      <w:lvlText w:val="(%1)"/>
      <w:numFmt w:val="lowerLetter"/>
      <w:start w:val="3"/>
    </w:lvl>
  </w:abstractNum>
  <w:abstractNum w:abstractNumId="89">
    <w:nsid w:val="39EE015C"/>
    <w:multiLevelType w:val="hybridMultilevel"/>
    <w:lvl w:ilvl="0">
      <w:lvlJc w:val="left"/>
      <w:lvlText w:val="(%1)"/>
      <w:numFmt w:val="lowerLetter"/>
      <w:start w:val="4"/>
    </w:lvl>
  </w:abstractNum>
  <w:abstractNum w:abstractNumId="90">
    <w:nsid w:val="57FC4FBB"/>
    <w:multiLevelType w:val="hybridMultilevel"/>
    <w:lvl w:ilvl="0">
      <w:lvlJc w:val="left"/>
      <w:lvlText w:val="%1"/>
      <w:numFmt w:val="lowerLetter"/>
      <w:start w:val="1"/>
    </w:lvl>
    <w:lvl w:ilvl="1">
      <w:lvlJc w:val="left"/>
      <w:lvlText w:val="(%2)"/>
      <w:numFmt w:val="lowerLetter"/>
      <w:start w:val="2"/>
    </w:lvl>
  </w:abstractNum>
  <w:abstractNum w:abstractNumId="91">
    <w:nsid w:val="CC1016F"/>
    <w:multiLevelType w:val="hybridMultilevel"/>
    <w:lvl w:ilvl="0">
      <w:lvlJc w:val="left"/>
      <w:lvlText w:val="(%1)"/>
      <w:numFmt w:val="lowerLetter"/>
      <w:start w:val="2"/>
    </w:lvl>
    <w:lvl w:ilvl="1">
      <w:lvlJc w:val="left"/>
      <w:lvlText w:val="%2"/>
      <w:numFmt w:val="lowerLetter"/>
      <w:start w:val="1"/>
    </w:lvl>
  </w:abstractNum>
  <w:abstractNum w:abstractNumId="92">
    <w:nsid w:val="43F18422"/>
    <w:multiLevelType w:val="hybridMultilevel"/>
    <w:lvl w:ilvl="0">
      <w:lvlJc w:val="left"/>
      <w:lvlText w:val="(%1)"/>
      <w:numFmt w:val="lowerLetter"/>
      <w:start w:val="4"/>
    </w:lvl>
  </w:abstractNum>
  <w:abstractNum w:abstractNumId="93">
    <w:nsid w:val="60EF011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2019-12-05T19:29:09Z</dcterms:created>
  <dcterms:modified xsi:type="dcterms:W3CDTF">2019-12-05T19:29:09Z</dcterms:modified>
</cp:coreProperties>
</file>