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11,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143510</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17780</wp:posOffset>
            </wp:positionV>
            <wp:extent cx="3240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3"/>
        </w:trPr>
        <w:tc>
          <w:tcPr>
            <w:tcW w:w="4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6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26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333"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color w:val="auto"/>
        </w:rPr>
        <w:t>On April 11, 2023, Micron Technology, Inc. ("Micron," "we," "us," or "our") settled its offering of $600,000,000 aggregate principal amount of 5.375% senior notes due 2028 (the "2028 Notes") and $900,000,000 aggregate principal amount of 5.875% senior notes due 2033</w:t>
      </w:r>
    </w:p>
    <w:p>
      <w:pPr>
        <w:ind w:right="120"/>
        <w:spacing w:after="0" w:line="226" w:lineRule="auto"/>
        <w:rPr>
          <w:sz w:val="20"/>
          <w:szCs w:val="20"/>
          <w:color w:val="auto"/>
        </w:rPr>
      </w:pPr>
      <w:r>
        <w:rPr>
          <w:rFonts w:ascii="Arial" w:cs="Arial" w:eastAsia="Arial" w:hAnsi="Arial"/>
          <w:sz w:val="18"/>
          <w:szCs w:val="18"/>
          <w:color w:val="auto"/>
        </w:rPr>
        <w:t>(the "2033 Notes" and, together with the 2028 Notes, the "Notes") in a public offering (the "Offering"). The Offering was made pursuant to a registration statement on Form S-3 (File No. 333-249838), including the prospectus contained therein (the "Base Prospectus"), filed with the</w:t>
      </w:r>
    </w:p>
    <w:p>
      <w:pPr>
        <w:spacing w:after="0" w:line="2" w:lineRule="exact"/>
        <w:rPr>
          <w:sz w:val="20"/>
          <w:szCs w:val="20"/>
          <w:color w:val="auto"/>
        </w:rPr>
      </w:pPr>
    </w:p>
    <w:p>
      <w:pPr>
        <w:jc w:val="both"/>
        <w:ind w:right="360"/>
        <w:spacing w:after="0" w:line="242" w:lineRule="auto"/>
        <w:rPr>
          <w:sz w:val="20"/>
          <w:szCs w:val="20"/>
          <w:color w:val="auto"/>
        </w:rPr>
      </w:pPr>
      <w:r>
        <w:rPr>
          <w:rFonts w:ascii="Arial" w:cs="Arial" w:eastAsia="Arial" w:hAnsi="Arial"/>
          <w:sz w:val="18"/>
          <w:szCs w:val="18"/>
          <w:color w:val="auto"/>
        </w:rPr>
        <w:t>Securities and Exchange Commission under the Securities Act of 1933, as amended, a preliminary prospectus supplement dated April 5, 2023, a related final prospectus supplement dated April 5, 2023 (together with the Base Prospectus, the "Prospectus"), and a free writing prospectus dated April 5, 2023.</w:t>
      </w:r>
    </w:p>
    <w:p>
      <w:pPr>
        <w:spacing w:after="0" w:line="206"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color w:val="auto"/>
        </w:rPr>
        <w:t>Each series of Notes was issued pursuant to an indenture, dated as of February 6, 2019 (the "Base Indenture"), between Micron and U.S. Bank Trust Company, National Association (as successor in interest to U.S. Bank National Association), as trustee, as supplemented by a seventh supplemental indenture, dated as of April 11, 2023 (the "Supplemental Indenture" and, together with the Base Indenture, the "Indenture"). The Indenture contains certain covenants, events of default and other customary provisions.</w:t>
      </w:r>
    </w:p>
    <w:p>
      <w:pPr>
        <w:spacing w:after="0" w:line="201" w:lineRule="exact"/>
        <w:rPr>
          <w:sz w:val="20"/>
          <w:szCs w:val="20"/>
          <w:color w:val="auto"/>
        </w:rPr>
      </w:pPr>
    </w:p>
    <w:p>
      <w:pPr>
        <w:ind w:right="120" w:firstLine="648"/>
        <w:spacing w:after="0" w:line="247" w:lineRule="auto"/>
        <w:rPr>
          <w:sz w:val="20"/>
          <w:szCs w:val="20"/>
          <w:color w:val="auto"/>
        </w:rPr>
      </w:pPr>
      <w:r>
        <w:rPr>
          <w:rFonts w:ascii="Arial" w:cs="Arial" w:eastAsia="Arial" w:hAnsi="Arial"/>
          <w:sz w:val="18"/>
          <w:szCs w:val="18"/>
          <w:color w:val="auto"/>
        </w:rPr>
        <w:t>The 2028 Notes bear interest at a rate of 5.375% per year and will mature on April 15, 2028. Interest on the 2028 Notes is payable on April 15 and October 15 of each year, beginning on October 15, 2023. The 2033 Notes bear interest at a rate of 5.875% per year and will mature on September 15, 2033. Interest on the 2033 Notes is payable on March 15 and September 15 of each year, beginning on September 15, 2023.</w:t>
      </w:r>
    </w:p>
    <w:p>
      <w:pPr>
        <w:spacing w:after="0" w:line="187"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Prior to the applicable Par Call Date (as defined below), we may redeem the Notes of any series at our option, in whole or in part, at any time and from time to time, at a redemption price equal to the greater of (i)(a) the sum of the present values of the remaining scheduled payments of principal and interest thereon discounted to the redemption date (assuming the Notes of such series matured on the applicable Par Call Date) on a semi-annual basis (assuming a 360-day year consisting of twelve 30-day months) at the then current treasury rate plus 35 basis points, in the case of the 2028 Notes, and 40 basis points, in the case of the 2033 Notes, less (b) interest accrued to the date of redemption, and (ii) 100% of the principal amount of the Notes of the applicable series to be redeemed, and plus, in each case, accrued and unpaid interest, if any, on the amount being redeemed to, but excluding, the date of redemption. In addition, we may redeem the 2028 Notes or the 2033 Notes on or after the applicable Par Call Date at a redemption price equal to 100% of the principal amount of the Notes of the applicable series to be redeemed, plus accrued and unpaid interest, if any, to, but excluding, the date of redemption. "Par Call Date" means March 15, 2028 (one month prior to the maturity date), in the case of the 2028 Notes, and June 15, 2033 (three months prior to the maturity date), in the case of the 2033 Notes.</w:t>
      </w:r>
    </w:p>
    <w:p>
      <w:pPr>
        <w:spacing w:after="0" w:line="213" w:lineRule="exact"/>
        <w:rPr>
          <w:sz w:val="20"/>
          <w:szCs w:val="20"/>
          <w:color w:val="auto"/>
        </w:rPr>
      </w:pPr>
    </w:p>
    <w:p>
      <w:pPr>
        <w:jc w:val="both"/>
        <w:ind w:right="400" w:firstLine="648"/>
        <w:spacing w:after="0" w:line="301" w:lineRule="auto"/>
        <w:rPr>
          <w:sz w:val="20"/>
          <w:szCs w:val="20"/>
          <w:color w:val="auto"/>
        </w:rPr>
      </w:pPr>
      <w:r>
        <w:rPr>
          <w:rFonts w:ascii="Arial" w:cs="Arial" w:eastAsia="Arial" w:hAnsi="Arial"/>
          <w:sz w:val="17"/>
          <w:szCs w:val="17"/>
          <w:color w:val="auto"/>
        </w:rPr>
        <w:t>If we experience specified change of control triggering events with respect to Notes of a series, we must offer to repurchase the Notes of such series at a price equal to 101% of the principal amount of the Notes repurchased, plus accrued and unpaid interest, if any.</w:t>
      </w:r>
    </w:p>
    <w:p>
      <w:pPr>
        <w:spacing w:after="0" w:line="144" w:lineRule="exact"/>
        <w:rPr>
          <w:sz w:val="20"/>
          <w:szCs w:val="20"/>
          <w:color w:val="auto"/>
        </w:rPr>
      </w:pPr>
    </w:p>
    <w:p>
      <w:pPr>
        <w:jc w:val="both"/>
        <w:ind w:right="60" w:firstLine="648"/>
        <w:spacing w:after="0" w:line="247" w:lineRule="auto"/>
        <w:rPr>
          <w:sz w:val="20"/>
          <w:szCs w:val="20"/>
          <w:color w:val="auto"/>
        </w:rPr>
      </w:pPr>
      <w:r>
        <w:rPr>
          <w:rFonts w:ascii="Arial" w:cs="Arial" w:eastAsia="Arial" w:hAnsi="Arial"/>
          <w:sz w:val="18"/>
          <w:szCs w:val="18"/>
          <w:color w:val="auto"/>
        </w:rPr>
        <w:t>The Indenture contains limited affirmative and negative covenants of Micron, each of which is subject to a number of limitations and exceptions in the Indenture. The negative covenants restrict our ability and certain of our subsidiaries to incur liens on Principal Property (as defined in the Indenture); to engage in sale and lease-back transactions with respect to any Principal Property; and our ability to consolidate, merge or convey, transfer or lease all or substantially all of our properties and assets.</w:t>
      </w:r>
    </w:p>
    <w:p>
      <w:pPr>
        <w:spacing w:after="0" w:line="20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Events of default under the Indenture include a failure to make payments, non -performance of affirmative and negative covenants, and the occurrence of bankruptcy and insolvency-related events. Our obligations may be accelerated upon an event of default, in which case the entire principal amount of the Notes would become immediately due and payable.</w:t>
      </w:r>
    </w:p>
    <w:p>
      <w:pPr>
        <w:spacing w:after="0" w:line="19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8"/>
          <w:szCs w:val="18"/>
          <w:color w:val="auto"/>
        </w:rPr>
        <w:t>We intend to use a portion of the net proceeds from the sale of the Notes to repay a portion of the outstanding borrowings under our senior term loan due October 2024 and the remainder of the net proceeds for general corporate purposes.</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foregoing description of certain terms of the Indenture does not purport to be complete and is qualified in its entirety by reference to the full text of the Base Indenture, the Seventh Supplemental Indenture, the form of the 2028 Notes and the form of the 2033 Notes, which are filed with this report as Exhibits 4.1, 4.2, 4.3, and 4.4,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689610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ind w:left="20"/>
        <w:spacing w:after="0"/>
        <w:tabs>
          <w:tab w:leader="none" w:pos="13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347"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Wilson Sonsini Goodrich &amp; Rosati, Professional Corporation, counsel to Micron, has issued an opinion to Micron dated April 11, 2023 regarding the legality of the Notes. A copy of the opinion is filed as Exhibit 5.1 hereto.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 * * *</w:t>
      </w:r>
    </w:p>
    <w:p>
      <w:pPr>
        <w:spacing w:after="0" w:line="237"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color w:val="auto"/>
        </w:rPr>
        <w:t>As noted in our prospectus supplement, dated April 5, 2023, filed in connection with the offering of the Notes, and as disclosed in our Annual Report on Form 10-K for the fiscal year ended September 1, 2022, our direct sales to customers headquartered in mainland China accounted for approximately 11% of our fiscal year 2022 revenue, and direct sales to customers headquartered in Hong Kong accounted for approximately 5% of our fiscal year 2022 revenue.</w:t>
      </w:r>
    </w:p>
    <w:p>
      <w:pPr>
        <w:spacing w:after="0" w:line="201"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color w:val="auto"/>
        </w:rPr>
        <w:t>In addition, our products sold to distributors are incorporated by third parties headquartered in China and Hong Kong into their own products. These third-party products, in many cases, may be manufactured in whole or in part in China. While we do not report these indirect sales of our products by geography, these indirect sales are less than direct sales to our customers headquartered in mainland China and Hong Kong. As is customary in the semiconductor industry, we also ship our products directly to locations within China for customers that are headquartered outside China.</w:t>
      </w:r>
    </w:p>
    <w:p>
      <w:pPr>
        <w:spacing w:after="0" w:line="203"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On March 31, 2023, China’s Cyberspace Administration (the “CAC”) notified us that it will conduct a cybersecurity review of products sold by us in China. We are cooperating with the review by the CAC. To the extent that the review is lengthy or results in decisions by the</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CAC that are adverse to us, it may negatively impact direct sales of our products into China and Hong Kong, as well as the sales of our products through distributors to third parties. There can be no assurance that the CAC’s review will not prevent us from participating in the China market, in whole or in part, cause harm to our relationships with our customers, or otherwise adversely impact us, any of which could result in a material adverse effect on our business, results of operations, or financial condition.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13"/>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78"/>
        </w:trPr>
        <w:tc>
          <w:tcPr>
            <w:tcW w:w="1340" w:type="dxa"/>
            <w:vAlign w:val="bottom"/>
          </w:tcPr>
          <w:p>
            <w:pPr>
              <w:spacing w:after="0"/>
              <w:rPr>
                <w:sz w:val="24"/>
                <w:szCs w:val="24"/>
                <w:color w:val="auto"/>
              </w:rPr>
            </w:pPr>
          </w:p>
        </w:tc>
        <w:tc>
          <w:tcPr>
            <w:tcW w:w="9900" w:type="dxa"/>
            <w:vAlign w:val="bottom"/>
            <w:gridSpan w:val="13"/>
          </w:tcPr>
          <w:p>
            <w:pPr>
              <w:spacing w:after="0"/>
              <w:rPr>
                <w:sz w:val="20"/>
                <w:szCs w:val="20"/>
                <w:color w:val="auto"/>
              </w:rPr>
            </w:pPr>
            <w:r>
              <w:rPr>
                <w:rFonts w:ascii="Arial" w:cs="Arial" w:eastAsia="Arial" w:hAnsi="Arial"/>
                <w:sz w:val="18"/>
                <w:szCs w:val="18"/>
                <w:color w:val="auto"/>
              </w:rPr>
              <w:t>(d) Exhibits.</w:t>
            </w:r>
          </w:p>
        </w:tc>
      </w:tr>
      <w:tr>
        <w:trPr>
          <w:trHeight w:val="347"/>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3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rPr>
              <w:t>4.1</w:t>
            </w: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00" w:type="dxa"/>
            <w:vAlign w:val="bottom"/>
            <w:tcBorders>
              <w:top w:val="single" w:sz="8" w:color="auto"/>
            </w:tcBorders>
            <w:gridSpan w:val="10"/>
          </w:tcPr>
          <w:p>
            <w:pPr>
              <w:spacing w:after="0" w:line="182" w:lineRule="exact"/>
              <w:rPr>
                <w:rFonts w:ascii="Arial" w:cs="Arial" w:eastAsia="Arial" w:hAnsi="Arial"/>
                <w:sz w:val="18"/>
                <w:szCs w:val="18"/>
                <w:color w:val="0000FF"/>
              </w:rPr>
            </w:pPr>
            <w:hyperlink r:id="rId18">
              <w:r>
                <w:rPr>
                  <w:rFonts w:ascii="Arial" w:cs="Arial" w:eastAsia="Arial" w:hAnsi="Arial"/>
                  <w:sz w:val="18"/>
                  <w:szCs w:val="18"/>
                  <w:color w:val="0000FF"/>
                </w:rPr>
                <w:t>Indenture, dated February 6, 2019, by and between Micron Technology, Inc. and U.S. Bank Trust Company, National</w:t>
              </w:r>
            </w:hyperlink>
          </w:p>
        </w:tc>
        <w:tc>
          <w:tcPr>
            <w:tcW w:w="20" w:type="dxa"/>
            <w:vAlign w:val="bottom"/>
          </w:tcPr>
          <w:p>
            <w:pPr>
              <w:spacing w:after="0"/>
              <w:rPr>
                <w:sz w:val="15"/>
                <w:szCs w:val="15"/>
                <w:color w:val="auto"/>
              </w:rPr>
            </w:pPr>
          </w:p>
        </w:tc>
      </w:tr>
      <w:tr>
        <w:trPr>
          <w:trHeight w:val="155"/>
        </w:trPr>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18">
              <w:r>
                <w:rPr>
                  <w:rFonts w:ascii="Arial" w:cs="Arial" w:eastAsia="Arial" w:hAnsi="Arial"/>
                  <w:sz w:val="18"/>
                  <w:szCs w:val="18"/>
                  <w:color w:val="0000FF"/>
                </w:rPr>
                <w:t>Association (as successor in interest to U.S. Bank National Association), as Trustee, filed as Exhibit 4.1 to Micron’s</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18">
              <w:r>
                <w:rPr>
                  <w:rFonts w:ascii="Arial" w:cs="Arial" w:eastAsia="Arial" w:hAnsi="Arial"/>
                  <w:sz w:val="18"/>
                  <w:szCs w:val="18"/>
                  <w:color w:val="0000FF"/>
                  <w:w w:val="99"/>
                </w:rPr>
                <w:t>Form 8-K filed on February 6, 2019</w:t>
              </w:r>
            </w:hyperlink>
          </w:p>
        </w:tc>
        <w:tc>
          <w:tcPr>
            <w:tcW w:w="6320" w:type="dxa"/>
            <w:vAlign w:val="bottom"/>
            <w:tcBorders>
              <w:top w:val="single" w:sz="8" w:color="0000FF"/>
            </w:tcBorders>
            <w:gridSpan w:val="4"/>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r>
      <w:tr>
        <w:trPr>
          <w:trHeight w:val="223"/>
        </w:trPr>
        <w:tc>
          <w:tcPr>
            <w:tcW w:w="1340" w:type="dxa"/>
            <w:vAlign w:val="bottom"/>
          </w:tcPr>
          <w:p>
            <w:pPr>
              <w:jc w:val="center"/>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0000FF"/>
              </w:rPr>
              <w:t>Seventh Supplemental Indenture, dated as of April 11, 2023, by and between Micron Technology, Inc. and U.S. Bank</w:t>
            </w:r>
          </w:p>
        </w:tc>
      </w:tr>
      <w:tr>
        <w:trPr>
          <w:trHeight w:val="155"/>
        </w:trPr>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Trust Company, National Association, as Trustee</w:t>
            </w:r>
          </w:p>
        </w:tc>
        <w:tc>
          <w:tcPr>
            <w:tcW w:w="10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23"/>
        </w:trPr>
        <w:tc>
          <w:tcPr>
            <w:tcW w:w="1340" w:type="dxa"/>
            <w:vAlign w:val="bottom"/>
          </w:tcPr>
          <w:p>
            <w:pPr>
              <w:jc w:val="center"/>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0000FF"/>
              </w:rPr>
              <w:t>Form of Note for Micron Technology, Inc.’s 5.375% Senior Notes due 2028 (incorporated by reference from Exhibit 4.2</w:t>
            </w:r>
          </w:p>
        </w:tc>
      </w:tr>
      <w:tr>
        <w:trPr>
          <w:trHeight w:val="155"/>
        </w:trPr>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hereto)</w:t>
            </w:r>
          </w:p>
        </w:tc>
        <w:tc>
          <w:tcPr>
            <w:tcW w:w="2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r>
      <w:tr>
        <w:trPr>
          <w:trHeight w:val="223"/>
        </w:trPr>
        <w:tc>
          <w:tcPr>
            <w:tcW w:w="1340" w:type="dxa"/>
            <w:vAlign w:val="bottom"/>
          </w:tcPr>
          <w:p>
            <w:pPr>
              <w:jc w:val="center"/>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0000FF"/>
              </w:rPr>
              <w:t>Form of Note for Micron Technology, Inc.’s 5.875% Senior Notes due 2033 (incorporated by reference from Exhibit 4.2</w:t>
            </w:r>
          </w:p>
        </w:tc>
      </w:tr>
      <w:tr>
        <w:trPr>
          <w:trHeight w:val="156"/>
        </w:trPr>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hereto)</w:t>
            </w:r>
          </w:p>
        </w:tc>
        <w:tc>
          <w:tcPr>
            <w:tcW w:w="2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r>
      <w:tr>
        <w:trPr>
          <w:trHeight w:val="223"/>
        </w:trPr>
        <w:tc>
          <w:tcPr>
            <w:tcW w:w="1340" w:type="dxa"/>
            <w:vAlign w:val="bottom"/>
          </w:tcPr>
          <w:p>
            <w:pPr>
              <w:jc w:val="center"/>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Opinion of Wilson Sonsini Goodrich &amp; Rosati, Professional Corporation</w:t>
            </w:r>
          </w:p>
        </w:tc>
        <w:tc>
          <w:tcPr>
            <w:tcW w:w="3980" w:type="dxa"/>
            <w:vAlign w:val="bottom"/>
            <w:gridSpan w:val="7"/>
          </w:tcPr>
          <w:p>
            <w:pPr>
              <w:spacing w:after="0"/>
              <w:rPr>
                <w:sz w:val="19"/>
                <w:szCs w:val="19"/>
                <w:color w:val="auto"/>
              </w:rPr>
            </w:pPr>
          </w:p>
        </w:tc>
      </w:tr>
      <w:tr>
        <w:trPr>
          <w:trHeight w:val="210"/>
        </w:trPr>
        <w:tc>
          <w:tcPr>
            <w:tcW w:w="1340" w:type="dxa"/>
            <w:vAlign w:val="bottom"/>
          </w:tcPr>
          <w:p>
            <w:pPr>
              <w:jc w:val="center"/>
              <w:spacing w:after="0"/>
              <w:rPr>
                <w:sz w:val="20"/>
                <w:szCs w:val="20"/>
                <w:color w:val="auto"/>
              </w:rPr>
            </w:pPr>
            <w:r>
              <w:rPr>
                <w:rFonts w:ascii="Arial" w:cs="Arial" w:eastAsia="Arial" w:hAnsi="Arial"/>
                <w:sz w:val="18"/>
                <w:szCs w:val="18"/>
                <w:color w:val="auto"/>
                <w:w w:val="96"/>
              </w:rPr>
              <w:t>23.1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0000FF"/>
              </w:rPr>
              <w:t>Consent of Wilson Sonsini Goodrich &amp; Rosati, Professional Corporation (included in Exhibit 5.1)</w:t>
            </w:r>
          </w:p>
        </w:tc>
      </w:tr>
      <w:tr>
        <w:trPr>
          <w:trHeight w:val="254"/>
        </w:trPr>
        <w:tc>
          <w:tcPr>
            <w:tcW w:w="134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020" w:type="dxa"/>
            <w:vAlign w:val="bottom"/>
            <w:gridSpan w:val="6"/>
          </w:tcPr>
          <w:p>
            <w:pPr>
              <w:spacing w:after="0"/>
              <w:rPr>
                <w:sz w:val="22"/>
                <w:szCs w:val="22"/>
                <w:color w:val="auto"/>
              </w:rPr>
            </w:pPr>
          </w:p>
        </w:tc>
      </w:tr>
      <w:tr>
        <w:trPr>
          <w:trHeight w:val="1204"/>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660" w:type="dxa"/>
            <w:vAlign w:val="bottom"/>
          </w:tcPr>
          <w:p>
            <w:pPr>
              <w:spacing w:after="0"/>
              <w:rPr>
                <w:sz w:val="21"/>
                <w:szCs w:val="21"/>
                <w:color w:val="auto"/>
              </w:rPr>
            </w:pPr>
          </w:p>
        </w:tc>
        <w:tc>
          <w:tcPr>
            <w:tcW w:w="6980" w:type="dxa"/>
            <w:vAlign w:val="bottom"/>
            <w:gridSpan w:val="2"/>
          </w:tcPr>
          <w:p>
            <w:pPr>
              <w:ind w:left="182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660" w:type="dxa"/>
            <w:vAlign w:val="bottom"/>
          </w:tcPr>
          <w:p>
            <w:pPr>
              <w:spacing w:after="0"/>
              <w:rPr>
                <w:sz w:val="20"/>
                <w:szCs w:val="20"/>
                <w:color w:val="auto"/>
              </w:rPr>
            </w:pPr>
            <w:r>
              <w:rPr>
                <w:rFonts w:ascii="Arial" w:cs="Arial" w:eastAsia="Arial" w:hAnsi="Arial"/>
                <w:sz w:val="18"/>
                <w:szCs w:val="18"/>
                <w:color w:val="auto"/>
              </w:rPr>
              <w:t>Date:   April 11, 2023</w:t>
            </w:r>
          </w:p>
        </w:tc>
        <w:tc>
          <w:tcPr>
            <w:tcW w:w="2720" w:type="dxa"/>
            <w:vAlign w:val="bottom"/>
          </w:tcPr>
          <w:p>
            <w:pPr>
              <w:ind w:left="182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660" w:type="dxa"/>
            <w:vAlign w:val="bottom"/>
          </w:tcPr>
          <w:p>
            <w:pPr>
              <w:spacing w:after="0"/>
              <w:rPr>
                <w:sz w:val="18"/>
                <w:szCs w:val="18"/>
                <w:color w:val="auto"/>
              </w:rPr>
            </w:pPr>
          </w:p>
        </w:tc>
        <w:tc>
          <w:tcPr>
            <w:tcW w:w="2720" w:type="dxa"/>
            <w:vAlign w:val="bottom"/>
          </w:tcPr>
          <w:p>
            <w:pPr>
              <w:ind w:left="1820"/>
              <w:spacing w:after="0"/>
              <w:rPr>
                <w:sz w:val="20"/>
                <w:szCs w:val="20"/>
                <w:color w:val="auto"/>
              </w:rPr>
            </w:pPr>
            <w:r>
              <w:rPr>
                <w:rFonts w:ascii="Arial" w:cs="Arial" w:eastAsia="Arial" w:hAnsi="Arial"/>
                <w:sz w:val="18"/>
                <w:szCs w:val="18"/>
                <w:color w:val="auto"/>
              </w:rPr>
              <w:t>Name:</w:t>
            </w:r>
          </w:p>
        </w:tc>
        <w:tc>
          <w:tcPr>
            <w:tcW w:w="426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39"/>
        </w:trPr>
        <w:tc>
          <w:tcPr>
            <w:tcW w:w="3660" w:type="dxa"/>
            <w:vAlign w:val="bottom"/>
          </w:tcPr>
          <w:p>
            <w:pPr>
              <w:spacing w:after="0"/>
              <w:rPr>
                <w:sz w:val="20"/>
                <w:szCs w:val="20"/>
                <w:color w:val="auto"/>
              </w:rPr>
            </w:pPr>
          </w:p>
        </w:tc>
        <w:tc>
          <w:tcPr>
            <w:tcW w:w="2720" w:type="dxa"/>
            <w:vAlign w:val="bottom"/>
          </w:tcPr>
          <w:p>
            <w:pPr>
              <w:ind w:left="1820"/>
              <w:spacing w:after="0"/>
              <w:rPr>
                <w:sz w:val="20"/>
                <w:szCs w:val="20"/>
                <w:color w:val="auto"/>
              </w:rPr>
            </w:pPr>
            <w:r>
              <w:rPr>
                <w:rFonts w:ascii="Arial" w:cs="Arial" w:eastAsia="Arial" w:hAnsi="Arial"/>
                <w:sz w:val="18"/>
                <w:szCs w:val="18"/>
                <w:color w:val="auto"/>
              </w:rPr>
              <w:t>Title:</w:t>
            </w:r>
          </w:p>
        </w:tc>
        <w:tc>
          <w:tcPr>
            <w:tcW w:w="42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00"/>
          </w:cols>
          <w:pgMar w:left="320" w:top="1133"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MICRON TECHNOLOGY, INC.</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$600,000,000 5.375% SENIOR NOTES DUE 2028</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$900,000,000 5.875% SENIOR NOTES DUE 2033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SEVENTH SUPPLEMENTAL INDENTURE</w:t>
      </w:r>
    </w:p>
    <w:p>
      <w:pPr>
        <w:spacing w:after="0" w:line="12"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Dated as of April 11, 2023</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To</w:t>
      </w:r>
    </w:p>
    <w:p>
      <w:pPr>
        <w:spacing w:after="0" w:line="233"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INDENTURE</w:t>
      </w:r>
    </w:p>
    <w:p>
      <w:pPr>
        <w:spacing w:after="0" w:line="12" w:lineRule="exact"/>
        <w:rPr>
          <w:sz w:val="20"/>
          <w:szCs w:val="20"/>
          <w:color w:val="auto"/>
        </w:rPr>
      </w:pPr>
    </w:p>
    <w:p>
      <w:pPr>
        <w:jc w:val="center"/>
        <w:ind w:left="1620" w:right="2720"/>
        <w:spacing w:after="0" w:line="540" w:lineRule="auto"/>
        <w:rPr>
          <w:sz w:val="20"/>
          <w:szCs w:val="20"/>
          <w:color w:val="auto"/>
        </w:rPr>
      </w:pPr>
      <w:r>
        <w:rPr>
          <w:rFonts w:ascii="Arial" w:cs="Arial" w:eastAsia="Arial" w:hAnsi="Arial"/>
          <w:sz w:val="22"/>
          <w:szCs w:val="22"/>
          <w:b w:val="1"/>
          <w:bCs w:val="1"/>
          <w:color w:val="auto"/>
        </w:rPr>
        <w:t>Dated as of February 6, 2019 U.S. BANK TRUST COMPANY, NATIONAL ASSOCIATION Trustee</w:t>
      </w:r>
    </w:p>
    <w:p>
      <w:pPr>
        <w:sectPr>
          <w:pgSz w:w="11900" w:h="16838" w:orient="portrait"/>
          <w:cols w:equalWidth="0" w:num="1">
            <w:col w:w="10120"/>
          </w:cols>
          <w:pgMar w:left="1440" w:top="14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8200" w:type="dxa"/>
            <w:vAlign w:val="bottom"/>
          </w:tcPr>
          <w:p>
            <w:pPr>
              <w:ind w:left="4640"/>
              <w:spacing w:after="0"/>
              <w:rPr>
                <w:sz w:val="20"/>
                <w:szCs w:val="20"/>
                <w:color w:val="auto"/>
              </w:rPr>
            </w:pPr>
            <w:r>
              <w:rPr>
                <w:rFonts w:ascii="Arial" w:cs="Arial" w:eastAsia="Arial" w:hAnsi="Arial"/>
                <w:sz w:val="18"/>
                <w:szCs w:val="18"/>
                <w:b w:val="1"/>
                <w:bCs w:val="1"/>
                <w:color w:val="auto"/>
              </w:rPr>
              <w:t>TABLE OF CONTENTS</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2"/>
        </w:trPr>
        <w:tc>
          <w:tcPr>
            <w:tcW w:w="8200" w:type="dxa"/>
            <w:vAlign w:val="bottom"/>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2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Relationship with Base Indenture</w:t>
            </w:r>
          </w:p>
        </w:tc>
        <w:tc>
          <w:tcPr>
            <w:tcW w:w="2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Definitions</w:t>
            </w:r>
          </w:p>
        </w:tc>
        <w:tc>
          <w:tcPr>
            <w:tcW w:w="29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200" w:type="dxa"/>
            <w:vAlign w:val="bottom"/>
          </w:tcPr>
          <w:p>
            <w:pPr>
              <w:spacing w:after="0"/>
              <w:rPr>
                <w:sz w:val="20"/>
                <w:szCs w:val="20"/>
                <w:color w:val="auto"/>
              </w:rPr>
            </w:pPr>
            <w:r>
              <w:rPr>
                <w:rFonts w:ascii="Arial" w:cs="Arial" w:eastAsia="Arial" w:hAnsi="Arial"/>
                <w:sz w:val="18"/>
                <w:szCs w:val="18"/>
                <w:color w:val="auto"/>
              </w:rPr>
              <w:t>ARTICLE 2. THE NOTES</w:t>
            </w:r>
          </w:p>
        </w:tc>
        <w:tc>
          <w:tcPr>
            <w:tcW w:w="29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Form and Dating</w:t>
            </w:r>
          </w:p>
        </w:tc>
        <w:tc>
          <w:tcPr>
            <w:tcW w:w="29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Transfer and Exchange</w:t>
            </w:r>
          </w:p>
        </w:tc>
        <w:tc>
          <w:tcPr>
            <w:tcW w:w="29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Issuance of Additional Notes</w:t>
            </w:r>
          </w:p>
        </w:tc>
        <w:tc>
          <w:tcPr>
            <w:tcW w:w="29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i w:val="1"/>
                <w:iCs w:val="1"/>
                <w:color w:val="auto"/>
              </w:rPr>
              <w:t>Execution and Authentication</w:t>
            </w:r>
          </w:p>
        </w:tc>
        <w:tc>
          <w:tcPr>
            <w:tcW w:w="29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200" w:type="dxa"/>
            <w:vAlign w:val="bottom"/>
          </w:tcPr>
          <w:p>
            <w:pPr>
              <w:spacing w:after="0"/>
              <w:rPr>
                <w:sz w:val="20"/>
                <w:szCs w:val="20"/>
                <w:color w:val="auto"/>
              </w:rPr>
            </w:pPr>
            <w:r>
              <w:rPr>
                <w:rFonts w:ascii="Arial" w:cs="Arial" w:eastAsia="Arial" w:hAnsi="Arial"/>
                <w:sz w:val="18"/>
                <w:szCs w:val="18"/>
                <w:color w:val="auto"/>
              </w:rPr>
              <w:t>ARTICLE 3. REDEMPTION AND PREPAYMENT</w:t>
            </w:r>
          </w:p>
        </w:tc>
        <w:tc>
          <w:tcPr>
            <w:tcW w:w="29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Optional Redemption</w:t>
            </w:r>
          </w:p>
        </w:tc>
        <w:tc>
          <w:tcPr>
            <w:tcW w:w="29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200" w:type="dxa"/>
            <w:vAlign w:val="bottom"/>
          </w:tcPr>
          <w:p>
            <w:pPr>
              <w:spacing w:after="0"/>
              <w:rPr>
                <w:sz w:val="20"/>
                <w:szCs w:val="20"/>
                <w:color w:val="auto"/>
              </w:rPr>
            </w:pPr>
            <w:r>
              <w:rPr>
                <w:rFonts w:ascii="Arial" w:cs="Arial" w:eastAsia="Arial" w:hAnsi="Arial"/>
                <w:sz w:val="18"/>
                <w:szCs w:val="18"/>
                <w:color w:val="auto"/>
              </w:rPr>
              <w:t>ARTICLE 4. PARTICULAR COVENANTS</w:t>
            </w:r>
          </w:p>
        </w:tc>
        <w:tc>
          <w:tcPr>
            <w:tcW w:w="29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Offer to Purchase Upon Change of Control Triggering Event</w:t>
            </w:r>
          </w:p>
        </w:tc>
        <w:tc>
          <w:tcPr>
            <w:tcW w:w="29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Liens</w:t>
            </w:r>
          </w:p>
        </w:tc>
        <w:tc>
          <w:tcPr>
            <w:tcW w:w="29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Sale and Lease Back Transactions</w:t>
            </w:r>
          </w:p>
        </w:tc>
        <w:tc>
          <w:tcPr>
            <w:tcW w:w="2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Covenants</w:t>
            </w:r>
          </w:p>
        </w:tc>
        <w:tc>
          <w:tcPr>
            <w:tcW w:w="2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8200" w:type="dxa"/>
            <w:vAlign w:val="bottom"/>
          </w:tcPr>
          <w:p>
            <w:pPr>
              <w:spacing w:after="0"/>
              <w:rPr>
                <w:sz w:val="20"/>
                <w:szCs w:val="20"/>
                <w:color w:val="auto"/>
              </w:rPr>
            </w:pPr>
            <w:r>
              <w:rPr>
                <w:rFonts w:ascii="Arial" w:cs="Arial" w:eastAsia="Arial" w:hAnsi="Arial"/>
                <w:sz w:val="18"/>
                <w:szCs w:val="18"/>
                <w:color w:val="auto"/>
              </w:rPr>
              <w:t>ARTICLE 5. SATISFACTION AND DISCHARGE; DEFEASANCE</w:t>
            </w:r>
          </w:p>
        </w:tc>
        <w:tc>
          <w:tcPr>
            <w:tcW w:w="2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Section 5.1. Satisfaction and Discharge of Indenture</w:t>
            </w:r>
          </w:p>
        </w:tc>
        <w:tc>
          <w:tcPr>
            <w:tcW w:w="2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Section 5.2. Legal Defeasance of Securities of any Series</w:t>
            </w:r>
          </w:p>
        </w:tc>
        <w:tc>
          <w:tcPr>
            <w:tcW w:w="2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Section 5.3. Covenant Defeasance</w:t>
            </w:r>
          </w:p>
        </w:tc>
        <w:tc>
          <w:tcPr>
            <w:tcW w:w="2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ARTICLE 6. MISCELLANEOUS</w:t>
            </w:r>
          </w:p>
        </w:tc>
        <w:tc>
          <w:tcPr>
            <w:tcW w:w="29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Trust Indenture Act Controls</w:t>
            </w:r>
          </w:p>
        </w:tc>
        <w:tc>
          <w:tcPr>
            <w:tcW w:w="29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Section 6.2. Governing Law</w:t>
            </w:r>
          </w:p>
        </w:tc>
        <w:tc>
          <w:tcPr>
            <w:tcW w:w="29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Section 6.3. Successors</w:t>
            </w:r>
          </w:p>
        </w:tc>
        <w:tc>
          <w:tcPr>
            <w:tcW w:w="29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Section 6.4. Severability</w:t>
            </w:r>
          </w:p>
        </w:tc>
        <w:tc>
          <w:tcPr>
            <w:tcW w:w="29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Section 6.5. Counterpart Originals</w:t>
            </w:r>
          </w:p>
        </w:tc>
        <w:tc>
          <w:tcPr>
            <w:tcW w:w="29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Section 6.6. Table of Contents, Headings, Etc.</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Section 6.7. Waiver of Jury Trial</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Section 6.8. Interpretation</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Section 6.9. Instruction by Electronic Transmissions</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Section 6.10. Notices</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Section 6.11. Miscellaneous</w:t>
            </w:r>
          </w:p>
        </w:tc>
        <w:tc>
          <w:tcPr>
            <w:tcW w:w="29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1"/>
        </w:trPr>
        <w:tc>
          <w:tcPr>
            <w:tcW w:w="8200" w:type="dxa"/>
            <w:vAlign w:val="bottom"/>
            <w:vMerge w:val="restart"/>
          </w:tcPr>
          <w:p>
            <w:pPr>
              <w:ind w:left="660"/>
              <w:spacing w:after="0"/>
              <w:rPr>
                <w:sz w:val="20"/>
                <w:szCs w:val="20"/>
                <w:color w:val="auto"/>
              </w:rPr>
            </w:pPr>
            <w:r>
              <w:rPr>
                <w:rFonts w:ascii="Arial" w:cs="Arial" w:eastAsia="Arial" w:hAnsi="Arial"/>
                <w:sz w:val="18"/>
                <w:szCs w:val="18"/>
                <w:color w:val="auto"/>
              </w:rPr>
              <w:t>Exhibit A</w:t>
            </w:r>
          </w:p>
        </w:tc>
        <w:tc>
          <w:tcPr>
            <w:tcW w:w="2900" w:type="dxa"/>
            <w:vAlign w:val="bottom"/>
          </w:tcPr>
          <w:p>
            <w:pPr>
              <w:jc w:val="right"/>
              <w:spacing w:after="0" w:line="181" w:lineRule="exact"/>
              <w:rPr>
                <w:sz w:val="20"/>
                <w:szCs w:val="20"/>
                <w:color w:val="auto"/>
              </w:rPr>
            </w:pPr>
            <w:r>
              <w:rPr>
                <w:rFonts w:ascii="Arial" w:cs="Arial" w:eastAsia="Arial" w:hAnsi="Arial"/>
                <w:sz w:val="18"/>
                <w:szCs w:val="18"/>
                <w:color w:val="auto"/>
              </w:rPr>
              <w:t>FORM OF 2028</w:t>
            </w:r>
          </w:p>
        </w:tc>
        <w:tc>
          <w:tcPr>
            <w:tcW w:w="0" w:type="dxa"/>
            <w:vAlign w:val="bottom"/>
          </w:tcPr>
          <w:p>
            <w:pPr>
              <w:spacing w:after="0"/>
              <w:rPr>
                <w:sz w:val="1"/>
                <w:szCs w:val="1"/>
                <w:color w:val="auto"/>
              </w:rPr>
            </w:pPr>
          </w:p>
        </w:tc>
      </w:tr>
      <w:tr>
        <w:trPr>
          <w:trHeight w:val="238"/>
        </w:trPr>
        <w:tc>
          <w:tcPr>
            <w:tcW w:w="8200" w:type="dxa"/>
            <w:vAlign w:val="bottom"/>
            <w:vMerge w:val="continue"/>
          </w:tcPr>
          <w:p>
            <w:pPr>
              <w:spacing w:after="0"/>
              <w:rPr>
                <w:sz w:val="20"/>
                <w:szCs w:val="20"/>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NOTE</w:t>
            </w:r>
          </w:p>
        </w:tc>
        <w:tc>
          <w:tcPr>
            <w:tcW w:w="0" w:type="dxa"/>
            <w:vAlign w:val="bottom"/>
          </w:tcPr>
          <w:p>
            <w:pPr>
              <w:spacing w:after="0"/>
              <w:rPr>
                <w:sz w:val="1"/>
                <w:szCs w:val="1"/>
                <w:color w:val="auto"/>
              </w:rPr>
            </w:pPr>
          </w:p>
        </w:tc>
      </w:tr>
      <w:tr>
        <w:trPr>
          <w:trHeight w:val="181"/>
        </w:trPr>
        <w:tc>
          <w:tcPr>
            <w:tcW w:w="8200" w:type="dxa"/>
            <w:vAlign w:val="bottom"/>
            <w:vMerge w:val="restart"/>
          </w:tcPr>
          <w:p>
            <w:pPr>
              <w:ind w:left="660"/>
              <w:spacing w:after="0"/>
              <w:rPr>
                <w:sz w:val="20"/>
                <w:szCs w:val="20"/>
                <w:color w:val="auto"/>
              </w:rPr>
            </w:pPr>
            <w:r>
              <w:rPr>
                <w:rFonts w:ascii="Arial" w:cs="Arial" w:eastAsia="Arial" w:hAnsi="Arial"/>
                <w:sz w:val="18"/>
                <w:szCs w:val="18"/>
                <w:color w:val="auto"/>
              </w:rPr>
              <w:t>Exhibit B</w:t>
            </w:r>
          </w:p>
        </w:tc>
        <w:tc>
          <w:tcPr>
            <w:tcW w:w="2900" w:type="dxa"/>
            <w:vAlign w:val="bottom"/>
          </w:tcPr>
          <w:p>
            <w:pPr>
              <w:jc w:val="right"/>
              <w:spacing w:after="0" w:line="181" w:lineRule="exact"/>
              <w:rPr>
                <w:sz w:val="20"/>
                <w:szCs w:val="20"/>
                <w:color w:val="auto"/>
              </w:rPr>
            </w:pPr>
            <w:r>
              <w:rPr>
                <w:rFonts w:ascii="Arial" w:cs="Arial" w:eastAsia="Arial" w:hAnsi="Arial"/>
                <w:sz w:val="18"/>
                <w:szCs w:val="18"/>
                <w:color w:val="auto"/>
              </w:rPr>
              <w:t>FORM OF</w:t>
            </w:r>
          </w:p>
        </w:tc>
        <w:tc>
          <w:tcPr>
            <w:tcW w:w="0" w:type="dxa"/>
            <w:vAlign w:val="bottom"/>
          </w:tcPr>
          <w:p>
            <w:pPr>
              <w:spacing w:after="0"/>
              <w:rPr>
                <w:sz w:val="1"/>
                <w:szCs w:val="1"/>
                <w:color w:val="auto"/>
              </w:rPr>
            </w:pPr>
          </w:p>
        </w:tc>
      </w:tr>
      <w:tr>
        <w:trPr>
          <w:trHeight w:val="247"/>
        </w:trPr>
        <w:tc>
          <w:tcPr>
            <w:tcW w:w="8200" w:type="dxa"/>
            <w:vAlign w:val="bottom"/>
            <w:vMerge w:val="continue"/>
          </w:tcPr>
          <w:p>
            <w:pPr>
              <w:spacing w:after="0"/>
              <w:rPr>
                <w:sz w:val="21"/>
                <w:szCs w:val="21"/>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2033 NOTE</w:t>
            </w:r>
          </w:p>
        </w:tc>
        <w:tc>
          <w:tcPr>
            <w:tcW w:w="0" w:type="dxa"/>
            <w:vAlign w:val="bottom"/>
          </w:tcPr>
          <w:p>
            <w:pPr>
              <w:spacing w:after="0"/>
              <w:rPr>
                <w:sz w:val="1"/>
                <w:szCs w:val="1"/>
                <w:color w:val="auto"/>
              </w:rPr>
            </w:pPr>
          </w:p>
        </w:tc>
      </w:tr>
    </w:tbl>
    <w:p>
      <w:pPr>
        <w:sectPr>
          <w:pgSz w:w="11900" w:h="16838" w:orient="portrait"/>
          <w:cols w:equalWidth="0" w:num="1">
            <w:col w:w="11100"/>
          </w:cols>
          <w:pgMar w:left="340" w:top="1417" w:right="459" w:bottom="1440" w:gutter="0" w:footer="0" w:header="0"/>
        </w:sectPr>
      </w:pPr>
    </w:p>
    <w:bookmarkStart w:id="6" w:name="page7"/>
    <w:bookmarkEnd w:id="6"/>
    <w:p>
      <w:pPr>
        <w:ind w:firstLine="648"/>
        <w:spacing w:after="0" w:line="281" w:lineRule="auto"/>
        <w:rPr>
          <w:sz w:val="20"/>
          <w:szCs w:val="20"/>
          <w:color w:val="auto"/>
        </w:rPr>
      </w:pPr>
      <w:r>
        <w:rPr>
          <w:rFonts w:ascii="Arial" w:cs="Arial" w:eastAsia="Arial" w:hAnsi="Arial"/>
          <w:sz w:val="18"/>
          <w:szCs w:val="18"/>
          <w:color w:val="auto"/>
        </w:rPr>
        <w:t>SEVENTH SUPPLEMENTAL INDENTURE dated as April 11, 2023 by and between Micron Technology,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U.S. Bank Trust Company, National Association, as 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163"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The Company has heretofore executed and delivered to the Trustee (as successor in interest to U.S. Bank National Association) an indenture, dated as of February 6, 2019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providing for the issuance from time to time of one or more Series of the Company’s securities.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9.1 of the Base Indenture provides that the Company and the Trustee, without the consent of any holders of the Company’s</w:t>
      </w:r>
    </w:p>
    <w:p>
      <w:pPr>
        <w:spacing w:after="0" w:line="14"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Securities, from time to time may amend or supplement certain terms and conditions in the Base Indenture, including to provide for the issuance of and establishment of terms of a Series of Securities as permitted by Sections 2.1 and 2.2 thereof.</w:t>
      </w:r>
    </w:p>
    <w:p>
      <w:pPr>
        <w:spacing w:after="0" w:line="208" w:lineRule="exact"/>
        <w:rPr>
          <w:sz w:val="20"/>
          <w:szCs w:val="20"/>
          <w:color w:val="auto"/>
        </w:rPr>
      </w:pPr>
    </w:p>
    <w:p>
      <w:pPr>
        <w:jc w:val="both"/>
        <w:ind w:right="200" w:firstLine="648"/>
        <w:spacing w:after="0" w:line="247" w:lineRule="auto"/>
        <w:rPr>
          <w:sz w:val="20"/>
          <w:szCs w:val="20"/>
          <w:color w:val="auto"/>
        </w:rPr>
      </w:pPr>
      <w:r>
        <w:rPr>
          <w:rFonts w:ascii="Arial" w:cs="Arial" w:eastAsia="Arial" w:hAnsi="Arial"/>
          <w:sz w:val="18"/>
          <w:szCs w:val="18"/>
          <w:color w:val="auto"/>
        </w:rPr>
        <w:t>The Company desires and has requested the Trustee pursuant to Section 9.1 of the Base Indenture to join with it in the execution and delivery of this Supplemental Indenture (together with the Base Indenture,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in order to supplement the Base Indenture as, and to the extent set forth herein, to provide for the issuance of and establish the forms and terms and conditions of each Series of the Notes (as defined below).</w:t>
      </w:r>
    </w:p>
    <w:p>
      <w:pPr>
        <w:spacing w:after="0" w:line="201" w:lineRule="exact"/>
        <w:rPr>
          <w:sz w:val="20"/>
          <w:szCs w:val="20"/>
          <w:color w:val="auto"/>
        </w:rPr>
      </w:pPr>
    </w:p>
    <w:p>
      <w:pPr>
        <w:ind w:right="360" w:firstLine="648"/>
        <w:spacing w:after="0" w:line="271" w:lineRule="auto"/>
        <w:rPr>
          <w:sz w:val="20"/>
          <w:szCs w:val="20"/>
          <w:color w:val="auto"/>
        </w:rPr>
      </w:pPr>
      <w:r>
        <w:rPr>
          <w:rFonts w:ascii="Arial" w:cs="Arial" w:eastAsia="Arial" w:hAnsi="Arial"/>
          <w:sz w:val="18"/>
          <w:szCs w:val="18"/>
          <w:color w:val="auto"/>
        </w:rPr>
        <w:t>The execution and delivery of this Supplemental Indenture has been duly authorized by votes of the Board of Directors or a duly authorized committee thereof.</w:t>
      </w:r>
    </w:p>
    <w:p>
      <w:pPr>
        <w:spacing w:after="0" w:line="181"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All conditions and requirements necessary to make this Supplemental Indenture a valid, binding and legal instrument in accordance with its terms have been performed and fulfilled by the parties hereto and the execution and delivery thereof have been in all respects duly authorized by the parties hereto.</w:t>
      </w:r>
    </w:p>
    <w:p>
      <w:pPr>
        <w:spacing w:after="0" w:line="3"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Company and the Trustee agree as follows for the benefit of each other and for the equal and ratable benefit of the Holders (as defined herein) of the 5.375% Senior Notes due 2028 and 5.875% Senior Notes due 2033:</w:t>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 AND INCORPORATION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BY REFERENCE</w:t>
      </w:r>
    </w:p>
    <w:p>
      <w:pPr>
        <w:spacing w:after="0" w:line="23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i w:val="1"/>
          <w:iCs w:val="1"/>
          <w:color w:val="auto"/>
        </w:rPr>
        <w:t>Relationship with Base Indenture.</w:t>
      </w:r>
    </w:p>
    <w:p>
      <w:pPr>
        <w:spacing w:after="0" w:line="239"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The terms and provisions contained in the Base Indenture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the Base Indenture conflicts with the express provisions of this Supplemental Indenture or the Notes, the provisions of this Supplemental Indenture or the Notes, as applicable, will govern and be controlling.</w:t>
      </w:r>
    </w:p>
    <w:p>
      <w:pPr>
        <w:spacing w:after="0" w:line="203"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Trustee accepts the amendment of the Base Indenture effected by this Supplemental Indenture and agrees to execute the trust created by the Base Indenture as hereby amended, but only upon the terms and conditions set forth in this Supplemental Indenture, including the rights, privileges and immunities of the Trustee set forth in the Base Indenture and the terms and provisions defining and limiting the liabilities and responsibilities of the Trustee in the performance of the trust created by the Base Indenture, and without limiting the generality of the foregoing, the Trustee will not be responsible in any manner whatsoever for, or with respect to, any of the recitals or</w:t>
      </w:r>
    </w:p>
    <w:p>
      <w:pPr>
        <w:spacing w:after="0" w:line="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statements contained herein, all of which recitals or statements are made solely by the Company, or for, or with respect to, (1) the proper authorization of this Supplemental Indenture by the Company, (2) the due execution hereof by the Company or (3) the consequences (direct</w:t>
      </w:r>
    </w:p>
    <w:p>
      <w:pPr>
        <w:spacing w:after="0" w:line="1"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or indirect and whether deliberate or inadvertent) of any amendment herein provided for, and the Trustee makes no representation with respect to any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320" w:top="1403" w:right="399" w:bottom="1440" w:gutter="0" w:footer="0" w:header="0"/>
        </w:sectPr>
      </w:pPr>
    </w:p>
    <w:bookmarkStart w:id="7" w:name="page8"/>
    <w:bookmarkEnd w:id="7"/>
    <w:p>
      <w:pPr>
        <w:ind w:right="20" w:firstLine="648"/>
        <w:spacing w:after="0" w:line="244" w:lineRule="auto"/>
        <w:rPr>
          <w:sz w:val="20"/>
          <w:szCs w:val="20"/>
          <w:color w:val="auto"/>
        </w:rPr>
      </w:pPr>
      <w:r>
        <w:rPr>
          <w:rFonts w:ascii="Arial" w:cs="Arial" w:eastAsia="Arial" w:hAnsi="Arial"/>
          <w:sz w:val="18"/>
          <w:szCs w:val="18"/>
          <w:color w:val="auto"/>
        </w:rPr>
        <w:t>Further, the Trustee shall not be responsible or liable for any failure or delay in the performance of its obligations under this Indenture arising out of or caused, directly or indirectly, by circumstances beyond its reasonable control, including acts of God; earthquakes; fires; floods; wars; civil or military disturbances; sabotage; epidemics; riots; interruptions, loss or malfunctions of utilities, computer (hardware or software) or communications service; accidents; labor disputes; acts of civil or military authority or governmental actions; it being understood that the Trustee shall use its best efforts to resume performance as soon as practicable under the circumstances.</w:t>
      </w:r>
    </w:p>
    <w:p>
      <w:pPr>
        <w:spacing w:after="0" w:line="21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8"/>
          <w:szCs w:val="18"/>
          <w:i w:val="1"/>
          <w:iCs w:val="1"/>
          <w:color w:val="auto"/>
        </w:rPr>
        <w:t>Definitions.</w:t>
      </w:r>
    </w:p>
    <w:p>
      <w:pPr>
        <w:spacing w:after="0" w:line="252" w:lineRule="exact"/>
        <w:rPr>
          <w:sz w:val="20"/>
          <w:szCs w:val="20"/>
          <w:color w:val="auto"/>
        </w:rPr>
      </w:pPr>
    </w:p>
    <w:p>
      <w:pPr>
        <w:ind w:right="340" w:firstLine="648"/>
        <w:spacing w:after="0" w:line="287" w:lineRule="auto"/>
        <w:rPr>
          <w:sz w:val="20"/>
          <w:szCs w:val="20"/>
          <w:color w:val="auto"/>
        </w:rPr>
      </w:pPr>
      <w:r>
        <w:rPr>
          <w:rFonts w:ascii="Arial" w:cs="Arial" w:eastAsia="Arial" w:hAnsi="Arial"/>
          <w:sz w:val="18"/>
          <w:szCs w:val="18"/>
          <w:color w:val="auto"/>
        </w:rPr>
        <w:t>Capitalized terms used herein without definition shall have the respective meanings set forth in the Base Indenture. The following terms have the meanings given to them in this Section 1.2:</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2028 Notes</w:t>
      </w:r>
      <w:r>
        <w:rPr>
          <w:rFonts w:ascii="Arial" w:cs="Arial" w:eastAsia="Arial" w:hAnsi="Arial"/>
          <w:sz w:val="18"/>
          <w:szCs w:val="18"/>
          <w:color w:val="auto"/>
        </w:rPr>
        <w:t xml:space="preserve">” means the Company’s 5.375% Senior Notes due 2028;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Initial 2028 Notes and the Additional 2028</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Notes, if any, will be treated as a single Series for all purposes under this Supplemental Indenture, and unless the context otherwise requires, all references to the 2028 Notes will include the Initial 2028 Notes and any Additional 2028 Notes.</w:t>
      </w:r>
    </w:p>
    <w:p>
      <w:pPr>
        <w:spacing w:after="0" w:line="20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2033 Notes</w:t>
      </w:r>
      <w:r>
        <w:rPr>
          <w:rFonts w:ascii="Arial" w:cs="Arial" w:eastAsia="Arial" w:hAnsi="Arial"/>
          <w:sz w:val="18"/>
          <w:szCs w:val="18"/>
          <w:color w:val="auto"/>
        </w:rPr>
        <w:t xml:space="preserve">” means the Company’s 5.875% Senior Notes due 2033;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Initial 2033 Notes and the Additional 2033 Notes, if any, will be treated as a single Series for all purposes under this Supplemental Indenture, and unless the context otherwise requires, all references to the 2033 Notes will include the Initial 2033 Notes and any Additional 2033 Notes.</w:t>
      </w:r>
    </w:p>
    <w:p>
      <w:pPr>
        <w:spacing w:after="0" w:line="196" w:lineRule="exact"/>
        <w:rPr>
          <w:sz w:val="20"/>
          <w:szCs w:val="20"/>
          <w:color w:val="auto"/>
        </w:rPr>
      </w:pPr>
    </w:p>
    <w:p>
      <w:pPr>
        <w:ind w:right="40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2028 Notes</w:t>
      </w:r>
      <w:r>
        <w:rPr>
          <w:rFonts w:ascii="Arial" w:cs="Arial" w:eastAsia="Arial" w:hAnsi="Arial"/>
          <w:sz w:val="18"/>
          <w:szCs w:val="18"/>
          <w:color w:val="auto"/>
        </w:rPr>
        <w:t>” means any 2028 Notes (other than the Initial 2028 Notes) issued under this Supplemental Indenture in accordance with Section 2.3 hereof, as part of the same Series as the Initial 2028 Notes.</w:t>
      </w:r>
    </w:p>
    <w:p>
      <w:pPr>
        <w:spacing w:after="0" w:line="181" w:lineRule="exact"/>
        <w:rPr>
          <w:sz w:val="20"/>
          <w:szCs w:val="20"/>
          <w:color w:val="auto"/>
        </w:rPr>
      </w:pPr>
    </w:p>
    <w:p>
      <w:pPr>
        <w:ind w:right="40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2033 Notes</w:t>
      </w:r>
      <w:r>
        <w:rPr>
          <w:rFonts w:ascii="Arial" w:cs="Arial" w:eastAsia="Arial" w:hAnsi="Arial"/>
          <w:sz w:val="18"/>
          <w:szCs w:val="18"/>
          <w:color w:val="auto"/>
        </w:rPr>
        <w:t>” means any 2033 Notes (other than the Initial 2033 Notes) issued under this Supplemental Indenture in accordance with Section 2.3 hereof, as part of the same Series as the Initial 2033 Notes.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Notes</w:t>
      </w:r>
      <w:r>
        <w:rPr>
          <w:rFonts w:ascii="Arial" w:cs="Arial" w:eastAsia="Arial" w:hAnsi="Arial"/>
          <w:sz w:val="18"/>
          <w:szCs w:val="18"/>
          <w:color w:val="auto"/>
        </w:rPr>
        <w:t>” means any Additional 2028 Notes and any Additional 2033 Notes, as applicable.</w:t>
      </w:r>
    </w:p>
    <w:p>
      <w:pPr>
        <w:spacing w:after="0" w:line="239" w:lineRule="exact"/>
        <w:rPr>
          <w:sz w:val="20"/>
          <w:szCs w:val="20"/>
          <w:color w:val="auto"/>
        </w:rPr>
      </w:pPr>
    </w:p>
    <w:p>
      <w:pPr>
        <w:ind w:right="100" w:firstLine="648"/>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Aggregate Debt</w:t>
      </w:r>
      <w:r>
        <w:rPr>
          <w:rFonts w:ascii="Arial" w:cs="Arial" w:eastAsia="Arial" w:hAnsi="Arial"/>
          <w:sz w:val="18"/>
          <w:szCs w:val="18"/>
          <w:color w:val="auto"/>
        </w:rPr>
        <w:t>” means the sum of the following as of the date of determination: (1) the then aggregate outstanding amount of the Indebtedness of the Company and its Restricted Subsidiaries, without duplication, incurred after the Issue Date and secured by Liens not otherwise permitted by Section 4.2(a) hereof; and (2) the then existing Attributable Debt of the Company and its Restricted Subsidiaries in</w:t>
      </w:r>
    </w:p>
    <w:p>
      <w:pPr>
        <w:spacing w:after="0" w:line="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respect of Sale and Lease Back Transactions, without duplication, entered into after the Issue Date pursuant to the last paragraph of Section 4.3 hereof; provided that any such Attributable Debt will be excluded from this clause (2) to the extent that Indebtedness relating thereto is</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included in clause (1) of this definition, provided further, that in no event will the amount of any Indebtedness be required to be included in the calculation of Aggregate Debt more than once despite the fact that more than one person is liable with respect to such Indebtedness and despite the fact that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w:t>
      </w:r>
    </w:p>
    <w:p>
      <w:pPr>
        <w:spacing w:after="0" w:line="8"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otherwise comply with Section 4.2 hereof), and (ii) for purposes of subsequent calculations under this definition, the maximum committed amount of such revolving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03" w:right="339" w:bottom="1440" w:gutter="0" w:footer="0" w:header="0"/>
        </w:sectPr>
      </w:pPr>
    </w:p>
    <w:bookmarkStart w:id="8" w:name="page9"/>
    <w:bookmarkEnd w:id="8"/>
    <w:p>
      <w:pPr>
        <w:ind w:right="120"/>
        <w:spacing w:after="0" w:line="253" w:lineRule="auto"/>
        <w:rPr>
          <w:sz w:val="20"/>
          <w:szCs w:val="20"/>
          <w:color w:val="auto"/>
        </w:rPr>
      </w:pPr>
      <w:r>
        <w:rPr>
          <w:rFonts w:ascii="Arial" w:cs="Arial" w:eastAsia="Arial" w:hAnsi="Arial"/>
          <w:sz w:val="18"/>
          <w:szCs w:val="18"/>
          <w:color w:val="auto"/>
        </w:rPr>
        <w:t>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spacing w:after="0" w:line="19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established by and customary for the Depositary that apply to such transfer or exchange.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Attributable Debt</w:t>
      </w:r>
      <w:r>
        <w:rPr>
          <w:rFonts w:ascii="Arial" w:cs="Arial" w:eastAsia="Arial" w:hAnsi="Arial"/>
          <w:sz w:val="18"/>
          <w:szCs w:val="18"/>
          <w:color w:val="auto"/>
        </w:rPr>
        <w:t>” means in connection with a Sale and Lease Back Transaction the lesser of: (1) the fair value of the assets</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subject to such transaction, as determined in good faith by a Senior Officer of the Company; and (2) the present value of the minimum rental payments called for during the terms of the lease (including any period for which such lease has been extended), determined in accordance</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with GAAP, discounted at a rate that, at the inception of the lease, the lessee would have incurred to borrow over a similar term the funds necessary to purchase the leased assets.</w:t>
      </w:r>
    </w:p>
    <w:p>
      <w:pPr>
        <w:spacing w:after="0" w:line="199" w:lineRule="exact"/>
        <w:rPr>
          <w:sz w:val="20"/>
          <w:szCs w:val="20"/>
          <w:color w:val="auto"/>
        </w:rPr>
      </w:pPr>
    </w:p>
    <w:p>
      <w:pPr>
        <w:ind w:right="20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has the meaning set forth in the preamble to this Supplemental Indenture, as it may be amended, supplemented or otherwise modified from time to time in accordance with the terms thereof.</w:t>
      </w:r>
    </w:p>
    <w:p>
      <w:pPr>
        <w:spacing w:after="0" w:line="181"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Below Investment Grade Rating Event</w:t>
      </w:r>
      <w:r>
        <w:rPr>
          <w:rFonts w:ascii="Arial" w:cs="Arial" w:eastAsia="Arial" w:hAnsi="Arial"/>
          <w:sz w:val="18"/>
          <w:szCs w:val="18"/>
          <w:color w:val="auto"/>
        </w:rPr>
        <w:t>” means, with respect to each Series of Notes, the rating on the Notes of such Series is lowered by two or more of the Rating Agencies within 60 days from the earlier of (1) the date of the first public notice of an arrangement that could result in a Change of Control or (2) the occurrence of a Change of Control (which period shall be extended so long as the rating of such Series of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w:t>
      </w:r>
    </w:p>
    <w:p>
      <w:pPr>
        <w:spacing w:after="0" w:line="5" w:lineRule="exact"/>
        <w:rPr>
          <w:sz w:val="20"/>
          <w:szCs w:val="20"/>
          <w:color w:val="auto"/>
        </w:rPr>
      </w:pPr>
    </w:p>
    <w:p>
      <w:pPr>
        <w:jc w:val="both"/>
        <w:ind w:right="240"/>
        <w:spacing w:after="0" w:line="226" w:lineRule="auto"/>
        <w:rPr>
          <w:sz w:val="20"/>
          <w:szCs w:val="20"/>
          <w:color w:val="auto"/>
        </w:rPr>
      </w:pPr>
      <w:r>
        <w:rPr>
          <w:rFonts w:ascii="Arial" w:cs="Arial" w:eastAsia="Arial" w:hAnsi="Arial"/>
          <w:sz w:val="18"/>
          <w:szCs w:val="18"/>
          <w:color w:val="auto"/>
        </w:rPr>
        <w:t>the result, in whole or in part, of any event or circumstance comprised of or arising as a result of, or in respect of, the applicable Change of Control (whether or not the applicable Change of Control has occurred at the time of the Below Investment Grade Rating Event); provided,</w:t>
      </w:r>
    </w:p>
    <w:p>
      <w:pPr>
        <w:spacing w:after="0" w:line="2"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further, that notwithstanding the foregoing, a Below Investment Grade Rating Event shall not be deemed to have occurred so long as the applicable Series of Notes are rated Investment Grade by two or more of the Rating Agencies.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w:t>
      </w:r>
    </w:p>
    <w:p>
      <w:pPr>
        <w:spacing w:after="0" w:line="252" w:lineRule="exact"/>
        <w:rPr>
          <w:sz w:val="20"/>
          <w:szCs w:val="20"/>
          <w:color w:val="auto"/>
        </w:rPr>
      </w:pPr>
    </w:p>
    <w:p>
      <w:pPr>
        <w:ind w:right="80" w:firstLine="1304"/>
        <w:spacing w:after="0" w:line="242" w:lineRule="auto"/>
        <w:tabs>
          <w:tab w:leader="none" w:pos="1506"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03" w:right="339" w:bottom="1440" w:gutter="0" w:footer="0" w:header="0"/>
        </w:sectPr>
      </w:pPr>
    </w:p>
    <w:bookmarkStart w:id="9" w:name="page10"/>
    <w:bookmarkEnd w:id="9"/>
    <w:p>
      <w:pPr>
        <w:spacing w:after="0" w:line="220" w:lineRule="exact"/>
        <w:rPr>
          <w:sz w:val="20"/>
          <w:szCs w:val="20"/>
          <w:color w:val="auto"/>
        </w:rPr>
      </w:pPr>
    </w:p>
    <w:p>
      <w:pPr>
        <w:ind w:right="320" w:firstLine="1304"/>
        <w:spacing w:after="0" w:line="247" w:lineRule="auto"/>
        <w:tabs>
          <w:tab w:leader="none" w:pos="154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217" w:lineRule="exact"/>
        <w:rPr>
          <w:rFonts w:ascii="Arial" w:cs="Arial" w:eastAsia="Arial" w:hAnsi="Arial"/>
          <w:sz w:val="18"/>
          <w:szCs w:val="18"/>
          <w:color w:val="auto"/>
        </w:rPr>
      </w:pPr>
    </w:p>
    <w:p>
      <w:pPr>
        <w:ind w:left="1600" w:hanging="296"/>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pacing w:after="0" w:line="239" w:lineRule="exact"/>
        <w:rPr>
          <w:sz w:val="20"/>
          <w:szCs w:val="20"/>
          <w:color w:val="auto"/>
        </w:rPr>
      </w:pPr>
    </w:p>
    <w:p>
      <w:pPr>
        <w:ind w:right="32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Triggering Event</w:t>
      </w:r>
      <w:r>
        <w:rPr>
          <w:rFonts w:ascii="Arial" w:cs="Arial" w:eastAsia="Arial" w:hAnsi="Arial"/>
          <w:sz w:val="18"/>
          <w:szCs w:val="18"/>
          <w:color w:val="auto"/>
        </w:rPr>
        <w:t>” means, with respect to a Series of Notes hereunder, the occurrence of both a Change of Control and a Below Investment Grade Rating Event.</w:t>
      </w:r>
    </w:p>
    <w:p>
      <w:pPr>
        <w:spacing w:after="0" w:line="167"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Net Tangible Assets</w:t>
      </w:r>
      <w:r>
        <w:rPr>
          <w:rFonts w:ascii="Arial" w:cs="Arial" w:eastAsia="Arial" w:hAnsi="Arial"/>
          <w:sz w:val="18"/>
          <w:szCs w:val="18"/>
          <w:color w:val="auto"/>
        </w:rPr>
        <w:t>”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210" w:lineRule="exact"/>
        <w:rPr>
          <w:sz w:val="20"/>
          <w:szCs w:val="20"/>
          <w:color w:val="auto"/>
        </w:rPr>
      </w:pPr>
    </w:p>
    <w:p>
      <w:pPr>
        <w:ind w:right="42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Subsidiaries</w:t>
      </w:r>
      <w:r>
        <w:rPr>
          <w:rFonts w:ascii="Arial" w:cs="Arial" w:eastAsia="Arial" w:hAnsi="Arial"/>
          <w:sz w:val="18"/>
          <w:szCs w:val="18"/>
          <w:color w:val="auto"/>
        </w:rPr>
        <w:t>” means, as of any date of determination and with respect to any person, those subsidiaries of that person whose financial data is, in accordance with GAAP, reflected in that person’s consolidated financial statements.</w:t>
      </w:r>
    </w:p>
    <w:p>
      <w:pPr>
        <w:spacing w:after="0" w:line="181" w:lineRule="exact"/>
        <w:rPr>
          <w:sz w:val="20"/>
          <w:szCs w:val="20"/>
          <w:color w:val="auto"/>
        </w:rPr>
      </w:pPr>
    </w:p>
    <w:p>
      <w:pPr>
        <w:ind w:right="14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Definitive Note</w:t>
      </w:r>
      <w:r>
        <w:rPr>
          <w:rFonts w:ascii="Arial" w:cs="Arial" w:eastAsia="Arial" w:hAnsi="Arial"/>
          <w:sz w:val="18"/>
          <w:szCs w:val="18"/>
          <w:color w:val="auto"/>
        </w:rPr>
        <w:t xml:space="preserve">” means a certificated Note registered in the name of the Holder thereof and issued in accordance with Section 2.2 hereof,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except that such Note will not bear the Global Note Legend.</w:t>
      </w:r>
    </w:p>
    <w:p>
      <w:pPr>
        <w:spacing w:after="0" w:line="16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Depositary</w:t>
      </w:r>
      <w:r>
        <w:rPr>
          <w:rFonts w:ascii="Arial" w:cs="Arial" w:eastAsia="Arial" w:hAnsi="Arial"/>
          <w:sz w:val="18"/>
          <w:szCs w:val="18"/>
          <w:color w:val="auto"/>
        </w:rPr>
        <w:t>” means, with respect to the Notes of a Series hereunder issuable or issued in whole or in part in global form, the person specified in Section 2.1 hereof as the Depositary with respect to such Notes, and any and all successors thereto appointed as depositary hereunder.</w:t>
      </w:r>
    </w:p>
    <w:p>
      <w:pPr>
        <w:spacing w:after="0" w:line="196"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Interests</w:t>
      </w:r>
      <w:r>
        <w:rPr>
          <w:rFonts w:ascii="Arial" w:cs="Arial" w:eastAsia="Arial" w:hAnsi="Arial"/>
          <w:sz w:val="18"/>
          <w:szCs w:val="18"/>
          <w:color w:val="auto"/>
        </w:rPr>
        <w:t>” means all Capital Stock and all warrants or options with respect to, or other rights to purchase, Capital Stock, but excluding Indebtedness convertible into or exchangeable for equity.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Fitch</w:t>
      </w:r>
      <w:r>
        <w:rPr>
          <w:rFonts w:ascii="Arial" w:cs="Arial" w:eastAsia="Arial" w:hAnsi="Arial"/>
          <w:sz w:val="18"/>
          <w:szCs w:val="18"/>
          <w:color w:val="auto"/>
        </w:rPr>
        <w:t>” means Fitch Ratings Inc. and any successor to its rating agency business.</w:t>
      </w:r>
    </w:p>
    <w:p>
      <w:pPr>
        <w:spacing w:after="0" w:line="239"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Subsidiary</w:t>
      </w:r>
      <w:r>
        <w:rPr>
          <w:rFonts w:ascii="Arial" w:cs="Arial" w:eastAsia="Arial" w:hAnsi="Arial"/>
          <w:sz w:val="18"/>
          <w:szCs w:val="18"/>
          <w:color w:val="auto"/>
        </w:rPr>
        <w:t>” means, with respect to any person, any Subsidiary of such person other than one that is organized or existing under the laws of the United States, any state thereof or the District of Columbia.</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Note Legend</w:t>
      </w:r>
      <w:r>
        <w:rPr>
          <w:rFonts w:ascii="Arial" w:cs="Arial" w:eastAsia="Arial" w:hAnsi="Arial"/>
          <w:sz w:val="18"/>
          <w:szCs w:val="18"/>
          <w:color w:val="auto"/>
        </w:rPr>
        <w:t>” means the legend set forth in Section 2.2(e) hereof, which is required to be placed on all Global Notes issued under this Supplemental Indenture.</w:t>
      </w:r>
    </w:p>
    <w:p>
      <w:pPr>
        <w:spacing w:after="0" w:line="181" w:lineRule="exact"/>
        <w:rPr>
          <w:sz w:val="20"/>
          <w:szCs w:val="20"/>
          <w:color w:val="auto"/>
        </w:rPr>
      </w:pPr>
    </w:p>
    <w:p>
      <w:pPr>
        <w:ind w:right="30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Notes</w:t>
      </w:r>
      <w:r>
        <w:rPr>
          <w:rFonts w:ascii="Arial" w:cs="Arial" w:eastAsia="Arial" w:hAnsi="Arial"/>
          <w:sz w:val="18"/>
          <w:szCs w:val="18"/>
          <w:color w:val="auto"/>
        </w:rPr>
        <w:t xml:space="preserve">” means, individually and collectively, (a) with respect to the 2028 Notes, each of the Global Notes,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(b) with respect to the 2033 Notes, each of the Global Notes,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 each case, issued in accordance with Section 2.1 hereof.</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 person in whose name a Note is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440" w:right="379" w:bottom="1440" w:gutter="0" w:footer="0" w:header="0"/>
        </w:sectPr>
      </w:pPr>
    </w:p>
    <w:bookmarkStart w:id="10" w:name="page11"/>
    <w:bookmarkEnd w:id="10"/>
    <w:p>
      <w:pPr>
        <w:ind w:firstLine="64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Indebtedness</w:t>
      </w:r>
      <w:r>
        <w:rPr>
          <w:rFonts w:ascii="Arial" w:cs="Arial" w:eastAsia="Arial" w:hAnsi="Arial"/>
          <w:sz w:val="18"/>
          <w:szCs w:val="18"/>
          <w:color w:val="auto"/>
        </w:rPr>
        <w:t>”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the accreted value of the Indebtedness, in the case of any Indebtedness that does not require the current payment of</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w:t>
      </w:r>
    </w:p>
    <w:p>
      <w:pPr>
        <w:spacing w:after="0" w:line="234" w:lineRule="exact"/>
        <w:rPr>
          <w:sz w:val="20"/>
          <w:szCs w:val="20"/>
          <w:color w:val="auto"/>
        </w:rPr>
      </w:pPr>
    </w:p>
    <w:p>
      <w:pPr>
        <w:ind w:left="1580" w:hanging="276"/>
        <w:spacing w:after="0"/>
        <w:tabs>
          <w:tab w:leader="none" w:pos="1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252" w:lineRule="exact"/>
        <w:rPr>
          <w:rFonts w:ascii="Arial" w:cs="Arial" w:eastAsia="Arial" w:hAnsi="Arial"/>
          <w:sz w:val="18"/>
          <w:szCs w:val="18"/>
          <w:color w:val="auto"/>
        </w:rPr>
      </w:pPr>
    </w:p>
    <w:p>
      <w:pPr>
        <w:jc w:val="both"/>
        <w:ind w:left="660" w:right="240" w:firstLine="644"/>
        <w:spacing w:after="0" w:line="268" w:lineRule="auto"/>
        <w:tabs>
          <w:tab w:leader="none" w:pos="157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198" w:lineRule="exact"/>
        <w:rPr>
          <w:sz w:val="20"/>
          <w:szCs w:val="20"/>
          <w:color w:val="auto"/>
        </w:rPr>
      </w:pPr>
    </w:p>
    <w:p>
      <w:pPr>
        <w:ind w:right="500" w:firstLine="648"/>
        <w:spacing w:after="0" w:line="287"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this Indenture.</w:t>
      </w:r>
    </w:p>
    <w:p>
      <w:pPr>
        <w:spacing w:after="0" w:line="166" w:lineRule="exact"/>
        <w:rPr>
          <w:sz w:val="20"/>
          <w:szCs w:val="20"/>
          <w:color w:val="auto"/>
        </w:rPr>
      </w:pPr>
    </w:p>
    <w:p>
      <w:pPr>
        <w:ind w:right="38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the Base Indenture, as supplemented by this Supplemental Indenture, governing the Notes, in each case, as amended, supplemented or restated from time to time.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239" w:lineRule="exact"/>
        <w:rPr>
          <w:sz w:val="20"/>
          <w:szCs w:val="20"/>
          <w:color w:val="auto"/>
        </w:rPr>
      </w:pPr>
    </w:p>
    <w:p>
      <w:pPr>
        <w:ind w:right="18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2028 Notes</w:t>
      </w:r>
      <w:r>
        <w:rPr>
          <w:rFonts w:ascii="Arial" w:cs="Arial" w:eastAsia="Arial" w:hAnsi="Arial"/>
          <w:sz w:val="18"/>
          <w:szCs w:val="18"/>
          <w:color w:val="auto"/>
        </w:rPr>
        <w:t>” means the $600,000,000 aggregate principal amount of 2028 Notes issued under this Supplemental Indenture on the date hereof.</w:t>
      </w:r>
    </w:p>
    <w:p>
      <w:pPr>
        <w:spacing w:after="0" w:line="181" w:lineRule="exact"/>
        <w:rPr>
          <w:sz w:val="20"/>
          <w:szCs w:val="20"/>
          <w:color w:val="auto"/>
        </w:rPr>
      </w:pPr>
    </w:p>
    <w:p>
      <w:pPr>
        <w:ind w:right="18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2033 Notes</w:t>
      </w:r>
      <w:r>
        <w:rPr>
          <w:rFonts w:ascii="Arial" w:cs="Arial" w:eastAsia="Arial" w:hAnsi="Arial"/>
          <w:sz w:val="18"/>
          <w:szCs w:val="18"/>
          <w:color w:val="auto"/>
        </w:rPr>
        <w:t>” means the $900,000,000 aggregate principal amount of 2033 Notes issued under this Supplemental Indenture on the date hereof.</w:t>
      </w:r>
    </w:p>
    <w:p>
      <w:pPr>
        <w:spacing w:after="0" w:line="181" w:lineRule="exact"/>
        <w:rPr>
          <w:sz w:val="20"/>
          <w:szCs w:val="20"/>
          <w:color w:val="auto"/>
        </w:rPr>
      </w:pPr>
    </w:p>
    <w:p>
      <w:pPr>
        <w:ind w:right="60" w:firstLine="64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Investment Grade</w:t>
      </w:r>
      <w:r>
        <w:rPr>
          <w:rFonts w:ascii="Arial" w:cs="Arial" w:eastAsia="Arial" w:hAnsi="Arial"/>
          <w:sz w:val="18"/>
          <w:szCs w:val="18"/>
          <w:color w:val="auto"/>
        </w:rPr>
        <w:t>” means a rating of BBB- or better by Fitch (or its equivalent under any successor rating categories of Fitch), Baa3 or better by Moody’s (or its equivalent under any successor rating categories of Moody’s) and a rating of BBB- or better by S&amp;P (or its equivalent under any successor rating categories of S&amp;P) or the equivalent investment grade credit rating from any additional Rating Agency or Rating Agencies selected by the Company.</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Issue Date</w:t>
      </w:r>
      <w:r>
        <w:rPr>
          <w:rFonts w:ascii="Arial" w:cs="Arial" w:eastAsia="Arial" w:hAnsi="Arial"/>
          <w:sz w:val="18"/>
          <w:szCs w:val="18"/>
          <w:color w:val="auto"/>
        </w:rPr>
        <w:t>” means the date hereof.</w:t>
      </w:r>
    </w:p>
    <w:p>
      <w:pPr>
        <w:spacing w:after="0" w:line="239" w:lineRule="exact"/>
        <w:rPr>
          <w:sz w:val="20"/>
          <w:szCs w:val="20"/>
          <w:color w:val="auto"/>
        </w:rPr>
      </w:pPr>
    </w:p>
    <w:p>
      <w:pPr>
        <w:ind w:right="16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Joint Venture</w:t>
      </w:r>
      <w:r>
        <w:rPr>
          <w:rFonts w:ascii="Arial" w:cs="Arial" w:eastAsia="Arial" w:hAnsi="Arial"/>
          <w:sz w:val="18"/>
          <w:szCs w:val="18"/>
          <w:color w:val="auto"/>
        </w:rPr>
        <w:t>” means, with respect to any person, any partnership, corporation or other entity in which up to and including 50% of the Equity Interests is owned, directly or indirectly, by such person and/or one or more of its Subsidiaries.</w:t>
      </w:r>
    </w:p>
    <w:p>
      <w:pPr>
        <w:spacing w:after="0" w:line="181"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Lien</w:t>
      </w:r>
      <w:r>
        <w:rPr>
          <w:rFonts w:ascii="Arial" w:cs="Arial" w:eastAsia="Arial" w:hAnsi="Arial"/>
          <w:sz w:val="17"/>
          <w:szCs w:val="17"/>
          <w:color w:val="auto"/>
        </w:rPr>
        <w:t>” means any lien, security interest, mortgage, charge or similar encumbrance, provided, however, that in no event shall either (i) any legal or equitable encumbrances deemed to exist by reason of a negative pledge or (ii) an operating lease or a non-exclusive license be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deemed to constitute a Lien.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Moody’s</w:t>
      </w:r>
      <w:r>
        <w:rPr>
          <w:rFonts w:ascii="Arial" w:cs="Arial" w:eastAsia="Arial" w:hAnsi="Arial"/>
          <w:sz w:val="18"/>
          <w:szCs w:val="18"/>
          <w:color w:val="auto"/>
        </w:rPr>
        <w:t>” means Moody’s Investors Service, Inc. and any successor to its rating agency business.</w:t>
      </w:r>
    </w:p>
    <w:p>
      <w:pPr>
        <w:spacing w:after="0" w:line="14" w:lineRule="exact"/>
        <w:rPr>
          <w:sz w:val="20"/>
          <w:szCs w:val="20"/>
          <w:color w:val="auto"/>
        </w:rPr>
      </w:pPr>
    </w:p>
    <w:p>
      <w:pPr>
        <w:ind w:right="400" w:firstLine="648"/>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Nonrecourse Obligation</w:t>
      </w:r>
      <w:r>
        <w:rPr>
          <w:rFonts w:ascii="Arial" w:cs="Arial" w:eastAsia="Arial" w:hAnsi="Arial"/>
          <w:sz w:val="18"/>
          <w:szCs w:val="18"/>
          <w:color w:val="auto"/>
        </w:rPr>
        <w:t>” means Indebtedness substantially related to (i) the acquisition of assets not previously owned by the Company or any Restricted Subsidiary or (ii) the financing of a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17" w:right="339" w:bottom="1440" w:gutter="0" w:footer="0" w:header="0"/>
        </w:sectPr>
      </w:pPr>
    </w:p>
    <w:bookmarkStart w:id="11" w:name="page12"/>
    <w:bookmarkEnd w:id="11"/>
    <w:p>
      <w:pPr>
        <w:spacing w:after="0" w:line="247" w:lineRule="auto"/>
        <w:rPr>
          <w:sz w:val="20"/>
          <w:szCs w:val="20"/>
          <w:color w:val="auto"/>
        </w:rPr>
      </w:pPr>
      <w:r>
        <w:rPr>
          <w:rFonts w:ascii="Arial" w:cs="Arial" w:eastAsia="Arial" w:hAnsi="Arial"/>
          <w:sz w:val="18"/>
          <w:szCs w:val="18"/>
          <w:color w:val="auto"/>
        </w:rPr>
        <w:t>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means, collectively, the 2028 Notes and the 2033 Notes.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 Call Date</w:t>
      </w:r>
      <w:r>
        <w:rPr>
          <w:rFonts w:ascii="Arial" w:cs="Arial" w:eastAsia="Arial" w:hAnsi="Arial"/>
          <w:sz w:val="18"/>
          <w:szCs w:val="18"/>
          <w:color w:val="auto"/>
        </w:rPr>
        <w:t>” means (i) March 15, 2028, with respect to any 2028 Notes, and (ii) June 15, 2033, with respect to any 2033 Notes.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with respect to the Depositary, a person who has an account with the Depositary.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Liens</w:t>
      </w:r>
      <w:r>
        <w:rPr>
          <w:rFonts w:ascii="Arial" w:cs="Arial" w:eastAsia="Arial" w:hAnsi="Arial"/>
          <w:sz w:val="18"/>
          <w:szCs w:val="18"/>
          <w:color w:val="auto"/>
        </w:rPr>
        <w:t>” means:</w:t>
      </w:r>
    </w:p>
    <w:p>
      <w:pPr>
        <w:spacing w:after="0" w:line="252"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 respect to a Series of Notes, Liens granted after the Issue Date created in favor of the Holders of such Series of Notes;</w:t>
      </w:r>
    </w:p>
    <w:p>
      <w:pPr>
        <w:spacing w:after="0" w:line="252" w:lineRule="exact"/>
        <w:rPr>
          <w:rFonts w:ascii="Arial" w:cs="Arial" w:eastAsia="Arial" w:hAnsi="Arial"/>
          <w:sz w:val="18"/>
          <w:szCs w:val="18"/>
          <w:color w:val="auto"/>
        </w:rPr>
      </w:pPr>
    </w:p>
    <w:p>
      <w:pPr>
        <w:ind w:left="1100" w:right="100" w:hanging="444"/>
        <w:spacing w:after="0" w:line="256" w:lineRule="auto"/>
        <w:tabs>
          <w:tab w:leader="none" w:pos="1066"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209" w:lineRule="exact"/>
        <w:rPr>
          <w:rFonts w:ascii="Arial" w:cs="Arial" w:eastAsia="Arial" w:hAnsi="Arial"/>
          <w:sz w:val="18"/>
          <w:szCs w:val="18"/>
          <w:color w:val="auto"/>
        </w:rPr>
      </w:pPr>
    </w:p>
    <w:p>
      <w:pPr>
        <w:ind w:left="1100" w:right="40" w:hanging="444"/>
        <w:spacing w:after="0" w:line="255" w:lineRule="auto"/>
        <w:tabs>
          <w:tab w:leader="none" w:pos="1066"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211" w:lineRule="exact"/>
        <w:rPr>
          <w:rFonts w:ascii="Arial" w:cs="Arial" w:eastAsia="Arial" w:hAnsi="Arial"/>
          <w:sz w:val="18"/>
          <w:szCs w:val="18"/>
          <w:color w:val="auto"/>
        </w:rPr>
      </w:pPr>
    </w:p>
    <w:p>
      <w:pPr>
        <w:ind w:left="1100" w:right="20" w:hanging="444"/>
        <w:spacing w:after="0" w:line="255" w:lineRule="auto"/>
        <w:tabs>
          <w:tab w:leader="none" w:pos="1066" w:val="left"/>
        </w:tabs>
        <w:numPr>
          <w:ilvl w:val="0"/>
          <w:numId w:val="5"/>
        </w:numPr>
        <w:rPr>
          <w:rFonts w:ascii="Arial" w:cs="Arial" w:eastAsia="Arial" w:hAnsi="Arial"/>
          <w:sz w:val="18"/>
          <w:szCs w:val="18"/>
          <w:color w:val="auto"/>
        </w:rPr>
      </w:pPr>
      <w:r>
        <w:rPr>
          <w:rFonts w:ascii="Arial" w:cs="Arial" w:eastAsia="Arial" w:hAnsi="Arial"/>
          <w:sz w:val="18"/>
          <w:szCs w:val="18"/>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 (a) and (b), such Liens do not extend to other Principal Property owned by the Company or any Restricted Subsidiary or shares of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03" w:right="359" w:bottom="1440" w:gutter="0" w:footer="0" w:header="0"/>
        </w:sectPr>
      </w:pPr>
    </w:p>
    <w:bookmarkStart w:id="12" w:name="page13"/>
    <w:bookmarkEnd w:id="12"/>
    <w:p>
      <w:pPr>
        <w:ind w:left="444"/>
        <w:spacing w:after="0"/>
        <w:rPr>
          <w:sz w:val="20"/>
          <w:szCs w:val="20"/>
          <w:color w:val="auto"/>
        </w:rPr>
      </w:pPr>
      <w:r>
        <w:rPr>
          <w:rFonts w:ascii="Arial" w:cs="Arial" w:eastAsia="Arial" w:hAnsi="Arial"/>
          <w:sz w:val="18"/>
          <w:szCs w:val="18"/>
          <w:color w:val="auto"/>
        </w:rPr>
        <w:t>Stock of a Restricted Subsidiary that, in each case, were not previously encumbered by such Liens;</w:t>
      </w:r>
    </w:p>
    <w:p>
      <w:pPr>
        <w:spacing w:after="0" w:line="252" w:lineRule="exact"/>
        <w:rPr>
          <w:sz w:val="20"/>
          <w:szCs w:val="20"/>
          <w:color w:val="auto"/>
        </w:rPr>
      </w:pPr>
    </w:p>
    <w:p>
      <w:pPr>
        <w:jc w:val="both"/>
        <w:ind w:left="444" w:right="80" w:hanging="444"/>
        <w:spacing w:after="0" w:line="268" w:lineRule="auto"/>
        <w:tabs>
          <w:tab w:leader="none" w:pos="41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of the Company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197" w:lineRule="exact"/>
        <w:rPr>
          <w:rFonts w:ascii="Arial" w:cs="Arial" w:eastAsia="Arial" w:hAnsi="Arial"/>
          <w:sz w:val="18"/>
          <w:szCs w:val="18"/>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Liens in favor of the Company or a Restricted Subsidiary of the Company;</w:t>
      </w:r>
    </w:p>
    <w:p>
      <w:pPr>
        <w:spacing w:after="0" w:line="252" w:lineRule="exact"/>
        <w:rPr>
          <w:rFonts w:ascii="Arial" w:cs="Arial" w:eastAsia="Arial" w:hAnsi="Arial"/>
          <w:sz w:val="18"/>
          <w:szCs w:val="18"/>
          <w:color w:val="auto"/>
        </w:rPr>
      </w:pPr>
    </w:p>
    <w:p>
      <w:pPr>
        <w:ind w:left="444" w:right="140" w:hanging="444"/>
        <w:spacing w:after="0" w:line="268" w:lineRule="auto"/>
        <w:tabs>
          <w:tab w:leader="none" w:pos="41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197" w:lineRule="exact"/>
        <w:rPr>
          <w:rFonts w:ascii="Arial" w:cs="Arial" w:eastAsia="Arial" w:hAnsi="Arial"/>
          <w:sz w:val="18"/>
          <w:szCs w:val="18"/>
          <w:color w:val="auto"/>
        </w:rPr>
      </w:pPr>
    </w:p>
    <w:p>
      <w:pPr>
        <w:ind w:left="444" w:right="280" w:hanging="444"/>
        <w:spacing w:after="0" w:line="287" w:lineRule="auto"/>
        <w:tabs>
          <w:tab w:leader="none" w:pos="41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179" w:lineRule="exact"/>
        <w:rPr>
          <w:rFonts w:ascii="Arial" w:cs="Arial" w:eastAsia="Arial" w:hAnsi="Arial"/>
          <w:sz w:val="18"/>
          <w:szCs w:val="18"/>
          <w:color w:val="auto"/>
        </w:rPr>
      </w:pPr>
    </w:p>
    <w:p>
      <w:pPr>
        <w:ind w:left="444" w:right="60" w:hanging="444"/>
        <w:spacing w:after="0" w:line="257" w:lineRule="auto"/>
        <w:tabs>
          <w:tab w:leader="none" w:pos="51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209" w:lineRule="exact"/>
        <w:rPr>
          <w:rFonts w:ascii="Arial" w:cs="Arial" w:eastAsia="Arial" w:hAnsi="Arial"/>
          <w:sz w:val="18"/>
          <w:szCs w:val="18"/>
          <w:color w:val="auto"/>
        </w:rPr>
      </w:pPr>
    </w:p>
    <w:p>
      <w:pPr>
        <w:ind w:left="444" w:hanging="444"/>
        <w:spacing w:after="0" w:line="259" w:lineRule="auto"/>
        <w:tabs>
          <w:tab w:leader="none" w:pos="497" w:val="left"/>
        </w:tabs>
        <w:numPr>
          <w:ilvl w:val="0"/>
          <w:numId w:val="6"/>
        </w:numPr>
        <w:rPr>
          <w:rFonts w:ascii="Arial" w:cs="Arial" w:eastAsia="Arial" w:hAnsi="Arial"/>
          <w:sz w:val="18"/>
          <w:szCs w:val="18"/>
          <w:color w:val="auto"/>
        </w:rPr>
      </w:pPr>
      <w:r>
        <w:rPr>
          <w:rFonts w:ascii="Arial" w:cs="Arial" w:eastAsia="Arial" w:hAnsi="Arial"/>
          <w:sz w:val="18"/>
          <w:szCs w:val="18"/>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206" w:lineRule="exact"/>
        <w:rPr>
          <w:rFonts w:ascii="Arial" w:cs="Arial" w:eastAsia="Arial" w:hAnsi="Arial"/>
          <w:sz w:val="18"/>
          <w:szCs w:val="18"/>
          <w:color w:val="auto"/>
        </w:rPr>
      </w:pPr>
    </w:p>
    <w:p>
      <w:pPr>
        <w:jc w:val="both"/>
        <w:ind w:left="444" w:right="160" w:hanging="444"/>
        <w:spacing w:after="0" w:line="268" w:lineRule="auto"/>
        <w:tabs>
          <w:tab w:leader="none" w:pos="51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Liens created, incurred or assumed in connection with an industrial revenue bond, pollution control bond or similar financing between the Company or any of its Subsidiaries and any federal, state or municipal government or other government body or quasi-governmental agency;</w:t>
      </w:r>
    </w:p>
    <w:p>
      <w:pPr>
        <w:spacing w:after="0" w:line="197" w:lineRule="exact"/>
        <w:rPr>
          <w:rFonts w:ascii="Arial" w:cs="Arial" w:eastAsia="Arial" w:hAnsi="Arial"/>
          <w:sz w:val="18"/>
          <w:szCs w:val="18"/>
          <w:color w:val="auto"/>
        </w:rPr>
      </w:pPr>
    </w:p>
    <w:p>
      <w:pPr>
        <w:ind w:left="444" w:right="380" w:hanging="444"/>
        <w:spacing w:after="0" w:line="287" w:lineRule="auto"/>
        <w:tabs>
          <w:tab w:leader="none" w:pos="51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Liens created in connection with the acquisition of assets or a project financed with, and created to secure a Nonrecourse Obligation; and</w:t>
      </w:r>
    </w:p>
    <w:p>
      <w:pPr>
        <w:spacing w:after="0" w:line="179" w:lineRule="exact"/>
        <w:rPr>
          <w:rFonts w:ascii="Arial" w:cs="Arial" w:eastAsia="Arial" w:hAnsi="Arial"/>
          <w:sz w:val="18"/>
          <w:szCs w:val="18"/>
          <w:color w:val="auto"/>
        </w:rPr>
      </w:pPr>
    </w:p>
    <w:p>
      <w:pPr>
        <w:ind w:left="444" w:hanging="444"/>
        <w:spacing w:after="0" w:line="256" w:lineRule="auto"/>
        <w:tabs>
          <w:tab w:leader="none" w:pos="51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extension, renewal, substitution, reinstatement or replacement (or successive extensions, renewals, substitutions, reinstatements or replacements), in whole or in part, of any Lien referred to in this or the preceding clauses (1) through (13),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44"/>
          </w:cols>
          <w:pgMar w:left="976" w:top="1417" w:right="379" w:bottom="1440" w:gutter="0" w:footer="0" w:header="0"/>
        </w:sectPr>
      </w:pPr>
    </w:p>
    <w:bookmarkStart w:id="13" w:name="page14"/>
    <w:bookmarkEnd w:id="13"/>
    <w:p>
      <w:pPr>
        <w:ind w:left="1100"/>
        <w:spacing w:after="0"/>
        <w:rPr>
          <w:sz w:val="20"/>
          <w:szCs w:val="20"/>
          <w:color w:val="auto"/>
        </w:rPr>
      </w:pPr>
      <w:r>
        <w:rPr>
          <w:rFonts w:ascii="Arial" w:cs="Arial" w:eastAsia="Arial" w:hAnsi="Arial"/>
          <w:sz w:val="18"/>
          <w:szCs w:val="18"/>
          <w:color w:val="auto"/>
        </w:rPr>
        <w:t>Indebtedness is or was secured by a Lien referred to in this or the preceding clauses (1) through (13).</w:t>
      </w:r>
    </w:p>
    <w:p>
      <w:pPr>
        <w:spacing w:after="0" w:line="252"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18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Principal Property</w:t>
      </w:r>
      <w:r>
        <w:rPr>
          <w:rFonts w:ascii="Arial" w:cs="Arial" w:eastAsia="Arial" w:hAnsi="Arial"/>
          <w:sz w:val="18"/>
          <w:szCs w:val="18"/>
          <w:color w:val="auto"/>
        </w:rPr>
        <w:t>”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 (2) having a net book value, as of the date of determination, in excess of 1% of Consolidated Net Tangible Assets of the Company.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212"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Rating Agency</w:t>
      </w:r>
      <w:r>
        <w:rPr>
          <w:rFonts w:ascii="Arial" w:cs="Arial" w:eastAsia="Arial" w:hAnsi="Arial"/>
          <w:sz w:val="18"/>
          <w:szCs w:val="18"/>
          <w:color w:val="auto"/>
        </w:rPr>
        <w:t>”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 Section 3(a)(62) of the Exchange Act, selected by the Company as a replacement agency for Fitch, Moody’s or S&amp;P, or all of them, as the case may be.</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Remaining Scheduled Payments</w:t>
      </w:r>
      <w:r>
        <w:rPr>
          <w:rFonts w:ascii="Arial" w:cs="Arial" w:eastAsia="Arial" w:hAnsi="Arial"/>
          <w:sz w:val="18"/>
          <w:szCs w:val="18"/>
          <w:color w:val="auto"/>
        </w:rPr>
        <w:t>” means, with respect to any Notes being redeemed, the sum of the present values of the</w:t>
      </w:r>
    </w:p>
    <w:p>
      <w:pPr>
        <w:spacing w:after="0" w:line="1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remaining scheduled payments of the principal and interest thereon discounted to the redemption date (assuming such Notes matured on the applicable Par Call Date) on a semi-annual basis (assuming a 360-day year consisting of twelve 30-day months) at the Treasury Rate plus 35 basis points for the 2028 Notes and 40 basis points for the 2033 Notes.</w:t>
      </w:r>
    </w:p>
    <w:p>
      <w:pPr>
        <w:spacing w:after="0" w:line="19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Subsidiary</w:t>
      </w:r>
      <w:r>
        <w:rPr>
          <w:rFonts w:ascii="Arial" w:cs="Arial" w:eastAsia="Arial" w:hAnsi="Arial"/>
          <w:sz w:val="18"/>
          <w:szCs w:val="18"/>
          <w:color w:val="auto"/>
        </w:rPr>
        <w:t>” shall mean each Subsidiary of the Company (1) that is organized or existing under the laws of the United States, any state thereof or the District of Columbia other than any such Subsidiary that is a direct or indirect Subsidiary of one or more Foreign Subsidiaries of the Company, (2) 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S&amp;P</w:t>
      </w:r>
      <w:r>
        <w:rPr>
          <w:rFonts w:ascii="Arial" w:cs="Arial" w:eastAsia="Arial" w:hAnsi="Arial"/>
          <w:sz w:val="18"/>
          <w:szCs w:val="18"/>
          <w:color w:val="auto"/>
        </w:rPr>
        <w:t>” means S&amp;P Global Ratings, and any successor to its rating agency business.</w:t>
      </w:r>
    </w:p>
    <w:p>
      <w:pPr>
        <w:spacing w:after="0" w:line="25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Sale and Lease Back Transaction</w:t>
      </w:r>
      <w:r>
        <w:rPr>
          <w:rFonts w:ascii="Arial" w:cs="Arial" w:eastAsia="Arial" w:hAnsi="Arial"/>
          <w:sz w:val="18"/>
          <w:szCs w:val="18"/>
          <w:color w:val="auto"/>
        </w:rPr>
        <w:t>” means an arrangement with any lender or investor or to which such lender or investor is a party providing for the leasing by the Company or any Subsidiary of the Company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the Company or any Subsidiary of the Company to such lender or investor or to any person to whom funds have been or are to be advanced by such lender on the security of such Principal Property.</w:t>
      </w:r>
    </w:p>
    <w:p>
      <w:pPr>
        <w:spacing w:after="0" w:line="209" w:lineRule="exact"/>
        <w:rPr>
          <w:sz w:val="20"/>
          <w:szCs w:val="20"/>
          <w:color w:val="auto"/>
        </w:rPr>
      </w:pPr>
    </w:p>
    <w:p>
      <w:pPr>
        <w:ind w:right="50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Officer</w:t>
      </w:r>
      <w:r>
        <w:rPr>
          <w:rFonts w:ascii="Arial" w:cs="Arial" w:eastAsia="Arial" w:hAnsi="Arial"/>
          <w:sz w:val="18"/>
          <w:szCs w:val="18"/>
          <w:color w:val="auto"/>
        </w:rPr>
        <w:t>” of any specified person means the chief executive officer, any president, any vice president, the chief financial officer, the treasurer, any assistant treasurer, the secretary or any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17" w:right="339" w:bottom="1440" w:gutter="0" w:footer="0" w:header="0"/>
        </w:sectPr>
      </w:pPr>
    </w:p>
    <w:bookmarkStart w:id="14" w:name="page15"/>
    <w:bookmarkEnd w:id="14"/>
    <w:p>
      <w:pPr>
        <w:ind w:right="140" w:firstLine="64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w:t>
      </w:r>
      <w:r>
        <w:rPr>
          <w:rFonts w:ascii="Arial" w:cs="Arial" w:eastAsia="Arial" w:hAnsi="Arial"/>
          <w:sz w:val="18"/>
          <w:szCs w:val="18"/>
          <w:color w:val="auto"/>
        </w:rPr>
        <w:t xml:space="preserve">” shall have the meaning assigned to it in the Base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each of the 2028 Notes and the 2033 Notes is a separate Series of Notes under, and for all purposes of, the Base Indenture and this Supplemental Indenture (including with respect to payments of principal and interest, redemptions, offers to purchase, consenting to certain amendments to the Indenture and the Notes and waiving or rescinding Events of Default).</w:t>
      </w:r>
    </w:p>
    <w:p>
      <w:pPr>
        <w:spacing w:after="0" w:line="214"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198" w:lineRule="exact"/>
        <w:rPr>
          <w:sz w:val="20"/>
          <w:szCs w:val="20"/>
          <w:color w:val="auto"/>
        </w:rPr>
      </w:pPr>
    </w:p>
    <w:p>
      <w:pPr>
        <w:jc w:val="both"/>
        <w:ind w:right="8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Supplemental Indenture</w:t>
      </w:r>
      <w:r>
        <w:rPr>
          <w:rFonts w:ascii="Arial" w:cs="Arial" w:eastAsia="Arial" w:hAnsi="Arial"/>
          <w:sz w:val="18"/>
          <w:szCs w:val="18"/>
          <w:color w:val="auto"/>
        </w:rPr>
        <w:t>” means this Seventh Supplemental Indenture, dated as of the date hereof, by and between the Company and the Trustee, governing the Notes, as it may be amended, supplemented or otherwise modified from time to time in accordance with the Base Indenture and the terms hereof.</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Rate</w:t>
      </w:r>
      <w:r>
        <w:rPr>
          <w:rFonts w:ascii="Arial" w:cs="Arial" w:eastAsia="Arial" w:hAnsi="Arial"/>
          <w:sz w:val="18"/>
          <w:szCs w:val="18"/>
          <w:color w:val="auto"/>
        </w:rPr>
        <w:t>” means, with respect to any redemption date, the yield determined by the Company in the following manner:</w:t>
      </w:r>
    </w:p>
    <w:p>
      <w:pPr>
        <w:spacing w:after="0" w:line="239" w:lineRule="exact"/>
        <w:rPr>
          <w:sz w:val="20"/>
          <w:szCs w:val="20"/>
          <w:color w:val="auto"/>
        </w:rPr>
      </w:pPr>
    </w:p>
    <w:p>
      <w:pPr>
        <w:ind w:left="660" w:right="380"/>
        <w:spacing w:after="0" w:line="259" w:lineRule="auto"/>
        <w:rPr>
          <w:sz w:val="20"/>
          <w:szCs w:val="20"/>
          <w:color w:val="auto"/>
        </w:rPr>
      </w:pPr>
      <w:r>
        <w:rPr>
          <w:rFonts w:ascii="Arial" w:cs="Arial" w:eastAsia="Arial" w:hAnsi="Arial"/>
          <w:sz w:val="17"/>
          <w:szCs w:val="17"/>
          <w:color w:val="auto"/>
        </w:rPr>
        <w:t>The Treasury Rate shall be determined by the Company after 4:15 p.m., New York City time (or after such time as yields on U.S. government securities are posted daily by the Board of Governors of the Federal Reserve System), on the third Business Day</w:t>
      </w:r>
    </w:p>
    <w:p>
      <w:pPr>
        <w:spacing w:after="0" w:line="1" w:lineRule="exact"/>
        <w:rPr>
          <w:sz w:val="20"/>
          <w:szCs w:val="20"/>
          <w:color w:val="auto"/>
        </w:rPr>
      </w:pPr>
    </w:p>
    <w:p>
      <w:pPr>
        <w:ind w:left="660" w:right="80"/>
        <w:spacing w:after="0"/>
        <w:rPr>
          <w:sz w:val="20"/>
          <w:szCs w:val="20"/>
          <w:color w:val="auto"/>
        </w:rPr>
      </w:pPr>
      <w:r>
        <w:rPr>
          <w:rFonts w:ascii="Arial" w:cs="Arial" w:eastAsia="Arial" w:hAnsi="Arial"/>
          <w:sz w:val="17"/>
          <w:szCs w:val="17"/>
          <w:color w:val="auto"/>
        </w:rPr>
        <w:t>preceding the redemption date based upon the yield or yields for the most recent day that appear after such time on such day in the most recent statistical release published by the Board of Governors of the Federal Reserve System designated as “Selected Interest</w:t>
      </w:r>
    </w:p>
    <w:p>
      <w:pPr>
        <w:spacing w:after="0" w:line="1"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Rates (Daily) – H.15” (or any successor designation or publication) (“</w:t>
      </w:r>
      <w:r>
        <w:rPr>
          <w:rFonts w:ascii="Arial" w:cs="Arial" w:eastAsia="Arial" w:hAnsi="Arial"/>
          <w:sz w:val="18"/>
          <w:szCs w:val="18"/>
          <w:b w:val="1"/>
          <w:bCs w:val="1"/>
          <w:i w:val="1"/>
          <w:iCs w:val="1"/>
          <w:color w:val="auto"/>
        </w:rPr>
        <w:t>H.15</w:t>
      </w:r>
      <w:r>
        <w:rPr>
          <w:rFonts w:ascii="Arial" w:cs="Arial" w:eastAsia="Arial" w:hAnsi="Arial"/>
          <w:sz w:val="18"/>
          <w:szCs w:val="18"/>
          <w:color w:val="auto"/>
        </w:rPr>
        <w:t>”) under the caption “U.S. government securities – Treasury constant maturities – Nominal” (or any successor caption or heading) (“</w:t>
      </w:r>
      <w:r>
        <w:rPr>
          <w:rFonts w:ascii="Arial" w:cs="Arial" w:eastAsia="Arial" w:hAnsi="Arial"/>
          <w:sz w:val="18"/>
          <w:szCs w:val="18"/>
          <w:b w:val="1"/>
          <w:bCs w:val="1"/>
          <w:i w:val="1"/>
          <w:iCs w:val="1"/>
          <w:color w:val="auto"/>
        </w:rPr>
        <w:t>H.15 TCM</w:t>
      </w:r>
      <w:r>
        <w:rPr>
          <w:rFonts w:ascii="Arial" w:cs="Arial" w:eastAsia="Arial" w:hAnsi="Arial"/>
          <w:sz w:val="18"/>
          <w:szCs w:val="18"/>
          <w:color w:val="auto"/>
        </w:rPr>
        <w:t>”). In determining the Treasury Rate, the Company shall select, as applicable: (1) the yield for the Treasury constant maturity on H.15 exactly equal to the period from the redemption date to the applicable Par Call Date (the “</w:t>
      </w:r>
      <w:r>
        <w:rPr>
          <w:rFonts w:ascii="Arial" w:cs="Arial" w:eastAsia="Arial" w:hAnsi="Arial"/>
          <w:sz w:val="18"/>
          <w:szCs w:val="18"/>
          <w:b w:val="1"/>
          <w:bCs w:val="1"/>
          <w:i w:val="1"/>
          <w:iCs w:val="1"/>
          <w:color w:val="auto"/>
        </w:rPr>
        <w:t>Remaining Life</w:t>
      </w:r>
      <w:r>
        <w:rPr>
          <w:rFonts w:ascii="Arial" w:cs="Arial" w:eastAsia="Arial" w:hAnsi="Arial"/>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27" w:lineRule="exact"/>
        <w:rPr>
          <w:sz w:val="20"/>
          <w:szCs w:val="20"/>
          <w:color w:val="auto"/>
        </w:rPr>
      </w:pPr>
    </w:p>
    <w:p>
      <w:pPr>
        <w:ind w:left="660"/>
        <w:spacing w:after="0" w:line="243" w:lineRule="auto"/>
        <w:rPr>
          <w:sz w:val="20"/>
          <w:szCs w:val="20"/>
          <w:color w:val="auto"/>
        </w:rPr>
      </w:pPr>
      <w:r>
        <w:rPr>
          <w:rFonts w:ascii="Arial" w:cs="Arial" w:eastAsia="Arial" w:hAnsi="Arial"/>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03" w:right="339" w:bottom="1440" w:gutter="0" w:footer="0" w:header="0"/>
        </w:sectPr>
      </w:pPr>
    </w:p>
    <w:bookmarkStart w:id="15" w:name="page16"/>
    <w:bookmarkEnd w:id="15"/>
    <w:p>
      <w:pPr>
        <w:ind w:left="660" w:right="20"/>
        <w:spacing w:after="0" w:line="261" w:lineRule="auto"/>
        <w:rPr>
          <w:sz w:val="20"/>
          <w:szCs w:val="20"/>
          <w:color w:val="auto"/>
        </w:rPr>
      </w:pPr>
      <w:r>
        <w:rPr>
          <w:rFonts w:ascii="Arial" w:cs="Arial" w:eastAsia="Arial" w:hAnsi="Arial"/>
          <w:sz w:val="18"/>
          <w:szCs w:val="18"/>
          <w:color w:val="auto"/>
        </w:rPr>
        <w:t>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9"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Stock</w:t>
      </w:r>
      <w:r>
        <w:rPr>
          <w:rFonts w:ascii="Arial" w:cs="Arial" w:eastAsia="Arial" w:hAnsi="Arial"/>
          <w:sz w:val="18"/>
          <w:szCs w:val="18"/>
          <w:color w:val="auto"/>
        </w:rPr>
        <w:t>”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600" w:type="dxa"/>
            <w:vAlign w:val="bottom"/>
            <w:gridSpan w:val="2"/>
          </w:tcPr>
          <w:p>
            <w:pPr>
              <w:ind w:left="660"/>
              <w:spacing w:after="0"/>
              <w:rPr>
                <w:sz w:val="20"/>
                <w:szCs w:val="20"/>
                <w:color w:val="auto"/>
              </w:rPr>
            </w:pPr>
            <w:r>
              <w:rPr>
                <w:rFonts w:ascii="Arial" w:cs="Arial" w:eastAsia="Arial" w:hAnsi="Arial"/>
                <w:sz w:val="18"/>
                <w:szCs w:val="18"/>
                <w:i w:val="1"/>
                <w:iCs w:val="1"/>
                <w:color w:val="auto"/>
              </w:rPr>
              <w:t>Other Definitions</w:t>
            </w:r>
          </w:p>
        </w:tc>
        <w:tc>
          <w:tcPr>
            <w:tcW w:w="1640" w:type="dxa"/>
            <w:vAlign w:val="bottom"/>
          </w:tcPr>
          <w:p>
            <w:pPr>
              <w:spacing w:after="0"/>
              <w:rPr>
                <w:sz w:val="20"/>
                <w:szCs w:val="20"/>
                <w:color w:val="auto"/>
              </w:rPr>
            </w:pPr>
          </w:p>
        </w:tc>
      </w:tr>
      <w:tr>
        <w:trPr>
          <w:trHeight w:val="252"/>
        </w:trPr>
        <w:tc>
          <w:tcPr>
            <w:tcW w:w="9600" w:type="dxa"/>
            <w:vAlign w:val="bottom"/>
            <w:gridSpan w:val="2"/>
          </w:tcPr>
          <w:p>
            <w:pPr>
              <w:ind w:left="4500"/>
              <w:spacing w:after="0"/>
              <w:rPr>
                <w:sz w:val="20"/>
                <w:szCs w:val="20"/>
                <w:color w:val="auto"/>
              </w:rPr>
            </w:pPr>
            <w:r>
              <w:rPr>
                <w:rFonts w:ascii="Arial" w:cs="Arial" w:eastAsia="Arial" w:hAnsi="Arial"/>
                <w:sz w:val="18"/>
                <w:szCs w:val="18"/>
                <w:b w:val="1"/>
                <w:bCs w:val="1"/>
                <w:color w:val="auto"/>
              </w:rPr>
              <w:t>Term</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9"/>
              </w:rPr>
              <w:t>Defined in Section</w:t>
            </w:r>
          </w:p>
        </w:tc>
      </w:tr>
      <w:tr>
        <w:trPr>
          <w:trHeight w:val="232"/>
        </w:trPr>
        <w:tc>
          <w:tcPr>
            <w:tcW w:w="942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“Change of Control Purchase Date”</w:t>
            </w:r>
          </w:p>
        </w:tc>
        <w:tc>
          <w:tcPr>
            <w:tcW w:w="180" w:type="dxa"/>
            <w:vAlign w:val="bottom"/>
          </w:tcPr>
          <w:p>
            <w:pPr>
              <w:spacing w:after="0"/>
              <w:rPr>
                <w:sz w:val="20"/>
                <w:szCs w:val="20"/>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4.1</w:t>
            </w:r>
          </w:p>
        </w:tc>
      </w:tr>
      <w:tr>
        <w:trPr>
          <w:trHeight w:val="251"/>
        </w:trPr>
        <w:tc>
          <w:tcPr>
            <w:tcW w:w="9600" w:type="dxa"/>
            <w:vAlign w:val="bottom"/>
            <w:gridSpan w:val="2"/>
          </w:tcPr>
          <w:p>
            <w:pPr>
              <w:ind w:left="20"/>
              <w:spacing w:after="0"/>
              <w:rPr>
                <w:sz w:val="20"/>
                <w:szCs w:val="20"/>
                <w:color w:val="auto"/>
              </w:rPr>
            </w:pPr>
            <w:r>
              <w:rPr>
                <w:rFonts w:ascii="Arial" w:cs="Arial" w:eastAsia="Arial" w:hAnsi="Arial"/>
                <w:sz w:val="18"/>
                <w:szCs w:val="18"/>
                <w:i w:val="1"/>
                <w:iCs w:val="1"/>
                <w:color w:val="auto"/>
              </w:rPr>
              <w:t>“Change of Control Purchase Price”</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4.1</w:t>
            </w:r>
          </w:p>
        </w:tc>
      </w:tr>
      <w:tr>
        <w:trPr>
          <w:trHeight w:val="257"/>
        </w:trPr>
        <w:tc>
          <w:tcPr>
            <w:tcW w:w="9600" w:type="dxa"/>
            <w:vAlign w:val="bottom"/>
            <w:gridSpan w:val="2"/>
          </w:tcPr>
          <w:p>
            <w:pPr>
              <w:ind w:left="20"/>
              <w:spacing w:after="0"/>
              <w:rPr>
                <w:sz w:val="20"/>
                <w:szCs w:val="20"/>
                <w:color w:val="auto"/>
              </w:rPr>
            </w:pPr>
            <w:r>
              <w:rPr>
                <w:rFonts w:ascii="Arial" w:cs="Arial" w:eastAsia="Arial" w:hAnsi="Arial"/>
                <w:sz w:val="18"/>
                <w:szCs w:val="18"/>
                <w:i w:val="1"/>
                <w:iCs w:val="1"/>
                <w:color w:val="auto"/>
              </w:rPr>
              <w:t>“DTC”</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2.1</w:t>
            </w:r>
          </w:p>
        </w:tc>
      </w:tr>
      <w:tr>
        <w:trPr>
          <w:trHeight w:val="257"/>
        </w:trPr>
        <w:tc>
          <w:tcPr>
            <w:tcW w:w="9600" w:type="dxa"/>
            <w:vAlign w:val="bottom"/>
            <w:gridSpan w:val="2"/>
          </w:tcPr>
          <w:p>
            <w:pPr>
              <w:ind w:left="20"/>
              <w:spacing w:after="0"/>
              <w:rPr>
                <w:sz w:val="20"/>
                <w:szCs w:val="20"/>
                <w:color w:val="auto"/>
              </w:rPr>
            </w:pPr>
            <w:r>
              <w:rPr>
                <w:rFonts w:ascii="Arial" w:cs="Arial" w:eastAsia="Arial" w:hAnsi="Arial"/>
                <w:sz w:val="18"/>
                <w:szCs w:val="18"/>
                <w:i w:val="1"/>
                <w:iCs w:val="1"/>
                <w:color w:val="auto"/>
              </w:rPr>
              <w:t>“Expiration Date”</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4.1</w:t>
            </w:r>
          </w:p>
        </w:tc>
      </w:tr>
      <w:tr>
        <w:trPr>
          <w:trHeight w:val="220"/>
        </w:trPr>
        <w:tc>
          <w:tcPr>
            <w:tcW w:w="9600" w:type="dxa"/>
            <w:vAlign w:val="bottom"/>
            <w:gridSpan w:val="2"/>
          </w:tcPr>
          <w:p>
            <w:pPr>
              <w:ind w:left="20"/>
              <w:spacing w:after="0"/>
              <w:rPr>
                <w:sz w:val="20"/>
                <w:szCs w:val="20"/>
                <w:color w:val="auto"/>
              </w:rPr>
            </w:pPr>
            <w:r>
              <w:rPr>
                <w:rFonts w:ascii="Arial" w:cs="Arial" w:eastAsia="Arial" w:hAnsi="Arial"/>
                <w:sz w:val="18"/>
                <w:szCs w:val="18"/>
                <w:i w:val="1"/>
                <w:iCs w:val="1"/>
                <w:color w:val="auto"/>
              </w:rPr>
              <w:t>“Interest Payment Date”</w:t>
            </w:r>
          </w:p>
        </w:tc>
        <w:tc>
          <w:tcPr>
            <w:tcW w:w="1640" w:type="dxa"/>
            <w:vAlign w:val="bottom"/>
          </w:tcPr>
          <w:p>
            <w:pPr>
              <w:jc w:val="center"/>
              <w:spacing w:after="0"/>
              <w:rPr>
                <w:sz w:val="20"/>
                <w:szCs w:val="20"/>
                <w:color w:val="auto"/>
              </w:rPr>
            </w:pPr>
            <w:r>
              <w:rPr>
                <w:rFonts w:ascii="Arial" w:cs="Arial" w:eastAsia="Arial" w:hAnsi="Arial"/>
                <w:sz w:val="18"/>
                <w:szCs w:val="18"/>
                <w:color w:val="auto"/>
              </w:rPr>
              <w:t>Paragraph 1 of</w:t>
            </w:r>
          </w:p>
        </w:tc>
      </w:tr>
      <w:tr>
        <w:trPr>
          <w:trHeight w:val="239"/>
        </w:trPr>
        <w:tc>
          <w:tcPr>
            <w:tcW w:w="9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Exhibit A</w:t>
            </w:r>
          </w:p>
        </w:tc>
      </w:tr>
      <w:tr>
        <w:trPr>
          <w:trHeight w:val="257"/>
        </w:trPr>
        <w:tc>
          <w:tcPr>
            <w:tcW w:w="9600" w:type="dxa"/>
            <w:vAlign w:val="bottom"/>
            <w:gridSpan w:val="2"/>
          </w:tcPr>
          <w:p>
            <w:pPr>
              <w:ind w:left="20"/>
              <w:spacing w:after="0"/>
              <w:rPr>
                <w:sz w:val="20"/>
                <w:szCs w:val="20"/>
                <w:color w:val="auto"/>
              </w:rPr>
            </w:pPr>
            <w:r>
              <w:rPr>
                <w:rFonts w:ascii="Arial" w:cs="Arial" w:eastAsia="Arial" w:hAnsi="Arial"/>
                <w:sz w:val="18"/>
                <w:szCs w:val="18"/>
                <w:i w:val="1"/>
                <w:iCs w:val="1"/>
                <w:color w:val="auto"/>
              </w:rPr>
              <w:t>“Offer to Purchase”</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4.1</w:t>
            </w:r>
          </w:p>
        </w:tc>
      </w:tr>
      <w:tr>
        <w:trPr>
          <w:trHeight w:val="257"/>
        </w:trPr>
        <w:tc>
          <w:tcPr>
            <w:tcW w:w="9600" w:type="dxa"/>
            <w:vAlign w:val="bottom"/>
            <w:gridSpan w:val="2"/>
          </w:tcPr>
          <w:p>
            <w:pPr>
              <w:ind w:left="20"/>
              <w:spacing w:after="0"/>
              <w:rPr>
                <w:sz w:val="20"/>
                <w:szCs w:val="20"/>
                <w:color w:val="auto"/>
              </w:rPr>
            </w:pPr>
            <w:r>
              <w:rPr>
                <w:rFonts w:ascii="Arial" w:cs="Arial" w:eastAsia="Arial" w:hAnsi="Arial"/>
                <w:sz w:val="18"/>
                <w:szCs w:val="18"/>
                <w:i w:val="1"/>
                <w:iCs w:val="1"/>
                <w:color w:val="auto"/>
              </w:rPr>
              <w:t>“Second Change of Control Purchase Date”</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4.1</w:t>
            </w:r>
          </w:p>
        </w:tc>
      </w:tr>
    </w:tbl>
    <w:p>
      <w:pPr>
        <w:spacing w:after="0" w:line="34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THE NOTES</w:t>
      </w:r>
    </w:p>
    <w:p>
      <w:pPr>
        <w:spacing w:after="0" w:line="23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8"/>
          <w:szCs w:val="18"/>
          <w:i w:val="1"/>
          <w:iCs w:val="1"/>
          <w:color w:val="auto"/>
        </w:rPr>
        <w:t>Form and Dating.</w:t>
      </w:r>
    </w:p>
    <w:p>
      <w:pPr>
        <w:spacing w:after="0" w:line="252" w:lineRule="exact"/>
        <w:rPr>
          <w:sz w:val="20"/>
          <w:szCs w:val="20"/>
          <w:color w:val="auto"/>
        </w:rPr>
      </w:pPr>
    </w:p>
    <w:p>
      <w:pPr>
        <w:ind w:right="40" w:firstLine="1304"/>
        <w:spacing w:after="0" w:line="247" w:lineRule="auto"/>
        <w:tabs>
          <w:tab w:leader="none" w:pos="1716"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2028 Notes and the Trustee’s certificate of authentication with respect thereto will be substantially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2033 Notes and the Trustee’s certificate of authentication with respect thereto will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Notes may have notations, legends or endorsements required by law, stock exchange rule or usage. Each Note will be dated the date of its authentication. The Notes will be in minimum denominations of $2,000 with integral multiples of $1,000 in excess thereof.</w:t>
      </w:r>
    </w:p>
    <w:p>
      <w:pPr>
        <w:spacing w:after="0" w:line="204"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The terms and provisions contained in the Notes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any Note conflicts with the express provisions of the Indenture, the provisions of the Indenture will govern and be controlling.</w:t>
      </w:r>
    </w:p>
    <w:p>
      <w:pPr>
        <w:spacing w:after="0" w:line="205" w:lineRule="exact"/>
        <w:rPr>
          <w:sz w:val="20"/>
          <w:szCs w:val="20"/>
          <w:color w:val="auto"/>
        </w:rPr>
      </w:pPr>
    </w:p>
    <w:p>
      <w:pPr>
        <w:ind w:left="1720" w:hanging="416"/>
        <w:spacing w:after="0"/>
        <w:tabs>
          <w:tab w:leader="none" w:pos="1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Global Notes.</w:t>
      </w:r>
    </w:p>
    <w:p>
      <w:pPr>
        <w:spacing w:after="0" w:line="250" w:lineRule="exact"/>
        <w:rPr>
          <w:rFonts w:ascii="Arial" w:cs="Arial" w:eastAsia="Arial" w:hAnsi="Arial"/>
          <w:sz w:val="18"/>
          <w:szCs w:val="18"/>
          <w:color w:val="auto"/>
        </w:rPr>
      </w:pPr>
    </w:p>
    <w:p>
      <w:pPr>
        <w:ind w:right="240" w:firstLine="1952"/>
        <w:spacing w:after="0" w:line="268" w:lineRule="auto"/>
        <w:tabs>
          <w:tab w:leader="none" w:pos="2364"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2028 Notes issued in global form will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(including the Global Note Legend thereon). 2028 Notes issued in definitive form will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(but without the Global Note Legend thereon).</w:t>
      </w:r>
    </w:p>
    <w:p>
      <w:pPr>
        <w:spacing w:after="0" w:line="197" w:lineRule="exact"/>
        <w:rPr>
          <w:rFonts w:ascii="Arial" w:cs="Arial" w:eastAsia="Arial" w:hAnsi="Arial"/>
          <w:sz w:val="18"/>
          <w:szCs w:val="18"/>
          <w:color w:val="auto"/>
        </w:rPr>
      </w:pPr>
    </w:p>
    <w:p>
      <w:pPr>
        <w:ind w:right="240" w:firstLine="1952"/>
        <w:spacing w:after="0" w:line="261" w:lineRule="auto"/>
        <w:tabs>
          <w:tab w:leader="none" w:pos="2364"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2033 Notes issued in global form will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(including the Global Note Legend thereon). 2033 Notes issued in definitive form will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(but without the Global Note Legend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17" w:right="339" w:bottom="1440" w:gutter="0" w:footer="0" w:header="0"/>
        </w:sectPr>
      </w:pPr>
    </w:p>
    <w:bookmarkStart w:id="16" w:name="page17"/>
    <w:bookmarkEnd w:id="16"/>
    <w:p>
      <w:pPr>
        <w:spacing w:after="0" w:line="220" w:lineRule="exact"/>
        <w:rPr>
          <w:sz w:val="20"/>
          <w:szCs w:val="20"/>
          <w:color w:val="auto"/>
        </w:rPr>
      </w:pPr>
    </w:p>
    <w:p>
      <w:pPr>
        <w:ind w:firstLine="1952"/>
        <w:spacing w:after="0" w:line="247" w:lineRule="auto"/>
        <w:tabs>
          <w:tab w:leader="none" w:pos="2364"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Global Note will represent such of the outstanding Notes as will be specified therein and each will provide that it will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2.2 hereof. The Company initially appoints The Depository Trust Company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act as Depositary with respect to the Global Notes.</w:t>
      </w:r>
    </w:p>
    <w:p>
      <w:pPr>
        <w:spacing w:after="0" w:line="200" w:lineRule="exact"/>
        <w:rPr>
          <w:sz w:val="20"/>
          <w:szCs w:val="20"/>
          <w:color w:val="auto"/>
        </w:rPr>
      </w:pPr>
    </w:p>
    <w:p>
      <w:pPr>
        <w:spacing w:after="0" w:line="23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7"/>
          <w:szCs w:val="17"/>
          <w:i w:val="1"/>
          <w:iCs w:val="1"/>
          <w:color w:val="auto"/>
        </w:rPr>
        <w:t>Transfer and Exchange.</w:t>
      </w:r>
    </w:p>
    <w:p>
      <w:pPr>
        <w:spacing w:after="0" w:line="252" w:lineRule="exact"/>
        <w:rPr>
          <w:sz w:val="20"/>
          <w:szCs w:val="20"/>
          <w:color w:val="auto"/>
        </w:rPr>
      </w:pPr>
    </w:p>
    <w:p>
      <w:pPr>
        <w:ind w:right="60" w:firstLine="1304"/>
        <w:spacing w:after="0" w:line="262" w:lineRule="auto"/>
        <w:tabs>
          <w:tab w:leader="none" w:pos="1716"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Transfer and Exchange of Global Notes</w:t>
      </w:r>
      <w:r>
        <w:rPr>
          <w:rFonts w:ascii="Arial" w:cs="Arial" w:eastAsia="Arial" w:hAnsi="Arial"/>
          <w:sz w:val="18"/>
          <w:szCs w:val="18"/>
          <w:color w:val="auto"/>
        </w:rPr>
        <w:t>. A Global Note may not be transferred as a whole except by the Depositary to</w:t>
      </w:r>
      <w:r>
        <w:rPr>
          <w:rFonts w:ascii="Arial" w:cs="Arial" w:eastAsia="Arial" w:hAnsi="Arial"/>
          <w:sz w:val="18"/>
          <w:szCs w:val="18"/>
          <w:i w:val="1"/>
          <w:iCs w:val="1"/>
          <w:color w:val="auto"/>
        </w:rPr>
        <w:t xml:space="preserve"> </w:t>
      </w:r>
      <w:r>
        <w:rPr>
          <w:rFonts w:ascii="Arial" w:cs="Arial" w:eastAsia="Arial" w:hAnsi="Arial"/>
          <w:sz w:val="18"/>
          <w:szCs w:val="18"/>
          <w:color w:val="auto"/>
        </w:rPr>
        <w:t>a nominee of the Depositary, by a nominee of the Depositary to the Depositary or to another nominee of the Depositary, or by the Depositary or any such nominee to a successor Depositary or a nominee of such successor Depositary. All Global Notes of a Series hereunder will be exchanged by the Company for Definitive Notes of the same Series if, with respect to such Series of Notes:</w:t>
      </w:r>
    </w:p>
    <w:p>
      <w:pPr>
        <w:spacing w:after="0" w:line="203" w:lineRule="exact"/>
        <w:rPr>
          <w:sz w:val="20"/>
          <w:szCs w:val="20"/>
          <w:color w:val="auto"/>
        </w:rPr>
      </w:pPr>
    </w:p>
    <w:p>
      <w:pPr>
        <w:ind w:right="420" w:firstLine="1304"/>
        <w:spacing w:after="0" w:line="268" w:lineRule="auto"/>
        <w:tabs>
          <w:tab w:leader="none" w:pos="15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90 days after the date of such notice from the Depositary;</w:t>
      </w:r>
    </w:p>
    <w:p>
      <w:pPr>
        <w:spacing w:after="0" w:line="197" w:lineRule="exact"/>
        <w:rPr>
          <w:rFonts w:ascii="Arial" w:cs="Arial" w:eastAsia="Arial" w:hAnsi="Arial"/>
          <w:sz w:val="18"/>
          <w:szCs w:val="18"/>
          <w:color w:val="auto"/>
        </w:rPr>
      </w:pPr>
    </w:p>
    <w:p>
      <w:pPr>
        <w:ind w:right="80" w:firstLine="1304"/>
        <w:spacing w:after="0" w:line="287" w:lineRule="auto"/>
        <w:tabs>
          <w:tab w:leader="none" w:pos="15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Event of Default has occurred and the Trustee has received a written request from DTC that the Global Notes of such Series (in whole but not in part) should be exchanged for Definitive Notes; or</w:t>
      </w:r>
    </w:p>
    <w:p>
      <w:pPr>
        <w:spacing w:after="0" w:line="179" w:lineRule="exact"/>
        <w:rPr>
          <w:rFonts w:ascii="Arial" w:cs="Arial" w:eastAsia="Arial" w:hAnsi="Arial"/>
          <w:sz w:val="18"/>
          <w:szCs w:val="18"/>
          <w:color w:val="auto"/>
        </w:rPr>
      </w:pPr>
    </w:p>
    <w:p>
      <w:pPr>
        <w:ind w:right="240" w:firstLine="1304"/>
        <w:spacing w:after="0" w:line="287" w:lineRule="auto"/>
        <w:tabs>
          <w:tab w:leader="none" w:pos="15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in its sole discretion and subject to the procedures of the Depositary determines that the Global Notes of such Series (in whole but not in part) should be exchanged for Definitive Notes and delivers a written notice to such effect to the Trustee.</w:t>
      </w:r>
    </w:p>
    <w:p>
      <w:pPr>
        <w:spacing w:after="0" w:line="180"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Upon the occurrence of either of the preceding events in (1), (2) or (3) above with respect to a Series of Notes hereunder, Definitive Notes will be issued for such Series in such names and in any approved denominations as the Depositary will instruct the Trustee. Global Notes also may be exchanged or replaced, in whole or in part, as provided in Sections 2.8 and 2.11 of the Base Indenture. Every Note authenticated and delivered in exchange for, or in lieu of, a Global Note or any portion thereof, pursuant to this Section 2.2 (subject to any contrary provision in this Section 2.2(a)) or Sections 2.8 or 2.11 of the Base Indenture, will be authenticated and delivered in the form of, and will be, a Global Note. A Global Note may not be exchanged for another Note other than as provided in this Section 2.2(a); however, beneficial interests in a Global Note may be transferred and exchanged as provided in Sections 2.2(b) or (f) hereof.</w:t>
      </w:r>
    </w:p>
    <w:p>
      <w:pPr>
        <w:spacing w:after="0" w:line="210" w:lineRule="exact"/>
        <w:rPr>
          <w:sz w:val="20"/>
          <w:szCs w:val="20"/>
          <w:color w:val="auto"/>
        </w:rPr>
      </w:pPr>
    </w:p>
    <w:p>
      <w:pPr>
        <w:ind w:firstLine="1304"/>
        <w:spacing w:after="0" w:line="262" w:lineRule="auto"/>
        <w:tabs>
          <w:tab w:leader="none" w:pos="1716"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Global Notes will be effected through the Depositary, in accordance with the provisions of this Supplemental Indenture and the Applicable Procedures. Transfers of beneficial interests in the Global Notes also will require compliance with either subparagraph (1) or (2) below, as applicable, as well as one or more of the other following subparagraphs, as applicable:</w:t>
      </w:r>
    </w:p>
    <w:p>
      <w:pPr>
        <w:spacing w:after="0" w:line="203" w:lineRule="exact"/>
        <w:rPr>
          <w:rFonts w:ascii="Arial" w:cs="Arial" w:eastAsia="Arial" w:hAnsi="Arial"/>
          <w:sz w:val="18"/>
          <w:szCs w:val="18"/>
          <w:color w:val="auto"/>
        </w:rPr>
      </w:pPr>
    </w:p>
    <w:p>
      <w:pPr>
        <w:ind w:right="640" w:firstLine="1952"/>
        <w:spacing w:after="0" w:line="287" w:lineRule="auto"/>
        <w:tabs>
          <w:tab w:leader="none" w:pos="2364"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Transfer of Beneficial Interests in the Same Global Note</w:t>
      </w:r>
      <w:r>
        <w:rPr>
          <w:rFonts w:ascii="Arial" w:cs="Arial" w:eastAsia="Arial" w:hAnsi="Arial"/>
          <w:sz w:val="18"/>
          <w:szCs w:val="18"/>
          <w:color w:val="auto"/>
        </w:rPr>
        <w:t>. Beneficial interests in any Global Note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to persons who take delivery thereof in the form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440" w:right="359" w:bottom="1440" w:gutter="0" w:footer="0" w:header="0"/>
        </w:sectPr>
      </w:pPr>
    </w:p>
    <w:bookmarkStart w:id="17" w:name="page18"/>
    <w:bookmarkEnd w:id="17"/>
    <w:p>
      <w:pPr>
        <w:ind w:right="340"/>
        <w:spacing w:after="0" w:line="287" w:lineRule="auto"/>
        <w:rPr>
          <w:sz w:val="20"/>
          <w:szCs w:val="20"/>
          <w:color w:val="auto"/>
        </w:rPr>
      </w:pPr>
      <w:r>
        <w:rPr>
          <w:rFonts w:ascii="Arial" w:cs="Arial" w:eastAsia="Arial" w:hAnsi="Arial"/>
          <w:sz w:val="18"/>
          <w:szCs w:val="18"/>
          <w:color w:val="auto"/>
        </w:rPr>
        <w:t>beneficial interest in a Global Note. No written orders or instructions will be required to be delivered to the Registrar to effect the transfers described in this Section 2.2(b)(1).</w:t>
      </w:r>
    </w:p>
    <w:p>
      <w:pPr>
        <w:spacing w:after="0" w:line="180" w:lineRule="exact"/>
        <w:rPr>
          <w:sz w:val="20"/>
          <w:szCs w:val="20"/>
          <w:color w:val="auto"/>
        </w:rPr>
      </w:pPr>
    </w:p>
    <w:p>
      <w:pPr>
        <w:ind w:right="160" w:firstLine="1952"/>
        <w:spacing w:after="0" w:line="268" w:lineRule="auto"/>
        <w:tabs>
          <w:tab w:leader="none" w:pos="2357"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All Other Transfers and Exchanges of Beneficial Interests in Global Notes</w:t>
      </w:r>
      <w:r>
        <w:rPr>
          <w:rFonts w:ascii="Arial" w:cs="Arial" w:eastAsia="Arial" w:hAnsi="Arial"/>
          <w:sz w:val="18"/>
          <w:szCs w:val="18"/>
          <w:color w:val="auto"/>
        </w:rPr>
        <w:t>. In connection with all transfers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exchanges of beneficial interests with respect to a Series of Notes that are not subject to Section 2.2(b)(1) above, the transferor of such beneficial interest must deliver to the Registrar:</w:t>
      </w:r>
    </w:p>
    <w:p>
      <w:pPr>
        <w:spacing w:after="0" w:line="197" w:lineRule="exact"/>
        <w:rPr>
          <w:rFonts w:ascii="Arial" w:cs="Arial" w:eastAsia="Arial" w:hAnsi="Arial"/>
          <w:sz w:val="18"/>
          <w:szCs w:val="18"/>
          <w:color w:val="auto"/>
        </w:rPr>
      </w:pPr>
    </w:p>
    <w:p>
      <w:pPr>
        <w:ind w:right="80" w:firstLine="2600"/>
        <w:spacing w:after="0" w:line="268" w:lineRule="auto"/>
        <w:tabs>
          <w:tab w:leader="none" w:pos="29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97" w:lineRule="exact"/>
        <w:rPr>
          <w:rFonts w:ascii="Arial" w:cs="Arial" w:eastAsia="Arial" w:hAnsi="Arial"/>
          <w:sz w:val="18"/>
          <w:szCs w:val="18"/>
          <w:color w:val="auto"/>
        </w:rPr>
      </w:pPr>
    </w:p>
    <w:p>
      <w:pPr>
        <w:ind w:right="240" w:firstLine="2600"/>
        <w:spacing w:after="0" w:line="287" w:lineRule="auto"/>
        <w:tabs>
          <w:tab w:leader="none" w:pos="29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w:t>
      </w:r>
    </w:p>
    <w:p>
      <w:pPr>
        <w:spacing w:after="0" w:line="180" w:lineRule="exact"/>
        <w:rPr>
          <w:sz w:val="20"/>
          <w:szCs w:val="20"/>
          <w:color w:val="auto"/>
        </w:rPr>
      </w:pPr>
    </w:p>
    <w:p>
      <w:pPr>
        <w:ind w:right="380" w:firstLine="648"/>
        <w:spacing w:after="0" w:line="268" w:lineRule="auto"/>
        <w:rPr>
          <w:sz w:val="20"/>
          <w:szCs w:val="20"/>
          <w:color w:val="auto"/>
        </w:rPr>
      </w:pPr>
      <w:r>
        <w:rPr>
          <w:rFonts w:ascii="Arial" w:cs="Arial" w:eastAsia="Arial" w:hAnsi="Arial"/>
          <w:sz w:val="18"/>
          <w:szCs w:val="18"/>
          <w:color w:val="auto"/>
        </w:rPr>
        <w:t>With respect to a Series of Notes hereunder, upon satisfaction of all of the requirements for transfer or exchange of beneficial interests in Global Notes contained in this Supplemental Indenture and the Notes of such Series, as evidenced by an Officer’s Certificate delivered to the Trustee, the Trustee will adjust the principal amount of the relevant Global Note(s) pursuant to Section 2.2(f) hereof.</w:t>
      </w:r>
    </w:p>
    <w:p>
      <w:pPr>
        <w:spacing w:after="0" w:line="198" w:lineRule="exact"/>
        <w:rPr>
          <w:sz w:val="20"/>
          <w:szCs w:val="20"/>
          <w:color w:val="auto"/>
        </w:rPr>
      </w:pPr>
    </w:p>
    <w:p>
      <w:pPr>
        <w:ind w:left="1720" w:hanging="416"/>
        <w:spacing w:after="0"/>
        <w:tabs>
          <w:tab w:leader="none" w:pos="17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r>
        <w:rPr>
          <w:rFonts w:ascii="Arial" w:cs="Arial" w:eastAsia="Arial" w:hAnsi="Arial"/>
          <w:sz w:val="18"/>
          <w:szCs w:val="18"/>
          <w:color w:val="auto"/>
        </w:rPr>
        <w:t>.</w:t>
      </w:r>
    </w:p>
    <w:p>
      <w:pPr>
        <w:spacing w:after="0" w:line="252"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A Holder of a Definitive Note may exchange such Note for a beneficial interest in a Global Note of the same Series or transfer such Definitive Notes to a person who takes delivery thereof in the form of a beneficial interest in a Global Note of the same Series at any time. Upon receipt of a request for such an exchange or transfer, the Trustee will cancel the applicable Definitive Note and increase, or cause to be increased, the aggregate principal amount of one of the applicable Global Notes.</w:t>
      </w:r>
    </w:p>
    <w:p>
      <w:pPr>
        <w:spacing w:after="0" w:line="203"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If, with respect to a Series of Notes, any such exchange or transfer from a Definitive Note to a beneficial interest is effected pursuant to the previous paragraph at a time when a Global Note of the same Series has not yet been issued, the Company will issue and, upon receipt of a Company Order, the Trustee will authenticate one or more Global Notes of such Series in an aggregate principal amount equal to the principal amount of Definitive Notes so transferred.</w:t>
      </w:r>
    </w:p>
    <w:p>
      <w:pPr>
        <w:spacing w:after="0" w:line="203" w:lineRule="exact"/>
        <w:rPr>
          <w:sz w:val="20"/>
          <w:szCs w:val="20"/>
          <w:color w:val="auto"/>
        </w:rPr>
      </w:pPr>
    </w:p>
    <w:p>
      <w:pPr>
        <w:ind w:firstLine="1223"/>
        <w:spacing w:after="0" w:line="256" w:lineRule="auto"/>
        <w:tabs>
          <w:tab w:leader="none" w:pos="163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Transfer and Exchange of Definitive Notes for Definitive Notes</w:t>
      </w:r>
      <w:r>
        <w:rPr>
          <w:rFonts w:ascii="Arial" w:cs="Arial" w:eastAsia="Arial" w:hAnsi="Arial"/>
          <w:sz w:val="18"/>
          <w:szCs w:val="18"/>
          <w:color w:val="auto"/>
        </w:rPr>
        <w:t>. A Holder of Definitive Notes may transfer such Notes to a</w:t>
      </w:r>
      <w:r>
        <w:rPr>
          <w:rFonts w:ascii="Arial" w:cs="Arial" w:eastAsia="Arial" w:hAnsi="Arial"/>
          <w:sz w:val="18"/>
          <w:szCs w:val="18"/>
          <w:i w:val="1"/>
          <w:iCs w:val="1"/>
          <w:color w:val="auto"/>
        </w:rPr>
        <w:t xml:space="preserve"> </w:t>
      </w:r>
      <w:r>
        <w:rPr>
          <w:rFonts w:ascii="Arial" w:cs="Arial" w:eastAsia="Arial" w:hAnsi="Arial"/>
          <w:sz w:val="18"/>
          <w:szCs w:val="18"/>
          <w:color w:val="auto"/>
        </w:rPr>
        <w:t>person who takes delivery thereof in the form of a Definitive Note of the same Series. Upon request by a Holder of Definitive Notes and such Holder’s compliance with the provisions of this Section 2.2(d), the Registrar will register the transfer or exchange of Definitive Notes. Prior to such registration of transfer or exchange, the requesting Holder will present or surrender to the Registrar the Definitive Notes duly endorsed or accompanied by a written instruction of transfer in form satisfactory to the Registrar duly executed by such Holder or by his attorney, duly authorized in writing. In addition, the requesting Holder will provide any additional required certifications, documents and information, as applicable.</w:t>
      </w:r>
    </w:p>
    <w:p>
      <w:pPr>
        <w:spacing w:after="0" w:line="209" w:lineRule="exact"/>
        <w:rPr>
          <w:rFonts w:ascii="Arial" w:cs="Arial" w:eastAsia="Arial" w:hAnsi="Arial"/>
          <w:sz w:val="18"/>
          <w:szCs w:val="18"/>
          <w:i w:val="1"/>
          <w:iCs w:val="1"/>
          <w:color w:val="auto"/>
        </w:rPr>
      </w:pPr>
    </w:p>
    <w:p>
      <w:pPr>
        <w:ind w:right="240" w:firstLine="1304"/>
        <w:spacing w:after="0" w:line="287" w:lineRule="auto"/>
        <w:tabs>
          <w:tab w:leader="none" w:pos="1716"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Legends</w:t>
      </w:r>
      <w:r>
        <w:rPr>
          <w:rFonts w:ascii="Arial" w:cs="Arial" w:eastAsia="Arial" w:hAnsi="Arial"/>
          <w:sz w:val="18"/>
          <w:szCs w:val="18"/>
          <w:color w:val="auto"/>
        </w:rPr>
        <w:t>. The following legends will appear on the face of all Global Notes issued under this Supplemental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unless specifically stated otherwise in the applicable provisions of this Supplemental Indenture.</w:t>
      </w:r>
    </w:p>
    <w:p>
      <w:pPr>
        <w:spacing w:after="0" w:line="180"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“THIS GLOBAL NOTE IS HELD BY THE DEPOSITARY (AS DEFINED IN THE SUPPLEMENTAL INDENTURE HEREINAFTER REFERRED TO) OR ITS NOMINEE IN CUSTODY FOR THE BENEFIT OF THE BENEFICIAL OWNERS HEREOF, AND IS NOT TRANSFERABLE TO ANY PERSON UNDER ANY CIRCUMSTANCES EXCEPT THAT (I) THE TRUSTEE MAY MAKE SUCH NOTATIONS HEREON AS MAY BE REQUIRED PURSUANT TO SECTION 2.2 OF THE SUPPLEMENTAL INDENTURE, (II)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17" w:right="339" w:bottom="1440" w:gutter="0" w:footer="0" w:header="0"/>
        </w:sectPr>
      </w:pPr>
    </w:p>
    <w:bookmarkStart w:id="18" w:name="page19"/>
    <w:bookmarkEnd w:id="18"/>
    <w:p>
      <w:pPr>
        <w:ind w:right="200"/>
        <w:spacing w:after="0" w:line="262" w:lineRule="auto"/>
        <w:rPr>
          <w:sz w:val="20"/>
          <w:szCs w:val="20"/>
          <w:color w:val="auto"/>
        </w:rPr>
      </w:pPr>
      <w:r>
        <w:rPr>
          <w:rFonts w:ascii="Arial" w:cs="Arial" w:eastAsia="Arial" w:hAnsi="Arial"/>
          <w:sz w:val="18"/>
          <w:szCs w:val="18"/>
          <w:color w:val="auto"/>
        </w:rPr>
        <w:t>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20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(570 WASHINGTON BOULEVARD, JERSEY CITY, NEW JERSEY)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212" w:lineRule="exact"/>
        <w:rPr>
          <w:sz w:val="20"/>
          <w:szCs w:val="20"/>
          <w:color w:val="auto"/>
        </w:rPr>
      </w:pPr>
    </w:p>
    <w:p>
      <w:pPr>
        <w:ind w:right="20" w:firstLine="1304"/>
        <w:spacing w:after="0" w:line="255" w:lineRule="auto"/>
        <w:tabs>
          <w:tab w:leader="none" w:pos="1666"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Cancellation and/or Adjustment of Global Notes</w:t>
      </w:r>
      <w:r>
        <w:rPr>
          <w:rFonts w:ascii="Arial" w:cs="Arial" w:eastAsia="Arial" w:hAnsi="Arial"/>
          <w:sz w:val="18"/>
          <w:szCs w:val="18"/>
          <w:color w:val="auto"/>
        </w:rPr>
        <w:t>. At such time as all beneficial interests in a particular Global Note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exchanged for Definitive Notes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 in another Global Note of the same Series,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209" w:lineRule="exact"/>
        <w:rPr>
          <w:rFonts w:ascii="Arial" w:cs="Arial" w:eastAsia="Arial" w:hAnsi="Arial"/>
          <w:sz w:val="18"/>
          <w:szCs w:val="18"/>
          <w:color w:val="auto"/>
        </w:rPr>
      </w:pPr>
    </w:p>
    <w:p>
      <w:pPr>
        <w:ind w:left="1720" w:hanging="416"/>
        <w:spacing w:after="0"/>
        <w:tabs>
          <w:tab w:leader="none" w:pos="17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p>
    <w:p>
      <w:pPr>
        <w:spacing w:after="0" w:line="250" w:lineRule="exact"/>
        <w:rPr>
          <w:rFonts w:ascii="Arial" w:cs="Arial" w:eastAsia="Arial" w:hAnsi="Arial"/>
          <w:sz w:val="18"/>
          <w:szCs w:val="18"/>
          <w:color w:val="auto"/>
        </w:rPr>
      </w:pPr>
    </w:p>
    <w:p>
      <w:pPr>
        <w:ind w:right="80" w:firstLine="1952"/>
        <w:spacing w:after="0" w:line="287" w:lineRule="auto"/>
        <w:tabs>
          <w:tab w:leader="none" w:pos="23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will execute and the Trustee will authenticate Global Notes and Definitive Notes upon the receipt of a Company Order.</w:t>
      </w:r>
    </w:p>
    <w:p>
      <w:pPr>
        <w:spacing w:after="0" w:line="179" w:lineRule="exact"/>
        <w:rPr>
          <w:rFonts w:ascii="Arial" w:cs="Arial" w:eastAsia="Arial" w:hAnsi="Arial"/>
          <w:sz w:val="18"/>
          <w:szCs w:val="18"/>
          <w:color w:val="auto"/>
        </w:rPr>
      </w:pPr>
    </w:p>
    <w:p>
      <w:pPr>
        <w:ind w:right="20" w:firstLine="1952"/>
        <w:spacing w:after="0" w:line="262" w:lineRule="auto"/>
        <w:tabs>
          <w:tab w:leader="none" w:pos="23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 2.11, Section 3.6 and Section 9.6 of the Base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417" w:right="359" w:bottom="1440" w:gutter="0" w:footer="0" w:header="0"/>
        </w:sectPr>
      </w:pPr>
    </w:p>
    <w:bookmarkStart w:id="19" w:name="page20"/>
    <w:bookmarkEnd w:id="19"/>
    <w:p>
      <w:pPr>
        <w:ind w:right="280" w:firstLine="1952"/>
        <w:spacing w:after="0" w:line="287" w:lineRule="auto"/>
        <w:tabs>
          <w:tab w:leader="none" w:pos="23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Registrar will not be required to register the transfer of or exchange any Note selected for redemption in whole or in part, except the unredeemed portion of any Note being redeemed in part.</w:t>
      </w:r>
    </w:p>
    <w:p>
      <w:pPr>
        <w:spacing w:after="0" w:line="179" w:lineRule="exact"/>
        <w:rPr>
          <w:rFonts w:ascii="Arial" w:cs="Arial" w:eastAsia="Arial" w:hAnsi="Arial"/>
          <w:sz w:val="18"/>
          <w:szCs w:val="18"/>
          <w:color w:val="auto"/>
        </w:rPr>
      </w:pPr>
    </w:p>
    <w:p>
      <w:pPr>
        <w:ind w:right="220" w:firstLine="1952"/>
        <w:spacing w:after="0" w:line="268" w:lineRule="auto"/>
        <w:tabs>
          <w:tab w:leader="none" w:pos="23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will be the valid obligations of the Company, evidencing the same debt and entitled to the same benefits under this Supplemental Indenture, as the Global Notes or Definitive Notes surrendered upon such registration of transfer or exchange.</w:t>
      </w:r>
    </w:p>
    <w:p>
      <w:pPr>
        <w:spacing w:after="0" w:line="197" w:lineRule="exact"/>
        <w:rPr>
          <w:rFonts w:ascii="Arial" w:cs="Arial" w:eastAsia="Arial" w:hAnsi="Arial"/>
          <w:sz w:val="18"/>
          <w:szCs w:val="18"/>
          <w:color w:val="auto"/>
        </w:rPr>
      </w:pPr>
    </w:p>
    <w:p>
      <w:pPr>
        <w:ind w:right="320" w:firstLine="1952"/>
        <w:spacing w:after="0" w:line="287" w:lineRule="auto"/>
        <w:tabs>
          <w:tab w:leader="none" w:pos="23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Company elects to redeem or make an Offer to Purchase with respect to a Series of Notes hereunder, neither the Company nor the Trustee will be required to:</w:t>
      </w:r>
    </w:p>
    <w:p>
      <w:pPr>
        <w:spacing w:after="0" w:line="179" w:lineRule="exact"/>
        <w:rPr>
          <w:rFonts w:ascii="Arial" w:cs="Arial" w:eastAsia="Arial" w:hAnsi="Arial"/>
          <w:sz w:val="18"/>
          <w:szCs w:val="18"/>
          <w:color w:val="auto"/>
        </w:rPr>
      </w:pPr>
    </w:p>
    <w:p>
      <w:pPr>
        <w:ind w:right="40" w:firstLine="2600"/>
        <w:spacing w:after="0" w:line="268" w:lineRule="auto"/>
        <w:tabs>
          <w:tab w:leader="none" w:pos="29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issue, register the transfer of or exchange any Notes of such Series during a period beginning at the opening of business 15 days before the Company sends the notice of redemption under Section 3.3 of the Base Indenture or makes an Offer to Purchase and ending at the close of business on the day the notice is sent or the Offer to Purchase is made;</w:t>
      </w:r>
    </w:p>
    <w:p>
      <w:pPr>
        <w:spacing w:after="0" w:line="197" w:lineRule="exact"/>
        <w:rPr>
          <w:rFonts w:ascii="Arial" w:cs="Arial" w:eastAsia="Arial" w:hAnsi="Arial"/>
          <w:sz w:val="18"/>
          <w:szCs w:val="18"/>
          <w:color w:val="auto"/>
        </w:rPr>
      </w:pPr>
    </w:p>
    <w:p>
      <w:pPr>
        <w:ind w:right="80" w:firstLine="2600"/>
        <w:spacing w:after="0" w:line="268" w:lineRule="auto"/>
        <w:tabs>
          <w:tab w:leader="none" w:pos="2992"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register the transfer of or to exchange any Note of such Series so selected for redemption or subject to purchase in such Offer to Purchase in whole or in part, except the unredeemed portion of any Note of such Series being redeemed or purchased in part; or</w:t>
      </w:r>
    </w:p>
    <w:p>
      <w:pPr>
        <w:spacing w:after="0" w:line="197" w:lineRule="exact"/>
        <w:rPr>
          <w:rFonts w:ascii="Arial" w:cs="Arial" w:eastAsia="Arial" w:hAnsi="Arial"/>
          <w:sz w:val="18"/>
          <w:szCs w:val="18"/>
          <w:color w:val="auto"/>
        </w:rPr>
      </w:pPr>
    </w:p>
    <w:p>
      <w:pPr>
        <w:ind w:right="140" w:firstLine="2600"/>
        <w:spacing w:after="0" w:line="268" w:lineRule="auto"/>
        <w:tabs>
          <w:tab w:leader="none" w:pos="3032"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 the case of a redemption or a purchase date pursuant to an Offer to Purchase occurring after a regular record date but on or before the corresponding Interest Payment Date, register the transfer of or exchange a Note of such Series on or after the regular record date and before the date of redemption or purchase.</w:t>
      </w:r>
    </w:p>
    <w:p>
      <w:pPr>
        <w:spacing w:after="0" w:line="197" w:lineRule="exact"/>
        <w:rPr>
          <w:rFonts w:ascii="Arial" w:cs="Arial" w:eastAsia="Arial" w:hAnsi="Arial"/>
          <w:sz w:val="18"/>
          <w:szCs w:val="18"/>
          <w:color w:val="auto"/>
        </w:rPr>
      </w:pPr>
    </w:p>
    <w:p>
      <w:pPr>
        <w:ind w:right="20" w:firstLine="1952"/>
        <w:spacing w:after="0" w:line="262" w:lineRule="auto"/>
        <w:tabs>
          <w:tab w:leader="none" w:pos="23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(subject to the record date provisions hereof) interest on such Notes and for all other purposes, and none of the Trustee, any Agent or the Company will be affected by notice to the contrary.</w:t>
      </w:r>
    </w:p>
    <w:p>
      <w:pPr>
        <w:spacing w:after="0" w:line="203" w:lineRule="exact"/>
        <w:rPr>
          <w:rFonts w:ascii="Arial" w:cs="Arial" w:eastAsia="Arial" w:hAnsi="Arial"/>
          <w:sz w:val="18"/>
          <w:szCs w:val="18"/>
          <w:color w:val="auto"/>
        </w:rPr>
      </w:pPr>
    </w:p>
    <w:p>
      <w:pPr>
        <w:ind w:left="2360" w:hanging="408"/>
        <w:spacing w:after="0"/>
        <w:tabs>
          <w:tab w:leader="none" w:pos="2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Trustee will authenticate Global Notes and Definitive Notes in accordance with the provisions of Section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2.3 of the Base Indenture.</w:t>
      </w:r>
    </w:p>
    <w:p>
      <w:pPr>
        <w:spacing w:after="0" w:line="234" w:lineRule="exact"/>
        <w:rPr>
          <w:sz w:val="20"/>
          <w:szCs w:val="20"/>
          <w:color w:val="auto"/>
        </w:rPr>
      </w:pPr>
    </w:p>
    <w:p>
      <w:pPr>
        <w:ind w:left="2380" w:hanging="428"/>
        <w:spacing w:after="0"/>
        <w:tabs>
          <w:tab w:leader="none" w:pos="2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[Reserved].</w:t>
      </w:r>
    </w:p>
    <w:p>
      <w:pPr>
        <w:spacing w:after="0" w:line="252" w:lineRule="exact"/>
        <w:rPr>
          <w:rFonts w:ascii="Arial" w:cs="Arial" w:eastAsia="Arial" w:hAnsi="Arial"/>
          <w:sz w:val="18"/>
          <w:szCs w:val="18"/>
          <w:color w:val="auto"/>
        </w:rPr>
      </w:pPr>
    </w:p>
    <w:p>
      <w:pPr>
        <w:ind w:firstLine="1952"/>
        <w:spacing w:after="0" w:line="287" w:lineRule="auto"/>
        <w:tabs>
          <w:tab w:leader="none" w:pos="23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Officer’s Certificate or Opinion of Counsel required to be submitted to the Registrar pursuant to this Section 2.2 to effect a registration of transfer or exchange may be submitted by facsimile.</w:t>
      </w:r>
    </w:p>
    <w:p>
      <w:pPr>
        <w:spacing w:after="0" w:line="179" w:lineRule="exact"/>
        <w:rPr>
          <w:rFonts w:ascii="Arial" w:cs="Arial" w:eastAsia="Arial" w:hAnsi="Arial"/>
          <w:sz w:val="18"/>
          <w:szCs w:val="18"/>
          <w:color w:val="auto"/>
        </w:rPr>
      </w:pPr>
    </w:p>
    <w:p>
      <w:pPr>
        <w:ind w:right="80" w:firstLine="1952"/>
        <w:spacing w:after="0" w:line="259" w:lineRule="auto"/>
        <w:tabs>
          <w:tab w:leader="none" w:pos="246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Supplemental Indenture or under applicable law with respect to any transfer of any interest in any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spacing w:after="0" w:line="206" w:lineRule="exact"/>
        <w:rPr>
          <w:rFonts w:ascii="Arial" w:cs="Arial" w:eastAsia="Arial" w:hAnsi="Arial"/>
          <w:sz w:val="18"/>
          <w:szCs w:val="18"/>
          <w:color w:val="auto"/>
        </w:rPr>
      </w:pPr>
    </w:p>
    <w:p>
      <w:pPr>
        <w:ind w:left="2460" w:hanging="508"/>
        <w:spacing w:after="0"/>
        <w:tabs>
          <w:tab w:leader="none" w:pos="2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Neither the Trustee nor any Agent shall have any responsibility for any actions taken or not taken by the</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17" w:right="339" w:bottom="1440" w:gutter="0" w:footer="0" w:header="0"/>
        </w:sectPr>
      </w:pPr>
    </w:p>
    <w:bookmarkStart w:id="20" w:name="page21"/>
    <w:bookmarkEnd w:id="20"/>
    <w:p>
      <w:pPr>
        <w:ind w:left="660"/>
        <w:spacing w:after="0"/>
        <w:tabs>
          <w:tab w:leader="none" w:pos="178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8"/>
          <w:szCs w:val="18"/>
          <w:i w:val="1"/>
          <w:iCs w:val="1"/>
          <w:color w:val="auto"/>
        </w:rPr>
        <w:t>Issuance of Additional Notes.</w:t>
      </w:r>
    </w:p>
    <w:p>
      <w:pPr>
        <w:spacing w:after="0" w:line="252" w:lineRule="exact"/>
        <w:rPr>
          <w:sz w:val="20"/>
          <w:szCs w:val="20"/>
          <w:color w:val="auto"/>
        </w:rPr>
      </w:pPr>
    </w:p>
    <w:p>
      <w:pPr>
        <w:ind w:firstLine="1304"/>
        <w:spacing w:after="0" w:line="247" w:lineRule="auto"/>
        <w:tabs>
          <w:tab w:leader="none" w:pos="171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will be entitled, upon delivery of a Company Order, Officer’s Certificate and an Opinion of Counsel, to issue Additional 2028 Notes under this Supplemental Indenture which will have identical terms as the Initial 2028 Notes issued on the date hereof, other than with respect to the date of issuance and issue price and, if applicable, the first Interest Payment Date and the initial interest accrual date. The Initial 2028 Notes issued on the date hereof and any Additional 2028 Notes issued will be treated as a single Series for all purposes under this Supplemental Indenture.</w:t>
      </w:r>
    </w:p>
    <w:p>
      <w:pPr>
        <w:spacing w:after="0" w:line="217" w:lineRule="exact"/>
        <w:rPr>
          <w:rFonts w:ascii="Arial" w:cs="Arial" w:eastAsia="Arial" w:hAnsi="Arial"/>
          <w:sz w:val="18"/>
          <w:szCs w:val="18"/>
          <w:color w:val="auto"/>
        </w:rPr>
      </w:pPr>
    </w:p>
    <w:p>
      <w:pPr>
        <w:ind w:firstLine="1304"/>
        <w:spacing w:after="0" w:line="247" w:lineRule="auto"/>
        <w:tabs>
          <w:tab w:leader="none" w:pos="171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will be entitled, upon delivery of a Company Order, Officer’s Certificate and an Opinion of Counsel, to issue Additional 2033 Notes under this Supplemental Indenture which will have identical terms as the Initial 2033 Notes issued on the date hereof, other than with respect to the date of issuance and issue price and, if applicable, the first Interest Payment Date and the initial interest accrual date. The Initial 2033 Notes issued on the date hereof and any Additional 2033 Notes issued will be treated as a single Series for all purposes under this Supplemental Indenture.</w:t>
      </w:r>
    </w:p>
    <w:p>
      <w:pPr>
        <w:spacing w:after="0" w:line="203" w:lineRule="exact"/>
        <w:rPr>
          <w:rFonts w:ascii="Arial" w:cs="Arial" w:eastAsia="Arial" w:hAnsi="Arial"/>
          <w:sz w:val="18"/>
          <w:szCs w:val="18"/>
          <w:color w:val="auto"/>
        </w:rPr>
      </w:pPr>
    </w:p>
    <w:p>
      <w:pPr>
        <w:ind w:left="1720" w:hanging="416"/>
        <w:spacing w:after="0"/>
        <w:tabs>
          <w:tab w:leader="none" w:pos="1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respect to any Additional Notes, the Company will set forth in the Company Order, the following information:</w:t>
      </w:r>
    </w:p>
    <w:p>
      <w:pPr>
        <w:spacing w:after="0" w:line="252" w:lineRule="exact"/>
        <w:rPr>
          <w:rFonts w:ascii="Arial" w:cs="Arial" w:eastAsia="Arial" w:hAnsi="Arial"/>
          <w:sz w:val="18"/>
          <w:szCs w:val="18"/>
          <w:color w:val="auto"/>
        </w:rPr>
      </w:pPr>
    </w:p>
    <w:p>
      <w:pPr>
        <w:ind w:left="2960" w:hanging="360"/>
        <w:spacing w:after="0"/>
        <w:tabs>
          <w:tab w:leader="none" w:pos="2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aggregate principal amount of such Additional Notes to be authenticated and delivered pursuant to</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this Supplemental Indenture; and</w:t>
      </w:r>
    </w:p>
    <w:p>
      <w:pPr>
        <w:spacing w:after="0" w:line="234" w:lineRule="exact"/>
        <w:rPr>
          <w:rFonts w:ascii="Arial" w:cs="Arial" w:eastAsia="Arial" w:hAnsi="Arial"/>
          <w:sz w:val="18"/>
          <w:szCs w:val="18"/>
          <w:color w:val="auto"/>
        </w:rPr>
      </w:pPr>
    </w:p>
    <w:p>
      <w:pPr>
        <w:ind w:right="400" w:firstLine="2600"/>
        <w:spacing w:after="0" w:line="287" w:lineRule="auto"/>
        <w:tabs>
          <w:tab w:leader="none" w:pos="29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issue price, the issue date, the CUSIP number(s), the first Interest Payment Date and the initial interest accrual date of such Additional Notes.</w:t>
      </w:r>
    </w:p>
    <w:p>
      <w:pPr>
        <w:spacing w:after="0" w:line="179" w:lineRule="exact"/>
        <w:rPr>
          <w:rFonts w:ascii="Arial" w:cs="Arial" w:eastAsia="Arial" w:hAnsi="Arial"/>
          <w:sz w:val="18"/>
          <w:szCs w:val="18"/>
          <w:color w:val="auto"/>
        </w:rPr>
      </w:pPr>
    </w:p>
    <w:p>
      <w:pPr>
        <w:ind w:left="1720" w:hanging="416"/>
        <w:spacing w:after="0"/>
        <w:tabs>
          <w:tab w:leader="none" w:pos="1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the avoidance of doubt, the issuance of Additional Notes pursuant to this Section 2.3 is subject to Section 2.3 of the</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Base Indenture.</w:t>
      </w:r>
    </w:p>
    <w:p>
      <w:pPr>
        <w:spacing w:after="0" w:line="234" w:lineRule="exact"/>
        <w:rPr>
          <w:rFonts w:ascii="Arial" w:cs="Arial" w:eastAsia="Arial" w:hAnsi="Arial"/>
          <w:sz w:val="18"/>
          <w:szCs w:val="18"/>
          <w:color w:val="auto"/>
        </w:rPr>
      </w:pPr>
    </w:p>
    <w:p>
      <w:pPr>
        <w:ind w:right="300" w:firstLine="1304"/>
        <w:spacing w:after="0" w:line="271" w:lineRule="auto"/>
        <w:tabs>
          <w:tab w:leader="none" w:pos="170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Additional Notes of a Series issued pursuant to this Section 2.3 shall only bear the same CUSIP number as any existing Notes of such Series if they would be fungible for United States tax purposes with such existing Notes of that Series.</w:t>
      </w:r>
    </w:p>
    <w:p>
      <w:pPr>
        <w:spacing w:after="0" w:line="18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7"/>
          <w:szCs w:val="17"/>
          <w:i w:val="1"/>
          <w:iCs w:val="1"/>
          <w:color w:val="auto"/>
        </w:rPr>
        <w:t>Execution and Authentication.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least one Officer shall execute the Notes on behalf of the Company by manual, electronic or facsimile signature.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AND PREPAYMENT</w:t>
      </w:r>
    </w:p>
    <w:p>
      <w:pPr>
        <w:spacing w:after="0" w:line="23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7"/>
          <w:szCs w:val="17"/>
          <w:i w:val="1"/>
          <w:iCs w:val="1"/>
          <w:color w:val="auto"/>
        </w:rPr>
        <w:t>Optional Redemption.</w:t>
      </w:r>
    </w:p>
    <w:p>
      <w:pPr>
        <w:spacing w:after="0" w:line="252" w:lineRule="exact"/>
        <w:rPr>
          <w:sz w:val="20"/>
          <w:szCs w:val="20"/>
          <w:color w:val="auto"/>
        </w:rPr>
      </w:pPr>
    </w:p>
    <w:p>
      <w:pPr>
        <w:ind w:right="20" w:firstLine="1304"/>
        <w:spacing w:after="0" w:line="268" w:lineRule="auto"/>
        <w:tabs>
          <w:tab w:leader="none" w:pos="1716"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2028 Notes</w:t>
      </w:r>
      <w:r>
        <w:rPr>
          <w:rFonts w:ascii="Arial" w:cs="Arial" w:eastAsia="Arial" w:hAnsi="Arial"/>
          <w:sz w:val="18"/>
          <w:szCs w:val="18"/>
          <w:color w:val="auto"/>
        </w:rPr>
        <w:t>. Prior to the applicable Par Call Date, the Company may redeem the 2028 Notes at its option, in whole or in</w:t>
      </w:r>
      <w:r>
        <w:rPr>
          <w:rFonts w:ascii="Arial" w:cs="Arial" w:eastAsia="Arial" w:hAnsi="Arial"/>
          <w:sz w:val="18"/>
          <w:szCs w:val="18"/>
          <w:i w:val="1"/>
          <w:iCs w:val="1"/>
          <w:color w:val="auto"/>
        </w:rPr>
        <w:t xml:space="preserve"> </w:t>
      </w:r>
      <w:r>
        <w:rPr>
          <w:rFonts w:ascii="Arial" w:cs="Arial" w:eastAsia="Arial" w:hAnsi="Arial"/>
          <w:sz w:val="18"/>
          <w:szCs w:val="18"/>
          <w:color w:val="auto"/>
        </w:rPr>
        <w:t>part, at any time and from time to time, at a redemption price (expressed as a percentage of principal amount and rounded to three decimal places) equal to the greater of:</w:t>
      </w:r>
    </w:p>
    <w:p>
      <w:pPr>
        <w:spacing w:after="0" w:line="197" w:lineRule="exact"/>
        <w:rPr>
          <w:rFonts w:ascii="Arial" w:cs="Arial" w:eastAsia="Arial" w:hAnsi="Arial"/>
          <w:sz w:val="18"/>
          <w:szCs w:val="18"/>
          <w:color w:val="auto"/>
        </w:rPr>
      </w:pPr>
    </w:p>
    <w:p>
      <w:pPr>
        <w:ind w:left="2320" w:hanging="368"/>
        <w:spacing w:after="0"/>
        <w:tabs>
          <w:tab w:leader="none" w:pos="23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Remaining Scheduled Payments of the 2028 Notes to be redeemed, less interest accrued to the date of</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redemption; and</w:t>
      </w:r>
    </w:p>
    <w:p>
      <w:pPr>
        <w:spacing w:after="0" w:line="234" w:lineRule="exact"/>
        <w:rPr>
          <w:rFonts w:ascii="Arial" w:cs="Arial" w:eastAsia="Arial" w:hAnsi="Arial"/>
          <w:sz w:val="18"/>
          <w:szCs w:val="18"/>
          <w:color w:val="auto"/>
        </w:rPr>
      </w:pPr>
    </w:p>
    <w:p>
      <w:pPr>
        <w:ind w:left="2360" w:hanging="408"/>
        <w:spacing w:after="0"/>
        <w:tabs>
          <w:tab w:leader="none" w:pos="23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100% of the principal amount of such 2028 Notes to be redeemed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plus, in each case, accrued and unpaid interest, if any, on the amount being redeemed to, but excluding, the date of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17" w:right="339" w:bottom="1440" w:gutter="0" w:footer="0" w:header="0"/>
        </w:sectPr>
      </w:pPr>
    </w:p>
    <w:bookmarkStart w:id="21" w:name="page22"/>
    <w:bookmarkEnd w:id="21"/>
    <w:p>
      <w:pPr>
        <w:spacing w:after="0" w:line="22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or after the applicable Par Call Date, the Company may, at its option, redeem any 2028 Notes, in whole or in part, at any time and from time to time, at a redemption price equal to 100% of the principal amount of the 2028 Notes redeemed, plus accrued and unpaid interest thereon, if any, to, but excluding, the date of redemption.</w:t>
      </w:r>
    </w:p>
    <w:p>
      <w:pPr>
        <w:spacing w:after="0" w:line="198"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 xml:space="preserve">In connection with any redemption of the 2028 Notes, calculation of the redemption price therefor shall be made by the Company or on the Company’s behalf by such person as the Company shall designate;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calculation shall not be a duty or obligation of the Trustee or any Agent. Notwithstanding Section 3.3 of the Base Indenture, the notice of any redemption of the 2028 Notes pursuant to that Section in respect of a redemption date occurring prior to the maturity date of the 2028 Notes need not set forth the redemption price but only the manner of calculation thereof. Notice of any redemption will be mailed or electronically delivered (or otherwise transmitted in accordance with the Depositary’s procedures) at least 10 calendar days but not more than 60 calendar days prior to the redemption date to each Holder of the 2028 Notes to be redeemed (with a copy to the Trustee). Any redemption or notice of redemption may, at the Company’s discretion, be subject to one or more conditions precedent.</w:t>
      </w:r>
    </w:p>
    <w:p>
      <w:pPr>
        <w:spacing w:after="0" w:line="220" w:lineRule="exact"/>
        <w:rPr>
          <w:sz w:val="20"/>
          <w:szCs w:val="20"/>
          <w:color w:val="auto"/>
        </w:rPr>
      </w:pPr>
    </w:p>
    <w:p>
      <w:pPr>
        <w:ind w:right="140" w:firstLine="648"/>
        <w:spacing w:after="0" w:line="287" w:lineRule="auto"/>
        <w:rPr>
          <w:sz w:val="20"/>
          <w:szCs w:val="20"/>
          <w:color w:val="auto"/>
        </w:rPr>
      </w:pPr>
      <w:r>
        <w:rPr>
          <w:rFonts w:ascii="Arial" w:cs="Arial" w:eastAsia="Arial" w:hAnsi="Arial"/>
          <w:sz w:val="18"/>
          <w:szCs w:val="18"/>
          <w:color w:val="auto"/>
        </w:rPr>
        <w:t>Unless the Company defaults in payment of the redemption price, on and after the redemption date, interest will cease to accrue on the 2028 Notes or portions thereof called for redemption.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the case of a partial redemption of the 2028 Notes, selection of the 2028 Notes for redemption will be made </w:t>
      </w:r>
      <w:r>
        <w:rPr>
          <w:rFonts w:ascii="Arial" w:cs="Arial" w:eastAsia="Arial" w:hAnsi="Arial"/>
          <w:sz w:val="18"/>
          <w:szCs w:val="18"/>
          <w:i w:val="1"/>
          <w:iCs w:val="1"/>
          <w:color w:val="auto"/>
        </w:rPr>
        <w:t>pro rata</w:t>
      </w:r>
      <w:r>
        <w:rPr>
          <w:rFonts w:ascii="Arial" w:cs="Arial" w:eastAsia="Arial" w:hAnsi="Arial"/>
          <w:sz w:val="18"/>
          <w:szCs w:val="18"/>
          <w:color w:val="auto"/>
        </w:rPr>
        <w:t>, by lot or by</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such other method as the Trustee deems fair and appropriate (provided that if the 2028 Notes are represented by one or more Global Notes, the 2028 Notes shall be selected for redemption by the Depositary in accordance with its standard procedures therefor) and may provide for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selection for redemption of a portion of the principal amount of the 2028 Notes equal to an authorized denomination.</w:t>
      </w:r>
    </w:p>
    <w:p>
      <w:pPr>
        <w:spacing w:after="0" w:line="221" w:lineRule="exact"/>
        <w:rPr>
          <w:sz w:val="20"/>
          <w:szCs w:val="20"/>
          <w:color w:val="auto"/>
        </w:rPr>
      </w:pPr>
    </w:p>
    <w:p>
      <w:pPr>
        <w:ind w:right="380" w:firstLine="648"/>
        <w:spacing w:after="0" w:line="245" w:lineRule="auto"/>
        <w:rPr>
          <w:sz w:val="20"/>
          <w:szCs w:val="20"/>
          <w:color w:val="auto"/>
        </w:rPr>
      </w:pPr>
      <w:r>
        <w:rPr>
          <w:rFonts w:ascii="Arial" w:cs="Arial" w:eastAsia="Arial" w:hAnsi="Arial"/>
          <w:sz w:val="18"/>
          <w:szCs w:val="18"/>
          <w:color w:val="auto"/>
        </w:rPr>
        <w:t>No 2028 Notes of a principal amount of $2,000 or less will be redeemed in part. 2028 Notes in denominations larger than $2,000 may be redeemed in part but only in whole multiples of $1,000, unless all of the 2028 Notes held by a Holder are to be redeemed. If any</w:t>
      </w:r>
    </w:p>
    <w:p>
      <w:pPr>
        <w:jc w:val="both"/>
        <w:spacing w:after="0" w:line="259" w:lineRule="auto"/>
        <w:rPr>
          <w:sz w:val="20"/>
          <w:szCs w:val="20"/>
          <w:color w:val="auto"/>
        </w:rPr>
      </w:pPr>
      <w:r>
        <w:rPr>
          <w:rFonts w:ascii="Arial" w:cs="Arial" w:eastAsia="Arial" w:hAnsi="Arial"/>
          <w:sz w:val="17"/>
          <w:szCs w:val="17"/>
          <w:color w:val="auto"/>
        </w:rPr>
        <w:t>2028 Note is to be redeemed in part only, the notice of redemption that relates to such 2028 Note will state the portion of the principal amount of the 2028 Note to be redeemed. A new 2028 Note in a principal amount equal to the unredeemed portion of the 2028 Note will be issued in the name of the Holder of the 2028 Note upon surrender for cancellation of the original 2028 Note. For so long as the 2028 Notes are held by the Depositary, the redemption of the 2028 Notes shall be done in accordance with the policies and procedures of the Depositary.</w:t>
      </w:r>
    </w:p>
    <w:p>
      <w:pPr>
        <w:spacing w:after="0" w:line="205" w:lineRule="exact"/>
        <w:rPr>
          <w:sz w:val="20"/>
          <w:szCs w:val="20"/>
          <w:color w:val="auto"/>
        </w:rPr>
      </w:pPr>
    </w:p>
    <w:p>
      <w:pPr>
        <w:ind w:right="20" w:firstLine="1304"/>
        <w:spacing w:after="0" w:line="246" w:lineRule="auto"/>
        <w:tabs>
          <w:tab w:leader="none" w:pos="1716"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2033 Notes</w:t>
      </w:r>
      <w:r>
        <w:rPr>
          <w:rFonts w:ascii="Arial" w:cs="Arial" w:eastAsia="Arial" w:hAnsi="Arial"/>
          <w:sz w:val="18"/>
          <w:szCs w:val="18"/>
          <w:color w:val="auto"/>
        </w:rPr>
        <w:t>. Prior to the applicable Par Call Date, the Company may redeem the 2033 Notes at its option, in whole or in</w:t>
      </w:r>
      <w:r>
        <w:rPr>
          <w:rFonts w:ascii="Arial" w:cs="Arial" w:eastAsia="Arial" w:hAnsi="Arial"/>
          <w:sz w:val="18"/>
          <w:szCs w:val="18"/>
          <w:i w:val="1"/>
          <w:iCs w:val="1"/>
          <w:color w:val="auto"/>
        </w:rPr>
        <w:t xml:space="preserve"> </w:t>
      </w:r>
      <w:r>
        <w:rPr>
          <w:rFonts w:ascii="Arial" w:cs="Arial" w:eastAsia="Arial" w:hAnsi="Arial"/>
          <w:sz w:val="18"/>
          <w:szCs w:val="18"/>
          <w:color w:val="auto"/>
        </w:rPr>
        <w:t>part, at any time and from time to time, at a redemption price (expressed as a percentage of principal amount and rounded to three decimal places) equal to the greater of:</w:t>
      </w:r>
    </w:p>
    <w:p>
      <w:pPr>
        <w:spacing w:after="0" w:line="2" w:lineRule="exact"/>
        <w:rPr>
          <w:rFonts w:ascii="Arial" w:cs="Arial" w:eastAsia="Arial" w:hAnsi="Arial"/>
          <w:sz w:val="18"/>
          <w:szCs w:val="18"/>
          <w:color w:val="auto"/>
        </w:rPr>
      </w:pPr>
    </w:p>
    <w:p>
      <w:pPr>
        <w:ind w:left="2640" w:hanging="364"/>
        <w:spacing w:after="0"/>
        <w:tabs>
          <w:tab w:leader="none" w:pos="2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Remaining Scheduled Payments of the 2033 Notes to be redeemed, less interest accrued to the date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redemption; and</w:t>
      </w:r>
    </w:p>
    <w:p>
      <w:pPr>
        <w:spacing w:after="0" w:line="234" w:lineRule="exact"/>
        <w:rPr>
          <w:sz w:val="20"/>
          <w:szCs w:val="20"/>
          <w:color w:val="auto"/>
        </w:rPr>
      </w:pPr>
    </w:p>
    <w:p>
      <w:pPr>
        <w:ind w:left="2720" w:hanging="444"/>
        <w:spacing w:after="0"/>
        <w:tabs>
          <w:tab w:leader="none" w:pos="2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100% of the principal amount of such 2033 Notes to be redeemed</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plus, in each case, accrued and unpaid interest, if any, on the amount being redeemed to, but excluding, the date of redemption.</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or after the applicable Par Call Date, the Company may, at its option, redeem any 2033 Notes, in whole or in part, at any time and from time to time, at a redemption price equal to 100% of the principal amount of the 2033 Notes redeemed, plus accrued and unpaid interest thereon, if any, to, but excluding, the date of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22" w:name="page23"/>
    <w:bookmarkEnd w:id="22"/>
    <w:p>
      <w:pPr>
        <w:ind w:right="140" w:firstLine="648"/>
        <w:spacing w:after="0" w:line="238" w:lineRule="auto"/>
        <w:rPr>
          <w:sz w:val="20"/>
          <w:szCs w:val="20"/>
          <w:color w:val="auto"/>
        </w:rPr>
      </w:pPr>
      <w:r>
        <w:rPr>
          <w:rFonts w:ascii="Arial" w:cs="Arial" w:eastAsia="Arial" w:hAnsi="Arial"/>
          <w:sz w:val="18"/>
          <w:szCs w:val="18"/>
          <w:color w:val="auto"/>
        </w:rPr>
        <w:t xml:space="preserve">In connection with any redemption of the 2033 Notes, calculation of the redemption price therefor shall be made by the Company or on the Company’s behalf by such person as the Company shall designate;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calculation shall not be a duty or obligation of the Trustee or any Agent. Notwithstanding Section 3.3 of the Base Indenture, the notice of any redemption of the 2033 Notes pursuant to that Section in respect of a redemption date occurring prior to the maturity date of the 2033 Notes need not set forth the redemption price but only the manner of calculation thereof. Notice of any redemption will be mailed or electronically delivered (or otherwise transmitted in accordance with the Depositary’s procedures) at least 10 calendar days but not more than 60 calendar days prior to the</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redemption date to each Holder of the 2033 Notes to be redeemed (with a copy to the Trustee). Any redemption or notice of redemption may, at the Company’s discretion, be subject to one or more conditions precedent.</w:t>
      </w:r>
    </w:p>
    <w:p>
      <w:pPr>
        <w:spacing w:after="0" w:line="208" w:lineRule="exact"/>
        <w:rPr>
          <w:sz w:val="20"/>
          <w:szCs w:val="20"/>
          <w:color w:val="auto"/>
        </w:rPr>
      </w:pPr>
    </w:p>
    <w:p>
      <w:pPr>
        <w:ind w:right="140" w:firstLine="648"/>
        <w:spacing w:after="0" w:line="271" w:lineRule="auto"/>
        <w:rPr>
          <w:sz w:val="20"/>
          <w:szCs w:val="20"/>
          <w:color w:val="auto"/>
        </w:rPr>
      </w:pPr>
      <w:r>
        <w:rPr>
          <w:rFonts w:ascii="Arial" w:cs="Arial" w:eastAsia="Arial" w:hAnsi="Arial"/>
          <w:sz w:val="18"/>
          <w:szCs w:val="18"/>
          <w:color w:val="auto"/>
        </w:rPr>
        <w:t>Unless the Company defaults in payment of the redemption price, on and after the redemption date, interest will cease to accrue on the 2033 Notes or portions thereof called for redemption.</w:t>
      </w:r>
    </w:p>
    <w:p>
      <w:pPr>
        <w:spacing w:after="0" w:line="181" w:lineRule="exact"/>
        <w:rPr>
          <w:sz w:val="20"/>
          <w:szCs w:val="20"/>
          <w:color w:val="auto"/>
        </w:rPr>
      </w:pPr>
    </w:p>
    <w:p>
      <w:pPr>
        <w:ind w:right="60" w:firstLine="648"/>
        <w:spacing w:after="0" w:line="247" w:lineRule="auto"/>
        <w:rPr>
          <w:sz w:val="20"/>
          <w:szCs w:val="20"/>
          <w:color w:val="auto"/>
        </w:rPr>
      </w:pPr>
      <w:r>
        <w:rPr>
          <w:rFonts w:ascii="Arial" w:cs="Arial" w:eastAsia="Arial" w:hAnsi="Arial"/>
          <w:sz w:val="18"/>
          <w:szCs w:val="18"/>
          <w:color w:val="auto"/>
        </w:rPr>
        <w:t xml:space="preserve">In the case of a partial redemption of the 2033 Notes, selection of the 2033 Notes for redemption will be made </w:t>
      </w:r>
      <w:r>
        <w:rPr>
          <w:rFonts w:ascii="Arial" w:cs="Arial" w:eastAsia="Arial" w:hAnsi="Arial"/>
          <w:sz w:val="18"/>
          <w:szCs w:val="18"/>
          <w:i w:val="1"/>
          <w:iCs w:val="1"/>
          <w:color w:val="auto"/>
        </w:rPr>
        <w:t>pro rata</w:t>
      </w:r>
      <w:r>
        <w:rPr>
          <w:rFonts w:ascii="Arial" w:cs="Arial" w:eastAsia="Arial" w:hAnsi="Arial"/>
          <w:sz w:val="18"/>
          <w:szCs w:val="18"/>
          <w:color w:val="auto"/>
        </w:rPr>
        <w:t>, by lot or by such other method as the Trustee deems fair and appropriate (provided that if the 2033 Notes are represented by one or more Global Notes, the 2033 Notes shall be selected for redemption by the Depositary in accordance with its standard procedures therefor) and may provide for the selection for redemption of a portion of the principal amount of the 2033 Notes equal to an authorized denomination.</w:t>
      </w:r>
    </w:p>
    <w:p>
      <w:pPr>
        <w:spacing w:after="0" w:line="201" w:lineRule="exact"/>
        <w:rPr>
          <w:sz w:val="20"/>
          <w:szCs w:val="20"/>
          <w:color w:val="auto"/>
        </w:rPr>
      </w:pPr>
    </w:p>
    <w:p>
      <w:pPr>
        <w:ind w:right="380" w:firstLine="648"/>
        <w:spacing w:after="0" w:line="245" w:lineRule="auto"/>
        <w:rPr>
          <w:sz w:val="20"/>
          <w:szCs w:val="20"/>
          <w:color w:val="auto"/>
        </w:rPr>
      </w:pPr>
      <w:r>
        <w:rPr>
          <w:rFonts w:ascii="Arial" w:cs="Arial" w:eastAsia="Arial" w:hAnsi="Arial"/>
          <w:sz w:val="18"/>
          <w:szCs w:val="18"/>
          <w:color w:val="auto"/>
        </w:rPr>
        <w:t>No 2033 Notes of a principal amount of $2,000 or less will be redeemed in part. 2033 Notes in denominations larger than $2,000 may be redeemed in part but only in whole multiples of $1,000, unless all of the 2033 Notes held by a Holder are to be redeemed. If any</w:t>
      </w:r>
    </w:p>
    <w:p>
      <w:pPr>
        <w:jc w:val="both"/>
        <w:spacing w:after="0" w:line="259" w:lineRule="auto"/>
        <w:rPr>
          <w:sz w:val="20"/>
          <w:szCs w:val="20"/>
          <w:color w:val="auto"/>
        </w:rPr>
      </w:pPr>
      <w:r>
        <w:rPr>
          <w:rFonts w:ascii="Arial" w:cs="Arial" w:eastAsia="Arial" w:hAnsi="Arial"/>
          <w:sz w:val="17"/>
          <w:szCs w:val="17"/>
          <w:color w:val="auto"/>
        </w:rPr>
        <w:t>2033 Note is to be redeemed in part only, the notice of redemption that relates to such 2033 Note will state the portion of the principal amount of the 2033 Note to be redeemed. A new 2033 Note in a principal amount equal to the unredeemed portion of the 2033 Note will be issued in the name of the Holder of the 2033 Note upon surrender for cancellation of the original 2033 Note. For so long as the 2033 Notes are held by the Depositary, the redemption of the 2033 Notes shall be done in accordance with the policies and procedures of the Depositary.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Mandatory Redemption.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not required to make any mandatory redemption or sinking fund payments with respect to the Notes.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PARTICULAR COVENANTS</w:t>
      </w:r>
    </w:p>
    <w:p>
      <w:pPr>
        <w:spacing w:after="0" w:line="23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7"/>
          <w:szCs w:val="17"/>
          <w:i w:val="1"/>
          <w:iCs w:val="1"/>
          <w:color w:val="auto"/>
        </w:rPr>
        <w:t>Offer to Purchase Upon Change of Control Triggering Event.</w:t>
      </w:r>
    </w:p>
    <w:p>
      <w:pPr>
        <w:spacing w:after="0" w:line="252" w:lineRule="exact"/>
        <w:rPr>
          <w:sz w:val="20"/>
          <w:szCs w:val="20"/>
          <w:color w:val="auto"/>
        </w:rPr>
      </w:pPr>
    </w:p>
    <w:p>
      <w:pPr>
        <w:ind w:right="20" w:firstLine="1304"/>
        <w:spacing w:after="0" w:line="244" w:lineRule="auto"/>
        <w:tabs>
          <w:tab w:leader="none" w:pos="171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 Change of Control Triggering Event occurs with respect to a Series of Notes hereunder, unless the Company has exercised its option to redeem all Notes of such Series in full pursuant to Section 3.1 or has defeased such Series of the Notes or satisfied and discharged such Series of Notes, the Company shall be required to make an offer (an “</w:t>
      </w:r>
      <w:r>
        <w:rPr>
          <w:rFonts w:ascii="Arial" w:cs="Arial" w:eastAsia="Arial" w:hAnsi="Arial"/>
          <w:sz w:val="18"/>
          <w:szCs w:val="18"/>
          <w:b w:val="1"/>
          <w:bCs w:val="1"/>
          <w:i w:val="1"/>
          <w:iCs w:val="1"/>
          <w:color w:val="auto"/>
        </w:rPr>
        <w:t>Offer to Purchase</w:t>
      </w:r>
      <w:r>
        <w:rPr>
          <w:rFonts w:ascii="Arial" w:cs="Arial" w:eastAsia="Arial" w:hAnsi="Arial"/>
          <w:sz w:val="18"/>
          <w:szCs w:val="18"/>
          <w:color w:val="auto"/>
        </w:rPr>
        <w:t>”) to each Holder of such Series of Notes to purchase all or any part (equal to $2,000 and in integral multiples of $1,000 in excess thereof) of that Holder’s Notes of such Series pursuant to the offer set forth below. In an Offer to Purchase, the Company shall be required to offer payment in cash equal to 101% of the aggregate principal amount of the Notes, plus accrued and unpaid interest, if any, to, but excluding, the date of purchase of such Notes (a “</w:t>
      </w:r>
      <w:r>
        <w:rPr>
          <w:rFonts w:ascii="Arial" w:cs="Arial" w:eastAsia="Arial" w:hAnsi="Arial"/>
          <w:sz w:val="18"/>
          <w:szCs w:val="18"/>
          <w:b w:val="1"/>
          <w:bCs w:val="1"/>
          <w:i w:val="1"/>
          <w:iCs w:val="1"/>
          <w:color w:val="auto"/>
        </w:rPr>
        <w:t>Change of Control Purchase Price</w:t>
      </w:r>
      <w:r>
        <w:rPr>
          <w:rFonts w:ascii="Arial" w:cs="Arial" w:eastAsia="Arial" w:hAnsi="Arial"/>
          <w:sz w:val="18"/>
          <w:szCs w:val="18"/>
          <w:color w:val="auto"/>
        </w:rPr>
        <w:t>”). Not later than 60 days following any Change of Control Triggering Event with respect to a Series of Notes, the Company shall deliver or cause to be delivered (or if the Notes of such Series are represented by one or more Global Notes, transmitted in accordance with the Depositary’s standard procedures therefor) a notice to Holders of such Series of Notes describing the transaction that constitutes or may constitute the Change of Control Triggering Event and offering to purchase such Notes on the date specified in the notice, which date shall be no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03" w:right="339" w:bottom="1440" w:gutter="0" w:footer="0" w:header="0"/>
        </w:sectPr>
      </w:pPr>
    </w:p>
    <w:bookmarkStart w:id="23" w:name="page24"/>
    <w:bookmarkEnd w:id="23"/>
    <w:p>
      <w:pPr>
        <w:ind w:right="40"/>
        <w:spacing w:after="0" w:line="247" w:lineRule="auto"/>
        <w:rPr>
          <w:sz w:val="20"/>
          <w:szCs w:val="20"/>
          <w:color w:val="auto"/>
        </w:rPr>
      </w:pPr>
      <w:r>
        <w:rPr>
          <w:rFonts w:ascii="Arial" w:cs="Arial" w:eastAsia="Arial" w:hAnsi="Arial"/>
          <w:sz w:val="18"/>
          <w:szCs w:val="18"/>
          <w:color w:val="auto"/>
        </w:rPr>
        <w:t>than 30 days and no later than 60 days after the date such notice is delivered or transmitted (a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and a settlement date for purchase (a “</w:t>
      </w:r>
      <w:r>
        <w:rPr>
          <w:rFonts w:ascii="Arial" w:cs="Arial" w:eastAsia="Arial" w:hAnsi="Arial"/>
          <w:sz w:val="18"/>
          <w:szCs w:val="18"/>
          <w:b w:val="1"/>
          <w:bCs w:val="1"/>
          <w:i w:val="1"/>
          <w:iCs w:val="1"/>
          <w:color w:val="auto"/>
        </w:rPr>
        <w:t>Change of Control Purchase Date</w:t>
      </w:r>
      <w:r>
        <w:rPr>
          <w:rFonts w:ascii="Arial" w:cs="Arial" w:eastAsia="Arial" w:hAnsi="Arial"/>
          <w:sz w:val="18"/>
          <w:szCs w:val="18"/>
          <w:color w:val="auto"/>
        </w:rPr>
        <w:t>”) for such Offer to Purchase of not more than five Business Days after the Expiration Date. The notice shall also contain instructions and materials necessary to enable Holders to tender Notes pursuant to the offer. The notice shall, if delivered or transmitted prior to the date of consummation of the Change of Control, state that the offer to purchase is conditioned on the Change of Control Triggering Event occurring on or prior to the Change of Control Purchase Date.</w:t>
      </w:r>
    </w:p>
    <w:p>
      <w:pPr>
        <w:spacing w:after="0" w:line="217" w:lineRule="exact"/>
        <w:rPr>
          <w:sz w:val="20"/>
          <w:szCs w:val="20"/>
          <w:color w:val="auto"/>
        </w:rPr>
      </w:pPr>
    </w:p>
    <w:p>
      <w:pPr>
        <w:ind w:left="1720" w:hanging="416"/>
        <w:spacing w:after="0"/>
        <w:tabs>
          <w:tab w:leader="none" w:pos="1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notice shall also state:</w:t>
      </w:r>
    </w:p>
    <w:p>
      <w:pPr>
        <w:spacing w:after="0" w:line="252" w:lineRule="exact"/>
        <w:rPr>
          <w:rFonts w:ascii="Arial" w:cs="Arial" w:eastAsia="Arial" w:hAnsi="Arial"/>
          <w:sz w:val="18"/>
          <w:szCs w:val="18"/>
          <w:color w:val="auto"/>
        </w:rPr>
      </w:pPr>
    </w:p>
    <w:p>
      <w:pPr>
        <w:ind w:right="20" w:firstLine="1871"/>
        <w:spacing w:after="0" w:line="287" w:lineRule="auto"/>
        <w:tabs>
          <w:tab w:leader="none" w:pos="2283"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that the Offer to Purchase is being made pursuant to this Section 4.1 and that all Notes of such Series or portion of such Notes validly tendered and not withdrawn will be accepted for payment;</w:t>
      </w:r>
    </w:p>
    <w:p>
      <w:pPr>
        <w:spacing w:after="0" w:line="179" w:lineRule="exact"/>
        <w:rPr>
          <w:rFonts w:ascii="Arial" w:cs="Arial" w:eastAsia="Arial" w:hAnsi="Arial"/>
          <w:sz w:val="18"/>
          <w:szCs w:val="18"/>
          <w:color w:val="auto"/>
        </w:rPr>
      </w:pPr>
    </w:p>
    <w:p>
      <w:pPr>
        <w:ind w:left="2300" w:hanging="429"/>
        <w:spacing w:after="0"/>
        <w:tabs>
          <w:tab w:leader="none" w:pos="2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Change of Control Purchase Price and the Change of Control Purchase Date;</w:t>
      </w:r>
    </w:p>
    <w:p>
      <w:pPr>
        <w:spacing w:after="0" w:line="252" w:lineRule="exact"/>
        <w:rPr>
          <w:rFonts w:ascii="Arial" w:cs="Arial" w:eastAsia="Arial" w:hAnsi="Arial"/>
          <w:sz w:val="18"/>
          <w:szCs w:val="18"/>
          <w:color w:val="auto"/>
        </w:rPr>
      </w:pPr>
    </w:p>
    <w:p>
      <w:pPr>
        <w:ind w:left="2300" w:hanging="429"/>
        <w:spacing w:after="0"/>
        <w:tabs>
          <w:tab w:leader="none" w:pos="2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that any Note of such Series not tendered will continue to accrue interest;</w:t>
      </w:r>
    </w:p>
    <w:p>
      <w:pPr>
        <w:spacing w:after="0" w:line="252" w:lineRule="exact"/>
        <w:rPr>
          <w:rFonts w:ascii="Arial" w:cs="Arial" w:eastAsia="Arial" w:hAnsi="Arial"/>
          <w:sz w:val="18"/>
          <w:szCs w:val="18"/>
          <w:color w:val="auto"/>
        </w:rPr>
      </w:pPr>
    </w:p>
    <w:p>
      <w:pPr>
        <w:ind w:right="80" w:firstLine="1871"/>
        <w:spacing w:after="0" w:line="262" w:lineRule="auto"/>
        <w:tabs>
          <w:tab w:leader="none" w:pos="2283"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that any Note accepted for payment pursuant to the Offer to Purchase shall cease to accrue interest after the Change of Control Purchase Date unless the Company shall default in the payment of the Change of Control Purchase Price of the Notes of such Series and the only remaining right of the Holder is to receive payment of the Change of Control Purchase Price upon surrender of the Notes of such Series to the Paying Agent;</w:t>
      </w:r>
    </w:p>
    <w:p>
      <w:pPr>
        <w:spacing w:after="0" w:line="203" w:lineRule="exact"/>
        <w:rPr>
          <w:rFonts w:ascii="Arial" w:cs="Arial" w:eastAsia="Arial" w:hAnsi="Arial"/>
          <w:sz w:val="18"/>
          <w:szCs w:val="18"/>
          <w:color w:val="auto"/>
        </w:rPr>
      </w:pPr>
    </w:p>
    <w:p>
      <w:pPr>
        <w:jc w:val="both"/>
        <w:ind w:firstLine="1871"/>
        <w:spacing w:after="0" w:line="268" w:lineRule="auto"/>
        <w:tabs>
          <w:tab w:leader="none" w:pos="2283"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that Holders electing to have a portion of a Note of such Series purchased pursuant to an Offer to Purchase may only elect to have such Note purchased in a minimum principal amount of $2,000 and integral multiples of $1,000 in excess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unrepurchased portion of a Note must be in a minimum principal amount of $2,000;</w:t>
      </w:r>
    </w:p>
    <w:p>
      <w:pPr>
        <w:spacing w:after="0" w:line="197" w:lineRule="exact"/>
        <w:rPr>
          <w:rFonts w:ascii="Arial" w:cs="Arial" w:eastAsia="Arial" w:hAnsi="Arial"/>
          <w:sz w:val="18"/>
          <w:szCs w:val="18"/>
          <w:color w:val="auto"/>
        </w:rPr>
      </w:pPr>
    </w:p>
    <w:p>
      <w:pPr>
        <w:ind w:right="20" w:firstLine="1871"/>
        <w:spacing w:after="0" w:line="262" w:lineRule="auto"/>
        <w:tabs>
          <w:tab w:leader="none" w:pos="2283"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that if a Holder elects to have a Note of such Series purchased pursuant to the Offer to Purchase such Holder will be required to surrender such Note, with the form entitled “Option of Holder to Elect Purchase” on the reverse of such Note completed, or transfer by book-entry transfer, to the Paying Agent at the address specified in the notice prior to the close of business on the third Business Day prior to the Change of Control Purchase Date, or, in the case of Global Notes, in accordance with the Applicable Procedures;</w:t>
      </w:r>
    </w:p>
    <w:p>
      <w:pPr>
        <w:spacing w:after="0" w:line="203" w:lineRule="exact"/>
        <w:rPr>
          <w:rFonts w:ascii="Arial" w:cs="Arial" w:eastAsia="Arial" w:hAnsi="Arial"/>
          <w:sz w:val="18"/>
          <w:szCs w:val="18"/>
          <w:color w:val="auto"/>
        </w:rPr>
      </w:pPr>
    </w:p>
    <w:p>
      <w:pPr>
        <w:ind w:firstLine="1871"/>
        <w:spacing w:after="0" w:line="268" w:lineRule="auto"/>
        <w:tabs>
          <w:tab w:leader="none" w:pos="2283"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that a Holder will be entitled to withdraw its election if the Company receives, not later than the close of business on the Expiration Date, a facsimile transmission or letter setting forth the name of such Holder, the principal amount of Notes such Holder delivered for purchase, and a statement that such Holder is withdrawing its election to have such Note purchased; and</w:t>
      </w:r>
    </w:p>
    <w:p>
      <w:pPr>
        <w:spacing w:after="0" w:line="197" w:lineRule="exact"/>
        <w:rPr>
          <w:rFonts w:ascii="Arial" w:cs="Arial" w:eastAsia="Arial" w:hAnsi="Arial"/>
          <w:sz w:val="18"/>
          <w:szCs w:val="18"/>
          <w:color w:val="auto"/>
        </w:rPr>
      </w:pPr>
    </w:p>
    <w:p>
      <w:pPr>
        <w:ind w:firstLine="1871"/>
        <w:spacing w:after="0" w:line="287" w:lineRule="auto"/>
        <w:tabs>
          <w:tab w:leader="none" w:pos="2283"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that if Notes of such Series are purchased only in part by the Company, a new Note of the same Series and type will be issued in principal amount equal to the unpurchased portion of the Notes surrendered.</w:t>
      </w:r>
    </w:p>
    <w:p>
      <w:pPr>
        <w:spacing w:after="0" w:line="179" w:lineRule="exact"/>
        <w:rPr>
          <w:rFonts w:ascii="Arial" w:cs="Arial" w:eastAsia="Arial" w:hAnsi="Arial"/>
          <w:sz w:val="18"/>
          <w:szCs w:val="18"/>
          <w:color w:val="auto"/>
        </w:rPr>
      </w:pPr>
    </w:p>
    <w:p>
      <w:pPr>
        <w:ind w:left="1720" w:hanging="416"/>
        <w:spacing w:after="0"/>
        <w:tabs>
          <w:tab w:leader="none" w:pos="1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the Change of Control Purchase Date, the Company shall, to the extent lawful:</w:t>
      </w:r>
    </w:p>
    <w:p>
      <w:pPr>
        <w:spacing w:after="0" w:line="252" w:lineRule="exact"/>
        <w:rPr>
          <w:rFonts w:ascii="Arial" w:cs="Arial" w:eastAsia="Arial" w:hAnsi="Arial"/>
          <w:sz w:val="18"/>
          <w:szCs w:val="18"/>
          <w:color w:val="auto"/>
        </w:rPr>
      </w:pPr>
    </w:p>
    <w:p>
      <w:pPr>
        <w:ind w:left="2300" w:hanging="429"/>
        <w:spacing w:after="0"/>
        <w:tabs>
          <w:tab w:leader="none" w:pos="2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accept for payment all Notes of the applicable Series or portions of such Notes properly tendered pursuant to</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Offer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417" w:right="359" w:bottom="1440" w:gutter="0" w:footer="0" w:header="0"/>
        </w:sectPr>
      </w:pPr>
    </w:p>
    <w:bookmarkStart w:id="24" w:name="page25"/>
    <w:bookmarkEnd w:id="24"/>
    <w:p>
      <w:pPr>
        <w:ind w:left="-20" w:right="100" w:firstLine="1871"/>
        <w:spacing w:after="0" w:line="287" w:lineRule="auto"/>
        <w:tabs>
          <w:tab w:leader="none" w:pos="2263"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Purchase Price in respect of all Notes of the applicable Series or portions of such Notes properly tendered; and</w:t>
      </w:r>
    </w:p>
    <w:p>
      <w:pPr>
        <w:spacing w:after="0" w:line="179" w:lineRule="exact"/>
        <w:rPr>
          <w:rFonts w:ascii="Arial" w:cs="Arial" w:eastAsia="Arial" w:hAnsi="Arial"/>
          <w:sz w:val="18"/>
          <w:szCs w:val="18"/>
          <w:color w:val="auto"/>
        </w:rPr>
      </w:pPr>
    </w:p>
    <w:p>
      <w:pPr>
        <w:ind w:left="-20" w:right="340" w:firstLine="1871"/>
        <w:spacing w:after="0" w:line="287" w:lineRule="auto"/>
        <w:tabs>
          <w:tab w:leader="none" w:pos="2263"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of the applicable Series properly accepted together with an Officer’s Certificate stating the aggregate principal amount of such Notes or portions of such Notes being repurchased.</w:t>
      </w:r>
    </w:p>
    <w:p>
      <w:pPr>
        <w:spacing w:after="0" w:line="179" w:lineRule="exact"/>
        <w:rPr>
          <w:rFonts w:ascii="Arial" w:cs="Arial" w:eastAsia="Arial" w:hAnsi="Arial"/>
          <w:sz w:val="18"/>
          <w:szCs w:val="18"/>
          <w:color w:val="auto"/>
        </w:rPr>
      </w:pPr>
    </w:p>
    <w:p>
      <w:pPr>
        <w:ind w:left="-20" w:right="60" w:firstLine="1304"/>
        <w:spacing w:after="0" w:line="268" w:lineRule="auto"/>
        <w:tabs>
          <w:tab w:leader="none" w:pos="16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the Change of Control Purchase Date the Change of Control Purchase Price will become due and payable on each Note accepted for purchase pursuant to the Offer to Purchase, and, unless the Company defaults in the payment of the Change of Control Purchase Price, interest on Notes purchased will cease to accrue on and after the Change of Control Purchase Date.</w:t>
      </w:r>
    </w:p>
    <w:p>
      <w:pPr>
        <w:spacing w:after="0" w:line="197" w:lineRule="exact"/>
        <w:rPr>
          <w:rFonts w:ascii="Arial" w:cs="Arial" w:eastAsia="Arial" w:hAnsi="Arial"/>
          <w:sz w:val="18"/>
          <w:szCs w:val="18"/>
          <w:color w:val="auto"/>
        </w:rPr>
      </w:pPr>
    </w:p>
    <w:p>
      <w:pPr>
        <w:ind w:left="-20" w:right="120" w:firstLine="1304"/>
        <w:spacing w:after="0" w:line="259" w:lineRule="auto"/>
        <w:tabs>
          <w:tab w:leader="none" w:pos="16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shall not be required to make an Offer to Purchase upon the occurrence of a Change of Control Triggering Event with respect to Notes of a particular Series if (i) a third party makes such an offer in the manner, at the times and otherwise in compliance with the requirements for an offer made by the Company and the third party purchases all Notes of the applicable Series validly tendered and not withdrawn under its offer or (ii) the Company has sent a notice of redemption pursuant to Section 3.1 of this Supplemental Indenture.</w:t>
      </w:r>
    </w:p>
    <w:p>
      <w:pPr>
        <w:spacing w:after="0" w:line="206" w:lineRule="exact"/>
        <w:rPr>
          <w:rFonts w:ascii="Arial" w:cs="Arial" w:eastAsia="Arial" w:hAnsi="Arial"/>
          <w:sz w:val="18"/>
          <w:szCs w:val="18"/>
          <w:color w:val="auto"/>
        </w:rPr>
      </w:pPr>
    </w:p>
    <w:p>
      <w:pPr>
        <w:ind w:left="-20" w:right="120" w:firstLine="1304"/>
        <w:spacing w:after="0" w:line="259" w:lineRule="auto"/>
        <w:tabs>
          <w:tab w:leader="none" w:pos="16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shall comply with the requirements of Rule 14e-1 under the Exchange Act and all other applicable laws and regulations thereunder to the extent such securities laws and regulations are applicable in connection with the repurchase of the Notes of the applicable Series as a result of a Change of Control Triggering Event. To the extent that the provisions of any such securities laws or regulations conflict with the provisions under this Section 4.1, the Company shall comply with such securities laws and regulations and shall not be deemed to have breached its obligations under this Section 4.1 or the Notes by virtue of any such conflict.</w:t>
      </w:r>
    </w:p>
    <w:p>
      <w:pPr>
        <w:spacing w:after="0" w:line="206" w:lineRule="exact"/>
        <w:rPr>
          <w:rFonts w:ascii="Arial" w:cs="Arial" w:eastAsia="Arial" w:hAnsi="Arial"/>
          <w:sz w:val="18"/>
          <w:szCs w:val="18"/>
          <w:color w:val="auto"/>
        </w:rPr>
      </w:pPr>
    </w:p>
    <w:p>
      <w:pPr>
        <w:ind w:left="-20" w:firstLine="1304"/>
        <w:spacing w:after="0" w:line="268" w:lineRule="auto"/>
        <w:tabs>
          <w:tab w:leader="none" w:pos="16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this Section 4.1,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97" w:lineRule="exact"/>
        <w:rPr>
          <w:rFonts w:ascii="Arial" w:cs="Arial" w:eastAsia="Arial" w:hAnsi="Arial"/>
          <w:sz w:val="18"/>
          <w:szCs w:val="18"/>
          <w:color w:val="auto"/>
        </w:rPr>
      </w:pPr>
    </w:p>
    <w:p>
      <w:pPr>
        <w:ind w:left="-20" w:right="60" w:firstLine="1304"/>
        <w:spacing w:after="0" w:line="318" w:lineRule="auto"/>
        <w:tabs>
          <w:tab w:leader="none" w:pos="16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 Notes of $2,000 or less can be repurchased in part pursuant to this Section 4.1. Notes in denominations larger than $2,000 may be repurchased in part but only in whole multiples of $1,000, unless all of the Notes held by a Holder are to be repurchased.</w:t>
      </w:r>
    </w:p>
    <w:p>
      <w:pPr>
        <w:spacing w:after="0" w:line="156" w:lineRule="exact"/>
        <w:rPr>
          <w:rFonts w:ascii="Arial" w:cs="Arial" w:eastAsia="Arial" w:hAnsi="Arial"/>
          <w:sz w:val="17"/>
          <w:szCs w:val="17"/>
          <w:color w:val="auto"/>
        </w:rPr>
      </w:pPr>
    </w:p>
    <w:p>
      <w:pPr>
        <w:ind w:left="-20" w:firstLine="1304"/>
        <w:spacing w:after="0" w:line="255" w:lineRule="auto"/>
        <w:tabs>
          <w:tab w:leader="none" w:pos="1486"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Holders of not less than 90% in aggregate principal amount of the outstanding Notes of a Series validly tender and do not withdraw such Notes in an Offer to Purchase and the Company, or any third party approved in writing by the Company making an Offer to Purchase in lieu of the Company pursuant to Section 4.1(e) above, purchases all of the Notes of such Series validly tendered and not withdrawn by such 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of such Series that remain outstanding following such purchase on a date (the “</w:t>
      </w:r>
      <w:r>
        <w:rPr>
          <w:rFonts w:ascii="Arial" w:cs="Arial" w:eastAsia="Arial" w:hAnsi="Arial"/>
          <w:sz w:val="18"/>
          <w:szCs w:val="18"/>
          <w:b w:val="1"/>
          <w:bCs w:val="1"/>
          <w:i w:val="1"/>
          <w:i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Change of Control Purchase Date</w:t>
      </w:r>
      <w:r>
        <w:rPr>
          <w:rFonts w:ascii="Arial" w:cs="Arial" w:eastAsia="Arial" w:hAnsi="Arial"/>
          <w:sz w:val="18"/>
          <w:szCs w:val="18"/>
          <w:color w:val="auto"/>
        </w:rPr>
        <w:t>”) at a purchase price equal to 101% of the principal amount thereof plus accrued and unpaid interest,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to, but excluding, the Second Change of Control Purchase Date.</w:t>
      </w:r>
    </w:p>
    <w:p>
      <w:pPr>
        <w:spacing w:after="0" w:line="212" w:lineRule="exact"/>
        <w:rPr>
          <w:sz w:val="20"/>
          <w:szCs w:val="20"/>
          <w:color w:val="auto"/>
        </w:rPr>
      </w:pPr>
    </w:p>
    <w:p>
      <w:pPr>
        <w:ind w:left="640"/>
        <w:spacing w:after="0"/>
        <w:tabs>
          <w:tab w:leader="none" w:pos="176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7"/>
          <w:szCs w:val="17"/>
          <w:i w:val="1"/>
          <w:iCs w:val="1"/>
          <w:color w:val="auto"/>
        </w:rPr>
        <w:t>Liens.</w:t>
      </w:r>
    </w:p>
    <w:p>
      <w:pPr>
        <w:spacing w:after="0" w:line="252" w:lineRule="exact"/>
        <w:rPr>
          <w:sz w:val="20"/>
          <w:szCs w:val="20"/>
          <w:color w:val="auto"/>
        </w:rPr>
      </w:pPr>
    </w:p>
    <w:p>
      <w:pPr>
        <w:ind w:left="-20" w:right="80" w:firstLine="1304"/>
        <w:spacing w:after="0" w:line="268" w:lineRule="auto"/>
        <w:tabs>
          <w:tab w:leader="none" w:pos="15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40" w:top="1417" w:right="359" w:bottom="1440" w:gutter="0" w:footer="0" w:header="0"/>
        </w:sectPr>
      </w:pPr>
    </w:p>
    <w:bookmarkStart w:id="25" w:name="page26"/>
    <w:bookmarkEnd w:id="25"/>
    <w:p>
      <w:pPr>
        <w:ind w:right="340"/>
        <w:spacing w:after="0" w:line="262" w:lineRule="auto"/>
        <w:rPr>
          <w:sz w:val="20"/>
          <w:szCs w:val="20"/>
          <w:color w:val="auto"/>
        </w:rPr>
      </w:pPr>
      <w:r>
        <w:rPr>
          <w:rFonts w:ascii="Arial" w:cs="Arial" w:eastAsia="Arial" w:hAnsi="Arial"/>
          <w:sz w:val="18"/>
          <w:szCs w:val="18"/>
          <w:color w:val="auto"/>
        </w:rPr>
        <w:t>or hereafter acquired, in order to secure any Indebtedness, without effectively providing that the Notes of each Series then outstanding (together with, if the Company so determines, any other Indebtedness of the Company or a Subsidiary 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203" w:lineRule="exact"/>
        <w:rPr>
          <w:sz w:val="20"/>
          <w:szCs w:val="20"/>
          <w:color w:val="auto"/>
        </w:rPr>
      </w:pPr>
    </w:p>
    <w:p>
      <w:pPr>
        <w:ind w:firstLine="1304"/>
        <w:spacing w:after="0" w:line="253" w:lineRule="auto"/>
        <w:tabs>
          <w:tab w:leader="none" w:pos="1566"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Notwithstanding Section 4.2(a) above, the Company or any Restricted Subsidiary of the Company may, without equally and ratably securing the Notes of each Series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Section 4.2(a) above or this Section 4.2(b).</w:t>
      </w:r>
    </w:p>
    <w:p>
      <w:pPr>
        <w:spacing w:after="0" w:line="216" w:lineRule="exact"/>
        <w:rPr>
          <w:rFonts w:ascii="Arial" w:cs="Arial" w:eastAsia="Arial" w:hAnsi="Arial"/>
          <w:sz w:val="18"/>
          <w:szCs w:val="18"/>
          <w:color w:val="auto"/>
        </w:rPr>
      </w:pPr>
    </w:p>
    <w:p>
      <w:pPr>
        <w:ind w:right="80" w:firstLine="1304"/>
        <w:spacing w:after="0" w:line="253" w:lineRule="auto"/>
        <w:tabs>
          <w:tab w:leader="none" w:pos="15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purposes of this Section 4.2,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Section 4.2(b) above,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216" w:lineRule="exact"/>
        <w:rPr>
          <w:rFonts w:ascii="Arial" w:cs="Arial" w:eastAsia="Arial" w:hAnsi="Arial"/>
          <w:sz w:val="18"/>
          <w:szCs w:val="18"/>
          <w:color w:val="auto"/>
        </w:rPr>
      </w:pPr>
    </w:p>
    <w:p>
      <w:pPr>
        <w:jc w:val="both"/>
        <w:ind w:right="140" w:firstLine="1304"/>
        <w:spacing w:after="0" w:line="268" w:lineRule="auto"/>
        <w:tabs>
          <w:tab w:leader="none" w:pos="156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created for the benefit of the Holders of the Notes of a Series pursuant to Section 4.2(a) above may provide by its terms that such Lien shall be automatically and unconditionally released and discharged upon the release and discharge of the Lien that gave rise to the obligation to secure the Notes of such Series.</w:t>
      </w:r>
    </w:p>
    <w:p>
      <w:pPr>
        <w:spacing w:after="0" w:line="19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7"/>
          <w:szCs w:val="17"/>
          <w:i w:val="1"/>
          <w:iCs w:val="1"/>
          <w:color w:val="auto"/>
        </w:rPr>
        <w:t>Sale and Lease Back Transactions.</w:t>
      </w:r>
    </w:p>
    <w:p>
      <w:pPr>
        <w:spacing w:after="0" w:line="252" w:lineRule="exact"/>
        <w:rPr>
          <w:sz w:val="20"/>
          <w:szCs w:val="20"/>
          <w:color w:val="auto"/>
        </w:rPr>
      </w:pPr>
    </w:p>
    <w:p>
      <w:pPr>
        <w:ind w:right="140" w:firstLine="648"/>
        <w:spacing w:after="0" w:line="287" w:lineRule="auto"/>
        <w:rPr>
          <w:sz w:val="20"/>
          <w:szCs w:val="20"/>
          <w:color w:val="auto"/>
        </w:rPr>
      </w:pPr>
      <w:r>
        <w:rPr>
          <w:rFonts w:ascii="Arial" w:cs="Arial" w:eastAsia="Arial" w:hAnsi="Arial"/>
          <w:sz w:val="18"/>
          <w:szCs w:val="18"/>
          <w:color w:val="auto"/>
        </w:rPr>
        <w:t>The Company will not, and will not permit any of its Restricted Subsidiaries, to enter into any Sale and Lease Back Transaction with respect to any Principal Property owned by the Company or any Restricted Subsidiary, whether now owned or hereafter acquired, unless:</w:t>
      </w:r>
    </w:p>
    <w:p>
      <w:pPr>
        <w:spacing w:after="0" w:line="180" w:lineRule="exact"/>
        <w:rPr>
          <w:sz w:val="20"/>
          <w:szCs w:val="20"/>
          <w:color w:val="auto"/>
        </w:rPr>
      </w:pPr>
    </w:p>
    <w:p>
      <w:pPr>
        <w:ind w:left="1720" w:hanging="416"/>
        <w:spacing w:after="0"/>
        <w:tabs>
          <w:tab w:leader="none" w:pos="1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transaction was entered into prior to the Issue Date;</w:t>
      </w:r>
    </w:p>
    <w:p>
      <w:pPr>
        <w:spacing w:after="0" w:line="252" w:lineRule="exact"/>
        <w:rPr>
          <w:rFonts w:ascii="Arial" w:cs="Arial" w:eastAsia="Arial" w:hAnsi="Arial"/>
          <w:sz w:val="18"/>
          <w:szCs w:val="18"/>
          <w:color w:val="auto"/>
        </w:rPr>
      </w:pPr>
    </w:p>
    <w:p>
      <w:pPr>
        <w:ind w:firstLine="1304"/>
        <w:spacing w:after="0" w:line="287" w:lineRule="auto"/>
        <w:tabs>
          <w:tab w:leader="none" w:pos="1741"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Company or a Restricted Subsidiary by the Company or any Subsidiary of any Principal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17" w:right="339" w:bottom="1440" w:gutter="0" w:footer="0" w:header="0"/>
        </w:sectPr>
      </w:pPr>
    </w:p>
    <w:bookmarkStart w:id="26" w:name="page27"/>
    <w:bookmarkEnd w:id="26"/>
    <w:p>
      <w:pPr>
        <w:spacing w:after="0" w:line="220" w:lineRule="exact"/>
        <w:rPr>
          <w:sz w:val="20"/>
          <w:szCs w:val="20"/>
          <w:color w:val="auto"/>
        </w:rPr>
      </w:pPr>
    </w:p>
    <w:p>
      <w:pPr>
        <w:jc w:val="both"/>
        <w:ind w:firstLine="1304"/>
        <w:spacing w:after="0" w:line="262" w:lineRule="auto"/>
        <w:tabs>
          <w:tab w:leader="none" w:pos="1708"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transaction involves a lease of a Principal Property executed by the time of or within 24 months after the later of (i) the acquisition or the completion of any such development, operation, construction, alteration, repair or improvement of such property, assets or equipment or (ii) the placing into commercial operation of such Principal Property after the acquisition or completion of any such development, operation, construction, alteration, repair or improvement;</w:t>
      </w:r>
    </w:p>
    <w:p>
      <w:pPr>
        <w:spacing w:after="0" w:line="203" w:lineRule="exact"/>
        <w:rPr>
          <w:rFonts w:ascii="Arial" w:cs="Arial" w:eastAsia="Arial" w:hAnsi="Arial"/>
          <w:sz w:val="18"/>
          <w:szCs w:val="18"/>
          <w:color w:val="auto"/>
        </w:rPr>
      </w:pPr>
    </w:p>
    <w:p>
      <w:pPr>
        <w:ind w:firstLine="1304"/>
        <w:spacing w:after="0" w:line="287" w:lineRule="auto"/>
        <w:tabs>
          <w:tab w:leader="none" w:pos="1768"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Company or the applicable Restricted Subsidiary within a period of not more than three years);</w:t>
      </w:r>
    </w:p>
    <w:p>
      <w:pPr>
        <w:spacing w:after="0" w:line="179" w:lineRule="exact"/>
        <w:rPr>
          <w:rFonts w:ascii="Arial" w:cs="Arial" w:eastAsia="Arial" w:hAnsi="Arial"/>
          <w:sz w:val="18"/>
          <w:szCs w:val="18"/>
          <w:color w:val="auto"/>
        </w:rPr>
      </w:pPr>
    </w:p>
    <w:p>
      <w:pPr>
        <w:jc w:val="both"/>
        <w:ind w:firstLine="1304"/>
        <w:spacing w:after="0" w:line="268" w:lineRule="auto"/>
        <w:tabs>
          <w:tab w:leader="none" w:pos="173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would be entitled to incur Indebtedness secured by a Lien on the property to be leased in an amount equal to Attributable Debt with respect to such Sale and Lease Back Transaction without equally and ratably securing the Notes pursuant to Section 4.2(a) above; or</w:t>
      </w:r>
    </w:p>
    <w:p>
      <w:pPr>
        <w:spacing w:after="0" w:line="197" w:lineRule="exact"/>
        <w:rPr>
          <w:rFonts w:ascii="Arial" w:cs="Arial" w:eastAsia="Arial" w:hAnsi="Arial"/>
          <w:sz w:val="18"/>
          <w:szCs w:val="18"/>
          <w:color w:val="auto"/>
        </w:rPr>
      </w:pPr>
    </w:p>
    <w:p>
      <w:pPr>
        <w:jc w:val="both"/>
        <w:ind w:firstLine="1304"/>
        <w:spacing w:after="0" w:line="259" w:lineRule="auto"/>
        <w:tabs>
          <w:tab w:leader="none" w:pos="16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 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206" w:lineRule="exact"/>
        <w:rPr>
          <w:sz w:val="20"/>
          <w:szCs w:val="20"/>
          <w:color w:val="auto"/>
        </w:rPr>
      </w:pPr>
    </w:p>
    <w:p>
      <w:pPr>
        <w:ind w:right="240" w:firstLine="648"/>
        <w:spacing w:after="0" w:line="262" w:lineRule="auto"/>
        <w:rPr>
          <w:sz w:val="20"/>
          <w:szCs w:val="20"/>
          <w:color w:val="auto"/>
        </w:rPr>
      </w:pPr>
      <w:r>
        <w:rPr>
          <w:rFonts w:ascii="Arial" w:cs="Arial" w:eastAsia="Arial" w:hAnsi="Arial"/>
          <w:sz w:val="18"/>
          <w:szCs w:val="18"/>
          <w:color w:val="auto"/>
        </w:rPr>
        <w:t>Notwithstanding the foregoing, the Company and its Restricted Subsidiaries may enter into any Sale and Lease 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 Back Transaction.</w:t>
      </w:r>
    </w:p>
    <w:p>
      <w:pPr>
        <w:spacing w:after="0" w:line="203"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8"/>
          <w:szCs w:val="18"/>
          <w:i w:val="1"/>
          <w:iCs w:val="1"/>
          <w:color w:val="auto"/>
        </w:rPr>
        <w:t>Covenants.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covenants set forth in Sections 4.2 and 4.3 above are and are intended solely for the benefit of the 2028 Notes and the 2033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3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7"/>
          <w:szCs w:val="17"/>
          <w:i w:val="1"/>
          <w:iCs w:val="1"/>
          <w:color w:val="auto"/>
        </w:rPr>
        <w:t>Satisfaction and Discharge of Indenture.</w:t>
      </w:r>
    </w:p>
    <w:p>
      <w:pPr>
        <w:spacing w:after="0" w:line="252" w:lineRule="exact"/>
        <w:rPr>
          <w:sz w:val="20"/>
          <w:szCs w:val="20"/>
          <w:color w:val="auto"/>
        </w:rPr>
      </w:pPr>
    </w:p>
    <w:p>
      <w:pPr>
        <w:ind w:right="180" w:firstLine="648"/>
        <w:spacing w:after="0" w:line="287" w:lineRule="auto"/>
        <w:rPr>
          <w:sz w:val="20"/>
          <w:szCs w:val="20"/>
          <w:color w:val="auto"/>
        </w:rPr>
      </w:pPr>
      <w:r>
        <w:rPr>
          <w:rFonts w:ascii="Arial" w:cs="Arial" w:eastAsia="Arial" w:hAnsi="Arial"/>
          <w:sz w:val="18"/>
          <w:szCs w:val="18"/>
          <w:color w:val="auto"/>
        </w:rPr>
        <w:t>The Company may satisfy and discharge any Series of the Notes hereunder in accordance with and subject to the terms of Section 8.1 of the Base Indenture.</w:t>
      </w:r>
    </w:p>
    <w:p>
      <w:pPr>
        <w:spacing w:after="0" w:line="18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7"/>
          <w:szCs w:val="17"/>
          <w:i w:val="1"/>
          <w:iCs w:val="1"/>
          <w:color w:val="auto"/>
        </w:rPr>
        <w:t>Legal Defeasance of Securities of any Series.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8.3 of the Base Indenture shall be applicable to each Series of the Notes.</w:t>
      </w:r>
    </w:p>
    <w:p>
      <w:pPr>
        <w:spacing w:after="0" w:line="25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8"/>
          <w:szCs w:val="18"/>
          <w:i w:val="1"/>
          <w:iCs w:val="1"/>
          <w:color w:val="auto"/>
        </w:rPr>
        <w:t>Covenant Defeasance.</w:t>
      </w:r>
    </w:p>
    <w:p>
      <w:pPr>
        <w:spacing w:after="0" w:line="252"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In addition to the covenants specified in Section 8.4 of the Base Indenture, the Company may omit to comply with respect to the Notes of a Series with any term, provision or condition set forth in Section 4.1, Section 4.2 and Section 4.3 of this Supplemental Indenture by complying with the requirements of Section 8.4 of the Base Indenture in respect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3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7"/>
          <w:szCs w:val="17"/>
          <w:i w:val="1"/>
          <w:iCs w:val="1"/>
          <w:color w:val="auto"/>
        </w:rPr>
        <w:t>Trust Indenture Act Controls.</w:t>
      </w:r>
    </w:p>
    <w:p>
      <w:pPr>
        <w:spacing w:after="0" w:line="252" w:lineRule="exact"/>
        <w:rPr>
          <w:sz w:val="20"/>
          <w:szCs w:val="20"/>
          <w:color w:val="auto"/>
        </w:rPr>
      </w:pPr>
    </w:p>
    <w:p>
      <w:pPr>
        <w:ind w:right="200" w:firstLine="648"/>
        <w:spacing w:after="0" w:line="287" w:lineRule="auto"/>
        <w:rPr>
          <w:sz w:val="20"/>
          <w:szCs w:val="20"/>
          <w:color w:val="auto"/>
        </w:rPr>
      </w:pPr>
      <w:r>
        <w:rPr>
          <w:rFonts w:ascii="Arial" w:cs="Arial" w:eastAsia="Arial" w:hAnsi="Arial"/>
          <w:sz w:val="18"/>
          <w:szCs w:val="18"/>
          <w:color w:val="auto"/>
        </w:rPr>
        <w:t>If any provision of this Supplemental Indenture limits, qualifies or conflicts with another provision which is required or deemed to be included in this Supplemental Indenture by the TIA, such required or deemed provision shall control.</w:t>
      </w:r>
    </w:p>
    <w:p>
      <w:pPr>
        <w:spacing w:after="0" w:line="18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7"/>
          <w:szCs w:val="17"/>
          <w:i w:val="1"/>
          <w:iCs w:val="1"/>
          <w:color w:val="auto"/>
        </w:rPr>
        <w:t>Governing Law</w:t>
      </w:r>
      <w:r>
        <w:rPr>
          <w:rFonts w:ascii="Arial" w:cs="Arial" w:eastAsia="Arial" w:hAnsi="Arial"/>
          <w:sz w:val="17"/>
          <w:szCs w:val="17"/>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SUPPLEMENTAL INDENTURE AND THE NOTES SHALL BE GOVERNED BY THE LAW OF THE STATE OF NEW YORK.</w:t>
      </w:r>
    </w:p>
    <w:p>
      <w:pPr>
        <w:spacing w:after="0" w:line="25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7"/>
          <w:szCs w:val="17"/>
          <w:i w:val="1"/>
          <w:iCs w:val="1"/>
          <w:color w:val="auto"/>
        </w:rPr>
        <w:t>Successors.</w:t>
      </w:r>
    </w:p>
    <w:p>
      <w:pPr>
        <w:spacing w:after="0" w:line="252" w:lineRule="exact"/>
        <w:rPr>
          <w:sz w:val="20"/>
          <w:szCs w:val="20"/>
          <w:color w:val="auto"/>
        </w:rPr>
      </w:pPr>
    </w:p>
    <w:p>
      <w:pPr>
        <w:ind w:right="620" w:firstLine="648"/>
        <w:spacing w:after="0" w:line="287" w:lineRule="auto"/>
        <w:rPr>
          <w:sz w:val="20"/>
          <w:szCs w:val="20"/>
          <w:color w:val="auto"/>
        </w:rPr>
      </w:pPr>
      <w:r>
        <w:rPr>
          <w:rFonts w:ascii="Arial" w:cs="Arial" w:eastAsia="Arial" w:hAnsi="Arial"/>
          <w:sz w:val="18"/>
          <w:szCs w:val="18"/>
          <w:color w:val="auto"/>
        </w:rPr>
        <w:t>All agreements of the Company in this Supplemental Indenture and the Notes shall bind its successors. All agreements of the Trustee in this Supplemental Indenture shall bind its successors.</w:t>
      </w:r>
    </w:p>
    <w:p>
      <w:pPr>
        <w:spacing w:after="0" w:line="18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7"/>
          <w:szCs w:val="17"/>
          <w:i w:val="1"/>
          <w:iCs w:val="1"/>
          <w:color w:val="auto"/>
        </w:rPr>
        <w:t>Severability</w:t>
      </w:r>
      <w:r>
        <w:rPr>
          <w:rFonts w:ascii="Arial" w:cs="Arial" w:eastAsia="Arial" w:hAnsi="Arial"/>
          <w:sz w:val="17"/>
          <w:szCs w:val="17"/>
          <w:color w:val="auto"/>
        </w:rPr>
        <w:t>.</w:t>
      </w:r>
    </w:p>
    <w:p>
      <w:pPr>
        <w:spacing w:after="0" w:line="252" w:lineRule="exact"/>
        <w:rPr>
          <w:sz w:val="20"/>
          <w:szCs w:val="20"/>
          <w:color w:val="auto"/>
        </w:rPr>
      </w:pPr>
    </w:p>
    <w:p>
      <w:pPr>
        <w:ind w:right="60" w:firstLine="648"/>
        <w:spacing w:after="0" w:line="287" w:lineRule="auto"/>
        <w:rPr>
          <w:sz w:val="20"/>
          <w:szCs w:val="20"/>
          <w:color w:val="auto"/>
        </w:rPr>
      </w:pPr>
      <w:r>
        <w:rPr>
          <w:rFonts w:ascii="Arial" w:cs="Arial" w:eastAsia="Arial" w:hAnsi="Arial"/>
          <w:sz w:val="18"/>
          <w:szCs w:val="18"/>
          <w:color w:val="auto"/>
        </w:rPr>
        <w:t>In case any provision in this Supplemental Indenture or in the Notes shall be invalid, illegal or unenforceable, the validity, legality and enforceability of the remaining provisions shall not in any way be affected or impaired thereby.</w:t>
      </w:r>
    </w:p>
    <w:p>
      <w:pPr>
        <w:spacing w:after="0" w:line="18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7"/>
          <w:szCs w:val="17"/>
          <w:i w:val="1"/>
          <w:iCs w:val="1"/>
          <w:color w:val="auto"/>
        </w:rPr>
        <w:t>Counterpart Originals.</w:t>
      </w:r>
    </w:p>
    <w:p>
      <w:pPr>
        <w:spacing w:after="0" w:line="239"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This Supplemental Indenture may be executed in any number of counterparts and by the parties hereto in separate counterparts, each of which when so executed shall be deemed to be an original and all of which taken together shall constitute one and the same agreement. The words “execution,” “signed,” “signature,” “delivery,” and words of like import in or relating to this Supplemental Indenture or any document to be signed in connection with this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212"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All notices, approvals, consents, requests and any communications hereunder must be in writing (provided that any such communication sent to the Trustee hereunder must be in the form of a document that is signed manually or by way of a digital signature provided by Adobe Sign (or such other digital signature provider as specified in writing to Trustee by the authorized representative) or by way of an electronic signature provided in another manner acceptable to Trustee, in English. The Company agrees to assume all risks arising out of the use of using digital signatures, electronic signatures and electronic methods to submit communications to the Trustee, including without limitation the risk of the Trustee acting on unauthorized instructions, and the risk of interception and misuse by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17" w:right="339" w:bottom="1440" w:gutter="0" w:footer="0" w:header="0"/>
        </w:sectPr>
      </w:pPr>
    </w:p>
    <w:bookmarkStart w:id="28" w:name="page29"/>
    <w:bookmarkEnd w:id="28"/>
    <w:p>
      <w:pPr>
        <w:ind w:left="660"/>
        <w:spacing w:after="0"/>
        <w:tabs>
          <w:tab w:leader="none" w:pos="178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7"/>
          <w:szCs w:val="17"/>
          <w:i w:val="1"/>
          <w:iCs w:val="1"/>
          <w:color w:val="auto"/>
        </w:rPr>
        <w:t>Table of Contents, Headings, Etc</w:t>
      </w:r>
      <w:r>
        <w:rPr>
          <w:rFonts w:ascii="Arial" w:cs="Arial" w:eastAsia="Arial" w:hAnsi="Arial"/>
          <w:sz w:val="17"/>
          <w:szCs w:val="17"/>
          <w:color w:val="auto"/>
        </w:rPr>
        <w:t>.</w:t>
      </w:r>
    </w:p>
    <w:p>
      <w:pPr>
        <w:spacing w:after="0" w:line="252"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The Table of Contents and headings of the Articles and Sections of this Supplemental Indenture have been inserted for convenience of reference only, are not to be considered a part of this Supplemental Indenture and will in no way modify or restrict any of the terms or provisions hereof.</w:t>
      </w:r>
    </w:p>
    <w:p>
      <w:pPr>
        <w:spacing w:after="0" w:line="19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7"/>
          <w:szCs w:val="17"/>
          <w:i w:val="1"/>
          <w:iCs w:val="1"/>
          <w:color w:val="auto"/>
        </w:rPr>
        <w:t>Waiver of Jury Trial.</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Company, the Trustee and the Holders (by their acceptance of the Notes) each hereby irrevocably waive, to the fullest extent permitted by applicable law, any and all right to trial by jury in any legal proceeding arising out of or relating to this Indenture, the Notes or the transactions contemplated hereby or thereby</w:t>
      </w:r>
      <w:r>
        <w:rPr>
          <w:rFonts w:ascii="Arial" w:cs="Arial" w:eastAsia="Arial" w:hAnsi="Arial"/>
          <w:sz w:val="18"/>
          <w:szCs w:val="18"/>
          <w:i w:val="1"/>
          <w:iCs w:val="1"/>
          <w:color w:val="auto"/>
        </w:rPr>
        <w:t>.</w:t>
      </w:r>
    </w:p>
    <w:p>
      <w:pPr>
        <w:spacing w:after="0" w:line="19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8"/>
          <w:szCs w:val="18"/>
          <w:i w:val="1"/>
          <w:iCs w:val="1"/>
          <w:color w:val="auto"/>
        </w:rPr>
        <w:t>Interpretation.</w:t>
      </w:r>
    </w:p>
    <w:p>
      <w:pPr>
        <w:spacing w:after="0" w:line="25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Supplemental Indenture in its entirety and not to any particular provision hereof, (d) all references herein to Articles, Sections and Exhibits shall be construed to refer to Articles and Sections of, and Exhibits to, this Supplemental Indenture and (e) the words “asset” and “property” shall be construed to have the same meaning and effect and to refer to any and all tangible and intangible assets and properties, including cash, securities, accounts and contract rights.</w:t>
      </w:r>
    </w:p>
    <w:p>
      <w:pPr>
        <w:spacing w:after="0" w:line="20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7"/>
          <w:szCs w:val="17"/>
          <w:i w:val="1"/>
          <w:iCs w:val="1"/>
          <w:color w:val="auto"/>
        </w:rPr>
        <w:t>Instruction by Electronic Transmissions.</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to the foregoing, the Trustee agrees to accept and act upon notice, instructions or directions pursuant to this Indenture sent by unsecured e-mail, facsimile transmission or other similar unsecured electronic methods.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21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8"/>
          <w:szCs w:val="18"/>
          <w:i w:val="1"/>
          <w:iCs w:val="1"/>
          <w:color w:val="auto"/>
        </w:rPr>
        <w:t>Notices.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address of the Trustee set forth in Section 10.2 of the Base Indenture is amended as follows: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Bank Trust Company, National Association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555 SW Oak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PD-OR-P7TD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403" w:right="35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Portland, OR 97204</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C. Nelson (Micron Technology, Inc. Notes).</w:t>
      </w:r>
    </w:p>
    <w:p>
      <w:pPr>
        <w:spacing w:after="0" w:line="23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7"/>
          <w:szCs w:val="17"/>
          <w:i w:val="1"/>
          <w:iCs w:val="1"/>
          <w:color w:val="auto"/>
        </w:rPr>
        <w:t>Miscellaneous.</w:t>
      </w:r>
    </w:p>
    <w:p>
      <w:pPr>
        <w:spacing w:after="0" w:line="252"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98"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None of the Company’s past, present or future directors, officers, employees or stockholders, as such, will have any liability for any of the Company’s obligations under the Notes of a Series or the Indenture or for any claim based on, or in respect or by reason of, such obligations or their creation. By accepting a Note, each Holder waives and releases all such liability. This waiver and release is part of the consideration for the issue of the Notes of each Series.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17" w:right="339" w:bottom="1440" w:gutter="0" w:footer="0" w:header="0"/>
        </w:sectPr>
      </w:pPr>
    </w:p>
    <w:bookmarkStart w:id="30" w:name="page31"/>
    <w:bookmarkEnd w:id="30"/>
    <w:p>
      <w:pPr>
        <w:ind w:left="5040"/>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Dated as of April 11, 2023</w:t>
      </w:r>
    </w:p>
    <w:p>
      <w:pPr>
        <w:spacing w:after="0" w:line="200" w:lineRule="exact"/>
        <w:rPr>
          <w:sz w:val="20"/>
          <w:szCs w:val="20"/>
          <w:color w:val="auto"/>
        </w:rPr>
      </w:pPr>
    </w:p>
    <w:p>
      <w:pPr>
        <w:spacing w:after="0" w:line="28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MICRON TECHNOLOGY, INC.</w:t>
      </w:r>
    </w:p>
    <w:p>
      <w:pPr>
        <w:spacing w:after="0" w:line="239" w:lineRule="exact"/>
        <w:rPr>
          <w:sz w:val="20"/>
          <w:szCs w:val="20"/>
          <w:color w:val="auto"/>
        </w:rPr>
      </w:pPr>
    </w:p>
    <w:p>
      <w:pPr>
        <w:ind w:left="4540"/>
        <w:spacing w:after="0"/>
        <w:tabs>
          <w:tab w:leader="none" w:pos="4980" w:val="left"/>
        </w:tabs>
        <w:rPr>
          <w:sz w:val="20"/>
          <w:szCs w:val="20"/>
          <w:color w:val="auto"/>
        </w:rPr>
      </w:pPr>
      <w:r>
        <w:rPr>
          <w:rFonts w:ascii="Arial" w:cs="Arial" w:eastAsia="Arial" w:hAnsi="Arial"/>
          <w:sz w:val="18"/>
          <w:szCs w:val="18"/>
          <w:color w:val="auto"/>
        </w:rPr>
        <w:t>By</w:t>
        <w:tab/>
        <w:t>/s/ Greg Routin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-7620</wp:posOffset>
            </wp:positionV>
            <wp:extent cx="8001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ind w:left="4540"/>
        <w:spacing w:after="0"/>
        <w:tabs>
          <w:tab w:leader="none" w:pos="5300" w:val="left"/>
        </w:tabs>
        <w:rPr>
          <w:sz w:val="20"/>
          <w:szCs w:val="20"/>
          <w:color w:val="auto"/>
        </w:rPr>
      </w:pPr>
      <w:r>
        <w:rPr>
          <w:rFonts w:ascii="Arial" w:cs="Arial" w:eastAsia="Arial" w:hAnsi="Arial"/>
          <w:sz w:val="18"/>
          <w:szCs w:val="18"/>
          <w:color w:val="auto"/>
        </w:rPr>
        <w:t>Name:</w:t>
        <w:tab/>
        <w:t>Greg Routin</w:t>
      </w:r>
    </w:p>
    <w:p>
      <w:pPr>
        <w:ind w:left="4540"/>
        <w:spacing w:after="0"/>
        <w:tabs>
          <w:tab w:leader="none" w:pos="5160" w:val="left"/>
        </w:tabs>
        <w:rPr>
          <w:sz w:val="20"/>
          <w:szCs w:val="20"/>
          <w:color w:val="auto"/>
        </w:rPr>
      </w:pPr>
      <w:r>
        <w:rPr>
          <w:rFonts w:ascii="Arial" w:cs="Arial" w:eastAsia="Arial" w:hAnsi="Arial"/>
          <w:sz w:val="18"/>
          <w:szCs w:val="18"/>
          <w:color w:val="auto"/>
        </w:rPr>
        <w:t>Title:</w:t>
        <w:tab/>
        <w:t>Vice President and Treasurer</w:t>
      </w:r>
    </w:p>
    <w:p>
      <w:pPr>
        <w:spacing w:after="0" w:line="234"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U.S. BANK TRUST COMPANY, NATIONAL</w:t>
      </w:r>
    </w:p>
    <w:p>
      <w:pPr>
        <w:spacing w:after="0" w:line="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ASSOCIATION, as Trustee</w:t>
      </w:r>
    </w:p>
    <w:p>
      <w:pPr>
        <w:spacing w:after="0" w:line="167" w:lineRule="exact"/>
        <w:rPr>
          <w:sz w:val="20"/>
          <w:szCs w:val="20"/>
          <w:color w:val="auto"/>
        </w:rPr>
      </w:pPr>
    </w:p>
    <w:p>
      <w:pPr>
        <w:ind w:left="4540"/>
        <w:spacing w:after="0"/>
        <w:tabs>
          <w:tab w:leader="none" w:pos="4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Cheryl Nelson</w:t>
      </w:r>
    </w:p>
    <w:p>
      <w:pPr>
        <w:spacing w:after="0" w:line="9" w:lineRule="exact"/>
        <w:rPr>
          <w:sz w:val="20"/>
          <w:szCs w:val="20"/>
          <w:color w:val="auto"/>
        </w:rPr>
      </w:pPr>
    </w:p>
    <w:p>
      <w:pPr>
        <w:ind w:left="4540"/>
        <w:spacing w:after="0"/>
        <w:tabs>
          <w:tab w:leader="none" w:pos="5300" w:val="left"/>
        </w:tabs>
        <w:rPr>
          <w:sz w:val="20"/>
          <w:szCs w:val="20"/>
          <w:color w:val="auto"/>
        </w:rPr>
      </w:pPr>
      <w:r>
        <w:rPr>
          <w:rFonts w:ascii="Arial" w:cs="Arial" w:eastAsia="Arial" w:hAnsi="Arial"/>
          <w:sz w:val="18"/>
          <w:szCs w:val="18"/>
          <w:color w:val="auto"/>
        </w:rPr>
        <w:t>Name:</w:t>
        <w:tab/>
        <w:t>Cheryl Nelson</w:t>
      </w:r>
    </w:p>
    <w:p>
      <w:pPr>
        <w:ind w:left="4540"/>
        <w:spacing w:after="0"/>
        <w:tabs>
          <w:tab w:leader="none" w:pos="516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88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10139"/>
          </w:cols>
          <w:pgMar w:left="320" w:top="1403" w:right="1440"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EXHIBIT A</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2028 Note)</w:t>
      </w:r>
    </w:p>
    <w:p>
      <w:pPr>
        <w:spacing w:after="0" w:line="239" w:lineRule="exact"/>
        <w:rPr>
          <w:sz w:val="20"/>
          <w:szCs w:val="20"/>
          <w:color w:val="auto"/>
        </w:rPr>
      </w:pPr>
    </w:p>
    <w:p>
      <w:pPr>
        <w:ind w:right="180" w:firstLine="648"/>
        <w:spacing w:after="0" w:line="254" w:lineRule="auto"/>
        <w:rPr>
          <w:sz w:val="20"/>
          <w:szCs w:val="20"/>
          <w:color w:val="auto"/>
        </w:rPr>
      </w:pPr>
      <w:r>
        <w:rPr>
          <w:rFonts w:ascii="Arial" w:cs="Arial" w:eastAsia="Arial" w:hAnsi="Arial"/>
          <w:sz w:val="17"/>
          <w:szCs w:val="17"/>
          <w:color w:val="auto"/>
        </w:rPr>
        <w:t>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w:t>
      </w:r>
    </w:p>
    <w:p>
      <w:pPr>
        <w:ind w:right="180"/>
        <w:spacing w:after="0"/>
        <w:rPr>
          <w:sz w:val="20"/>
          <w:szCs w:val="20"/>
          <w:color w:val="auto"/>
        </w:rPr>
      </w:pPr>
      <w:r>
        <w:rPr>
          <w:rFonts w:ascii="Arial" w:cs="Arial" w:eastAsia="Arial" w:hAnsi="Arial"/>
          <w:sz w:val="17"/>
          <w:szCs w:val="17"/>
          <w:color w:val="auto"/>
        </w:rPr>
        <w:t>THIS GLOBAL NOTE MAY BE EXCHANGED IN WHOLE BUT NOT IN PART PURSUANT TO SECTION 2.2(a) OF THE SUPPLEMENTAL INDENTURE, (III) THIS GLOBAL NOTE MAY BE DELIVERED TO THE TRUSTEE FOR CANCELLATION PURSUANT TO SECTION 2.12</w:t>
      </w:r>
    </w:p>
    <w:p>
      <w:pPr>
        <w:spacing w:after="0" w:line="1" w:lineRule="exact"/>
        <w:rPr>
          <w:sz w:val="20"/>
          <w:szCs w:val="20"/>
          <w:color w:val="auto"/>
        </w:rPr>
      </w:pPr>
    </w:p>
    <w:p>
      <w:pPr>
        <w:jc w:val="both"/>
        <w:ind w:right="1160"/>
        <w:spacing w:after="0" w:line="279" w:lineRule="auto"/>
        <w:rPr>
          <w:sz w:val="20"/>
          <w:szCs w:val="20"/>
          <w:color w:val="auto"/>
        </w:rPr>
      </w:pPr>
      <w:r>
        <w:rPr>
          <w:rFonts w:ascii="Arial" w:cs="Arial" w:eastAsia="Arial" w:hAnsi="Arial"/>
          <w:sz w:val="17"/>
          <w:szCs w:val="17"/>
          <w:color w:val="auto"/>
        </w:rPr>
        <w:t>OF THE BASE INDENTURE HEREINAFTER REFERRED TO AND (IV) THIS GLOBAL NOTE MAY BE TRANSFERRED TO A SUCCESSOR DEPOSITARY WITH THE PRIOR WRITTEN CONSENT OF THE COMPANY HEREINAFTER REFERRED TO.</w:t>
      </w:r>
    </w:p>
    <w:p>
      <w:pPr>
        <w:spacing w:after="0" w:line="18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(570 WASHINGTON BOULEVARD, JERSEY CITY, NEW JERSEY)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9"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CUSIP:[_______]</w:t>
      </w:r>
    </w:p>
    <w:p>
      <w:pPr>
        <w:spacing w:after="0" w:line="7" w:lineRule="exact"/>
        <w:rPr>
          <w:sz w:val="20"/>
          <w:szCs w:val="20"/>
          <w:color w:val="auto"/>
        </w:rPr>
      </w:pPr>
    </w:p>
    <w:p>
      <w:pPr>
        <w:ind w:left="10040"/>
        <w:spacing w:after="0"/>
        <w:rPr>
          <w:sz w:val="20"/>
          <w:szCs w:val="20"/>
          <w:color w:val="auto"/>
        </w:rPr>
      </w:pPr>
      <w:r>
        <w:rPr>
          <w:rFonts w:ascii="Arial" w:cs="Arial" w:eastAsia="Arial" w:hAnsi="Arial"/>
          <w:sz w:val="17"/>
          <w:szCs w:val="17"/>
          <w:color w:val="auto"/>
        </w:rPr>
        <w:t>ISIN:[_______]</w:t>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MICRON TECHNOLOGY, INC.</w:t>
      </w:r>
    </w:p>
    <w:p>
      <w:pPr>
        <w:ind w:left="4420"/>
        <w:spacing w:after="0" w:line="234" w:lineRule="auto"/>
        <w:rPr>
          <w:sz w:val="20"/>
          <w:szCs w:val="20"/>
          <w:color w:val="auto"/>
        </w:rPr>
      </w:pPr>
      <w:r>
        <w:rPr>
          <w:rFonts w:ascii="Arial" w:cs="Arial" w:eastAsia="Arial" w:hAnsi="Arial"/>
          <w:sz w:val="18"/>
          <w:szCs w:val="18"/>
          <w:color w:val="auto"/>
        </w:rPr>
        <w:t>5.375% Senior Note due 2028</w:t>
      </w:r>
    </w:p>
    <w:p>
      <w:pPr>
        <w:spacing w:after="0" w:line="219" w:lineRule="auto"/>
        <w:rPr>
          <w:sz w:val="20"/>
          <w:szCs w:val="20"/>
          <w:color w:val="auto"/>
        </w:rPr>
      </w:pPr>
      <w:r>
        <w:rPr>
          <w:rFonts w:ascii="Arial" w:cs="Arial" w:eastAsia="Arial" w:hAnsi="Arial"/>
          <w:sz w:val="18"/>
          <w:szCs w:val="18"/>
          <w:color w:val="auto"/>
        </w:rPr>
        <w:t>No. [_____] $__________</w:t>
      </w:r>
    </w:p>
    <w:p>
      <w:pPr>
        <w:spacing w:after="0" w:line="1" w:lineRule="exact"/>
        <w:rPr>
          <w:sz w:val="20"/>
          <w:szCs w:val="20"/>
          <w:color w:val="auto"/>
        </w:rPr>
      </w:pPr>
    </w:p>
    <w:p>
      <w:pPr>
        <w:jc w:val="right"/>
        <w:ind w:left="4800"/>
        <w:spacing w:after="0" w:line="250" w:lineRule="auto"/>
        <w:rPr>
          <w:sz w:val="20"/>
          <w:szCs w:val="20"/>
          <w:color w:val="auto"/>
        </w:rPr>
      </w:pPr>
      <w:r>
        <w:rPr>
          <w:rFonts w:ascii="Arial" w:cs="Arial" w:eastAsia="Arial" w:hAnsi="Arial"/>
          <w:sz w:val="18"/>
          <w:szCs w:val="18"/>
          <w:color w:val="auto"/>
        </w:rPr>
        <w:t>(as revised by the Schedule of Increases and Decreases in Global Note attached hereto)</w:t>
      </w:r>
    </w:p>
    <w:p>
      <w:pPr>
        <w:spacing w:after="0" w:line="19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Micron Technology, Inc., a Delaware corporation, promises to pay to CEDE &amp; CO. or registered assigns, the principal sum of $[ ] (as revised by the Schedule of Increases and Decreases in Global Note attached hereto) on April 15, 2028.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April 15 and October 15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Record Dates: April 1 and October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240"/>
          </w:cols>
          <w:pgMar w:left="320" w:top="140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Date:</w:t>
      </w:r>
    </w:p>
    <w:p>
      <w:pPr>
        <w:spacing w:after="0" w:line="14"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MICRON TECHNOLOGY, INC.</w:t>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ind w:left="45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0139"/>
          </w:cols>
          <w:pgMar w:left="320" w:top="1403" w:right="1440" w:bottom="1440" w:gutter="0" w:footer="0" w:header="0"/>
        </w:sectPr>
      </w:pPr>
    </w:p>
    <w:bookmarkStart w:id="33" w:name="page34"/>
    <w:bookmarkEnd w:id="33"/>
    <w:p>
      <w:pPr>
        <w:ind w:left="3560"/>
        <w:spacing w:after="0"/>
        <w:rPr>
          <w:sz w:val="20"/>
          <w:szCs w:val="20"/>
          <w:color w:val="auto"/>
        </w:rPr>
      </w:pPr>
      <w:r>
        <w:rPr>
          <w:rFonts w:ascii="Arial" w:cs="Arial" w:eastAsia="Arial" w:hAnsi="Arial"/>
          <w:sz w:val="17"/>
          <w:szCs w:val="17"/>
          <w:color w:val="auto"/>
        </w:rPr>
        <w:t>TRUSTEE’S CERTIFICATE OF AUTHENTICATION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Supplemental Indenture: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U.S. BANK TRUST COMPANY, NATIONAL ASSOCIATION as Trustee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0139"/>
          </w:cols>
          <w:pgMar w:left="320" w:top="1403"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color w:val="auto"/>
        </w:rPr>
        <w:t>(Back of 2028 Note)</w:t>
      </w:r>
    </w:p>
    <w:p>
      <w:pPr>
        <w:spacing w:after="0" w:line="23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MICRON TECHNOLOGY, INC.</w:t>
      </w:r>
    </w:p>
    <w:p>
      <w:pPr>
        <w:spacing w:after="0" w:line="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5.375% Senior Note due 2028</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39" w:lineRule="exact"/>
        <w:rPr>
          <w:sz w:val="20"/>
          <w:szCs w:val="20"/>
          <w:color w:val="auto"/>
        </w:rPr>
      </w:pPr>
    </w:p>
    <w:p>
      <w:pPr>
        <w:ind w:right="100" w:firstLine="737"/>
        <w:spacing w:after="0" w:line="237" w:lineRule="auto"/>
        <w:tabs>
          <w:tab w:leader="none" w:pos="128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 Micron Technology,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promises to pay interest on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this 2028 Note at 5.375% per annum. The Company will pay interest semi-annually on April 15 and October 15 of each year, commencing October 15, 2023, or if any such day is not a Business Day, on the next succeeding Business Day as if made on the date such payment was due, and no additional interest will accrue on the amount so payable for that period (each an “</w:t>
      </w:r>
      <w:r>
        <w:rPr>
          <w:rFonts w:ascii="Arial" w:cs="Arial" w:eastAsia="Arial" w:hAnsi="Arial"/>
          <w:sz w:val="18"/>
          <w:szCs w:val="18"/>
          <w:b w:val="1"/>
          <w:bCs w:val="1"/>
          <w:i w:val="1"/>
          <w:iCs w:val="1"/>
          <w:color w:val="auto"/>
        </w:rPr>
        <w:t>Interest Payment Date</w:t>
      </w:r>
      <w:r>
        <w:rPr>
          <w:rFonts w:ascii="Arial" w:cs="Arial" w:eastAsia="Arial" w:hAnsi="Arial"/>
          <w:sz w:val="18"/>
          <w:szCs w:val="18"/>
          <w:color w:val="auto"/>
        </w:rPr>
        <w:t xml:space="preserve">”). Interest on the 2028 Notes will accrue from the most recent date to which interest has been paid or provided for or, if no interest has been paid or provided for, from April 11, 2023;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there is no existing Default in the payment of interest, and if this 2028 Note is authenticated between a record date referred to on the face 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2028 Notes to the extent lawful; it will pay interest (including post-petition interest in any proceeding under any Bankruptcy Law to the extent allowable) on overdue installments of interest at the same rate to the extent lawful. Interest will be computed on the basis of a 360-day year of twelve 30-day months.</w:t>
      </w:r>
    </w:p>
    <w:p>
      <w:pPr>
        <w:spacing w:after="0" w:line="206" w:lineRule="exact"/>
        <w:rPr>
          <w:rFonts w:ascii="Arial" w:cs="Arial" w:eastAsia="Arial" w:hAnsi="Arial"/>
          <w:sz w:val="18"/>
          <w:szCs w:val="18"/>
          <w:color w:val="auto"/>
        </w:rPr>
      </w:pPr>
    </w:p>
    <w:p>
      <w:pPr>
        <w:ind w:firstLine="737"/>
        <w:spacing w:after="0" w:line="237" w:lineRule="auto"/>
        <w:tabs>
          <w:tab w:leader="none" w:pos="128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METHOD OF PAYMENT</w:t>
      </w:r>
      <w:r>
        <w:rPr>
          <w:rFonts w:ascii="Arial" w:cs="Arial" w:eastAsia="Arial" w:hAnsi="Arial"/>
          <w:sz w:val="18"/>
          <w:szCs w:val="18"/>
          <w:color w:val="auto"/>
        </w:rPr>
        <w:t>. The Company will pay interest on the 2028 Notes (except defaulted interest) to the persons who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are registered Holders of 2028 Notes at the close of business on the April 1 or October 1 (whether or not a Business Day) next preceding the Interest Payment Date, even if such 2028 Notes are canceled after such record date and on or before such Interest Payment Date, except as provided in Section 2.13 of the Base Indenture with respect to defaulted interest. Principal and interest on the 2028 Notes will be made by (a) check mailed to the Holders of the 2028 Notes at their respective addresses set forth in the register of Holders of 2028 Notes or (b) with respect to a Holder with an aggregate principal amount in excess of $5,000,000, by wire transfer in immediately available funds to the place and account designated in writing at least 15 days prior to the Interest Payment Date by the person entitled to the payment as specified in the security register;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payment by wire transfer of immediately available funds will be required with respect to principal of and interest on all Global Securities and all other 2028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w:t>
      </w:r>
    </w:p>
    <w:p>
      <w:pPr>
        <w:spacing w:after="0" w:line="208" w:lineRule="exact"/>
        <w:rPr>
          <w:rFonts w:ascii="Arial" w:cs="Arial" w:eastAsia="Arial" w:hAnsi="Arial"/>
          <w:sz w:val="18"/>
          <w:szCs w:val="18"/>
          <w:color w:val="auto"/>
        </w:rPr>
      </w:pPr>
    </w:p>
    <w:p>
      <w:pPr>
        <w:ind w:right="340" w:firstLine="737"/>
        <w:spacing w:after="0" w:line="253" w:lineRule="auto"/>
        <w:tabs>
          <w:tab w:leader="none" w:pos="128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U.S. Bank Trust Company, National Association, the Trustee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will act as Paying Agent and Registrar. The Company may change any Paying Agent or Registrar without notice to any Holder. The Company or any of its Subsidiaries may act in any such capacity.</w:t>
      </w:r>
    </w:p>
    <w:p>
      <w:pPr>
        <w:spacing w:after="0" w:line="195" w:lineRule="exact"/>
        <w:rPr>
          <w:rFonts w:ascii="Arial" w:cs="Arial" w:eastAsia="Arial" w:hAnsi="Arial"/>
          <w:sz w:val="18"/>
          <w:szCs w:val="18"/>
          <w:color w:val="auto"/>
        </w:rPr>
      </w:pPr>
    </w:p>
    <w:p>
      <w:pPr>
        <w:ind w:right="20" w:firstLine="737"/>
        <w:spacing w:after="0" w:line="237" w:lineRule="auto"/>
        <w:tabs>
          <w:tab w:leader="none" w:pos="128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This 2028 Note is one of a duly authenticated Series of securities of the Company issued and to be issued in</w:t>
      </w:r>
      <w:r>
        <w:rPr>
          <w:rFonts w:ascii="Arial" w:cs="Arial" w:eastAsia="Arial" w:hAnsi="Arial"/>
          <w:sz w:val="18"/>
          <w:szCs w:val="18"/>
          <w:i w:val="1"/>
          <w:iCs w:val="1"/>
          <w:color w:val="auto"/>
        </w:rPr>
        <w:t xml:space="preserve"> </w:t>
      </w:r>
      <w:r>
        <w:rPr>
          <w:rFonts w:ascii="Arial" w:cs="Arial" w:eastAsia="Arial" w:hAnsi="Arial"/>
          <w:sz w:val="18"/>
          <w:szCs w:val="18"/>
          <w:color w:val="auto"/>
        </w:rPr>
        <w:t>one or more Series under an indenture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dated as of February 6, 2019, between the Company and the Trustee (as successor in interest to U.S. Bank National Association), as amended by the Seventh Supplemental Indenture, dated as of April 11, 2023, between the Company and the Trustee (the “</w:t>
      </w:r>
      <w:r>
        <w:rPr>
          <w:rFonts w:ascii="Arial" w:cs="Arial" w:eastAsia="Arial" w:hAnsi="Arial"/>
          <w:sz w:val="18"/>
          <w:szCs w:val="18"/>
          <w:b w:val="1"/>
          <w:bCs w:val="1"/>
          <w:i w:val="1"/>
          <w:iCs w:val="1"/>
          <w:color w:val="auto"/>
        </w:rPr>
        <w:t>Supplemental Indenture</w:t>
      </w:r>
      <w:r>
        <w:rPr>
          <w:rFonts w:ascii="Arial" w:cs="Arial" w:eastAsia="Arial" w:hAnsi="Arial"/>
          <w:sz w:val="18"/>
          <w:szCs w:val="18"/>
          <w:color w:val="auto"/>
        </w:rPr>
        <w:t>” and, together with the Base Indenture,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The terms of the 2028 Notes include those stated in the Indenture and those made part of the Indenture by reference to the TIA. The 2028 Notes are subject to all such terms, and Holders are referred to the Indenture and such Act for a statement of such terms. To the extent any provision of this 2028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2028 Notes pursuant to Section 2.3 of the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240"/>
          </w:cols>
          <w:pgMar w:left="320" w:top="1403" w:right="339" w:bottom="1440" w:gutter="0" w:footer="0" w:header="0"/>
        </w:sectPr>
      </w:pPr>
    </w:p>
    <w:bookmarkStart w:id="35" w:name="page36"/>
    <w:bookmarkEnd w:id="35"/>
    <w:p>
      <w:pPr>
        <w:spacing w:after="0" w:line="207" w:lineRule="exact"/>
        <w:rPr>
          <w:sz w:val="20"/>
          <w:szCs w:val="20"/>
          <w:color w:val="auto"/>
        </w:rPr>
      </w:pPr>
    </w:p>
    <w:p>
      <w:pPr>
        <w:ind w:left="-40" w:right="220" w:firstLine="737"/>
        <w:spacing w:after="0" w:line="253" w:lineRule="auto"/>
        <w:tabs>
          <w:tab w:leader="none" w:pos="1244"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 The 2028 Notes are redeemable prior to the maturity date as provided in the Indenture.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redemption of this 2028 Note in part only, a new 2028 Note or Notes in an authorized denomination for the unredeemed portion hereof will be issued in the name of the Holder hereof upon the cancellation hereof.</w:t>
      </w:r>
    </w:p>
    <w:p>
      <w:pPr>
        <w:spacing w:after="0" w:line="195" w:lineRule="exact"/>
        <w:rPr>
          <w:rFonts w:ascii="Arial" w:cs="Arial" w:eastAsia="Arial" w:hAnsi="Arial"/>
          <w:sz w:val="18"/>
          <w:szCs w:val="18"/>
          <w:color w:val="auto"/>
        </w:rPr>
      </w:pPr>
    </w:p>
    <w:p>
      <w:pPr>
        <w:ind w:left="-40" w:right="180" w:firstLine="737"/>
        <w:spacing w:after="0" w:line="271" w:lineRule="auto"/>
        <w:tabs>
          <w:tab w:leader="none" w:pos="1244"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MANDATORY REDEMPTION. </w:t>
      </w:r>
      <w:r>
        <w:rPr>
          <w:rFonts w:ascii="Arial" w:cs="Arial" w:eastAsia="Arial" w:hAnsi="Arial"/>
          <w:sz w:val="18"/>
          <w:szCs w:val="18"/>
          <w:color w:val="auto"/>
        </w:rPr>
        <w:t>The Company is not required to make any mandatory redemption or sinking fund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2028 Notes.</w:t>
      </w:r>
    </w:p>
    <w:p>
      <w:pPr>
        <w:spacing w:after="0" w:line="180" w:lineRule="exact"/>
        <w:rPr>
          <w:rFonts w:ascii="Arial" w:cs="Arial" w:eastAsia="Arial" w:hAnsi="Arial"/>
          <w:sz w:val="18"/>
          <w:szCs w:val="18"/>
          <w:color w:val="auto"/>
        </w:rPr>
      </w:pPr>
    </w:p>
    <w:p>
      <w:pPr>
        <w:ind w:left="-40" w:right="180" w:firstLine="737"/>
        <w:spacing w:after="0" w:line="245" w:lineRule="auto"/>
        <w:tabs>
          <w:tab w:leader="none" w:pos="1244"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OFFER TO PURCHASE UPON CHANGE OF CONTROL TRIGGERING EVENT</w:t>
      </w:r>
      <w:r>
        <w:rPr>
          <w:rFonts w:ascii="Arial" w:cs="Arial" w:eastAsia="Arial" w:hAnsi="Arial"/>
          <w:sz w:val="18"/>
          <w:szCs w:val="18"/>
          <w:color w:val="auto"/>
        </w:rPr>
        <w:t>. If a Change of Control Triggering Event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2028 Notes occurs, the Company may be required to make an offer to purchase the 2028 Notes in the manner and with the effect provided in the Indenture.</w:t>
      </w:r>
    </w:p>
    <w:p>
      <w:pPr>
        <w:spacing w:after="0" w:line="203" w:lineRule="exact"/>
        <w:rPr>
          <w:rFonts w:ascii="Arial" w:cs="Arial" w:eastAsia="Arial" w:hAnsi="Arial"/>
          <w:sz w:val="18"/>
          <w:szCs w:val="18"/>
          <w:color w:val="auto"/>
        </w:rPr>
      </w:pPr>
    </w:p>
    <w:p>
      <w:pPr>
        <w:ind w:left="-40" w:firstLine="737"/>
        <w:spacing w:after="0"/>
        <w:tabs>
          <w:tab w:leader="none" w:pos="1244"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r>
        <w:rPr>
          <w:rFonts w:ascii="Arial" w:cs="Arial" w:eastAsia="Arial" w:hAnsi="Arial"/>
          <w:sz w:val="18"/>
          <w:szCs w:val="18"/>
          <w:color w:val="auto"/>
        </w:rPr>
        <w:t>. The 2028 Notes are in registered form without coupons in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denominations of $2,000 and integral multiples of $1,000 in excess thereof. 2028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2028 Note or portion of a 2028 Note selected for redemption, except for the unredeemed portion of any 2028 Note being redeemed in part. Also, neither the Trustee nor the Company need exchange or register the transfer of any 2028 Notes for a period of 15 days before the day of any selection of 2028 Notes to be redeemed or during the period between a record date and the corresponding Interest Payment Date.</w:t>
      </w:r>
    </w:p>
    <w:p>
      <w:pPr>
        <w:spacing w:after="0" w:line="207" w:lineRule="exact"/>
        <w:rPr>
          <w:rFonts w:ascii="Arial" w:cs="Arial" w:eastAsia="Arial" w:hAnsi="Arial"/>
          <w:sz w:val="18"/>
          <w:szCs w:val="18"/>
          <w:color w:val="auto"/>
        </w:rPr>
      </w:pPr>
    </w:p>
    <w:p>
      <w:pPr>
        <w:ind w:left="-40" w:right="80" w:firstLine="737"/>
        <w:spacing w:after="0" w:line="271" w:lineRule="auto"/>
        <w:tabs>
          <w:tab w:leader="none" w:pos="1244"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Subject to the record date provisions hereof, the registered Holder of a 2028 Note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as its owner for all purposes.</w:t>
      </w:r>
    </w:p>
    <w:p>
      <w:pPr>
        <w:spacing w:after="0" w:line="180" w:lineRule="exact"/>
        <w:rPr>
          <w:rFonts w:ascii="Arial" w:cs="Arial" w:eastAsia="Arial" w:hAnsi="Arial"/>
          <w:sz w:val="18"/>
          <w:szCs w:val="18"/>
          <w:color w:val="auto"/>
        </w:rPr>
      </w:pPr>
    </w:p>
    <w:p>
      <w:pPr>
        <w:ind w:left="-40" w:right="20" w:firstLine="737"/>
        <w:spacing w:after="0" w:line="238" w:lineRule="auto"/>
        <w:tabs>
          <w:tab w:leader="none" w:pos="1249"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AMENDMENT, SUPPLEMENT AND WAIVER</w:t>
      </w:r>
      <w:r>
        <w:rPr>
          <w:rFonts w:ascii="Arial" w:cs="Arial" w:eastAsia="Arial" w:hAnsi="Arial"/>
          <w:sz w:val="18"/>
          <w:szCs w:val="18"/>
          <w:color w:val="auto"/>
        </w:rPr>
        <w:t>. Subject to certain exceptions, the Indenture or the 2028 Notes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or supplemented with the consent of the Holders of at least a majority in principal amount of the 2028 Notes then outstanding, including, without limitation, consents obtained in connection with a tender offer or exchange offer for the 2028 Notes, and any existing default or compliance with any provision of the Indenture or the 2028 Notes, may be waived with the consent of the Holders of a majority in principal amount of the then outstanding 2028 Notes, including, without limitation, consents obtained in connection with a tender offer or exchange offer for the 2028 Notes. The Indenture or the 2028 Notes may be amended or supplemented without the consent of any Holder of a 2028 Note as described in the Indenture.</w:t>
      </w:r>
    </w:p>
    <w:p>
      <w:pPr>
        <w:spacing w:after="0" w:line="210" w:lineRule="exact"/>
        <w:rPr>
          <w:rFonts w:ascii="Arial" w:cs="Arial" w:eastAsia="Arial" w:hAnsi="Arial"/>
          <w:sz w:val="18"/>
          <w:szCs w:val="18"/>
          <w:color w:val="auto"/>
        </w:rPr>
      </w:pPr>
    </w:p>
    <w:p>
      <w:pPr>
        <w:ind w:left="-40" w:right="120" w:firstLine="737"/>
        <w:spacing w:after="0" w:line="253" w:lineRule="auto"/>
        <w:tabs>
          <w:tab w:leader="none" w:pos="1236"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 If an Event of Default with respect to the 2028 Notes shall occur and be continuing,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of, and any accrued and unpaid interest on, the outstanding 2028 Notes may be declared due and payable in the manner and with the effect provided in the Indenture.</w:t>
      </w:r>
    </w:p>
    <w:p>
      <w:pPr>
        <w:spacing w:after="0" w:line="195" w:lineRule="exact"/>
        <w:rPr>
          <w:rFonts w:ascii="Arial" w:cs="Arial" w:eastAsia="Arial" w:hAnsi="Arial"/>
          <w:sz w:val="18"/>
          <w:szCs w:val="18"/>
          <w:color w:val="auto"/>
        </w:rPr>
      </w:pPr>
    </w:p>
    <w:p>
      <w:pPr>
        <w:ind w:left="-40" w:right="200" w:firstLine="737"/>
        <w:spacing w:after="0" w:line="253" w:lineRule="auto"/>
        <w:tabs>
          <w:tab w:leader="none" w:pos="1249"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r>
        <w:rPr>
          <w:rFonts w:ascii="Arial" w:cs="Arial" w:eastAsia="Arial" w:hAnsi="Arial"/>
          <w:sz w:val="18"/>
          <w:szCs w:val="18"/>
          <w:color w:val="auto"/>
        </w:rPr>
        <w:t>. The Trustee, in its individual or any other capacity, may become the owner or</w:t>
      </w:r>
      <w:r>
        <w:rPr>
          <w:rFonts w:ascii="Arial" w:cs="Arial" w:eastAsia="Arial" w:hAnsi="Arial"/>
          <w:sz w:val="18"/>
          <w:szCs w:val="18"/>
          <w:i w:val="1"/>
          <w:iCs w:val="1"/>
          <w:color w:val="auto"/>
        </w:rPr>
        <w:t xml:space="preserve"> </w:t>
      </w:r>
      <w:r>
        <w:rPr>
          <w:rFonts w:ascii="Arial" w:cs="Arial" w:eastAsia="Arial" w:hAnsi="Arial"/>
          <w:sz w:val="18"/>
          <w:szCs w:val="18"/>
          <w:color w:val="auto"/>
        </w:rPr>
        <w:t>pledgee of the 2028 Notes and may otherwise deal with the Company or an Affiliate of the Company with the same rights it would have if it were not Trustee.</w:t>
      </w:r>
    </w:p>
    <w:p>
      <w:pPr>
        <w:spacing w:after="0" w:line="195" w:lineRule="exact"/>
        <w:rPr>
          <w:rFonts w:ascii="Arial" w:cs="Arial" w:eastAsia="Arial" w:hAnsi="Arial"/>
          <w:sz w:val="18"/>
          <w:szCs w:val="18"/>
          <w:color w:val="auto"/>
        </w:rPr>
      </w:pPr>
    </w:p>
    <w:p>
      <w:pPr>
        <w:ind w:left="-40" w:right="280" w:firstLine="737"/>
        <w:spacing w:after="0" w:line="241" w:lineRule="auto"/>
        <w:tabs>
          <w:tab w:leader="none" w:pos="1249"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None of the Company’s past, present or future directors, officers, employees or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as such, will have any liability for any of the Company’s obligations under the 2028 Notes or the Indenture or for any claim based on, or in respect or by reason of, such obligations or their creation. By accepting a 2028 Note, each Holder waives and releases all such liability. This waiver and release is part of the consideration for the issue of the 2028 Notes.</w:t>
      </w:r>
    </w:p>
    <w:p>
      <w:pPr>
        <w:spacing w:after="0" w:line="208" w:lineRule="exact"/>
        <w:rPr>
          <w:rFonts w:ascii="Arial" w:cs="Arial" w:eastAsia="Arial" w:hAnsi="Arial"/>
          <w:sz w:val="18"/>
          <w:szCs w:val="18"/>
          <w:color w:val="auto"/>
        </w:rPr>
      </w:pPr>
    </w:p>
    <w:p>
      <w:pPr>
        <w:ind w:left="-40" w:right="660" w:firstLine="737"/>
        <w:spacing w:after="0" w:line="271" w:lineRule="auto"/>
        <w:tabs>
          <w:tab w:leader="none" w:pos="1249"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AUTHENTICATION</w:t>
      </w:r>
      <w:r>
        <w:rPr>
          <w:rFonts w:ascii="Arial" w:cs="Arial" w:eastAsia="Arial" w:hAnsi="Arial"/>
          <w:sz w:val="18"/>
          <w:szCs w:val="18"/>
          <w:color w:val="auto"/>
        </w:rPr>
        <w:t>. This 2028 Note will not be valid until authenticated by the manual signature of the Trustee or an</w:t>
      </w:r>
      <w:r>
        <w:rPr>
          <w:rFonts w:ascii="Arial" w:cs="Arial" w:eastAsia="Arial" w:hAnsi="Arial"/>
          <w:sz w:val="18"/>
          <w:szCs w:val="18"/>
          <w:i w:val="1"/>
          <w:iCs w:val="1"/>
          <w:color w:val="auto"/>
        </w:rPr>
        <w:t xml:space="preserve"> </w:t>
      </w:r>
      <w:r>
        <w:rPr>
          <w:rFonts w:ascii="Arial" w:cs="Arial" w:eastAsia="Arial" w:hAnsi="Arial"/>
          <w:sz w:val="18"/>
          <w:szCs w:val="18"/>
          <w:color w:val="auto"/>
        </w:rPr>
        <w:t>authenticating agent.</w:t>
      </w:r>
    </w:p>
    <w:p>
      <w:pPr>
        <w:spacing w:after="0" w:line="180" w:lineRule="exact"/>
        <w:rPr>
          <w:rFonts w:ascii="Arial" w:cs="Arial" w:eastAsia="Arial" w:hAnsi="Arial"/>
          <w:sz w:val="18"/>
          <w:szCs w:val="18"/>
          <w:color w:val="auto"/>
        </w:rPr>
      </w:pPr>
    </w:p>
    <w:p>
      <w:pPr>
        <w:ind w:left="-40" w:right="20" w:firstLine="737"/>
        <w:spacing w:after="0" w:line="253" w:lineRule="auto"/>
        <w:tabs>
          <w:tab w:leader="none" w:pos="1249"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w:t>
      </w:r>
      <w:r>
        <w:rPr>
          <w:rFonts w:ascii="Arial" w:cs="Arial" w:eastAsia="Arial" w:hAnsi="Arial"/>
          <w:sz w:val="18"/>
          <w:szCs w:val="18"/>
          <w:i w:val="1"/>
          <w:iCs w:val="1"/>
          <w:color w:val="auto"/>
        </w:rPr>
        <w:t xml:space="preserve"> </w:t>
      </w:r>
      <w:r>
        <w:rPr>
          <w:rFonts w:ascii="Arial" w:cs="Arial" w:eastAsia="Arial" w:hAnsi="Arial"/>
          <w:sz w:val="18"/>
          <w:szCs w:val="18"/>
          <w:color w:val="auto"/>
        </w:rPr>
        <w:t>tenants in common), TEN ENT (= tenants by the entireties), JT TEN (= joint tenants with right of survivorship and not as tenants in common), CUST (= Custodian), and U/G/M/A (= Uniform Gifts to Minors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160"/>
          </w:cols>
          <w:pgMar w:left="360" w:top="1440" w:right="379" w:bottom="1440" w:gutter="0" w:footer="0" w:header="0"/>
        </w:sectPr>
      </w:pPr>
    </w:p>
    <w:bookmarkStart w:id="36" w:name="page37"/>
    <w:bookmarkEnd w:id="36"/>
    <w:p>
      <w:pPr>
        <w:spacing w:after="0" w:line="207" w:lineRule="exact"/>
        <w:rPr>
          <w:sz w:val="20"/>
          <w:szCs w:val="20"/>
          <w:color w:val="auto"/>
        </w:rPr>
      </w:pPr>
    </w:p>
    <w:p>
      <w:pPr>
        <w:ind w:firstLine="737"/>
        <w:spacing w:after="0" w:line="244" w:lineRule="auto"/>
        <w:tabs>
          <w:tab w:leader="none" w:pos="1289"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CUSIP NUMBERS</w:t>
      </w:r>
      <w:r>
        <w:rPr>
          <w:rFonts w:ascii="Arial" w:cs="Arial" w:eastAsia="Arial" w:hAnsi="Arial"/>
          <w:sz w:val="18"/>
          <w:szCs w:val="18"/>
          <w:color w:val="auto"/>
        </w:rPr>
        <w:t>. The Company has caused CUSIP numbers to be printed on the 2028 Notes and the Trustee shall use</w:t>
      </w:r>
      <w:r>
        <w:rPr>
          <w:rFonts w:ascii="Arial" w:cs="Arial" w:eastAsia="Arial" w:hAnsi="Arial"/>
          <w:sz w:val="18"/>
          <w:szCs w:val="18"/>
          <w:i w:val="1"/>
          <w:iCs w:val="1"/>
          <w:color w:val="auto"/>
        </w:rPr>
        <w:t xml:space="preserve"> </w:t>
      </w:r>
      <w:r>
        <w:rPr>
          <w:rFonts w:ascii="Arial" w:cs="Arial" w:eastAsia="Arial" w:hAnsi="Arial"/>
          <w:sz w:val="18"/>
          <w:szCs w:val="18"/>
          <w:color w:val="auto"/>
        </w:rPr>
        <w:t>CUSIP numbers in notices of redemption as a convenience to Holders. No representation is made as to the correctness of such numbers either as printed on the 2028 Notes or as contained in any notice of redemption and reliance may be placed only on the other elements of identification printed on the 2028 Notes, and any such redemption shall not be affected by any defect in or omission of such numbers. The Company will furnish to any Holder upon written request and without charge a copy of the Base Indenture and the Supplemental Indenture.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Requests may be made to:</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Technology, Inc.</w:t>
      </w:r>
    </w:p>
    <w:p>
      <w:pPr>
        <w:ind w:left="660"/>
        <w:spacing w:after="0" w:line="234" w:lineRule="auto"/>
        <w:rPr>
          <w:sz w:val="20"/>
          <w:szCs w:val="20"/>
          <w:color w:val="auto"/>
        </w:rPr>
      </w:pPr>
      <w:r>
        <w:rPr>
          <w:rFonts w:ascii="Arial" w:cs="Arial" w:eastAsia="Arial" w:hAnsi="Arial"/>
          <w:sz w:val="18"/>
          <w:szCs w:val="18"/>
          <w:color w:val="auto"/>
        </w:rPr>
        <w:t>8000 South Federal Way</w:t>
      </w:r>
    </w:p>
    <w:p>
      <w:pPr>
        <w:ind w:left="660"/>
        <w:spacing w:after="0" w:line="235" w:lineRule="auto"/>
        <w:rPr>
          <w:sz w:val="20"/>
          <w:szCs w:val="20"/>
          <w:color w:val="auto"/>
        </w:rPr>
      </w:pPr>
      <w:r>
        <w:rPr>
          <w:rFonts w:ascii="Arial" w:cs="Arial" w:eastAsia="Arial" w:hAnsi="Arial"/>
          <w:sz w:val="18"/>
          <w:szCs w:val="18"/>
          <w:color w:val="auto"/>
        </w:rPr>
        <w:t>Boise, Idaho 83716-9632</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1060"/>
          </w:cols>
          <w:pgMar w:left="320" w:top="1440" w:right="519" w:bottom="1440" w:gutter="0" w:footer="0" w:header="0"/>
        </w:sectPr>
      </w:pPr>
    </w:p>
    <w:bookmarkStart w:id="37" w:name="page38"/>
    <w:bookmarkEnd w:id="37"/>
    <w:p>
      <w:pPr>
        <w:ind w:left="284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CHEDULE OF INCREASES AND DECREASES IN GLOBAL NOTE</w:t>
      </w:r>
    </w:p>
    <w:p>
      <w:pPr>
        <w:spacing w:after="0" w:line="2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increases or decreases in this Note have been made: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2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 of decrease or</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Amount of decrease in</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Amount of increase in</w:t>
            </w:r>
          </w:p>
        </w:tc>
        <w:tc>
          <w:tcPr>
            <w:tcW w:w="2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Principal amount of this Note</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rPr>
              <w:t>Signature of authorized signatory</w:t>
            </w:r>
          </w:p>
        </w:tc>
      </w:tr>
      <w:tr>
        <w:trPr>
          <w:trHeight w:val="162"/>
        </w:trPr>
        <w:tc>
          <w:tcPr>
            <w:tcW w:w="2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increase</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principal amount of this</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principal amount of this Note</w:t>
            </w:r>
          </w:p>
        </w:tc>
        <w:tc>
          <w:tcPr>
            <w:tcW w:w="2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following such decrease or</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rPr>
              <w:t>of Trustee or Security Custodian</w:t>
            </w:r>
          </w:p>
        </w:tc>
      </w:tr>
      <w:tr>
        <w:trPr>
          <w:trHeight w:val="205"/>
        </w:trPr>
        <w:tc>
          <w:tcPr>
            <w:tcW w:w="1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Note</w:t>
            </w:r>
          </w:p>
        </w:tc>
        <w:tc>
          <w:tcPr>
            <w:tcW w:w="100" w:type="dxa"/>
            <w:vAlign w:val="bottom"/>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w:t>
      </w:r>
    </w:p>
    <w:p>
      <w:pPr>
        <w:sectPr>
          <w:pgSz w:w="11900" w:h="16838" w:orient="portrait"/>
          <w:cols w:equalWidth="0" w:num="1">
            <w:col w:w="11240"/>
          </w:cols>
          <w:pgMar w:left="320" w:top="1403" w:right="339" w:bottom="1440" w:gutter="0" w:footer="0" w:header="0"/>
        </w:sectPr>
      </w:pPr>
    </w:p>
    <w:bookmarkStart w:id="38" w:name="page39"/>
    <w:bookmarkEnd w:id="38"/>
    <w:p>
      <w:pPr>
        <w:jc w:val="center"/>
        <w:ind w:right="-119"/>
        <w:spacing w:after="0"/>
        <w:rPr>
          <w:sz w:val="20"/>
          <w:szCs w:val="20"/>
          <w:color w:val="auto"/>
        </w:rPr>
      </w:pPr>
      <w:r>
        <w:rPr>
          <w:rFonts w:ascii="Arial" w:cs="Arial" w:eastAsia="Arial" w:hAnsi="Arial"/>
          <w:sz w:val="18"/>
          <w:szCs w:val="18"/>
          <w:b w:val="1"/>
          <w:bCs w:val="1"/>
          <w:color w:val="auto"/>
        </w:rPr>
        <w:t>ASSIGNMENT FORM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39" w:lineRule="exact"/>
        <w:rPr>
          <w:sz w:val="20"/>
          <w:szCs w:val="20"/>
          <w:color w:val="auto"/>
        </w:rPr>
      </w:pPr>
    </w:p>
    <w:p>
      <w:pPr>
        <w:ind w:right="8760" w:firstLine="8"/>
        <w:spacing w:after="0" w:line="524"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or (we) assign and transfer this Note to:</w:t>
      </w:r>
    </w:p>
    <w:p>
      <w:pPr>
        <w:spacing w:after="0" w:line="1" w:lineRule="exact"/>
        <w:rPr>
          <w:sz w:val="20"/>
          <w:szCs w:val="20"/>
          <w:color w:val="auto"/>
        </w:rPr>
      </w:pPr>
    </w:p>
    <w:p>
      <w:pPr>
        <w:ind w:left="120"/>
        <w:spacing w:after="0"/>
        <w:tabs>
          <w:tab w:leader="none" w:pos="8700" w:val="left"/>
        </w:tabs>
        <w:rPr>
          <w:sz w:val="20"/>
          <w:szCs w:val="20"/>
          <w:color w:val="auto"/>
        </w:rPr>
      </w:pPr>
      <w:r>
        <w:rPr>
          <w:rFonts w:ascii="Arial" w:cs="Arial" w:eastAsia="Arial" w:hAnsi="Arial"/>
          <w:sz w:val="17"/>
          <w:szCs w:val="17"/>
          <w:color w:val="auto"/>
        </w:rPr>
        <w:t>____________________________________________________________________________________</w:t>
        <w:tab/>
        <w:t>(Insert assignee’s legal name)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w:t>
      </w:r>
    </w:p>
    <w:p>
      <w:pPr>
        <w:jc w:val="center"/>
        <w:ind w:right="-119"/>
        <w:spacing w:after="0"/>
        <w:rPr>
          <w:sz w:val="20"/>
          <w:szCs w:val="20"/>
          <w:color w:val="auto"/>
        </w:rPr>
      </w:pPr>
      <w:r>
        <w:rPr>
          <w:rFonts w:ascii="Arial" w:cs="Arial" w:eastAsia="Arial" w:hAnsi="Arial"/>
          <w:sz w:val="18"/>
          <w:szCs w:val="18"/>
          <w:color w:val="auto"/>
        </w:rPr>
        <w:t>(Insert assignee’s soc. sec. or tax I.D. no.)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(Print or type assignee’s name, address and zip code)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 _____________________________________________ to transfer this Note on the books of the Company.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agent may substitute another to act for him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00" w:lineRule="exact"/>
        <w:rPr>
          <w:sz w:val="20"/>
          <w:szCs w:val="20"/>
          <w:color w:val="auto"/>
        </w:rPr>
      </w:pPr>
    </w:p>
    <w:p>
      <w:pPr>
        <w:spacing w:after="0" w:line="3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Your Signature:________________________________</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Tax Identification No: ___________________________</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Signature Guarantee: __________________________</w:t>
      </w:r>
    </w:p>
    <w:p>
      <w:pPr>
        <w:spacing w:after="0" w:line="200" w:lineRule="exact"/>
        <w:rPr>
          <w:sz w:val="20"/>
          <w:szCs w:val="20"/>
          <w:color w:val="auto"/>
        </w:rPr>
      </w:pPr>
    </w:p>
    <w:p>
      <w:pPr>
        <w:spacing w:after="0" w:line="367" w:lineRule="exact"/>
        <w:rPr>
          <w:sz w:val="20"/>
          <w:szCs w:val="20"/>
          <w:color w:val="auto"/>
        </w:rPr>
      </w:pPr>
    </w:p>
    <w:p>
      <w:pPr>
        <w:ind w:right="80" w:firstLine="648"/>
        <w:spacing w:after="0" w:line="251" w:lineRule="auto"/>
        <w:rPr>
          <w:sz w:val="20"/>
          <w:szCs w:val="20"/>
          <w:color w:val="auto"/>
        </w:rPr>
      </w:pPr>
      <w:r>
        <w:rPr>
          <w:rFonts w:ascii="Arial" w:cs="Arial" w:eastAsia="Arial" w:hAnsi="Arial"/>
          <w:sz w:val="17"/>
          <w:szCs w:val="17"/>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7"/>
          <w:szCs w:val="17"/>
          <w:b w:val="1"/>
          <w:bCs w:val="1"/>
          <w:i w:val="1"/>
          <w:iCs w:val="1"/>
          <w:color w:val="auto"/>
        </w:rPr>
        <w:t>STAMP</w:t>
      </w:r>
      <w:r>
        <w:rPr>
          <w:rFonts w:ascii="Arial" w:cs="Arial" w:eastAsia="Arial" w:hAnsi="Arial"/>
          <w:sz w:val="17"/>
          <w:szCs w:val="17"/>
          <w:color w:val="auto"/>
        </w:rPr>
        <w:t>”) or such other “signature guarantee</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program” as may be determined by the Registrar in addition to, or in substitution for, STAMP, all in accordance with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A-8</w:t>
      </w:r>
    </w:p>
    <w:p>
      <w:pPr>
        <w:sectPr>
          <w:pgSz w:w="11900" w:h="16838" w:orient="portrait"/>
          <w:cols w:equalWidth="0" w:num="1">
            <w:col w:w="11120"/>
          </w:cols>
          <w:pgMar w:left="320" w:top="1403" w:right="459" w:bottom="1440" w:gutter="0" w:footer="0" w:header="0"/>
        </w:sectPr>
      </w:pPr>
    </w:p>
    <w:bookmarkStart w:id="39" w:name="page40"/>
    <w:bookmarkEnd w:id="39"/>
    <w:p>
      <w:pPr>
        <w:jc w:val="center"/>
        <w:ind w:left="620"/>
        <w:spacing w:after="0"/>
        <w:rPr>
          <w:sz w:val="20"/>
          <w:szCs w:val="20"/>
          <w:color w:val="auto"/>
        </w:rPr>
      </w:pPr>
      <w:r>
        <w:rPr>
          <w:rFonts w:ascii="Arial" w:cs="Arial" w:eastAsia="Arial" w:hAnsi="Arial"/>
          <w:sz w:val="18"/>
          <w:szCs w:val="18"/>
          <w:b w:val="1"/>
          <w:bCs w:val="1"/>
          <w:color w:val="auto"/>
        </w:rPr>
        <w:t>OPTION OF HOLDER TO ELECT PURCHASE</w:t>
      </w:r>
    </w:p>
    <w:p>
      <w:pPr>
        <w:spacing w:after="0" w:line="239"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If you want to elect to have this 2028 Note purchased by the Company pursuant to Section 4.1 of the Supplemental Indenture, check the box below:</w:t>
      </w:r>
    </w:p>
    <w:p>
      <w:pPr>
        <w:spacing w:after="0" w:line="181" w:lineRule="exact"/>
        <w:rPr>
          <w:sz w:val="20"/>
          <w:szCs w:val="20"/>
          <w:color w:val="auto"/>
        </w:rPr>
      </w:pPr>
    </w:p>
    <w:p>
      <w:pPr>
        <w:ind w:left="860" w:hanging="204"/>
        <w:spacing w:after="0"/>
        <w:tabs>
          <w:tab w:leader="none" w:pos="860" w:val="left"/>
        </w:tabs>
        <w:numPr>
          <w:ilvl w:val="0"/>
          <w:numId w:val="35"/>
        </w:numPr>
        <w:rPr>
          <w:rFonts w:ascii="MS PGothic" w:cs="MS PGothic" w:eastAsia="MS PGothic" w:hAnsi="MS PGothic"/>
          <w:sz w:val="18"/>
          <w:szCs w:val="18"/>
          <w:color w:val="auto"/>
        </w:rPr>
      </w:pPr>
      <w:r>
        <w:rPr>
          <w:rFonts w:ascii="Arial" w:cs="Arial" w:eastAsia="Arial" w:hAnsi="Arial"/>
          <w:sz w:val="18"/>
          <w:szCs w:val="18"/>
          <w:color w:val="auto"/>
        </w:rPr>
        <w:t>Section 4.1</w:t>
      </w:r>
    </w:p>
    <w:p>
      <w:pPr>
        <w:spacing w:after="0" w:line="239" w:lineRule="exact"/>
        <w:rPr>
          <w:sz w:val="20"/>
          <w:szCs w:val="20"/>
          <w:color w:val="auto"/>
        </w:rPr>
      </w:pPr>
    </w:p>
    <w:p>
      <w:pPr>
        <w:ind w:right="460" w:firstLine="648"/>
        <w:spacing w:after="0" w:line="253" w:lineRule="auto"/>
        <w:rPr>
          <w:sz w:val="20"/>
          <w:szCs w:val="20"/>
          <w:color w:val="auto"/>
        </w:rPr>
      </w:pPr>
      <w:r>
        <w:rPr>
          <w:rFonts w:ascii="Arial" w:cs="Arial" w:eastAsia="Arial" w:hAnsi="Arial"/>
          <w:sz w:val="18"/>
          <w:szCs w:val="18"/>
          <w:color w:val="auto"/>
        </w:rPr>
        <w:t>If you want to elect to have only part of the 2028 Note purchased by the Company pursuant to Section 4.1 of the Supplemental Indenture, state the amount you elect to have purchased ($2,000 or integral multiples of $ 1,000 in excess thereof; provided that the unrepurchased portion of a 2028 Note must be in a minimum principal amount of $2,000): $________________</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00" w:lineRule="exact"/>
        <w:rPr>
          <w:sz w:val="20"/>
          <w:szCs w:val="20"/>
          <w:color w:val="auto"/>
        </w:rPr>
      </w:pPr>
    </w:p>
    <w:p>
      <w:pPr>
        <w:spacing w:after="0" w:line="3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Your Signature:________________________________</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Tax Identification No: ___________________________</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Signature Guarantee: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8"/>
          <w:szCs w:val="18"/>
          <w:b w:val="1"/>
          <w:bCs w:val="1"/>
          <w:i w:val="1"/>
          <w:iCs w:val="1"/>
          <w:color w:val="auto"/>
        </w:rPr>
        <w:t>STAMP</w:t>
      </w:r>
      <w:r>
        <w:rPr>
          <w:rFonts w:ascii="Arial" w:cs="Arial" w:eastAsia="Arial" w:hAnsi="Arial"/>
          <w:sz w:val="18"/>
          <w:szCs w:val="18"/>
          <w:color w:val="auto"/>
        </w:rPr>
        <w:t>”) or such other “signature guarantee program” as may be determined by the Registrar in addition to, or in substitution for, STAMP, all in accordance with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A-9</w:t>
      </w:r>
    </w:p>
    <w:p>
      <w:pPr>
        <w:sectPr>
          <w:pgSz w:w="11900" w:h="16838" w:orient="portrait"/>
          <w:cols w:equalWidth="0" w:num="1">
            <w:col w:w="11180"/>
          </w:cols>
          <w:pgMar w:left="320" w:top="1403" w:right="39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EXHIBIT B</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2033 Note)</w:t>
      </w:r>
    </w:p>
    <w:p>
      <w:pPr>
        <w:spacing w:after="0" w:line="239" w:lineRule="exact"/>
        <w:rPr>
          <w:sz w:val="20"/>
          <w:szCs w:val="20"/>
          <w:color w:val="auto"/>
        </w:rPr>
      </w:pPr>
    </w:p>
    <w:p>
      <w:pPr>
        <w:ind w:right="180" w:firstLine="648"/>
        <w:spacing w:after="0" w:line="254" w:lineRule="auto"/>
        <w:rPr>
          <w:sz w:val="20"/>
          <w:szCs w:val="20"/>
          <w:color w:val="auto"/>
        </w:rPr>
      </w:pPr>
      <w:r>
        <w:rPr>
          <w:rFonts w:ascii="Arial" w:cs="Arial" w:eastAsia="Arial" w:hAnsi="Arial"/>
          <w:sz w:val="17"/>
          <w:szCs w:val="17"/>
          <w:color w:val="auto"/>
        </w:rPr>
        <w:t>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w:t>
      </w:r>
    </w:p>
    <w:p>
      <w:pPr>
        <w:ind w:right="180"/>
        <w:spacing w:after="0"/>
        <w:rPr>
          <w:sz w:val="20"/>
          <w:szCs w:val="20"/>
          <w:color w:val="auto"/>
        </w:rPr>
      </w:pPr>
      <w:r>
        <w:rPr>
          <w:rFonts w:ascii="Arial" w:cs="Arial" w:eastAsia="Arial" w:hAnsi="Arial"/>
          <w:sz w:val="17"/>
          <w:szCs w:val="17"/>
          <w:color w:val="auto"/>
        </w:rPr>
        <w:t>THIS GLOBAL NOTE MAY BE EXCHANGED IN WHOLE BUT NOT IN PART PURSUANT TO SECTION 2.2(a) OF THE SUPPLEMENTAL INDENTURE, (III) THIS GLOBAL NOTE MAY BE DELIVERED TO THE TRUSTEE FOR CANCELLATION PURSUANT TO SECTION 2.12</w:t>
      </w:r>
    </w:p>
    <w:p>
      <w:pPr>
        <w:spacing w:after="0" w:line="1" w:lineRule="exact"/>
        <w:rPr>
          <w:sz w:val="20"/>
          <w:szCs w:val="20"/>
          <w:color w:val="auto"/>
        </w:rPr>
      </w:pPr>
    </w:p>
    <w:p>
      <w:pPr>
        <w:jc w:val="both"/>
        <w:ind w:right="1160"/>
        <w:spacing w:after="0" w:line="279" w:lineRule="auto"/>
        <w:rPr>
          <w:sz w:val="20"/>
          <w:szCs w:val="20"/>
          <w:color w:val="auto"/>
        </w:rPr>
      </w:pPr>
      <w:r>
        <w:rPr>
          <w:rFonts w:ascii="Arial" w:cs="Arial" w:eastAsia="Arial" w:hAnsi="Arial"/>
          <w:sz w:val="17"/>
          <w:szCs w:val="17"/>
          <w:color w:val="auto"/>
        </w:rPr>
        <w:t>OF THE BASE INDENTURE HEREINAFTER REFERRED TO AND (IV) THIS GLOBAL NOTE MAY BE TRANSFERRED TO A SUCCESSOR DEPOSITARY WITH THE PRIOR WRITTEN CONSENT OF THE COMPANY HEREINAFTER REFERRED TO.</w:t>
      </w:r>
    </w:p>
    <w:p>
      <w:pPr>
        <w:spacing w:after="0" w:line="18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(570 WASHINGTON BOULEVARD, JERSEY CITY, NEW JERSEY)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9"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CUSIP:[_______]</w:t>
      </w:r>
    </w:p>
    <w:p>
      <w:pPr>
        <w:spacing w:after="0" w:line="7" w:lineRule="exact"/>
        <w:rPr>
          <w:sz w:val="20"/>
          <w:szCs w:val="20"/>
          <w:color w:val="auto"/>
        </w:rPr>
      </w:pPr>
    </w:p>
    <w:p>
      <w:pPr>
        <w:ind w:left="10040"/>
        <w:spacing w:after="0"/>
        <w:rPr>
          <w:sz w:val="20"/>
          <w:szCs w:val="20"/>
          <w:color w:val="auto"/>
        </w:rPr>
      </w:pPr>
      <w:r>
        <w:rPr>
          <w:rFonts w:ascii="Arial" w:cs="Arial" w:eastAsia="Arial" w:hAnsi="Arial"/>
          <w:sz w:val="17"/>
          <w:szCs w:val="17"/>
          <w:color w:val="auto"/>
        </w:rPr>
        <w:t>ISIN:[_______]</w:t>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MICRON TECHNOLOGY, INC.</w:t>
      </w:r>
    </w:p>
    <w:p>
      <w:pPr>
        <w:ind w:left="4420"/>
        <w:spacing w:after="0" w:line="234" w:lineRule="auto"/>
        <w:rPr>
          <w:sz w:val="20"/>
          <w:szCs w:val="20"/>
          <w:color w:val="auto"/>
        </w:rPr>
      </w:pPr>
      <w:r>
        <w:rPr>
          <w:rFonts w:ascii="Arial" w:cs="Arial" w:eastAsia="Arial" w:hAnsi="Arial"/>
          <w:sz w:val="18"/>
          <w:szCs w:val="18"/>
          <w:color w:val="auto"/>
        </w:rPr>
        <w:t>5.875% Senior Note due 2033</w:t>
      </w:r>
    </w:p>
    <w:p>
      <w:pPr>
        <w:spacing w:after="0" w:line="219" w:lineRule="auto"/>
        <w:rPr>
          <w:sz w:val="20"/>
          <w:szCs w:val="20"/>
          <w:color w:val="auto"/>
        </w:rPr>
      </w:pPr>
      <w:r>
        <w:rPr>
          <w:rFonts w:ascii="Arial" w:cs="Arial" w:eastAsia="Arial" w:hAnsi="Arial"/>
          <w:sz w:val="18"/>
          <w:szCs w:val="18"/>
          <w:color w:val="auto"/>
        </w:rPr>
        <w:t>No. [_____] $__________</w:t>
      </w:r>
    </w:p>
    <w:p>
      <w:pPr>
        <w:spacing w:after="0" w:line="1" w:lineRule="exact"/>
        <w:rPr>
          <w:sz w:val="20"/>
          <w:szCs w:val="20"/>
          <w:color w:val="auto"/>
        </w:rPr>
      </w:pPr>
    </w:p>
    <w:p>
      <w:pPr>
        <w:jc w:val="right"/>
        <w:ind w:left="4800"/>
        <w:spacing w:after="0" w:line="250" w:lineRule="auto"/>
        <w:rPr>
          <w:sz w:val="20"/>
          <w:szCs w:val="20"/>
          <w:color w:val="auto"/>
        </w:rPr>
      </w:pPr>
      <w:r>
        <w:rPr>
          <w:rFonts w:ascii="Arial" w:cs="Arial" w:eastAsia="Arial" w:hAnsi="Arial"/>
          <w:sz w:val="18"/>
          <w:szCs w:val="18"/>
          <w:color w:val="auto"/>
        </w:rPr>
        <w:t>(as revised by the Schedule of Increases and Decreases in Global Note attached hereto)</w:t>
      </w:r>
    </w:p>
    <w:p>
      <w:pPr>
        <w:spacing w:after="0" w:line="19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Micron Technology, Inc., a Delaware corporation, promises to pay to CEDE &amp; CO. or registered assigns, the principal sum of $[ ] (as revised by the Schedule of Increases and Decreases in Global Note attached hereto) on September 15, 2033.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March 15 and September 15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Record Dates: March 1 and September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w:t>
      </w:r>
    </w:p>
    <w:p>
      <w:pPr>
        <w:sectPr>
          <w:pgSz w:w="11900" w:h="16838" w:orient="portrait"/>
          <w:cols w:equalWidth="0" w:num="1">
            <w:col w:w="11240"/>
          </w:cols>
          <w:pgMar w:left="320" w:top="140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Date:</w:t>
      </w:r>
    </w:p>
    <w:p>
      <w:pPr>
        <w:spacing w:after="0" w:line="14"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MICRON TECHNOLOGY, INC.</w:t>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ind w:left="45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B-2</w:t>
      </w:r>
    </w:p>
    <w:p>
      <w:pPr>
        <w:sectPr>
          <w:pgSz w:w="11900" w:h="16838" w:orient="portrait"/>
          <w:cols w:equalWidth="0" w:num="1">
            <w:col w:w="10139"/>
          </w:cols>
          <w:pgMar w:left="320" w:top="1403" w:right="1440" w:bottom="1440" w:gutter="0" w:footer="0" w:header="0"/>
        </w:sectPr>
      </w:pPr>
    </w:p>
    <w:bookmarkStart w:id="42" w:name="page43"/>
    <w:bookmarkEnd w:id="42"/>
    <w:p>
      <w:pPr>
        <w:ind w:left="3880"/>
        <w:spacing w:after="0"/>
        <w:rPr>
          <w:sz w:val="20"/>
          <w:szCs w:val="20"/>
          <w:color w:val="auto"/>
        </w:rPr>
      </w:pPr>
      <w:r>
        <w:rPr>
          <w:rFonts w:ascii="Arial" w:cs="Arial" w:eastAsia="Arial" w:hAnsi="Arial"/>
          <w:sz w:val="17"/>
          <w:szCs w:val="17"/>
          <w:color w:val="auto"/>
        </w:rPr>
        <w:t>TRUSTEE’S CERTIFICATE OF AUTHENTICATION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Supplemental Indenture: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U.S. BANK TRUST COMPANY, NATIONAL ASSOCIATION as Trustee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B-3</w:t>
      </w:r>
    </w:p>
    <w:p>
      <w:pPr>
        <w:sectPr>
          <w:pgSz w:w="11900" w:h="16838" w:orient="portrait"/>
          <w:cols w:equalWidth="0" w:num="1">
            <w:col w:w="10139"/>
          </w:cols>
          <w:pgMar w:left="320" w:top="1403"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rPr>
        <w:t>(Back of 2033 Note)</w:t>
      </w:r>
    </w:p>
    <w:p>
      <w:pPr>
        <w:spacing w:after="0" w:line="23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MICRON TECHNOLOGY, INC.</w:t>
      </w:r>
    </w:p>
    <w:p>
      <w:pPr>
        <w:spacing w:after="0" w:line="1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5.875% Senior Note due 2033</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39" w:lineRule="exact"/>
        <w:rPr>
          <w:sz w:val="20"/>
          <w:szCs w:val="20"/>
          <w:color w:val="auto"/>
        </w:rPr>
      </w:pPr>
    </w:p>
    <w:p>
      <w:pPr>
        <w:ind w:left="-20" w:right="80" w:firstLine="737"/>
        <w:spacing w:after="0" w:line="237" w:lineRule="auto"/>
        <w:tabs>
          <w:tab w:leader="none" w:pos="1264"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 Micron Technology,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promises to pay interest on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this 2033 Note at 5.875% per annum. The Company will pay interest semi-annually on March 15 and September 15 of each year, commencing September 15, 2023, or if any such day is not a Business Day, on the next succeeding Business Day as if made on the date such payment was due, and no additional interest will accrue on the amount so payable for that period (each an “</w:t>
      </w:r>
      <w:r>
        <w:rPr>
          <w:rFonts w:ascii="Arial" w:cs="Arial" w:eastAsia="Arial" w:hAnsi="Arial"/>
          <w:sz w:val="18"/>
          <w:szCs w:val="18"/>
          <w:b w:val="1"/>
          <w:bCs w:val="1"/>
          <w:i w:val="1"/>
          <w:iCs w:val="1"/>
          <w:color w:val="auto"/>
        </w:rPr>
        <w:t>Interest Payment Date</w:t>
      </w:r>
      <w:r>
        <w:rPr>
          <w:rFonts w:ascii="Arial" w:cs="Arial" w:eastAsia="Arial" w:hAnsi="Arial"/>
          <w:sz w:val="18"/>
          <w:szCs w:val="18"/>
          <w:color w:val="auto"/>
        </w:rPr>
        <w:t xml:space="preserve">”). Interest on the 2033 Notes will accrue from the most recent date to which interest has been paid or provided for or, if no interest has been paid or provided for, from April 11, 2023;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there is no existing Default in the payment of interest, and if this 2033 Note is authenticated between a record date referred to on the face 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2033 Notes to the extent lawful; it will pay interest (including post-petition interest in any proceeding under any Bankruptcy Law to the extent allowable) on overdue installments of interest at the same rate to the extent lawful. Interest will be computed on the basis of a 360-day year of twelve 30-day months.</w:t>
      </w:r>
    </w:p>
    <w:p>
      <w:pPr>
        <w:spacing w:after="0" w:line="206" w:lineRule="exact"/>
        <w:rPr>
          <w:rFonts w:ascii="Arial" w:cs="Arial" w:eastAsia="Arial" w:hAnsi="Arial"/>
          <w:sz w:val="18"/>
          <w:szCs w:val="18"/>
          <w:color w:val="auto"/>
        </w:rPr>
      </w:pPr>
    </w:p>
    <w:p>
      <w:pPr>
        <w:ind w:left="-20" w:firstLine="737"/>
        <w:spacing w:after="0" w:line="237" w:lineRule="auto"/>
        <w:tabs>
          <w:tab w:leader="none" w:pos="1264"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METHOD OF PAYMENT</w:t>
      </w:r>
      <w:r>
        <w:rPr>
          <w:rFonts w:ascii="Arial" w:cs="Arial" w:eastAsia="Arial" w:hAnsi="Arial"/>
          <w:sz w:val="18"/>
          <w:szCs w:val="18"/>
          <w:color w:val="auto"/>
        </w:rPr>
        <w:t>. The Company will pay interest on the 2033 Notes (except defaulted interest) to the persons who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are registered Holders of 2033 Notes at the close of business on the March 1 or September 1 (whether or not a Business Day) next preceding the Interest Payment Date, even if such 2033 Notes are canceled after such record date and on or before such Interest Payment Date, except as provided in Section 2.13 of the Base Indenture with respect to defaulted interest. Principal and interest on the 2033 Notes will be made by (a) check mailed to the Holders of the 2033 Notes at their respective addresses set forth in the register of Holders of 2033 Notes or (b) with respect to a Holder with an aggregate principal amount in excess of $5,000,000, by wire transfer in immediately available funds to the place and account designated in writing at least 15 days prior to the Interest Payment Date by the person entitled to the payment as specified in the security register;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payment by wire transfer of immediately available funds will be required with respect to principal of and interest on all Global Securities and all other 2033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w:t>
      </w:r>
    </w:p>
    <w:p>
      <w:pPr>
        <w:spacing w:after="0" w:line="208" w:lineRule="exact"/>
        <w:rPr>
          <w:rFonts w:ascii="Arial" w:cs="Arial" w:eastAsia="Arial" w:hAnsi="Arial"/>
          <w:sz w:val="18"/>
          <w:szCs w:val="18"/>
          <w:color w:val="auto"/>
        </w:rPr>
      </w:pPr>
    </w:p>
    <w:p>
      <w:pPr>
        <w:ind w:left="-20" w:right="320" w:firstLine="737"/>
        <w:spacing w:after="0" w:line="253" w:lineRule="auto"/>
        <w:tabs>
          <w:tab w:leader="none" w:pos="1264"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U.S. Bank Trust Company, National Association, the Trustee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will act as Paying Agent and Registrar. The Company may change any Paying Agent or Registrar without notice to any Holder. The Company or any of its Subsidiaries may act in any such capacity.</w:t>
      </w:r>
    </w:p>
    <w:p>
      <w:pPr>
        <w:spacing w:after="0" w:line="195" w:lineRule="exact"/>
        <w:rPr>
          <w:rFonts w:ascii="Arial" w:cs="Arial" w:eastAsia="Arial" w:hAnsi="Arial"/>
          <w:sz w:val="18"/>
          <w:szCs w:val="18"/>
          <w:color w:val="auto"/>
        </w:rPr>
      </w:pPr>
    </w:p>
    <w:p>
      <w:pPr>
        <w:ind w:left="-20" w:firstLine="737"/>
        <w:spacing w:after="0" w:line="237" w:lineRule="auto"/>
        <w:tabs>
          <w:tab w:leader="none" w:pos="1264"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This 2033 Note is one of a duly authenticated Series of securities of the Company issued and to be issued in</w:t>
      </w:r>
      <w:r>
        <w:rPr>
          <w:rFonts w:ascii="Arial" w:cs="Arial" w:eastAsia="Arial" w:hAnsi="Arial"/>
          <w:sz w:val="18"/>
          <w:szCs w:val="18"/>
          <w:i w:val="1"/>
          <w:iCs w:val="1"/>
          <w:color w:val="auto"/>
        </w:rPr>
        <w:t xml:space="preserve"> </w:t>
      </w:r>
      <w:r>
        <w:rPr>
          <w:rFonts w:ascii="Arial" w:cs="Arial" w:eastAsia="Arial" w:hAnsi="Arial"/>
          <w:sz w:val="18"/>
          <w:szCs w:val="18"/>
          <w:color w:val="auto"/>
        </w:rPr>
        <w:t>one or more Series under an indenture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dated as of February 6, 2019, between the Company and the Trustee (as successor in interest to U.S. Bank National Association), as amended by the Seventh Supplemental Indenture, dated as of April 11, 2023, between the Company and the Trustee (the “</w:t>
      </w:r>
      <w:r>
        <w:rPr>
          <w:rFonts w:ascii="Arial" w:cs="Arial" w:eastAsia="Arial" w:hAnsi="Arial"/>
          <w:sz w:val="18"/>
          <w:szCs w:val="18"/>
          <w:b w:val="1"/>
          <w:bCs w:val="1"/>
          <w:i w:val="1"/>
          <w:iCs w:val="1"/>
          <w:color w:val="auto"/>
        </w:rPr>
        <w:t>Supplemental Indenture</w:t>
      </w:r>
      <w:r>
        <w:rPr>
          <w:rFonts w:ascii="Arial" w:cs="Arial" w:eastAsia="Arial" w:hAnsi="Arial"/>
          <w:sz w:val="18"/>
          <w:szCs w:val="18"/>
          <w:color w:val="auto"/>
        </w:rPr>
        <w:t>” and, together with the Base Indenture,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The terms of the 2033 Notes include those stated in the Indenture and those made part of the Indenture by reference to the TIA. The 2033 Notes are subject to all such terms, and Holders are referred to the Indenture and such Act for a statement of such terms. To the extent any provision of this 2033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2033 Notes pursuant to Section 2.3 of the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B-4</w:t>
      </w:r>
    </w:p>
    <w:p>
      <w:pPr>
        <w:sectPr>
          <w:pgSz w:w="11900" w:h="16838" w:orient="portrait"/>
          <w:cols w:equalWidth="0" w:num="1">
            <w:col w:w="11200"/>
          </w:cols>
          <w:pgMar w:left="340" w:top="1403" w:right="359" w:bottom="1440" w:gutter="0" w:footer="0" w:header="0"/>
        </w:sectPr>
      </w:pPr>
    </w:p>
    <w:bookmarkStart w:id="44" w:name="page45"/>
    <w:bookmarkEnd w:id="44"/>
    <w:p>
      <w:pPr>
        <w:spacing w:after="0" w:line="207" w:lineRule="exact"/>
        <w:rPr>
          <w:sz w:val="20"/>
          <w:szCs w:val="20"/>
          <w:color w:val="auto"/>
        </w:rPr>
      </w:pPr>
    </w:p>
    <w:p>
      <w:pPr>
        <w:ind w:left="-40" w:right="220" w:firstLine="737"/>
        <w:spacing w:after="0" w:line="253" w:lineRule="auto"/>
        <w:tabs>
          <w:tab w:leader="none" w:pos="1244"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 The 2033 Notes are redeemable prior to the maturity date as provided in the Indenture.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redemption of this 2033 Note in part only, a new 2033 Note or Notes in an authorized denomination for the unredeemed portion hereof will be issued in the name of the Holder hereof upon the cancellation hereof.</w:t>
      </w:r>
    </w:p>
    <w:p>
      <w:pPr>
        <w:spacing w:after="0" w:line="195" w:lineRule="exact"/>
        <w:rPr>
          <w:rFonts w:ascii="Arial" w:cs="Arial" w:eastAsia="Arial" w:hAnsi="Arial"/>
          <w:sz w:val="18"/>
          <w:szCs w:val="18"/>
          <w:color w:val="auto"/>
        </w:rPr>
      </w:pPr>
    </w:p>
    <w:p>
      <w:pPr>
        <w:ind w:left="-40" w:right="180" w:firstLine="737"/>
        <w:spacing w:after="0" w:line="271" w:lineRule="auto"/>
        <w:tabs>
          <w:tab w:leader="none" w:pos="1244"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MANDATORY REDEMPTION. </w:t>
      </w:r>
      <w:r>
        <w:rPr>
          <w:rFonts w:ascii="Arial" w:cs="Arial" w:eastAsia="Arial" w:hAnsi="Arial"/>
          <w:sz w:val="18"/>
          <w:szCs w:val="18"/>
          <w:color w:val="auto"/>
        </w:rPr>
        <w:t>The Company is not required to make any mandatory redemption or sinking fund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2033 Notes.</w:t>
      </w:r>
    </w:p>
    <w:p>
      <w:pPr>
        <w:spacing w:after="0" w:line="180" w:lineRule="exact"/>
        <w:rPr>
          <w:rFonts w:ascii="Arial" w:cs="Arial" w:eastAsia="Arial" w:hAnsi="Arial"/>
          <w:sz w:val="18"/>
          <w:szCs w:val="18"/>
          <w:color w:val="auto"/>
        </w:rPr>
      </w:pPr>
    </w:p>
    <w:p>
      <w:pPr>
        <w:ind w:left="-40" w:right="180" w:firstLine="737"/>
        <w:spacing w:after="0" w:line="245" w:lineRule="auto"/>
        <w:tabs>
          <w:tab w:leader="none" w:pos="1244"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OFFER TO PURCHASE UPON CHANGE OF CONTROL TRIGGERING EVENT</w:t>
      </w:r>
      <w:r>
        <w:rPr>
          <w:rFonts w:ascii="Arial" w:cs="Arial" w:eastAsia="Arial" w:hAnsi="Arial"/>
          <w:sz w:val="18"/>
          <w:szCs w:val="18"/>
          <w:color w:val="auto"/>
        </w:rPr>
        <w:t>. If a Change of Control Triggering Event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2033 Notes occurs, the Company may be required to make an offer to purchase the 2033 Notes in the manner and with the effect provided in the Indenture.</w:t>
      </w:r>
    </w:p>
    <w:p>
      <w:pPr>
        <w:spacing w:after="0" w:line="203" w:lineRule="exact"/>
        <w:rPr>
          <w:rFonts w:ascii="Arial" w:cs="Arial" w:eastAsia="Arial" w:hAnsi="Arial"/>
          <w:sz w:val="18"/>
          <w:szCs w:val="18"/>
          <w:color w:val="auto"/>
        </w:rPr>
      </w:pPr>
    </w:p>
    <w:p>
      <w:pPr>
        <w:ind w:left="-40" w:firstLine="737"/>
        <w:spacing w:after="0"/>
        <w:tabs>
          <w:tab w:leader="none" w:pos="1244"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r>
        <w:rPr>
          <w:rFonts w:ascii="Arial" w:cs="Arial" w:eastAsia="Arial" w:hAnsi="Arial"/>
          <w:sz w:val="18"/>
          <w:szCs w:val="18"/>
          <w:color w:val="auto"/>
        </w:rPr>
        <w:t>. The 2033 Notes are in registered form without coupons in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denominations of $2,000 and integral multiples of $1,000 in excess thereof. 2033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2033 Note or portion of a 2033 Note selected for redemption, except for the unredeemed portion of any 2033 Note being redeemed in part. Also, neither the Trustee nor the Company need exchange or register the transfer of any 2033 Notes for a period of 15 days before the day of any selection of 2033 Notes to be redeemed or during the period between a record date and the corresponding Interest Payment Date.</w:t>
      </w:r>
    </w:p>
    <w:p>
      <w:pPr>
        <w:spacing w:after="0" w:line="207" w:lineRule="exact"/>
        <w:rPr>
          <w:rFonts w:ascii="Arial" w:cs="Arial" w:eastAsia="Arial" w:hAnsi="Arial"/>
          <w:sz w:val="18"/>
          <w:szCs w:val="18"/>
          <w:color w:val="auto"/>
        </w:rPr>
      </w:pPr>
    </w:p>
    <w:p>
      <w:pPr>
        <w:ind w:left="-40" w:right="80" w:firstLine="737"/>
        <w:spacing w:after="0" w:line="271" w:lineRule="auto"/>
        <w:tabs>
          <w:tab w:leader="none" w:pos="1244"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Subject to the record date provisions hereof, the registered Holder of a 2033 Note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as its owner for all purposes.</w:t>
      </w:r>
    </w:p>
    <w:p>
      <w:pPr>
        <w:spacing w:after="0" w:line="180" w:lineRule="exact"/>
        <w:rPr>
          <w:rFonts w:ascii="Arial" w:cs="Arial" w:eastAsia="Arial" w:hAnsi="Arial"/>
          <w:sz w:val="18"/>
          <w:szCs w:val="18"/>
          <w:color w:val="auto"/>
        </w:rPr>
      </w:pPr>
    </w:p>
    <w:p>
      <w:pPr>
        <w:ind w:left="-40" w:right="20" w:firstLine="737"/>
        <w:spacing w:after="0" w:line="238" w:lineRule="auto"/>
        <w:tabs>
          <w:tab w:leader="none" w:pos="1249"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AMENDMENT, SUPPLEMENT AND WAIVER</w:t>
      </w:r>
      <w:r>
        <w:rPr>
          <w:rFonts w:ascii="Arial" w:cs="Arial" w:eastAsia="Arial" w:hAnsi="Arial"/>
          <w:sz w:val="18"/>
          <w:szCs w:val="18"/>
          <w:color w:val="auto"/>
        </w:rPr>
        <w:t>. Subject to certain exceptions, the Indenture or the 2033 Notes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or supplemented with the consent of the Holders of at least a majority in principal amount of the 2033 Notes then outstanding, including, without limitation, consents obtained in connection with a tender offer or exchange offer for the 2033 Notes, and any existing default or compliance with any provision of the Indenture or the 2033 Notes, may be waived with the consent of the Holders of a majority in principal amount of the then outstanding 2033 Notes, including, without limitation, consents obtained in connection with a tender offer or exchange offer for the 2033 Notes. The Indenture or the 2033 Notes may be amended or supplemented without the consent of any Holder of a 2033 Note as described in the Indenture.</w:t>
      </w:r>
    </w:p>
    <w:p>
      <w:pPr>
        <w:spacing w:after="0" w:line="210" w:lineRule="exact"/>
        <w:rPr>
          <w:rFonts w:ascii="Arial" w:cs="Arial" w:eastAsia="Arial" w:hAnsi="Arial"/>
          <w:sz w:val="18"/>
          <w:szCs w:val="18"/>
          <w:color w:val="auto"/>
        </w:rPr>
      </w:pPr>
    </w:p>
    <w:p>
      <w:pPr>
        <w:ind w:left="-40" w:right="120" w:firstLine="737"/>
        <w:spacing w:after="0" w:line="253" w:lineRule="auto"/>
        <w:tabs>
          <w:tab w:leader="none" w:pos="1236"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 If an Event of Default with respect to the 2033 Notes shall occur and be continuing,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of, and any accrued and unpaid interest on, the outstanding 2033 Notes may be declared due and payable in the manner and with the effect provided in the Indenture.</w:t>
      </w:r>
    </w:p>
    <w:p>
      <w:pPr>
        <w:spacing w:after="0" w:line="195" w:lineRule="exact"/>
        <w:rPr>
          <w:rFonts w:ascii="Arial" w:cs="Arial" w:eastAsia="Arial" w:hAnsi="Arial"/>
          <w:sz w:val="18"/>
          <w:szCs w:val="18"/>
          <w:color w:val="auto"/>
        </w:rPr>
      </w:pPr>
    </w:p>
    <w:p>
      <w:pPr>
        <w:ind w:left="-40" w:right="200" w:firstLine="737"/>
        <w:spacing w:after="0" w:line="253" w:lineRule="auto"/>
        <w:tabs>
          <w:tab w:leader="none" w:pos="1249"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r>
        <w:rPr>
          <w:rFonts w:ascii="Arial" w:cs="Arial" w:eastAsia="Arial" w:hAnsi="Arial"/>
          <w:sz w:val="18"/>
          <w:szCs w:val="18"/>
          <w:color w:val="auto"/>
        </w:rPr>
        <w:t>. The Trustee, in its individual or any other capacity, may become the owner or</w:t>
      </w:r>
      <w:r>
        <w:rPr>
          <w:rFonts w:ascii="Arial" w:cs="Arial" w:eastAsia="Arial" w:hAnsi="Arial"/>
          <w:sz w:val="18"/>
          <w:szCs w:val="18"/>
          <w:i w:val="1"/>
          <w:iCs w:val="1"/>
          <w:color w:val="auto"/>
        </w:rPr>
        <w:t xml:space="preserve"> </w:t>
      </w:r>
      <w:r>
        <w:rPr>
          <w:rFonts w:ascii="Arial" w:cs="Arial" w:eastAsia="Arial" w:hAnsi="Arial"/>
          <w:sz w:val="18"/>
          <w:szCs w:val="18"/>
          <w:color w:val="auto"/>
        </w:rPr>
        <w:t>pledgee of the 2033 Notes and may otherwise deal with the Company or an Affiliate of the Company with the same rights it would have if it were not Trustee.</w:t>
      </w:r>
    </w:p>
    <w:p>
      <w:pPr>
        <w:spacing w:after="0" w:line="195" w:lineRule="exact"/>
        <w:rPr>
          <w:rFonts w:ascii="Arial" w:cs="Arial" w:eastAsia="Arial" w:hAnsi="Arial"/>
          <w:sz w:val="18"/>
          <w:szCs w:val="18"/>
          <w:color w:val="auto"/>
        </w:rPr>
      </w:pPr>
    </w:p>
    <w:p>
      <w:pPr>
        <w:ind w:left="-40" w:right="280" w:firstLine="737"/>
        <w:spacing w:after="0" w:line="241" w:lineRule="auto"/>
        <w:tabs>
          <w:tab w:leader="none" w:pos="1249"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None of the Company’s past, present or future directors, officers, employees or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as such, will have any liability for any of the Company’s obligations under the 2033 Notes or the Indenture or for any claim based on, or in respect or by reason of, such obligations or their creation. By accepting a 2033 Note, each Holder waives and releases all such liability. This waiver and release is part of the consideration for the issue of the 2033 Notes.</w:t>
      </w:r>
    </w:p>
    <w:p>
      <w:pPr>
        <w:spacing w:after="0" w:line="208" w:lineRule="exact"/>
        <w:rPr>
          <w:rFonts w:ascii="Arial" w:cs="Arial" w:eastAsia="Arial" w:hAnsi="Arial"/>
          <w:sz w:val="18"/>
          <w:szCs w:val="18"/>
          <w:color w:val="auto"/>
        </w:rPr>
      </w:pPr>
    </w:p>
    <w:p>
      <w:pPr>
        <w:ind w:left="-40" w:right="660" w:firstLine="737"/>
        <w:spacing w:after="0" w:line="271" w:lineRule="auto"/>
        <w:tabs>
          <w:tab w:leader="none" w:pos="1249"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AUTHENTICATION</w:t>
      </w:r>
      <w:r>
        <w:rPr>
          <w:rFonts w:ascii="Arial" w:cs="Arial" w:eastAsia="Arial" w:hAnsi="Arial"/>
          <w:sz w:val="18"/>
          <w:szCs w:val="18"/>
          <w:color w:val="auto"/>
        </w:rPr>
        <w:t>. This 2033 Note will not be valid until authenticated by the manual signature of the Trustee or an</w:t>
      </w:r>
      <w:r>
        <w:rPr>
          <w:rFonts w:ascii="Arial" w:cs="Arial" w:eastAsia="Arial" w:hAnsi="Arial"/>
          <w:sz w:val="18"/>
          <w:szCs w:val="18"/>
          <w:i w:val="1"/>
          <w:iCs w:val="1"/>
          <w:color w:val="auto"/>
        </w:rPr>
        <w:t xml:space="preserve"> </w:t>
      </w:r>
      <w:r>
        <w:rPr>
          <w:rFonts w:ascii="Arial" w:cs="Arial" w:eastAsia="Arial" w:hAnsi="Arial"/>
          <w:sz w:val="18"/>
          <w:szCs w:val="18"/>
          <w:color w:val="auto"/>
        </w:rPr>
        <w:t>authenticating agent.</w:t>
      </w:r>
    </w:p>
    <w:p>
      <w:pPr>
        <w:spacing w:after="0" w:line="180" w:lineRule="exact"/>
        <w:rPr>
          <w:rFonts w:ascii="Arial" w:cs="Arial" w:eastAsia="Arial" w:hAnsi="Arial"/>
          <w:sz w:val="18"/>
          <w:szCs w:val="18"/>
          <w:color w:val="auto"/>
        </w:rPr>
      </w:pPr>
    </w:p>
    <w:p>
      <w:pPr>
        <w:ind w:left="-40" w:right="20" w:firstLine="737"/>
        <w:spacing w:after="0" w:line="253" w:lineRule="auto"/>
        <w:tabs>
          <w:tab w:leader="none" w:pos="1249"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w:t>
      </w:r>
      <w:r>
        <w:rPr>
          <w:rFonts w:ascii="Arial" w:cs="Arial" w:eastAsia="Arial" w:hAnsi="Arial"/>
          <w:sz w:val="18"/>
          <w:szCs w:val="18"/>
          <w:i w:val="1"/>
          <w:iCs w:val="1"/>
          <w:color w:val="auto"/>
        </w:rPr>
        <w:t xml:space="preserve"> </w:t>
      </w:r>
      <w:r>
        <w:rPr>
          <w:rFonts w:ascii="Arial" w:cs="Arial" w:eastAsia="Arial" w:hAnsi="Arial"/>
          <w:sz w:val="18"/>
          <w:szCs w:val="18"/>
          <w:color w:val="auto"/>
        </w:rPr>
        <w:t>tenants in common), TEN ENT (= tenants by the entireties), JT TEN (= joint tenants with right of survivorship and not as tenants in common), CUST (= Custodian), and U/G/M/A (= Uniform Gifts to Minors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B-5</w:t>
      </w:r>
    </w:p>
    <w:p>
      <w:pPr>
        <w:sectPr>
          <w:pgSz w:w="11900" w:h="16838" w:orient="portrait"/>
          <w:cols w:equalWidth="0" w:num="1">
            <w:col w:w="11160"/>
          </w:cols>
          <w:pgMar w:left="360" w:top="1440" w:right="379" w:bottom="1440" w:gutter="0" w:footer="0" w:header="0"/>
        </w:sectPr>
      </w:pPr>
    </w:p>
    <w:bookmarkStart w:id="45" w:name="page46"/>
    <w:bookmarkEnd w:id="45"/>
    <w:p>
      <w:pPr>
        <w:spacing w:after="0" w:line="207" w:lineRule="exact"/>
        <w:rPr>
          <w:sz w:val="20"/>
          <w:szCs w:val="20"/>
          <w:color w:val="auto"/>
        </w:rPr>
      </w:pPr>
    </w:p>
    <w:p>
      <w:pPr>
        <w:ind w:firstLine="737"/>
        <w:spacing w:after="0" w:line="244" w:lineRule="auto"/>
        <w:tabs>
          <w:tab w:leader="none" w:pos="1289"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CUSIP NUMBERS</w:t>
      </w:r>
      <w:r>
        <w:rPr>
          <w:rFonts w:ascii="Arial" w:cs="Arial" w:eastAsia="Arial" w:hAnsi="Arial"/>
          <w:sz w:val="18"/>
          <w:szCs w:val="18"/>
          <w:color w:val="auto"/>
        </w:rPr>
        <w:t>. The Company has caused CUSIP numbers to be printed on the 2033 Notes and the Trustee shall use</w:t>
      </w:r>
      <w:r>
        <w:rPr>
          <w:rFonts w:ascii="Arial" w:cs="Arial" w:eastAsia="Arial" w:hAnsi="Arial"/>
          <w:sz w:val="18"/>
          <w:szCs w:val="18"/>
          <w:i w:val="1"/>
          <w:iCs w:val="1"/>
          <w:color w:val="auto"/>
        </w:rPr>
        <w:t xml:space="preserve"> </w:t>
      </w:r>
      <w:r>
        <w:rPr>
          <w:rFonts w:ascii="Arial" w:cs="Arial" w:eastAsia="Arial" w:hAnsi="Arial"/>
          <w:sz w:val="18"/>
          <w:szCs w:val="18"/>
          <w:color w:val="auto"/>
        </w:rPr>
        <w:t>CUSIP numbers in notices of redemption as a convenience to Holders. No representation is made as to the correctness of such numbers either as printed on the 2033 Notes or as contained in any notice of redemption and reliance may be placed only on the other elements of identification printed on the 2033 Notes, and any such redemption shall not be affected by any defect in or omission of such numbers. The Company will furnish to any Holder upon written request and without charge a copy of the Base Indenture and the Supplemental Indenture.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Requests may be made to:</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Technology, Inc.</w:t>
      </w:r>
    </w:p>
    <w:p>
      <w:pPr>
        <w:ind w:left="660"/>
        <w:spacing w:after="0" w:line="234" w:lineRule="auto"/>
        <w:rPr>
          <w:sz w:val="20"/>
          <w:szCs w:val="20"/>
          <w:color w:val="auto"/>
        </w:rPr>
      </w:pPr>
      <w:r>
        <w:rPr>
          <w:rFonts w:ascii="Arial" w:cs="Arial" w:eastAsia="Arial" w:hAnsi="Arial"/>
          <w:sz w:val="18"/>
          <w:szCs w:val="18"/>
          <w:color w:val="auto"/>
        </w:rPr>
        <w:t>8000 South Federal Way</w:t>
      </w:r>
    </w:p>
    <w:p>
      <w:pPr>
        <w:ind w:left="660"/>
        <w:spacing w:after="0" w:line="235" w:lineRule="auto"/>
        <w:rPr>
          <w:sz w:val="20"/>
          <w:szCs w:val="20"/>
          <w:color w:val="auto"/>
        </w:rPr>
      </w:pPr>
      <w:r>
        <w:rPr>
          <w:rFonts w:ascii="Arial" w:cs="Arial" w:eastAsia="Arial" w:hAnsi="Arial"/>
          <w:sz w:val="18"/>
          <w:szCs w:val="18"/>
          <w:color w:val="auto"/>
        </w:rPr>
        <w:t>Boise, Idaho 83716-9632</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B-6</w:t>
      </w:r>
    </w:p>
    <w:p>
      <w:pPr>
        <w:sectPr>
          <w:pgSz w:w="11900" w:h="16838" w:orient="portrait"/>
          <w:cols w:equalWidth="0" w:num="1">
            <w:col w:w="11060"/>
          </w:cols>
          <w:pgMar w:left="320" w:top="1440" w:right="519" w:bottom="1440" w:gutter="0" w:footer="0" w:header="0"/>
        </w:sectPr>
      </w:pPr>
    </w:p>
    <w:bookmarkStart w:id="46" w:name="page47"/>
    <w:bookmarkEnd w:id="46"/>
    <w:p>
      <w:pPr>
        <w:ind w:left="316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CHEDULE OF INCREASES AND DECREASES IN GLOBAL NOTE</w:t>
      </w:r>
    </w:p>
    <w:p>
      <w:pPr>
        <w:spacing w:after="0" w:line="2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increases or decreases in this Note have been made: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2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 of decrease or</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Amount of decrease in</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Amount of increase in</w:t>
            </w:r>
          </w:p>
        </w:tc>
        <w:tc>
          <w:tcPr>
            <w:tcW w:w="2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Principal amount of this Note</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rPr>
              <w:t>Signature of authorized signatory</w:t>
            </w:r>
          </w:p>
        </w:tc>
      </w:tr>
      <w:tr>
        <w:trPr>
          <w:trHeight w:val="162"/>
        </w:trPr>
        <w:tc>
          <w:tcPr>
            <w:tcW w:w="2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increase</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principal amount of this</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principal amount of this Note</w:t>
            </w:r>
          </w:p>
        </w:tc>
        <w:tc>
          <w:tcPr>
            <w:tcW w:w="2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following such decrease or</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rPr>
              <w:t>of Trustee or Security Custodian</w:t>
            </w:r>
          </w:p>
        </w:tc>
      </w:tr>
      <w:tr>
        <w:trPr>
          <w:trHeight w:val="205"/>
        </w:trPr>
        <w:tc>
          <w:tcPr>
            <w:tcW w:w="1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Note</w:t>
            </w:r>
          </w:p>
        </w:tc>
        <w:tc>
          <w:tcPr>
            <w:tcW w:w="100" w:type="dxa"/>
            <w:vAlign w:val="bottom"/>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B-7</w:t>
      </w:r>
    </w:p>
    <w:p>
      <w:pPr>
        <w:sectPr>
          <w:pgSz w:w="11900" w:h="16838" w:orient="portrait"/>
          <w:cols w:equalWidth="0" w:num="1">
            <w:col w:w="11240"/>
          </w:cols>
          <w:pgMar w:left="320" w:top="1403" w:right="339" w:bottom="1440" w:gutter="0" w:footer="0" w:header="0"/>
        </w:sectPr>
      </w:pPr>
    </w:p>
    <w:bookmarkStart w:id="47" w:name="page48"/>
    <w:bookmarkEnd w:id="47"/>
    <w:p>
      <w:pPr>
        <w:jc w:val="center"/>
        <w:ind w:right="-119"/>
        <w:spacing w:after="0"/>
        <w:rPr>
          <w:sz w:val="20"/>
          <w:szCs w:val="20"/>
          <w:color w:val="auto"/>
        </w:rPr>
      </w:pPr>
      <w:r>
        <w:rPr>
          <w:rFonts w:ascii="Arial" w:cs="Arial" w:eastAsia="Arial" w:hAnsi="Arial"/>
          <w:sz w:val="18"/>
          <w:szCs w:val="18"/>
          <w:b w:val="1"/>
          <w:bCs w:val="1"/>
          <w:color w:val="auto"/>
        </w:rPr>
        <w:t>ASSIGNMENT FORM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39" w:lineRule="exact"/>
        <w:rPr>
          <w:sz w:val="20"/>
          <w:szCs w:val="20"/>
          <w:color w:val="auto"/>
        </w:rPr>
      </w:pPr>
    </w:p>
    <w:p>
      <w:pPr>
        <w:ind w:right="8760" w:firstLine="8"/>
        <w:spacing w:after="0" w:line="524" w:lineRule="auto"/>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or (we) assign and transfer this Note to:</w:t>
      </w:r>
    </w:p>
    <w:p>
      <w:pPr>
        <w:spacing w:after="0" w:line="1" w:lineRule="exact"/>
        <w:rPr>
          <w:sz w:val="20"/>
          <w:szCs w:val="20"/>
          <w:color w:val="auto"/>
        </w:rPr>
      </w:pPr>
    </w:p>
    <w:p>
      <w:pPr>
        <w:ind w:left="120"/>
        <w:spacing w:after="0"/>
        <w:tabs>
          <w:tab w:leader="none" w:pos="8700" w:val="left"/>
        </w:tabs>
        <w:rPr>
          <w:sz w:val="20"/>
          <w:szCs w:val="20"/>
          <w:color w:val="auto"/>
        </w:rPr>
      </w:pPr>
      <w:r>
        <w:rPr>
          <w:rFonts w:ascii="Arial" w:cs="Arial" w:eastAsia="Arial" w:hAnsi="Arial"/>
          <w:sz w:val="17"/>
          <w:szCs w:val="17"/>
          <w:color w:val="auto"/>
        </w:rPr>
        <w:t>____________________________________________________________________________________</w:t>
        <w:tab/>
        <w:t>(Insert assignee’s legal name)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w:t>
      </w:r>
    </w:p>
    <w:p>
      <w:pPr>
        <w:jc w:val="center"/>
        <w:ind w:right="-119"/>
        <w:spacing w:after="0"/>
        <w:rPr>
          <w:sz w:val="20"/>
          <w:szCs w:val="20"/>
          <w:color w:val="auto"/>
        </w:rPr>
      </w:pPr>
      <w:r>
        <w:rPr>
          <w:rFonts w:ascii="Arial" w:cs="Arial" w:eastAsia="Arial" w:hAnsi="Arial"/>
          <w:sz w:val="18"/>
          <w:szCs w:val="18"/>
          <w:color w:val="auto"/>
        </w:rPr>
        <w:t>(Insert assignee’s soc. sec. or tax I.D. no.)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(Print or type assignee’s name, address and zip code)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 _____________________________________________ to transfer this Note on the books of the Company.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agent may substitute another to act for him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00" w:lineRule="exact"/>
        <w:rPr>
          <w:sz w:val="20"/>
          <w:szCs w:val="20"/>
          <w:color w:val="auto"/>
        </w:rPr>
      </w:pPr>
    </w:p>
    <w:p>
      <w:pPr>
        <w:spacing w:after="0" w:line="3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Your Signature:________________________________</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Tax Identification No: ___________________________</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Signature Guarantee: __________________________</w:t>
      </w:r>
    </w:p>
    <w:p>
      <w:pPr>
        <w:spacing w:after="0" w:line="200" w:lineRule="exact"/>
        <w:rPr>
          <w:sz w:val="20"/>
          <w:szCs w:val="20"/>
          <w:color w:val="auto"/>
        </w:rPr>
      </w:pPr>
    </w:p>
    <w:p>
      <w:pPr>
        <w:spacing w:after="0" w:line="367" w:lineRule="exact"/>
        <w:rPr>
          <w:sz w:val="20"/>
          <w:szCs w:val="20"/>
          <w:color w:val="auto"/>
        </w:rPr>
      </w:pPr>
    </w:p>
    <w:p>
      <w:pPr>
        <w:ind w:right="80" w:firstLine="648"/>
        <w:spacing w:after="0" w:line="251" w:lineRule="auto"/>
        <w:rPr>
          <w:sz w:val="20"/>
          <w:szCs w:val="20"/>
          <w:color w:val="auto"/>
        </w:rPr>
      </w:pPr>
      <w:r>
        <w:rPr>
          <w:rFonts w:ascii="Arial" w:cs="Arial" w:eastAsia="Arial" w:hAnsi="Arial"/>
          <w:sz w:val="17"/>
          <w:szCs w:val="17"/>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7"/>
          <w:szCs w:val="17"/>
          <w:b w:val="1"/>
          <w:bCs w:val="1"/>
          <w:i w:val="1"/>
          <w:iCs w:val="1"/>
          <w:color w:val="auto"/>
        </w:rPr>
        <w:t>STAMP</w:t>
      </w:r>
      <w:r>
        <w:rPr>
          <w:rFonts w:ascii="Arial" w:cs="Arial" w:eastAsia="Arial" w:hAnsi="Arial"/>
          <w:sz w:val="17"/>
          <w:szCs w:val="17"/>
          <w:color w:val="auto"/>
        </w:rPr>
        <w:t>”) or such other “signature guarantee</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program” as may be determined by the Registrar in addition to, or in substitution for, STAMP, all in accordance with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B-8</w:t>
      </w:r>
    </w:p>
    <w:p>
      <w:pPr>
        <w:sectPr>
          <w:pgSz w:w="11900" w:h="16838" w:orient="portrait"/>
          <w:cols w:equalWidth="0" w:num="1">
            <w:col w:w="11120"/>
          </w:cols>
          <w:pgMar w:left="320" w:top="1403" w:right="459" w:bottom="1440" w:gutter="0" w:footer="0" w:header="0"/>
        </w:sectPr>
      </w:pPr>
    </w:p>
    <w:bookmarkStart w:id="48" w:name="page49"/>
    <w:bookmarkEnd w:id="48"/>
    <w:p>
      <w:pPr>
        <w:jc w:val="center"/>
        <w:ind w:left="620"/>
        <w:spacing w:after="0"/>
        <w:rPr>
          <w:sz w:val="20"/>
          <w:szCs w:val="20"/>
          <w:color w:val="auto"/>
        </w:rPr>
      </w:pPr>
      <w:r>
        <w:rPr>
          <w:rFonts w:ascii="Arial" w:cs="Arial" w:eastAsia="Arial" w:hAnsi="Arial"/>
          <w:sz w:val="18"/>
          <w:szCs w:val="18"/>
          <w:b w:val="1"/>
          <w:bCs w:val="1"/>
          <w:color w:val="auto"/>
        </w:rPr>
        <w:t>OPTION OF HOLDER TO ELECT PURCHASE</w:t>
      </w:r>
    </w:p>
    <w:p>
      <w:pPr>
        <w:spacing w:after="0" w:line="239"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If you want to elect to have this 2033 Note purchased by the Company pursuant to Section 4.1 of the Supplemental Indenture, check the box below:</w:t>
      </w:r>
    </w:p>
    <w:p>
      <w:pPr>
        <w:spacing w:after="0" w:line="181" w:lineRule="exact"/>
        <w:rPr>
          <w:sz w:val="20"/>
          <w:szCs w:val="20"/>
          <w:color w:val="auto"/>
        </w:rPr>
      </w:pPr>
    </w:p>
    <w:p>
      <w:pPr>
        <w:ind w:left="860" w:hanging="204"/>
        <w:spacing w:after="0"/>
        <w:tabs>
          <w:tab w:leader="none" w:pos="86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Section 4.1</w:t>
      </w:r>
    </w:p>
    <w:p>
      <w:pPr>
        <w:spacing w:after="0" w:line="239" w:lineRule="exact"/>
        <w:rPr>
          <w:sz w:val="20"/>
          <w:szCs w:val="20"/>
          <w:color w:val="auto"/>
        </w:rPr>
      </w:pPr>
    </w:p>
    <w:p>
      <w:pPr>
        <w:ind w:right="460" w:firstLine="648"/>
        <w:spacing w:after="0" w:line="253" w:lineRule="auto"/>
        <w:rPr>
          <w:sz w:val="20"/>
          <w:szCs w:val="20"/>
          <w:color w:val="auto"/>
        </w:rPr>
      </w:pPr>
      <w:r>
        <w:rPr>
          <w:rFonts w:ascii="Arial" w:cs="Arial" w:eastAsia="Arial" w:hAnsi="Arial"/>
          <w:sz w:val="18"/>
          <w:szCs w:val="18"/>
          <w:color w:val="auto"/>
        </w:rPr>
        <w:t>If you want to elect to have only part of the 2033 Note purchased by the Company pursuant to Section 4.1 of the Supplemental Indenture, state the amount you elect to have purchased ($2,000 or integral multiples of $ 1,000 in excess thereof; provided that the unrepurchased portion of a 2033 Note must be in a minimum principal amount of $2,000): $________________</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00" w:lineRule="exact"/>
        <w:rPr>
          <w:sz w:val="20"/>
          <w:szCs w:val="20"/>
          <w:color w:val="auto"/>
        </w:rPr>
      </w:pPr>
    </w:p>
    <w:p>
      <w:pPr>
        <w:spacing w:after="0" w:line="3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Your Signature:________________________________</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Tax Identification No: ___________________________</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Signature Guarantee: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8"/>
          <w:szCs w:val="18"/>
          <w:b w:val="1"/>
          <w:bCs w:val="1"/>
          <w:i w:val="1"/>
          <w:iCs w:val="1"/>
          <w:color w:val="auto"/>
        </w:rPr>
        <w:t>STAMP</w:t>
      </w:r>
      <w:r>
        <w:rPr>
          <w:rFonts w:ascii="Arial" w:cs="Arial" w:eastAsia="Arial" w:hAnsi="Arial"/>
          <w:sz w:val="18"/>
          <w:szCs w:val="18"/>
          <w:color w:val="auto"/>
        </w:rPr>
        <w:t>”) or such other “signature guarantee program” as may be determined by the Registrar in addition to, or in substitution for, STAMP, all in accordance with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B-9</w:t>
      </w:r>
    </w:p>
    <w:p>
      <w:pPr>
        <w:sectPr>
          <w:pgSz w:w="11900" w:h="16838" w:orient="portrait"/>
          <w:cols w:equalWidth="0" w:num="1">
            <w:col w:w="11180"/>
          </w:cols>
          <w:pgMar w:left="320" w:top="1403" w:right="39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5.1</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April 11, 2023</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Micron Technology, Inc.</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8000 South Federal 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Boise, Idaho 83716-9632</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 Registration Statement on Form S-3</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We have acted as counsel to Micron Technology, Inc., a Delaware corporation (the “Company”), in connection with the filing by the Company with the Securities and Exchange Commission (the “Commission”) on November 4, 2020 of a registration statement on Form S-3 (the “Registration Statement”), under the Securities Act of 1933, as amended (the “Act”), that is automatically effective under the Act pursuant to Rule 462(e) promulgated thereunder. The Registration Statement relates to, among other things, the proposed issuance and sale, from time to time, by the Company of debt securities, with an indeterminate amount as may at various times be issued at indeterminate prices, in reliance on Rule 456(b) and Rule 457(r) under the Act.</w:t>
      </w:r>
    </w:p>
    <w:p>
      <w:pPr>
        <w:spacing w:after="0" w:line="20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Pursuant to the Registration Statement, the Company issued (i) $600,000,000 aggregate principal amount of 5.375% Senior Notes due 2028 (the “2028 Notes”) and (ii) $900,000,000 aggregate principal amount of 5.875% Senior Notes due 2033 (together with the 2028 Notes, the “Notes”), which have been sold pursuant to that certain Underwriting Agreement (the “Underwriting Agreement”), dated as of April 5, 2023, among the Company, Wells Fargo Securities, LLC, BNP Paribas Securities Corp., J.P. Morgan Securities LLC, Mizuho Securities USA LLC and MUFG Securities Americas Inc. as representatives of the other several underwriters named in Schedule I thereto.</w:t>
      </w:r>
    </w:p>
    <w:p>
      <w:pPr>
        <w:spacing w:after="0" w:line="20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Notes have been issued in the form set forth in the Indenture, dated as of February 6, 2019 (the “Base Indenture”), between the Company and U.S. Bank Trust Company, National Association (as successor in interest to U.S. Bank National Association), as trustee (the “Trustee”) and, as supplemented by that certain Seventh Supplemental Indenture, dated as of April 11, 2023 (together with the Base Indenture, the “Indenture”), between the Company and the Trustee.</w:t>
      </w:r>
    </w:p>
    <w:p>
      <w:pPr>
        <w:spacing w:after="0" w:line="20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We have examined the Registration Statement, together with the exhibits thereto and the documents incorporated by reference therein; the prospectus, dated November 4, 2020, together with the documents incorporated by reference therein, filed with the Registration Statement (the “Prospectus”); the preliminary prospectus supplement, dated April 5, 2023, in the form filed with the Commission pursuant to Rule 424(b) of the Securities Act relating to the offering of the Notes; the free writing prospectus, dated</w:t>
      </w:r>
    </w:p>
    <w:p>
      <w:pPr>
        <w:sectPr>
          <w:pgSz w:w="11900" w:h="16838" w:orient="portrait"/>
          <w:cols w:equalWidth="0" w:num="1">
            <w:col w:w="11240"/>
          </w:cols>
          <w:pgMar w:left="320" w:top="142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Micron Technology,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April 11, 2023</w:t>
      </w: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April 5, 2023, in the form filed with the Commission pursuant to Rule 433 of the Securities Act; the final prospectus supplement, dated April 5, 2023, in the form filed with the Commission pursuant to Rule 424(b) of the Securities Act relating to the offering of the Notes (collectively with the Prospectus, the “Prospectus Supplement”); the Indenture and the Notes. In addition, we have examined originals or copies, certified or otherwise identified to our satisfaction, of such documents, corporate records, certificates of public officials and other instruments as we have deemed necessary or advisable for the purpose of rendering this opinion.</w:t>
      </w:r>
    </w:p>
    <w:p>
      <w:pPr>
        <w:spacing w:after="0" w:line="208"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In our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the Underwriting Agreement has been duly authorized and validly executed and delivered by the parties thereto (other than by the Company); (v) the legal capacity of all natural persons and (vi) that the Trustee has the power, corporate or other, to enter into and perform its obligations under the Indenture and that the Indenture will be a valid and binding obligation on the Trustee. As to any facts material to the opinions expressed herein that were not independently established or verified, we have relied upon oral or written statements and representations of officers and other representatives of the Company.</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We express no opinion herein as to the laws of any jurisdiction, other than the Federal laws of the United States of America, the laws of the State of New York, and the General Corporation Law of the State of Delaware, as such are in effect on the date hereof, and we have made no inquiry into, and we express no opinion as to, the statutes, regulations, treaties, common laws or other laws of any other nation, state or jurisdiction.</w:t>
      </w:r>
    </w:p>
    <w:p>
      <w:pPr>
        <w:spacing w:after="0" w:line="20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We express no opinion as to (i) the effect of any bankruptcy, insolvency, reorganization, arrangement, fraudulent conveyance, moratorium or other similar laws relating to or affecting the rights of creditors 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the limitations on rights of acceleration, whether considered in a proceeding in equity or at law.</w:t>
      </w:r>
    </w:p>
    <w:p>
      <w:pPr>
        <w:spacing w:after="0" w:line="20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Based on such examination and in reliance thereon and having regard for legal considerations which we deem relevant, and subject to the limitations and qualifications set forth herein, we are of the opinion that the Notes have been validly issued and constitute valid and binding obligations of the Company, enforceable against the Company in accordance with their terms, and entitled to the benefits of the Indenture.</w:t>
      </w:r>
    </w:p>
    <w:p>
      <w:pPr>
        <w:spacing w:after="0" w:line="20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We hereby consent to the filing of this opinion as an exhibit to the above-referenced Registration Statement and to the use of our name wherever it appears in the Registration Statement, the Prospectus, the Prospectus Supplement, and in any</w:t>
      </w:r>
    </w:p>
    <w:p>
      <w:pPr>
        <w:sectPr>
          <w:pgSz w:w="11900" w:h="16838" w:orient="portrait"/>
          <w:cols w:equalWidth="0" w:num="1">
            <w:col w:w="11240"/>
          </w:cols>
          <w:pgMar w:left="320" w:top="10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Micron Technology,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April 11, 2023</w:t>
      </w: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 or otherwise.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Very truly yours,</w:t>
      </w:r>
    </w:p>
    <w:p>
      <w:pPr>
        <w:spacing w:after="0" w:line="311"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WILSON SONSINI GOODRICH &amp; ROSATI</w:t>
      </w:r>
    </w:p>
    <w:p>
      <w:pPr>
        <w:ind w:left="3940"/>
        <w:spacing w:after="0"/>
        <w:rPr>
          <w:sz w:val="20"/>
          <w:szCs w:val="20"/>
          <w:color w:val="auto"/>
        </w:rPr>
      </w:pPr>
      <w:r>
        <w:rPr>
          <w:rFonts w:ascii="Arial" w:cs="Arial" w:eastAsia="Arial" w:hAnsi="Arial"/>
          <w:sz w:val="22"/>
          <w:szCs w:val="22"/>
          <w:color w:val="auto"/>
        </w:rPr>
        <w:t>Professional Corporation</w:t>
      </w:r>
    </w:p>
    <w:p>
      <w:pPr>
        <w:spacing w:after="0" w:line="267"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/s/ Wilson Sonsini Goodrich &amp; Rosati,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19050</wp:posOffset>
            </wp:positionV>
            <wp:extent cx="2863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lowerRoman"/>
      <w:start w:val="1"/>
    </w:lvl>
  </w:abstractNum>
  <w:abstractNum w:abstractNumId="2">
    <w:nsid w:val="333AB105"/>
    <w:multiLevelType w:val="hybridMultilevel"/>
    <w:lvl w:ilvl="0">
      <w:lvlJc w:val="left"/>
      <w:lvlText w:val="(%1)"/>
      <w:numFmt w:val="lowerRoman"/>
      <w:start w:val="2"/>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6"/>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1)"/>
      <w:numFmt w:val="lowerLetter"/>
      <w:start w:val="2"/>
    </w:lvl>
    <w:lvl w:ilvl="1">
      <w:lvlJc w:val="left"/>
      <w:lvlText w:val="(%2)"/>
      <w:numFmt w:val="decimal"/>
      <w:start w:val="1"/>
    </w:lvl>
  </w:abstractNum>
  <w:abstractNum w:abstractNumId="8">
    <w:nsid w:val="8EDBDAB"/>
    <w:multiLevelType w:val="hybridMultilevel"/>
    <w:lvl w:ilvl="0">
      <w:lvlJc w:val="left"/>
      <w:lvlText w:val="(%1)"/>
      <w:numFmt w:val="decimal"/>
      <w:start w:val="3"/>
    </w:lvl>
  </w:abstractNum>
  <w:abstractNum w:abstractNumId="9">
    <w:nsid w:val="79838CB2"/>
    <w:multiLevelType w:val="hybridMultilevel"/>
    <w:lvl w:ilvl="0">
      <w:lvlJc w:val="left"/>
      <w:lvlText w:val="(%1)"/>
      <w:numFmt w:val="lowerLetter"/>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lowerLetter"/>
      <w:start w:val="2"/>
    </w:lvl>
    <w:lvl w:ilvl="1">
      <w:lvlJc w:val="left"/>
      <w:lvlText w:val="(%2)"/>
      <w:numFmt w:val="decimal"/>
      <w:start w:val="1"/>
    </w:lvl>
  </w:abstractNum>
  <w:abstractNum w:abstractNumId="12">
    <w:nsid w:val="189A769B"/>
    <w:multiLevelType w:val="hybridMultilevel"/>
    <w:lvl w:ilvl="0">
      <w:lvlJc w:val="left"/>
      <w:lvlText w:val="(%1)"/>
      <w:numFmt w:val="decimal"/>
      <w:start w:val="2"/>
    </w:lvl>
    <w:lvl w:ilvl="1">
      <w:lvlJc w:val="left"/>
      <w:lvlText w:val="(%2)"/>
      <w:numFmt w:val="lowerRoman"/>
      <w:start w:val="1"/>
    </w:lvl>
  </w:abstractNum>
  <w:abstractNum w:abstractNumId="13">
    <w:nsid w:val="54E49EB4"/>
    <w:multiLevelType w:val="hybridMultilevel"/>
    <w:lvl w:ilvl="0">
      <w:lvlJc w:val="left"/>
      <w:lvlText w:val="(%1)"/>
      <w:numFmt w:val="lowerLetter"/>
      <w:start w:val="3"/>
    </w:lvl>
  </w:abstractNum>
  <w:abstractNum w:abstractNumId="14">
    <w:nsid w:val="71F32454"/>
    <w:multiLevelType w:val="hybridMultilevel"/>
    <w:lvl w:ilvl="0">
      <w:lvlJc w:val="left"/>
      <w:lvlText w:val="(%1)"/>
      <w:numFmt w:val="lowerLetter"/>
      <w:start w:val="4"/>
    </w:lvl>
    <w:lvl w:ilvl="1">
      <w:lvlJc w:val="left"/>
      <w:lvlText w:val="(%2)"/>
      <w:numFmt w:val="lowerLetter"/>
      <w:start w:val="5"/>
    </w:lvl>
  </w:abstractNum>
  <w:abstractNum w:abstractNumId="15">
    <w:nsid w:val="2CA88611"/>
    <w:multiLevelType w:val="hybridMultilevel"/>
    <w:lvl w:ilvl="0">
      <w:lvlJc w:val="left"/>
      <w:lvlText w:val="(%1)"/>
      <w:numFmt w:val="lowerLetter"/>
      <w:start w:val="6"/>
    </w:lvl>
    <w:lvl w:ilvl="1">
      <w:lvlJc w:val="left"/>
      <w:lvlText w:val="(%2)"/>
      <w:numFmt w:val="decimal"/>
      <w:start w:val="1"/>
    </w:lvl>
  </w:abstractNum>
  <w:abstractNum w:abstractNumId="16">
    <w:nsid w:val="836C40E"/>
    <w:multiLevelType w:val="hybridMultilevel"/>
    <w:lvl w:ilvl="0">
      <w:lvlJc w:val="left"/>
      <w:lvlText w:val="(%1)"/>
      <w:numFmt w:val="decimal"/>
      <w:start w:val="3"/>
    </w:lvl>
    <w:lvl w:ilvl="1">
      <w:lvlJc w:val="left"/>
      <w:lvlText w:val="(%2)"/>
      <w:numFmt w:val="lowerRoman"/>
      <w:start w:val="1"/>
    </w:lvl>
  </w:abstractNum>
  <w:abstractNum w:abstractNumId="17">
    <w:nsid w:val="2901D82"/>
    <w:multiLevelType w:val="hybridMultilevel"/>
    <w:lvl w:ilvl="0">
      <w:lvlJc w:val="left"/>
      <w:lvlText w:val="(%1)"/>
      <w:numFmt w:val="decimal"/>
      <w:start w:val="8"/>
    </w:lvl>
  </w:abstractNum>
  <w:abstractNum w:abstractNumId="18">
    <w:nsid w:val="3A95F874"/>
    <w:multiLevelType w:val="hybridMultilevel"/>
    <w:lvl w:ilvl="0">
      <w:lvlJc w:val="left"/>
      <w:lvlText w:val="(%1)"/>
      <w:numFmt w:val="lowerLetter"/>
      <w:start w:val="1"/>
    </w:lvl>
    <w:lvl w:ilvl="1">
      <w:lvlJc w:val="left"/>
      <w:lvlText w:val="(%2)"/>
      <w:numFmt w:val="lowerRoman"/>
      <w:start w:val="1"/>
    </w:lvl>
  </w:abstractNum>
  <w:abstractNum w:abstractNumId="19">
    <w:nsid w:val="8138641"/>
    <w:multiLevelType w:val="hybridMultilevel"/>
    <w:lvl w:ilvl="0">
      <w:lvlJc w:val="left"/>
      <w:lvlText w:val="(%1)"/>
      <w:numFmt w:val="lowerLetter"/>
      <w:start w:val="1"/>
    </w:lvl>
    <w:lvl w:ilvl="1">
      <w:lvlJc w:val="left"/>
      <w:lvlText w:val="(%2)"/>
      <w:numFmt w:val="lowerRoman"/>
      <w:start w:val="1"/>
    </w:lvl>
  </w:abstractNum>
  <w:abstractNum w:abstractNumId="20">
    <w:nsid w:val="1E7FF521"/>
    <w:multiLevelType w:val="hybridMultilevel"/>
    <w:lvl w:ilvl="0">
      <w:lvlJc w:val="left"/>
      <w:lvlText w:val="(%1)"/>
      <w:numFmt w:val="lowerLetter"/>
      <w:start w:val="2"/>
    </w:lvl>
    <w:lvl w:ilvl="1">
      <w:lvlJc w:val="left"/>
      <w:lvlText w:val="(%2)"/>
      <w:numFmt w:val="lowerLetter"/>
      <w:start w:val="9"/>
    </w:lvl>
  </w:abstractNum>
  <w:abstractNum w:abstractNumId="21">
    <w:nsid w:val="7C3DBD3D"/>
    <w:multiLevelType w:val="hybridMultilevel"/>
    <w:lvl w:ilvl="0">
      <w:lvlJc w:val="left"/>
      <w:lvlText w:val="(%1)"/>
      <w:numFmt w:val="lowerRoman"/>
      <w:start w:val="2"/>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lowerLetter"/>
      <w:start w:val="2"/>
    </w:lvl>
    <w:lvl w:ilvl="1">
      <w:lvlJc w:val="left"/>
      <w:lvlText w:val="(%2)"/>
      <w:numFmt w:val="decimal"/>
      <w:start w:val="1"/>
    </w:lvl>
  </w:abstractNum>
  <w:abstractNum w:abstractNumId="24">
    <w:nsid w:val="22221A70"/>
    <w:multiLevelType w:val="hybridMultilevel"/>
    <w:lvl w:ilvl="0">
      <w:lvlJc w:val="left"/>
      <w:lvlText w:val="%1"/>
      <w:numFmt w:val="lowerLetter"/>
      <w:start w:val="1"/>
    </w:lvl>
    <w:lvl w:ilvl="1">
      <w:lvlJc w:val="left"/>
      <w:lvlText w:val="(%2)"/>
      <w:numFmt w:val="decimal"/>
      <w:start w:val="2"/>
    </w:lvl>
  </w:abstractNum>
  <w:abstractNum w:abstractNumId="25">
    <w:nsid w:val="4516DDE9"/>
    <w:multiLevelType w:val="hybridMultilevel"/>
    <w:lvl w:ilvl="0">
      <w:lvlJc w:val="left"/>
      <w:lvlText w:val="(%1)"/>
      <w:numFmt w:val="lowerLetter"/>
      <w:start w:val="4"/>
    </w:lvl>
    <w:lvl w:ilvl="1">
      <w:lvlJc w:val="left"/>
      <w:lvlText w:val="%2"/>
      <w:numFmt w:val="decimal"/>
      <w:start w:val="1"/>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lowerLetter"/>
      <w:start w:val="2"/>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lowerLetter"/>
      <w:start w:val="3"/>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5"/>
    </w:lvl>
  </w:abstractNum>
  <w:abstractNum w:abstractNumId="32">
    <w:nsid w:val="3804823E"/>
    <w:multiLevelType w:val="hybridMultilevel"/>
    <w:lvl w:ilvl="0">
      <w:lvlJc w:val="left"/>
      <w:lvlText w:val="%1."/>
      <w:numFmt w:val="decimal"/>
      <w:start w:val="16"/>
    </w:lvl>
  </w:abstractNum>
  <w:abstractNum w:abstractNumId="33">
    <w:nsid w:val="77465F01"/>
    <w:multiLevelType w:val="hybridMultilevel"/>
    <w:lvl w:ilvl="0">
      <w:lvlJc w:val="left"/>
      <w:lvlText w:val="(%1)"/>
      <w:numFmt w:val="upperLetter"/>
      <w:start w:val="9"/>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5"/>
    </w:lvl>
  </w:abstractNum>
  <w:abstractNum w:abstractNumId="37">
    <w:nsid w:val="5E884ADC"/>
    <w:multiLevelType w:val="hybridMultilevel"/>
    <w:lvl w:ilvl="0">
      <w:lvlJc w:val="left"/>
      <w:lvlText w:val="%1."/>
      <w:numFmt w:val="decimal"/>
      <w:start w:val="16"/>
    </w:lvl>
  </w:abstractNum>
  <w:abstractNum w:abstractNumId="38">
    <w:nsid w:val="51EAD36B"/>
    <w:multiLevelType w:val="hybridMultilevel"/>
    <w:lvl w:ilvl="0">
      <w:lvlJc w:val="left"/>
      <w:lvlText w:val="(%1)"/>
      <w:numFmt w:val="upperLetter"/>
      <w:start w:val="9"/>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8" Type="http://schemas.openxmlformats.org/officeDocument/2006/relationships/hyperlink" Target="https://www.sec.gov/Archives/edgar/data/723125/000110465919006069/a18-36862_4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2023-04-11T16:34:26Z</dcterms:created>
  <dcterms:modified xsi:type="dcterms:W3CDTF">2023-04-11T16:34:26Z</dcterms:modified>
</cp:coreProperties>
</file>