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13, 2018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8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1-10658</w:t>
            </w:r>
          </w:p>
        </w:tc>
        <w:tc>
          <w:tcPr>
            <w:tcW w:w="400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 Number)</w:t>
            </w:r>
          </w:p>
        </w:tc>
        <w:tc>
          <w:tcPr>
            <w:tcW w:w="4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36830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36830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2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151130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168275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2" w:right="239" w:bottom="1440" w:gutter="0" w:footer="0" w:header="0"/>
        </w:sectPr>
      </w:pPr>
    </w:p>
    <w:bookmarkStart w:id="1" w:name="page2"/>
    <w:bookmarkEnd w:id="1"/>
    <w:p>
      <w:pPr>
        <w:ind w:left="1440" w:right="900" w:hanging="1309"/>
        <w:spacing w:after="0" w:line="286"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8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Steven L. Thorsen and Micron Technology, Inc. (the "Company”) executed various documents related to Mr. Thorsen’s retirement from the Company, including a waiver dated November 13, 2018 that provides that the equity awards granted to Mr. Thorsen on October 24, 2017 will be eligible for vesting credit during the one-year severance period under his severance agreement.</w:t>
      </w:r>
    </w:p>
    <w:p>
      <w:pPr>
        <w:sectPr>
          <w:pgSz w:w="11900" w:h="16838" w:orient="portrait"/>
          <w:cols w:equalWidth="0" w:num="1">
            <w:col w:w="11140"/>
          </w:cols>
          <w:pgMar w:left="240" w:top="738" w:right="519" w:bottom="1440" w:gutter="0" w:footer="0" w:header="0"/>
        </w:sectPr>
      </w:pPr>
    </w:p>
    <w:bookmarkStart w:id="2" w:name="page3"/>
    <w:bookmarkEnd w:id="2"/>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9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November 14, 2018</w:t>
            </w:r>
          </w:p>
        </w:tc>
        <w:tc>
          <w:tcPr>
            <w:tcW w:w="26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620" w:type="dxa"/>
            <w:vAlign w:val="bottom"/>
            <w:vMerge w:val="restart"/>
          </w:tcPr>
          <w:p>
            <w:pPr>
              <w:ind w:left="1680"/>
              <w:spacing w:after="0"/>
              <w:rPr>
                <w:sz w:val="20"/>
                <w:szCs w:val="20"/>
                <w:color w:val="auto"/>
              </w:rPr>
            </w:pPr>
            <w:r>
              <w:rPr>
                <w:rFonts w:ascii="Times New Roman" w:cs="Times New Roman" w:eastAsia="Times New Roman" w:hAnsi="Times New Roman"/>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62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6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60"/>
      </w:cols>
      <w:pgMar w:left="240" w:top="576"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2019-12-05T13:39:53Z</dcterms:created>
  <dcterms:modified xsi:type="dcterms:W3CDTF">2019-12-05T13:39:53Z</dcterms:modified>
</cp:coreProperties>
</file>