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January 22,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23"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80" w:space="720"/>
            <w:col w:w="2660" w:space="720"/>
            <w:col w:w="3100"/>
          </w:cols>
          <w:pgMar w:left="240" w:top="544" w:right="279" w:bottom="23"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23" w:gutter="0" w:footer="0" w:header="0"/>
          <w:type w:val="continuous"/>
        </w:sectPr>
      </w:pP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auto"/>
        </w:rPr>
        <w:t>On January 22, 2015, Micron Technology, Inc.’s (the “Company”) Restated Certificate of Incorporation and Amended and Restated Bylaws were amended to eliminate provisions related to cumulative voting. The Company’s Amended and Restated Bylaws, as amended, and the Restated Certificate of Incorporation, as amended, are attached as Exhibit 99.1 and Exhibit 99.2, respectively, to this Current Report on Form 8-K and the foregoing summary is qualified in its entirety by reference to the text of these exhibits.</w:t>
      </w:r>
    </w:p>
    <w:p>
      <w:pPr>
        <w:spacing w:after="0" w:line="183"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2014 Annual Meeting of Shareholders was held on January 22, 2015. At the meeting, the following proposals were submitted to a vote of the shareholders:</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22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62" w:lineRule="exact"/>
        <w:rPr>
          <w:sz w:val="24"/>
          <w:szCs w:val="24"/>
          <w:color w:val="auto"/>
        </w:rPr>
      </w:pPr>
    </w:p>
    <w:tbl>
      <w:tblPr>
        <w:tblLayout w:type="fixed"/>
        <w:tblInd w:w="980" w:type="dxa"/>
        <w:tblCellMar>
          <w:top w:w="0" w:type="dxa"/>
          <w:left w:w="0" w:type="dxa"/>
          <w:bottom w:w="0" w:type="dxa"/>
          <w:right w:w="0" w:type="dxa"/>
        </w:tblCellMar>
      </w:tblP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 of Nominee</w:t>
            </w: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Against</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795,319,787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11,664,003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1360" w:type="dxa"/>
            <w:vAlign w:val="bottom"/>
          </w:tcPr>
          <w:p>
            <w:pPr>
              <w:jc w:val="right"/>
              <w:spacing w:after="0"/>
              <w:rPr>
                <w:sz w:val="20"/>
                <w:szCs w:val="20"/>
                <w:color w:val="auto"/>
              </w:rPr>
            </w:pPr>
            <w:r>
              <w:rPr>
                <w:rFonts w:ascii="Arial" w:cs="Arial" w:eastAsia="Arial" w:hAnsi="Arial"/>
                <w:sz w:val="18"/>
                <w:szCs w:val="18"/>
                <w:color w:val="auto"/>
              </w:rPr>
              <w:t>791,075,472</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15,919,557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2,050,778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Byrne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791,013,388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15,960,664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 Mark Durcan</w:t>
            </w:r>
          </w:p>
        </w:tc>
        <w:tc>
          <w:tcPr>
            <w:tcW w:w="1360" w:type="dxa"/>
            <w:vAlign w:val="bottom"/>
          </w:tcPr>
          <w:p>
            <w:pPr>
              <w:jc w:val="right"/>
              <w:spacing w:after="0"/>
              <w:rPr>
                <w:sz w:val="20"/>
                <w:szCs w:val="20"/>
                <w:color w:val="auto"/>
              </w:rPr>
            </w:pPr>
            <w:r>
              <w:rPr>
                <w:rFonts w:ascii="Arial" w:cs="Arial" w:eastAsia="Arial" w:hAnsi="Arial"/>
                <w:sz w:val="18"/>
                <w:szCs w:val="18"/>
                <w:color w:val="auto"/>
              </w:rPr>
              <w:t>795,495,516</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11,486,200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2,064,090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Warren A. East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789,368,687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17,613,543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1360" w:type="dxa"/>
            <w:vAlign w:val="bottom"/>
          </w:tcPr>
          <w:p>
            <w:pPr>
              <w:jc w:val="right"/>
              <w:spacing w:after="0"/>
              <w:rPr>
                <w:sz w:val="20"/>
                <w:szCs w:val="20"/>
                <w:color w:val="auto"/>
              </w:rPr>
            </w:pPr>
            <w:r>
              <w:rPr>
                <w:rFonts w:ascii="Arial" w:cs="Arial" w:eastAsia="Arial" w:hAnsi="Arial"/>
                <w:sz w:val="18"/>
                <w:szCs w:val="18"/>
                <w:color w:val="auto"/>
              </w:rPr>
              <w:t>793,447,775</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13,548,109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731,643,418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75,346,600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1360" w:type="dxa"/>
            <w:vAlign w:val="bottom"/>
          </w:tcPr>
          <w:p>
            <w:pPr>
              <w:jc w:val="right"/>
              <w:spacing w:after="0"/>
              <w:rPr>
                <w:sz w:val="20"/>
                <w:szCs w:val="20"/>
                <w:color w:val="auto"/>
              </w:rPr>
            </w:pPr>
            <w:r>
              <w:rPr>
                <w:rFonts w:ascii="Arial" w:cs="Arial" w:eastAsia="Arial" w:hAnsi="Arial"/>
                <w:sz w:val="18"/>
                <w:szCs w:val="18"/>
                <w:color w:val="auto"/>
              </w:rPr>
              <w:t>721,406,472</w:t>
            </w:r>
          </w:p>
        </w:tc>
        <w:tc>
          <w:tcPr>
            <w:tcW w:w="3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75,353,660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12,295,674</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ectPr>
          <w:pgSz w:w="11900" w:h="16838" w:orient="portrait"/>
          <w:cols w:equalWidth="0" w:num="1">
            <w:col w:w="11380"/>
          </w:cols>
          <w:pgMar w:left="240" w:top="544" w:right="279" w:bottom="23" w:gutter="0" w:footer="0" w:header="0"/>
          <w:type w:val="continuous"/>
        </w:sectPr>
      </w:pPr>
    </w:p>
    <w:bookmarkStart w:id="1" w:name="page2"/>
    <w:bookmarkEnd w:id="1"/>
    <w:p>
      <w:pPr>
        <w:ind w:right="80" w:firstLine="324"/>
        <w:spacing w:after="0" w:line="277" w:lineRule="auto"/>
        <w:rPr>
          <w:sz w:val="20"/>
          <w:szCs w:val="20"/>
          <w:color w:val="auto"/>
        </w:rPr>
      </w:pPr>
      <w:r>
        <w:rPr>
          <w:rFonts w:ascii="Arial" w:cs="Arial" w:eastAsia="Arial" w:hAnsi="Arial"/>
          <w:sz w:val="18"/>
          <w:szCs w:val="18"/>
          <w:color w:val="auto"/>
        </w:rPr>
        <w:t>The proposal by the Company to approve the Amended and Restated 2007 Equity Incentive Plan and increase the shares reserved for issuance thereunder by 30,000,000 was approved with 747,708,569 votes in favor, 58,966,986 votes against, and 2,370,252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ratification of the appointment of PricewaterhouseCoopers LLP as the Company’s Independent Registered Public Accounting Firm for the fiscal year ending September 3, 2015, was approved with 902,701,651 votes in favor, 11,113,385 votes against, and 2,327,699 abstentions.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4</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amendment of the Company’s Restated Certificate of Incorporation to eliminate cumulative voting was approved with 570,085,497 votes in favor, 236,520,803 votes against, and 2,439,507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5</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proposal by the Company to approve the material terms of the performance goals under its Executive Officer Performance Incentive Plan approved with 791,799,015 votes in favor, 14,687,287 votes against, and 2,558,027 abstentions.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proposal by the Company to approve a non-binding resolution to approve the compensation of its Named Executive Officers was approved with</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6"/>
          </w:tcPr>
          <w:p>
            <w:pPr>
              <w:spacing w:after="0"/>
              <w:rPr>
                <w:sz w:val="20"/>
                <w:szCs w:val="20"/>
                <w:color w:val="auto"/>
              </w:rPr>
            </w:pPr>
            <w:r>
              <w:rPr>
                <w:rFonts w:ascii="Arial" w:cs="Arial" w:eastAsia="Arial" w:hAnsi="Arial"/>
                <w:sz w:val="18"/>
                <w:szCs w:val="18"/>
                <w:color w:val="auto"/>
                <w:w w:val="99"/>
              </w:rPr>
              <w:t>773,777,714 votes in favor, 32,562,719 votes against, and 2,703,895 abstentions.</w:t>
            </w: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540" w:type="dxa"/>
            <w:vAlign w:val="bottom"/>
            <w:gridSpan w:val="4"/>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gridSpan w:val="3"/>
          </w:tcPr>
          <w:p>
            <w:pPr>
              <w:ind w:left="180"/>
              <w:spacing w:after="0"/>
              <w:rPr>
                <w:sz w:val="20"/>
                <w:szCs w:val="20"/>
                <w:color w:val="auto"/>
              </w:rPr>
            </w:pPr>
            <w:r>
              <w:rPr>
                <w:rFonts w:ascii="Arial" w:cs="Arial" w:eastAsia="Arial" w:hAnsi="Arial"/>
                <w:sz w:val="18"/>
                <w:szCs w:val="18"/>
                <w:color w:val="auto"/>
              </w:rPr>
              <w:t>(d) Exhibits.</w:t>
            </w:r>
          </w:p>
        </w:tc>
        <w:tc>
          <w:tcPr>
            <w:tcW w:w="3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580" w:type="dxa"/>
            <w:vAlign w:val="bottom"/>
            <w:gridSpan w:val="2"/>
          </w:tcPr>
          <w:p>
            <w:pPr>
              <w:ind w:left="3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5"/>
              </w:rPr>
              <w:t>Amended and Restated Bylaws, as amended as of January 22, 2015</w:t>
            </w:r>
          </w:p>
        </w:tc>
        <w:tc>
          <w:tcPr>
            <w:tcW w:w="4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940" w:type="dxa"/>
            <w:vAlign w:val="bottom"/>
            <w:gridSpan w:val="2"/>
          </w:tcPr>
          <w:p>
            <w:pPr>
              <w:ind w:left="18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Restated Certification of Incorporation, as amended as of January 22, 2015</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jc w:val="center"/>
              <w:ind w:left="2013"/>
              <w:spacing w:after="0"/>
              <w:rPr>
                <w:sz w:val="20"/>
                <w:szCs w:val="20"/>
                <w:color w:val="auto"/>
              </w:rPr>
            </w:pPr>
            <w:r>
              <w:rPr>
                <w:rFonts w:ascii="Arial" w:cs="Arial" w:eastAsia="Arial" w:hAnsi="Arial"/>
                <w:sz w:val="18"/>
                <w:szCs w:val="18"/>
                <w:color w:val="auto"/>
                <w:w w:val="99"/>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jc w:val="center"/>
              <w:ind w:left="2013"/>
              <w:spacing w:after="0"/>
              <w:rPr>
                <w:sz w:val="20"/>
                <w:szCs w:val="20"/>
                <w:color w:val="auto"/>
              </w:rPr>
            </w:pPr>
            <w:r>
              <w:rPr>
                <w:rFonts w:ascii="Arial" w:cs="Arial" w:eastAsia="Arial" w:hAnsi="Arial"/>
                <w:sz w:val="18"/>
                <w:szCs w:val="18"/>
                <w:b w:val="1"/>
                <w:bCs w:val="1"/>
                <w:color w:val="auto"/>
                <w:w w:val="99"/>
              </w:rPr>
              <w:t>SIGNATURE</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1400" w:type="dxa"/>
            <w:vAlign w:val="bottom"/>
            <w:gridSpan w:val="6"/>
          </w:tcPr>
          <w:p>
            <w:pPr>
              <w:ind w:left="640"/>
              <w:spacing w:after="0"/>
              <w:rPr>
                <w:sz w:val="20"/>
                <w:szCs w:val="20"/>
                <w:color w:val="auto"/>
              </w:rPr>
            </w:pPr>
            <w:r>
              <w:rPr>
                <w:rFonts w:ascii="Arial" w:cs="Arial" w:eastAsia="Arial" w:hAnsi="Arial"/>
                <w:sz w:val="18"/>
                <w:szCs w:val="18"/>
                <w:color w:val="auto"/>
                <w:w w:val="93"/>
              </w:rPr>
              <w:t>Pursuant to the requirements of the Securities Exchange Act of 1934, the Registrant has duly caused this report to be signed on its behalf by the</w:t>
            </w:r>
          </w:p>
        </w:tc>
        <w:tc>
          <w:tcPr>
            <w:tcW w:w="40" w:type="dxa"/>
            <w:vAlign w:val="bottom"/>
          </w:tcPr>
          <w:p>
            <w:pPr>
              <w:spacing w:after="0"/>
              <w:rPr>
                <w:sz w:val="24"/>
                <w:szCs w:val="24"/>
                <w:color w:val="auto"/>
              </w:rPr>
            </w:pPr>
          </w:p>
        </w:tc>
      </w:tr>
      <w:tr>
        <w:trPr>
          <w:trHeight w:val="230"/>
        </w:trPr>
        <w:tc>
          <w:tcPr>
            <w:tcW w:w="2840" w:type="dxa"/>
            <w:vAlign w:val="bottom"/>
            <w:gridSpan w:val="5"/>
          </w:tcPr>
          <w:p>
            <w:pPr>
              <w:spacing w:after="0"/>
              <w:rPr>
                <w:sz w:val="20"/>
                <w:szCs w:val="20"/>
                <w:color w:val="auto"/>
              </w:rPr>
            </w:pPr>
            <w:r>
              <w:rPr>
                <w:rFonts w:ascii="Arial" w:cs="Arial" w:eastAsia="Arial" w:hAnsi="Arial"/>
                <w:sz w:val="18"/>
                <w:szCs w:val="18"/>
                <w:color w:val="auto"/>
                <w:w w:val="91"/>
              </w:rPr>
              <w:t>undersigned hereunto duly authorized.</w:t>
            </w:r>
          </w:p>
        </w:tc>
        <w:tc>
          <w:tcPr>
            <w:tcW w:w="3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4"/>
                <w:szCs w:val="24"/>
                <w:color w:val="auto"/>
              </w:rPr>
            </w:pPr>
          </w:p>
        </w:tc>
      </w:tr>
      <w:tr>
        <w:trPr>
          <w:trHeight w:val="648"/>
        </w:trPr>
        <w:tc>
          <w:tcPr>
            <w:tcW w:w="2840" w:type="dxa"/>
            <w:vAlign w:val="bottom"/>
            <w:gridSpan w:val="5"/>
          </w:tcPr>
          <w:p>
            <w:pPr>
              <w:spacing w:after="0"/>
              <w:rPr>
                <w:sz w:val="20"/>
                <w:szCs w:val="20"/>
                <w:color w:val="auto"/>
              </w:rPr>
            </w:pPr>
            <w:r>
              <w:rPr>
                <w:rFonts w:ascii="Arial" w:cs="Arial" w:eastAsia="Arial" w:hAnsi="Arial"/>
                <w:sz w:val="18"/>
                <w:szCs w:val="18"/>
                <w:color w:val="auto"/>
              </w:rPr>
              <w:t>Date: January 26, 2015</w:t>
            </w:r>
          </w:p>
        </w:tc>
        <w:tc>
          <w:tcPr>
            <w:tcW w:w="3640" w:type="dxa"/>
            <w:vAlign w:val="bottom"/>
          </w:tcPr>
          <w:p>
            <w:pPr>
              <w:ind w:left="28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40" w:type="dxa"/>
            <w:vAlign w:val="bottom"/>
          </w:tcPr>
          <w:p>
            <w:pPr>
              <w:ind w:left="28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40" w:type="dxa"/>
            <w:vAlign w:val="bottom"/>
          </w:tcPr>
          <w:p>
            <w:pPr>
              <w:ind w:left="28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jc w:val="center"/>
              <w:ind w:left="2013"/>
              <w:spacing w:after="0"/>
              <w:rPr>
                <w:sz w:val="20"/>
                <w:szCs w:val="20"/>
                <w:color w:val="auto"/>
              </w:rPr>
            </w:pPr>
            <w:r>
              <w:rPr>
                <w:rFonts w:ascii="Arial" w:cs="Arial" w:eastAsia="Arial" w:hAnsi="Arial"/>
                <w:sz w:val="18"/>
                <w:szCs w:val="18"/>
                <w:color w:val="auto"/>
                <w:w w:val="99"/>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85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58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580" w:type="dxa"/>
            <w:vAlign w:val="bottom"/>
            <w:gridSpan w:val="2"/>
          </w:tcPr>
          <w:p>
            <w:pPr>
              <w:jc w:val="center"/>
              <w:ind w:right="2730"/>
              <w:spacing w:after="0"/>
              <w:rPr>
                <w:sz w:val="20"/>
                <w:szCs w:val="20"/>
                <w:color w:val="auto"/>
              </w:rPr>
            </w:pPr>
            <w:r>
              <w:rPr>
                <w:rFonts w:ascii="Arial" w:cs="Arial" w:eastAsia="Arial" w:hAnsi="Arial"/>
                <w:sz w:val="18"/>
                <w:szCs w:val="18"/>
                <w:b w:val="1"/>
                <w:bCs w:val="1"/>
                <w:color w:val="auto"/>
                <w:w w:val="98"/>
              </w:rPr>
              <w:t>THE CURRENT REPORT ON FORM 8-K DATED JANUARY 22, 2015</w:t>
            </w:r>
          </w:p>
        </w:tc>
        <w:tc>
          <w:tcPr>
            <w:tcW w:w="40" w:type="dxa"/>
            <w:vAlign w:val="bottom"/>
          </w:tcPr>
          <w:p>
            <w:pPr>
              <w:spacing w:after="0"/>
              <w:rPr>
                <w:sz w:val="20"/>
                <w:szCs w:val="20"/>
                <w:color w:val="auto"/>
              </w:rPr>
            </w:pPr>
          </w:p>
        </w:tc>
      </w:tr>
      <w:tr>
        <w:trPr>
          <w:trHeight w:val="365"/>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580" w:type="dxa"/>
            <w:vAlign w:val="bottom"/>
            <w:gridSpan w:val="2"/>
          </w:tcPr>
          <w:p>
            <w:pPr>
              <w:ind w:left="31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5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Amended and Restated Bylaws, as amended as of January 22, 2015</w:t>
            </w:r>
          </w:p>
        </w:tc>
        <w:tc>
          <w:tcPr>
            <w:tcW w:w="4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940" w:type="dxa"/>
            <w:vAlign w:val="bottom"/>
            <w:gridSpan w:val="2"/>
          </w:tcPr>
          <w:p>
            <w:pPr>
              <w:ind w:left="180"/>
              <w:spacing w:after="0"/>
              <w:rPr>
                <w:sz w:val="20"/>
                <w:szCs w:val="20"/>
                <w:color w:val="auto"/>
              </w:rPr>
            </w:pPr>
            <w:r>
              <w:rPr>
                <w:rFonts w:ascii="Arial" w:cs="Arial" w:eastAsia="Arial" w:hAnsi="Arial"/>
                <w:sz w:val="18"/>
                <w:szCs w:val="18"/>
                <w:color w:val="auto"/>
              </w:rPr>
              <w:t>99.2</w:t>
            </w:r>
          </w:p>
        </w:tc>
        <w:tc>
          <w:tcPr>
            <w:tcW w:w="10480" w:type="dxa"/>
            <w:vAlign w:val="bottom"/>
            <w:gridSpan w:val="5"/>
          </w:tcPr>
          <w:p>
            <w:pPr>
              <w:ind w:left="220"/>
              <w:spacing w:after="0"/>
              <w:rPr>
                <w:sz w:val="20"/>
                <w:szCs w:val="20"/>
                <w:color w:val="auto"/>
              </w:rPr>
            </w:pPr>
            <w:r>
              <w:rPr>
                <w:rFonts w:ascii="Arial" w:cs="Arial" w:eastAsia="Arial" w:hAnsi="Arial"/>
                <w:sz w:val="18"/>
                <w:szCs w:val="18"/>
                <w:color w:val="auto"/>
              </w:rPr>
              <w:t>Restated Certification of Incorporation, as amended as of January 22, 2015</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jc w:val="center"/>
              <w:ind w:left="2013"/>
              <w:spacing w:after="0"/>
              <w:rPr>
                <w:sz w:val="20"/>
                <w:szCs w:val="20"/>
                <w:color w:val="auto"/>
              </w:rPr>
            </w:pPr>
            <w:r>
              <w:rPr>
                <w:rFonts w:ascii="Arial" w:cs="Arial" w:eastAsia="Arial" w:hAnsi="Arial"/>
                <w:sz w:val="18"/>
                <w:szCs w:val="18"/>
                <w:color w:val="auto"/>
                <w:w w:val="99"/>
              </w:rPr>
              <w:t>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-4068445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-4068445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-1684655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-1684655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April 9,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ind w:right="20" w:firstLine="656"/>
        <w:spacing w:after="0" w:line="273" w:lineRule="auto"/>
        <w:tabs>
          <w:tab w:leader="none" w:pos="1294" w:val="left"/>
        </w:tabs>
        <w:numPr>
          <w:ilvl w:val="0"/>
          <w:numId w:val="1"/>
        </w:numPr>
        <w:rPr>
          <w:rFonts w:ascii="Arial" w:cs="Arial" w:eastAsia="Arial" w:hAnsi="Arial"/>
          <w:sz w:val="17"/>
          <w:szCs w:val="17"/>
          <w:color w:val="auto"/>
        </w:rPr>
      </w:pPr>
      <w:r>
        <w:rPr>
          <w:rFonts w:ascii="Arial" w:cs="Arial" w:eastAsia="Arial" w:hAnsi="Arial"/>
          <w:sz w:val="17"/>
          <w:szCs w:val="17"/>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w:t>
      </w:r>
    </w:p>
    <w:p>
      <w:pPr>
        <w:sectPr>
          <w:pgSz w:w="11900" w:h="16952" w:orient="portrait"/>
          <w:cols w:equalWidth="0" w:num="1">
            <w:col w:w="11420"/>
          </w:cols>
          <w:pgMar w:left="240" w:top="121" w:right="239" w:bottom="0" w:gutter="0" w:footer="0" w:header="0"/>
        </w:sectPr>
      </w:pPr>
    </w:p>
    <w:bookmarkStart w:id="3" w:name="page4"/>
    <w:bookmarkEnd w:id="3"/>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88" w:lineRule="exact"/>
        <w:rPr>
          <w:sz w:val="20"/>
          <w:szCs w:val="20"/>
          <w:color w:val="auto"/>
        </w:rPr>
      </w:pPr>
    </w:p>
    <w:p>
      <w:pPr>
        <w:ind w:right="200" w:firstLine="656"/>
        <w:spacing w:after="0" w:line="264"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Cumulative Voting.</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the Secretary of the stockholder’s intention to cumulate votes at least fifteen (15) days prior to the date of the meeting. If any stockholder has given such notice, all stockholders may cumulate their votes for candidates in nomination.</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229" w:lineRule="exact"/>
        <w:rPr>
          <w:sz w:val="20"/>
          <w:szCs w:val="20"/>
          <w:color w:val="auto"/>
        </w:rPr>
      </w:pPr>
    </w:p>
    <w:p>
      <w:pPr>
        <w:ind w:right="20" w:firstLine="656"/>
        <w:spacing w:after="0" w:line="297" w:lineRule="auto"/>
        <w:tabs>
          <w:tab w:leader="none" w:pos="129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58" w:lineRule="exact"/>
        <w:rPr>
          <w:sz w:val="20"/>
          <w:szCs w:val="20"/>
          <w:color w:val="auto"/>
        </w:rPr>
      </w:pPr>
    </w:p>
    <w:p>
      <w:pPr>
        <w:ind w:right="80" w:firstLine="656"/>
        <w:spacing w:after="0" w:line="297" w:lineRule="auto"/>
        <w:tabs>
          <w:tab w:leader="none" w:pos="130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Record Date. </w:t>
      </w:r>
      <w:r>
        <w:rPr>
          <w:rFonts w:ascii="Arial" w:cs="Arial" w:eastAsia="Arial" w:hAnsi="Arial"/>
          <w:sz w:val="16"/>
          <w:szCs w:val="16"/>
          <w:color w:val="auto"/>
        </w:rPr>
        <w:t>Unless otherwise restricted by the Certificate of Incorporation, in order that the corporation may determine the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w:t>
      </w:r>
    </w:p>
    <w:p>
      <w:pPr>
        <w:sectPr>
          <w:pgSz w:w="11900" w:h="16941" w:orient="portrait"/>
          <w:cols w:equalWidth="0" w:num="1">
            <w:col w:w="11420"/>
          </w:cols>
          <w:pgMar w:left="240" w:top="125" w:right="239" w:bottom="0" w:gutter="0" w:footer="0" w:header="0"/>
        </w:sectPr>
      </w:pPr>
    </w:p>
    <w:bookmarkStart w:id="4" w:name="page5"/>
    <w:bookmarkEnd w:id="4"/>
    <w:p>
      <w:pPr>
        <w:ind w:right="40"/>
        <w:spacing w:after="0" w:line="270" w:lineRule="auto"/>
        <w:rPr>
          <w:sz w:val="20"/>
          <w:szCs w:val="20"/>
          <w:color w:val="auto"/>
        </w:rPr>
      </w:pPr>
      <w:r>
        <w:rPr>
          <w:rFonts w:ascii="Arial" w:cs="Arial" w:eastAsia="Arial" w:hAnsi="Arial"/>
          <w:sz w:val="17"/>
          <w:szCs w:val="17"/>
          <w:color w:val="auto"/>
        </w:rPr>
        <w:t>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78" w:lineRule="exact"/>
        <w:rPr>
          <w:sz w:val="20"/>
          <w:szCs w:val="20"/>
          <w:color w:val="auto"/>
        </w:rPr>
      </w:pPr>
    </w:p>
    <w:p>
      <w:pPr>
        <w:ind w:right="220" w:firstLine="656"/>
        <w:spacing w:after="0" w:line="259"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Inspector of Elections. </w:t>
      </w:r>
      <w:r>
        <w:rPr>
          <w:rFonts w:ascii="Arial" w:cs="Arial" w:eastAsia="Arial" w:hAnsi="Arial"/>
          <w:sz w:val="18"/>
          <w:szCs w:val="18"/>
          <w:color w:val="auto"/>
        </w:rPr>
        <w:t>In the event of the delivery, in the manner provided by this Article II, Section 10 and applicable law,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78" w:lineRule="exact"/>
        <w:rPr>
          <w:sz w:val="20"/>
          <w:szCs w:val="20"/>
          <w:color w:val="auto"/>
        </w:rPr>
      </w:pPr>
    </w:p>
    <w:p>
      <w:pPr>
        <w:ind w:right="120" w:firstLine="656"/>
        <w:spacing w:after="0" w:line="279"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and Stockholder Business.</w:t>
      </w:r>
    </w:p>
    <w:p>
      <w:pPr>
        <w:spacing w:after="0" w:line="229" w:lineRule="exact"/>
        <w:rPr>
          <w:sz w:val="20"/>
          <w:szCs w:val="20"/>
          <w:color w:val="auto"/>
        </w:rPr>
      </w:pPr>
    </w:p>
    <w:p>
      <w:pPr>
        <w:ind w:right="100" w:firstLine="656"/>
        <w:spacing w:after="0" w:line="342" w:lineRule="auto"/>
        <w:tabs>
          <w:tab w:leader="none" w:pos="1294"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23" w:lineRule="exact"/>
        <w:rPr>
          <w:rFonts w:ascii="Arial" w:cs="Arial" w:eastAsia="Arial" w:hAnsi="Arial"/>
          <w:sz w:val="16"/>
          <w:szCs w:val="16"/>
          <w:color w:val="auto"/>
        </w:rPr>
      </w:pPr>
    </w:p>
    <w:p>
      <w:pPr>
        <w:ind w:left="1520" w:hanging="215"/>
        <w:spacing w:after="0"/>
        <w:tabs>
          <w:tab w:leader="none" w:pos="1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25"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7"/>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any proposal of business (other than the nomination of persons for election to the Board of Directors) must be a proper matter for stockholder action. For business (including, but not limited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192" w:lineRule="exact"/>
        <w:rPr>
          <w:sz w:val="20"/>
          <w:szCs w:val="20"/>
          <w:color w:val="auto"/>
        </w:rPr>
      </w:pPr>
    </w:p>
    <w:p>
      <w:pPr>
        <w:ind w:right="20" w:firstLine="656"/>
        <w:spacing w:after="0" w:line="255"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Article II, Section 11(b) shall be eligible for election as directors. 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189" w:lineRule="exact"/>
        <w:rPr>
          <w:rFonts w:ascii="Arial" w:cs="Arial" w:eastAsia="Arial" w:hAnsi="Arial"/>
          <w:sz w:val="18"/>
          <w:szCs w:val="18"/>
          <w:color w:val="auto"/>
        </w:rPr>
      </w:pPr>
    </w:p>
    <w:p>
      <w:pPr>
        <w:ind w:left="1580" w:hanging="221"/>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25" w:lineRule="exact"/>
        <w:rPr>
          <w:rFonts w:ascii="Arial" w:cs="Arial" w:eastAsia="Arial" w:hAnsi="Arial"/>
          <w:sz w:val="18"/>
          <w:szCs w:val="18"/>
          <w:color w:val="auto"/>
        </w:rPr>
      </w:pPr>
    </w:p>
    <w:p>
      <w:pPr>
        <w:ind w:left="1620" w:hanging="263"/>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ectPr>
          <w:pgSz w:w="11900" w:h="16838" w:orient="portrait"/>
          <w:cols w:equalWidth="0" w:num="1">
            <w:col w:w="11400"/>
          </w:cols>
          <w:pgMar w:left="240" w:top="125" w:right="259" w:bottom="32" w:gutter="0" w:footer="0" w:header="0"/>
        </w:sectPr>
      </w:pPr>
    </w:p>
    <w:bookmarkStart w:id="5" w:name="page6"/>
    <w:bookmarkEnd w:id="5"/>
    <w:p>
      <w:pPr>
        <w:jc w:val="both"/>
        <w:ind w:left="660" w:right="20" w:firstLine="697"/>
        <w:spacing w:after="0" w:line="291" w:lineRule="auto"/>
        <w:tabs>
          <w:tab w:leader="none" w:pos="1675" w:val="left"/>
        </w:tabs>
        <w:numPr>
          <w:ilvl w:val="1"/>
          <w:numId w:val="9"/>
        </w:numPr>
        <w:rPr>
          <w:rFonts w:ascii="Arial" w:cs="Arial" w:eastAsia="Arial" w:hAnsi="Arial"/>
          <w:sz w:val="16"/>
          <w:szCs w:val="16"/>
          <w:color w:val="auto"/>
        </w:rPr>
      </w:pPr>
      <w:r>
        <w:rPr>
          <w:rFonts w:ascii="Arial" w:cs="Arial" w:eastAsia="Arial" w:hAnsi="Arial"/>
          <w:sz w:val="16"/>
          <w:szCs w:val="16"/>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w:t>
      </w:r>
    </w:p>
    <w:p>
      <w:pPr>
        <w:ind w:left="960" w:hanging="30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 of this section, but as it relates to each such nominee rather than the stockholder,</w:t>
      </w:r>
    </w:p>
    <w:p>
      <w:pPr>
        <w:spacing w:after="0" w:line="210" w:lineRule="exact"/>
        <w:rPr>
          <w:rFonts w:ascii="Arial" w:cs="Arial" w:eastAsia="Arial" w:hAnsi="Arial"/>
          <w:sz w:val="18"/>
          <w:szCs w:val="18"/>
          <w:color w:val="auto"/>
        </w:rPr>
      </w:pPr>
    </w:p>
    <w:p>
      <w:pPr>
        <w:ind w:left="660" w:firstLine="697"/>
        <w:spacing w:after="0" w:line="276" w:lineRule="auto"/>
        <w:tabs>
          <w:tab w:leader="none" w:pos="1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(A) if any such nominee is a party to any compensatory, payment or other financial agreement, arrangement or understanding with any person or entity other than the corporation, or has received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147" w:lineRule="exact"/>
        <w:rPr>
          <w:sz w:val="20"/>
          <w:szCs w:val="20"/>
          <w:color w:val="auto"/>
        </w:rPr>
      </w:pPr>
    </w:p>
    <w:p>
      <w:pPr>
        <w:ind w:left="660" w:right="80" w:firstLine="699"/>
        <w:spacing w:after="0" w:line="264" w:lineRule="auto"/>
        <w:tabs>
          <w:tab w:leader="none" w:pos="16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if elected, the nominee will agree to and abide by all policies of the Board of Directors as may be in place at any time and from time to time, and</w:t>
      </w:r>
    </w:p>
    <w:p>
      <w:pPr>
        <w:spacing w:after="0" w:line="181" w:lineRule="exact"/>
        <w:rPr>
          <w:rFonts w:ascii="Arial" w:cs="Arial" w:eastAsia="Arial" w:hAnsi="Arial"/>
          <w:sz w:val="18"/>
          <w:szCs w:val="18"/>
          <w:color w:val="auto"/>
        </w:rPr>
      </w:pPr>
    </w:p>
    <w:p>
      <w:pPr>
        <w:ind w:left="660" w:firstLine="699"/>
        <w:spacing w:after="0" w:line="268" w:lineRule="auto"/>
        <w:tabs>
          <w:tab w:leader="none" w:pos="16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8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656"/>
        <w:spacing w:after="0" w:line="277" w:lineRule="auto"/>
        <w:tabs>
          <w:tab w:leader="none" w:pos="1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0" w:lineRule="exact"/>
        <w:rPr>
          <w:rFonts w:ascii="Arial" w:cs="Arial" w:eastAsia="Arial" w:hAnsi="Arial"/>
          <w:sz w:val="18"/>
          <w:szCs w:val="18"/>
          <w:color w:val="auto"/>
        </w:rPr>
      </w:pPr>
    </w:p>
    <w:p>
      <w:pPr>
        <w:ind w:left="1580" w:hanging="221"/>
        <w:spacing w:after="0"/>
        <w:tabs>
          <w:tab w:leader="none" w:pos="15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48" w:lineRule="exact"/>
        <w:rPr>
          <w:rFonts w:ascii="Arial" w:cs="Arial" w:eastAsia="Arial" w:hAnsi="Arial"/>
          <w:sz w:val="16"/>
          <w:szCs w:val="16"/>
          <w:color w:val="auto"/>
        </w:rPr>
      </w:pPr>
    </w:p>
    <w:p>
      <w:pPr>
        <w:ind w:left="660" w:right="300" w:firstLine="699"/>
        <w:spacing w:after="0" w:line="312" w:lineRule="auto"/>
        <w:tabs>
          <w:tab w:leader="none" w:pos="162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46" w:lineRule="exact"/>
        <w:rPr>
          <w:rFonts w:ascii="Arial" w:cs="Arial" w:eastAsia="Arial" w:hAnsi="Arial"/>
          <w:sz w:val="16"/>
          <w:szCs w:val="16"/>
          <w:color w:val="auto"/>
        </w:rPr>
      </w:pPr>
    </w:p>
    <w:p>
      <w:pPr>
        <w:jc w:val="both"/>
        <w:ind w:left="660" w:right="60" w:firstLine="699"/>
        <w:spacing w:after="0" w:line="259" w:lineRule="auto"/>
        <w:tabs>
          <w:tab w:leader="none" w:pos="16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86" w:lineRule="exact"/>
        <w:rPr>
          <w:rFonts w:ascii="Arial" w:cs="Arial" w:eastAsia="Arial" w:hAnsi="Arial"/>
          <w:sz w:val="18"/>
          <w:szCs w:val="18"/>
          <w:color w:val="auto"/>
        </w:rPr>
      </w:pPr>
    </w:p>
    <w:p>
      <w:pPr>
        <w:ind w:left="1660" w:hanging="301"/>
        <w:spacing w:after="0"/>
        <w:tabs>
          <w:tab w:leader="none" w:pos="1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47" w:lineRule="exact"/>
        <w:rPr>
          <w:sz w:val="20"/>
          <w:szCs w:val="20"/>
          <w:color w:val="auto"/>
        </w:rPr>
      </w:pPr>
    </w:p>
    <w:p>
      <w:pPr>
        <w:jc w:val="both"/>
        <w:ind w:right="240" w:firstLine="656"/>
        <w:spacing w:after="0" w:line="264"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81" w:lineRule="exact"/>
        <w:rPr>
          <w:rFonts w:ascii="Arial" w:cs="Arial" w:eastAsia="Arial" w:hAnsi="Arial"/>
          <w:sz w:val="18"/>
          <w:szCs w:val="18"/>
          <w:color w:val="auto"/>
        </w:rPr>
      </w:pPr>
    </w:p>
    <w:p>
      <w:pPr>
        <w:ind w:left="1580" w:hanging="223"/>
        <w:spacing w:after="0"/>
        <w:tabs>
          <w:tab w:leader="none" w:pos="1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36" w:lineRule="exact"/>
        <w:rPr>
          <w:rFonts w:ascii="Arial" w:cs="Arial" w:eastAsia="Arial" w:hAnsi="Arial"/>
          <w:sz w:val="17"/>
          <w:szCs w:val="17"/>
          <w:color w:val="auto"/>
        </w:rPr>
      </w:pPr>
    </w:p>
    <w:p>
      <w:pPr>
        <w:ind w:left="660" w:right="180" w:firstLine="697"/>
        <w:spacing w:after="0" w:line="259" w:lineRule="auto"/>
        <w:tabs>
          <w:tab w:leader="none" w:pos="16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ectPr>
          <w:pgSz w:w="11900" w:h="16838" w:orient="portrait"/>
          <w:cols w:equalWidth="0" w:num="1">
            <w:col w:w="11400"/>
          </w:cols>
          <w:pgMar w:left="240" w:top="125" w:right="25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176" w:lineRule="exact"/>
        <w:rPr>
          <w:sz w:val="20"/>
          <w:szCs w:val="20"/>
          <w:color w:val="auto"/>
        </w:rPr>
      </w:pPr>
    </w:p>
    <w:p>
      <w:pPr>
        <w:ind w:left="1320" w:hanging="610"/>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25" w:lineRule="exact"/>
        <w:rPr>
          <w:rFonts w:ascii="Arial" w:cs="Arial" w:eastAsia="Arial" w:hAnsi="Arial"/>
          <w:sz w:val="18"/>
          <w:szCs w:val="18"/>
          <w:color w:val="auto"/>
        </w:rPr>
      </w:pPr>
    </w:p>
    <w:p>
      <w:pPr>
        <w:ind w:left="660" w:right="280" w:firstLine="699"/>
        <w:spacing w:after="0" w:line="277" w:lineRule="auto"/>
        <w:tabs>
          <w:tab w:leader="none" w:pos="15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0" w:lineRule="exact"/>
        <w:rPr>
          <w:rFonts w:ascii="Arial" w:cs="Arial" w:eastAsia="Arial" w:hAnsi="Arial"/>
          <w:sz w:val="18"/>
          <w:szCs w:val="18"/>
          <w:color w:val="auto"/>
        </w:rPr>
      </w:pPr>
    </w:p>
    <w:p>
      <w:pPr>
        <w:ind w:left="660" w:right="40" w:firstLine="699"/>
        <w:spacing w:after="0" w:line="290" w:lineRule="auto"/>
        <w:tabs>
          <w:tab w:leader="none" w:pos="1627" w:val="left"/>
        </w:tabs>
        <w:numPr>
          <w:ilvl w:val="1"/>
          <w:numId w:val="14"/>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229" w:lineRule="exact"/>
        <w:rPr>
          <w:sz w:val="20"/>
          <w:szCs w:val="20"/>
          <w:color w:val="auto"/>
        </w:rPr>
      </w:pPr>
    </w:p>
    <w:p>
      <w:pPr>
        <w:ind w:right="100" w:firstLine="656"/>
        <w:spacing w:after="0" w:line="259" w:lineRule="auto"/>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86"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ectPr>
          <w:pgSz w:w="11900" w:h="16838" w:orient="portrait"/>
          <w:cols w:equalWidth="0" w:num="1">
            <w:col w:w="11420"/>
          </w:cols>
          <w:pgMar w:left="240" w:top="125" w:right="239" w:bottom="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ARTICLE III - DIRECTORS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recommendation, and publicly disclose its decision and the rationale behind it within ninety (90) days from the date of the certification of the election results.</w:t>
      </w:r>
    </w:p>
    <w:p>
      <w:pPr>
        <w:spacing w:after="0" w:line="2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Resignation of Directors.</w:t>
      </w:r>
    </w:p>
    <w:p>
      <w:pPr>
        <w:spacing w:after="0" w:line="22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provided however, that, so long as stockholders of the corporation are entitled to cumulative voting, if less than the entire Board of Directors is to be removed, no director shall be removed without cause if the votes cast against his or her removal would be sufficient to elect such director if then cumulatively voted at an election of the entire Board of Directors. No reduction of the authorized number of directors shall have the effect of removing any director prior to the expiration of such director’s term of office.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ectPr>
          <w:pgSz w:w="11900" w:h="16838" w:orient="portrait"/>
          <w:cols w:equalWidth="0" w:num="1">
            <w:col w:w="11380"/>
          </w:cols>
          <w:pgMar w:left="240" w:top="121" w:right="279" w:bottom="0" w:gutter="0" w:footer="0" w:header="0"/>
        </w:sectPr>
      </w:pPr>
    </w:p>
    <w:bookmarkStart w:id="8" w:name="page9"/>
    <w:bookmarkEnd w:id="8"/>
    <w:p>
      <w:pPr>
        <w:spacing w:after="0" w:line="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229" w:lineRule="exact"/>
        <w:rPr>
          <w:sz w:val="20"/>
          <w:szCs w:val="20"/>
          <w:color w:val="auto"/>
        </w:rPr>
      </w:pPr>
    </w:p>
    <w:p>
      <w:pPr>
        <w:ind w:right="20" w:firstLine="656"/>
        <w:spacing w:after="0" w:line="291" w:lineRule="auto"/>
        <w:tabs>
          <w:tab w:leader="none" w:pos="1294"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7" w:lineRule="exact"/>
        <w:rPr>
          <w:rFonts w:ascii="Arial" w:cs="Arial" w:eastAsia="Arial" w:hAnsi="Arial"/>
          <w:sz w:val="16"/>
          <w:szCs w:val="16"/>
          <w:color w:val="auto"/>
        </w:rPr>
      </w:pPr>
    </w:p>
    <w:p>
      <w:pPr>
        <w:ind w:firstLine="656"/>
        <w:spacing w:after="0" w:line="270" w:lineRule="auto"/>
        <w:tabs>
          <w:tab w:leader="none" w:pos="1304"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1" w:lineRule="exact"/>
        <w:rPr>
          <w:rFonts w:ascii="Arial" w:cs="Arial" w:eastAsia="Arial" w:hAnsi="Arial"/>
          <w:sz w:val="17"/>
          <w:szCs w:val="17"/>
          <w:color w:val="auto"/>
        </w:rPr>
      </w:pPr>
    </w:p>
    <w:p>
      <w:pPr>
        <w:ind w:right="160" w:firstLine="656"/>
        <w:spacing w:after="0" w:line="277" w:lineRule="auto"/>
        <w:tabs>
          <w:tab w:leader="none" w:pos="130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make, alter and repeal rules for the conduct of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NOTICES</w:t>
      </w:r>
    </w:p>
    <w:p>
      <w:pPr>
        <w:sectPr>
          <w:pgSz w:w="11900" w:h="16870" w:orient="portrait"/>
          <w:cols w:equalWidth="0" w:num="1">
            <w:col w:w="11420"/>
          </w:cols>
          <w:pgMar w:left="240" w:top="121" w:right="239" w:bottom="0" w:gutter="0" w:footer="0" w:header="0"/>
        </w:sectPr>
      </w:pPr>
    </w:p>
    <w:bookmarkStart w:id="9" w:name="page10"/>
    <w:bookmarkEnd w:id="9"/>
    <w:p>
      <w:pPr>
        <w:spacing w:after="0" w:line="1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Notice to Directors and Stockholders.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6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OFFICERS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229" w:lineRule="exact"/>
        <w:rPr>
          <w:sz w:val="20"/>
          <w:szCs w:val="20"/>
          <w:color w:val="auto"/>
        </w:rPr>
      </w:pPr>
    </w:p>
    <w:p>
      <w:pPr>
        <w:jc w:val="both"/>
        <w:ind w:right="120" w:firstLine="656"/>
        <w:spacing w:after="0" w:line="302" w:lineRule="auto"/>
        <w:tabs>
          <w:tab w:leader="none" w:pos="1294"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Removal</w:t>
      </w:r>
      <w:r>
        <w:rPr>
          <w:rFonts w:ascii="Arial" w:cs="Arial" w:eastAsia="Arial" w:hAnsi="Arial"/>
          <w:sz w:val="16"/>
          <w:szCs w:val="16"/>
          <w:color w:val="auto"/>
        </w:rPr>
        <w:t>. Subject to the rights, if any, of an officer under any contract of employment, any officer may be removed, either with or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Vacancies in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w:t>
      </w:r>
    </w:p>
    <w:p>
      <w:pPr>
        <w:sectPr>
          <w:pgSz w:w="11900" w:h="16975" w:orient="portrait"/>
          <w:cols w:equalWidth="0" w:num="1">
            <w:col w:w="11400"/>
          </w:cols>
          <w:pgMar w:left="240" w:top="337" w:right="25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offices, subject to the control of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CERTIFICATES OF STOCK</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Signatures on Certificates.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firstLine="656"/>
        <w:spacing w:after="0" w:line="269" w:lineRule="auto"/>
        <w:tabs>
          <w:tab w:leader="none" w:pos="12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179" w:lineRule="exact"/>
        <w:rPr>
          <w:rFonts w:ascii="Arial" w:cs="Arial" w:eastAsia="Arial" w:hAnsi="Arial"/>
          <w:sz w:val="17"/>
          <w:szCs w:val="17"/>
          <w:color w:val="auto"/>
        </w:rPr>
      </w:pPr>
    </w:p>
    <w:p>
      <w:pPr>
        <w:ind w:right="120" w:firstLine="656"/>
        <w:spacing w:after="0" w:line="297" w:lineRule="auto"/>
        <w:tabs>
          <w:tab w:leader="none" w:pos="1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ectPr>
          <w:pgSz w:w="11900" w:h="16838" w:orient="portrait"/>
          <w:cols w:equalWidth="0" w:num="1">
            <w:col w:w="11420"/>
          </w:cols>
          <w:pgMar w:left="240" w:top="125" w:right="239" w:bottom="0" w:gutter="0" w:footer="0" w:header="0"/>
        </w:sectPr>
      </w:pPr>
    </w:p>
    <w:bookmarkStart w:id="11" w:name="page12"/>
    <w:bookmarkEnd w:id="11"/>
    <w:p>
      <w:pPr>
        <w:spacing w:after="0" w:line="3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FORUM FOR DISPUTES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229" w:lineRule="exact"/>
        <w:rPr>
          <w:sz w:val="20"/>
          <w:szCs w:val="20"/>
          <w:color w:val="auto"/>
        </w:rPr>
      </w:pPr>
    </w:p>
    <w:p>
      <w:pPr>
        <w:ind w:right="20" w:firstLine="656"/>
        <w:spacing w:after="0" w:line="257" w:lineRule="auto"/>
        <w:tabs>
          <w:tab w:leader="none" w:pos="1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88" w:lineRule="exact"/>
        <w:rPr>
          <w:rFonts w:ascii="Arial" w:cs="Arial" w:eastAsia="Arial" w:hAnsi="Arial"/>
          <w:sz w:val="18"/>
          <w:szCs w:val="18"/>
          <w:color w:val="auto"/>
        </w:rPr>
      </w:pPr>
    </w:p>
    <w:p>
      <w:pPr>
        <w:ind w:right="40" w:firstLine="656"/>
        <w:spacing w:after="0" w:line="276" w:lineRule="auto"/>
        <w:tabs>
          <w:tab w:leader="none" w:pos="13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72" w:lineRule="exact"/>
        <w:rPr>
          <w:rFonts w:ascii="Arial" w:cs="Arial" w:eastAsia="Arial" w:hAnsi="Arial"/>
          <w:sz w:val="17"/>
          <w:szCs w:val="17"/>
          <w:color w:val="auto"/>
        </w:rPr>
      </w:pPr>
    </w:p>
    <w:p>
      <w:pPr>
        <w:ind w:right="180" w:firstLine="656"/>
        <w:spacing w:after="0" w:line="277" w:lineRule="auto"/>
        <w:tabs>
          <w:tab w:leader="none" w:pos="1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0" w:lineRule="exact"/>
        <w:rPr>
          <w:rFonts w:ascii="Arial" w:cs="Arial" w:eastAsia="Arial" w:hAnsi="Arial"/>
          <w:sz w:val="18"/>
          <w:szCs w:val="18"/>
          <w:color w:val="auto"/>
        </w:rPr>
      </w:pPr>
    </w:p>
    <w:p>
      <w:pPr>
        <w:ind w:right="320" w:firstLine="656"/>
        <w:spacing w:after="0" w:line="277"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GENERAL PROVISIONS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229" w:lineRule="exact"/>
        <w:rPr>
          <w:sz w:val="20"/>
          <w:szCs w:val="20"/>
          <w:color w:val="auto"/>
        </w:rPr>
      </w:pPr>
    </w:p>
    <w:p>
      <w:pPr>
        <w:ind w:firstLine="656"/>
        <w:spacing w:after="0" w:line="264"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rFonts w:ascii="Arial" w:cs="Arial" w:eastAsia="Arial" w:hAnsi="Arial"/>
          <w:sz w:val="18"/>
          <w:szCs w:val="18"/>
          <w:color w:val="auto"/>
        </w:rPr>
      </w:pPr>
    </w:p>
    <w:p>
      <w:pPr>
        <w:ind w:right="60" w:firstLine="656"/>
        <w:spacing w:after="0" w:line="286" w:lineRule="auto"/>
        <w:tabs>
          <w:tab w:leader="none" w:pos="1304"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w:t>
      </w:r>
      <w:r>
        <w:rPr>
          <w:rFonts w:ascii="Arial" w:cs="Arial" w:eastAsia="Arial" w:hAnsi="Arial"/>
          <w:sz w:val="17"/>
          <w:szCs w:val="17"/>
          <w:i w:val="1"/>
          <w:iCs w:val="1"/>
          <w:color w:val="auto"/>
        </w:rPr>
        <w:t xml:space="preserve"> </w:t>
      </w:r>
      <w:r>
        <w:rPr>
          <w:rFonts w:ascii="Arial" w:cs="Arial" w:eastAsia="Arial" w:hAnsi="Arial"/>
          <w:sz w:val="17"/>
          <w:szCs w:val="17"/>
          <w:color w:val="auto"/>
        </w:rPr>
        <w:t>sum or sums as the directors from time to time, in their absolute discretion, think proper as a reserve or reserves to meet contingencies, or for equalizing dividends, or for repairing or maintaining any property of the corporation, or for such other purpose as the directors shall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think conducive to the interest of the corporation, and the directors may modify or abolish any such reserve in the manner in which it was created.</w:t>
      </w:r>
    </w:p>
    <w:p>
      <w:pPr>
        <w:spacing w:after="0" w:line="2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Checks.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r>
        <w:rPr>
          <w:rFonts w:ascii="Arial" w:cs="Arial" w:eastAsia="Arial" w:hAnsi="Arial"/>
          <w:sz w:val="16"/>
          <w:szCs w:val="16"/>
          <w:color w:val="auto"/>
        </w:rPr>
        <w: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ectPr>
          <w:pgSz w:w="11900" w:h="16870" w:orient="portrait"/>
          <w:cols w:equalWidth="0" w:num="1">
            <w:col w:w="11420"/>
          </w:cols>
          <w:pgMar w:left="240" w:top="125" w:right="239" w:bottom="0" w:gutter="0" w:footer="0" w:header="0"/>
        </w:sectPr>
      </w:pPr>
    </w:p>
    <w:bookmarkStart w:id="12" w:name="page13"/>
    <w:bookmarkEnd w:id="12"/>
    <w:p>
      <w:pPr>
        <w:ind w:right="80" w:firstLine="648"/>
        <w:spacing w:after="0" w:line="302"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 OF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BYLAWS (AMENDED AND RESTATED AS OF APRIL 9,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MICRON TECHNOLOGY, INC.</w:t>
      </w:r>
    </w:p>
    <w:p>
      <w:pPr>
        <w:spacing w:after="0" w:line="21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effective as of January 22, 2015:</w:t>
      </w:r>
    </w:p>
    <w:p>
      <w:pPr>
        <w:spacing w:after="0" w:line="166" w:lineRule="exact"/>
        <w:rPr>
          <w:sz w:val="20"/>
          <w:szCs w:val="20"/>
          <w:color w:val="auto"/>
        </w:rPr>
      </w:pPr>
    </w:p>
    <w:p>
      <w:pPr>
        <w:ind w:left="80" w:right="300" w:firstLine="567"/>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if the shareholders approve the Amendment, Section 9 of Article II of the Company’s Bylaws shall be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read in its entirety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 Reserved</w:t>
      </w:r>
      <w:r>
        <w:rPr>
          <w:rFonts w:ascii="Arial" w:cs="Arial" w:eastAsia="Arial" w:hAnsi="Arial"/>
          <w:sz w:val="18"/>
          <w:szCs w:val="18"/>
          <w:color w:val="auto"/>
        </w:rPr>
        <w:t>.”</w:t>
      </w:r>
    </w:p>
    <w:p>
      <w:pPr>
        <w:spacing w:after="0" w:line="225" w:lineRule="exact"/>
        <w:rPr>
          <w:sz w:val="20"/>
          <w:szCs w:val="20"/>
          <w:color w:val="auto"/>
        </w:rPr>
      </w:pPr>
    </w:p>
    <w:p>
      <w:pPr>
        <w:ind w:left="660" w:right="46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if the shareholders approve the Amendment, Section 5 of Article III of the Company’s Bylaws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to read in its entirety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5. Removal of Directors</w:t>
      </w:r>
    </w:p>
    <w:p>
      <w:pPr>
        <w:spacing w:after="0" w:line="229"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January, 2015.</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Jan R. Reimer</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5780" w:type="dxa"/>
            <w:vAlign w:val="bottom"/>
            <w:tcBorders>
              <w:bottom w:val="single" w:sz="8" w:color="010101"/>
            </w:tcBorders>
          </w:tcPr>
          <w:p>
            <w:pPr>
              <w:spacing w:after="0"/>
              <w:rPr>
                <w:sz w:val="24"/>
                <w:szCs w:val="24"/>
                <w:color w:val="auto"/>
              </w:rPr>
            </w:pPr>
          </w:p>
        </w:tc>
        <w:tc>
          <w:tcPr>
            <w:tcW w:w="55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3" w:name="page14"/>
    <w:bookmarkEnd w:id="13"/>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RESTATED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is a restated version of Micron Technology, Inc.’s Certificate of Incorporation. The original Certificate of Incorporation was filed on April 6, 1984, with the Secretary of State of the State of Delaware. This Restated Certificate of Incorporation has been duly adopted in accordance with Section 245 of the General Corporation Law of the State of Delaware. This Restated Certificate of Incorporation only restates and integrates and does not further amend the provisions of Micron Technology, Inc.’s Certificate of Incorporation as heretofore amended or supplemented and there is no discrepancy between those provisions and the provisions of this Restated Certificate of Incorporation.</w:t>
      </w:r>
    </w:p>
    <w:p>
      <w:pPr>
        <w:spacing w:after="0" w:line="18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ind w:right="220" w:firstLine="8"/>
        <w:spacing w:after="0" w:line="277"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2711 Centerville Road, Suite 400, in the City of Wilmington, County of New Castle. The name of its registered agent at such address is Corporation Service Company.</w:t>
      </w:r>
    </w:p>
    <w:p>
      <w:pPr>
        <w:spacing w:after="0" w:line="170" w:lineRule="exact"/>
        <w:rPr>
          <w:rFonts w:ascii="Arial" w:cs="Arial" w:eastAsia="Arial" w:hAnsi="Arial"/>
          <w:sz w:val="18"/>
          <w:szCs w:val="18"/>
          <w:color w:val="auto"/>
        </w:rPr>
      </w:pPr>
    </w:p>
    <w:p>
      <w:pPr>
        <w:ind w:right="740" w:firstLine="8"/>
        <w:spacing w:after="0" w:line="277"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w:t>
      </w:r>
    </w:p>
    <w:p>
      <w:pPr>
        <w:spacing w:after="0" w:line="170" w:lineRule="exact"/>
        <w:rPr>
          <w:rFonts w:ascii="Arial" w:cs="Arial" w:eastAsia="Arial" w:hAnsi="Arial"/>
          <w:sz w:val="18"/>
          <w:szCs w:val="18"/>
          <w:color w:val="auto"/>
        </w:rPr>
      </w:pPr>
    </w:p>
    <w:p>
      <w:pPr>
        <w:ind w:right="240" w:firstLine="8"/>
        <w:spacing w:after="0" w:line="277"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three billion (3,000,000,000) and the par value of each of such shares is Ten Cents ($0.10) amounting in the aggregate to Three Hundred Million Dollars ($300,000,000.00).</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8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is to have perpetual existence.</w:t>
      </w:r>
    </w:p>
    <w:p>
      <w:pPr>
        <w:spacing w:after="0" w:line="225" w:lineRule="exact"/>
        <w:rPr>
          <w:rFonts w:ascii="Arial" w:cs="Arial" w:eastAsia="Arial" w:hAnsi="Arial"/>
          <w:sz w:val="18"/>
          <w:szCs w:val="18"/>
          <w:color w:val="auto"/>
        </w:rPr>
      </w:pPr>
    </w:p>
    <w:p>
      <w:pPr>
        <w:ind w:right="480" w:firstLine="8"/>
        <w:spacing w:after="0" w:line="277"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furtherance and not in limitation of the powers conferred by statute, the board of directors is expressly authorized to make, alter or repeal the bylaws of the corporation.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81" w:lineRule="exact"/>
        <w:rPr>
          <w:sz w:val="20"/>
          <w:szCs w:val="20"/>
          <w:color w:val="auto"/>
        </w:rPr>
      </w:pPr>
    </w:p>
    <w:p>
      <w:pPr>
        <w:ind w:right="100" w:firstLine="8"/>
        <w:spacing w:after="0" w:line="277"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70" w:lineRule="exact"/>
        <w:rPr>
          <w:rFonts w:ascii="Arial" w:cs="Arial" w:eastAsia="Arial" w:hAnsi="Arial"/>
          <w:sz w:val="18"/>
          <w:szCs w:val="18"/>
          <w:color w:val="auto"/>
        </w:rPr>
      </w:pPr>
    </w:p>
    <w:p>
      <w:pPr>
        <w:ind w:right="100" w:firstLine="8"/>
        <w:spacing w:after="0" w:line="276" w:lineRule="auto"/>
        <w:tabs>
          <w:tab w:leader="none" w:pos="6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72" w:lineRule="exact"/>
        <w:rPr>
          <w:rFonts w:ascii="Arial" w:cs="Arial" w:eastAsia="Arial" w:hAnsi="Arial"/>
          <w:sz w:val="17"/>
          <w:szCs w:val="17"/>
          <w:color w:val="auto"/>
        </w:rPr>
      </w:pPr>
    </w:p>
    <w:p>
      <w:pPr>
        <w:ind w:right="120" w:firstLine="8"/>
        <w:spacing w:after="0" w:line="270" w:lineRule="auto"/>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Micron Technology, Inc. has caused this Restated Certificate of Incorporation to be signed by its authorized officer this 18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April,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ind w:left="6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 W. Lewis</w:t>
            </w:r>
          </w:p>
        </w:tc>
        <w:tc>
          <w:tcPr>
            <w:tcW w:w="5320" w:type="dxa"/>
            <w:vAlign w:val="bottom"/>
          </w:tcPr>
          <w:p>
            <w:pPr>
              <w:spacing w:after="0"/>
              <w:rPr>
                <w:sz w:val="20"/>
                <w:szCs w:val="20"/>
                <w:color w:val="auto"/>
              </w:rPr>
            </w:pPr>
          </w:p>
        </w:tc>
      </w:tr>
      <w:tr>
        <w:trPr>
          <w:trHeight w:val="195"/>
        </w:trPr>
        <w:tc>
          <w:tcPr>
            <w:tcW w:w="1460" w:type="dxa"/>
            <w:vAlign w:val="bottom"/>
          </w:tcPr>
          <w:p>
            <w:pPr>
              <w:ind w:left="660"/>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Roderic W. Lewis</w:t>
            </w:r>
          </w:p>
        </w:tc>
        <w:tc>
          <w:tcPr>
            <w:tcW w:w="5320" w:type="dxa"/>
            <w:vAlign w:val="bottom"/>
          </w:tcPr>
          <w:p>
            <w:pPr>
              <w:spacing w:after="0"/>
              <w:rPr>
                <w:sz w:val="16"/>
                <w:szCs w:val="16"/>
                <w:color w:val="auto"/>
              </w:rPr>
            </w:pPr>
          </w:p>
        </w:tc>
      </w:tr>
      <w:tr>
        <w:trPr>
          <w:trHeight w:val="230"/>
        </w:trPr>
        <w:tc>
          <w:tcPr>
            <w:tcW w:w="1460" w:type="dxa"/>
            <w:vAlign w:val="bottom"/>
          </w:tcPr>
          <w:p>
            <w:pPr>
              <w:ind w:left="6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w w:val="95"/>
              </w:rPr>
              <w:t>V.P. of Legal Affairs, General Counsel &amp; Corporate Secretary</w:t>
            </w:r>
          </w:p>
        </w:tc>
        <w:tc>
          <w:tcPr>
            <w:tcW w:w="5320" w:type="dxa"/>
            <w:vAlign w:val="bottom"/>
          </w:tcPr>
          <w:p>
            <w:pPr>
              <w:spacing w:after="0"/>
              <w:rPr>
                <w:sz w:val="20"/>
                <w:szCs w:val="20"/>
                <w:color w:val="auto"/>
              </w:rPr>
            </w:pPr>
          </w:p>
        </w:tc>
      </w:tr>
      <w:tr>
        <w:trPr>
          <w:trHeight w:val="348"/>
        </w:trPr>
        <w:tc>
          <w:tcPr>
            <w:tcW w:w="146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2"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 OF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RESTATED CERTIFICATE OF INCORPORATION OF</w:t>
      </w:r>
    </w:p>
    <w:p>
      <w:pPr>
        <w:sectPr>
          <w:pgSz w:w="11900" w:h="16902" w:orient="portrait"/>
          <w:cols w:equalWidth="0" w:num="1">
            <w:col w:w="11460"/>
          </w:cols>
          <w:pgMar w:left="240" w:top="121" w:right="199" w:bottom="0" w:gutter="0" w:footer="0" w:header="0"/>
          <w:type w:val="continuous"/>
        </w:sectPr>
      </w:pPr>
    </w:p>
    <w:bookmarkStart w:id="14" w:name="page15"/>
    <w:bookmarkEnd w:id="14"/>
    <w:p>
      <w:pPr>
        <w:ind w:left="442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Joel L. Poppen, hereby certifies that:</w:t>
      </w:r>
    </w:p>
    <w:p>
      <w:pPr>
        <w:spacing w:after="0" w:line="225" w:lineRule="exact"/>
        <w:rPr>
          <w:sz w:val="20"/>
          <w:szCs w:val="20"/>
          <w:color w:val="auto"/>
        </w:rPr>
      </w:pPr>
    </w:p>
    <w:p>
      <w:pPr>
        <w:ind w:right="320" w:firstLine="656"/>
        <w:spacing w:after="0" w:line="277" w:lineRule="auto"/>
        <w:tabs>
          <w:tab w:leader="none" w:pos="12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 is the duly elected and acting Vice President, Legal Affairs, General Counsel and Corporate Secretary of Micron Technology, Inc., a Delaware corporation.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Restated Certificate of Incorporation of this corporation was originally filed with the Secretary of State of Delaware on April 18, 2001.</w:t>
      </w:r>
    </w:p>
    <w:p>
      <w:pPr>
        <w:spacing w:after="0" w:line="248" w:lineRule="exact"/>
        <w:rPr>
          <w:rFonts w:ascii="Arial" w:cs="Arial" w:eastAsia="Arial" w:hAnsi="Arial"/>
          <w:sz w:val="16"/>
          <w:szCs w:val="16"/>
          <w:color w:val="auto"/>
        </w:rPr>
      </w:pPr>
    </w:p>
    <w:p>
      <w:pPr>
        <w:ind w:firstLine="656"/>
        <w:spacing w:after="0" w:line="308"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Section 242 of the General Corporation Law of the State of Delaware, this Certificate of Amendment of the Restated Certificate of Incorporation amends Section 4 of this corporation’s Restated Certificate of Incorporation to read in its entirety as follows:</w:t>
      </w:r>
    </w:p>
    <w:p>
      <w:pPr>
        <w:spacing w:after="0" w:line="147"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he would be entitled to cast for the election of directors with respect to his shares of stock.”</w:t>
      </w:r>
    </w:p>
    <w:p>
      <w:pPr>
        <w:spacing w:after="0" w:line="187" w:lineRule="exact"/>
        <w:rPr>
          <w:sz w:val="20"/>
          <w:szCs w:val="20"/>
          <w:color w:val="auto"/>
        </w:rPr>
      </w:pPr>
    </w:p>
    <w:p>
      <w:pPr>
        <w:ind w:right="120" w:firstLine="656"/>
        <w:spacing w:after="0" w:line="342" w:lineRule="auto"/>
        <w:tabs>
          <w:tab w:leader="none" w:pos="12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foregoing Certificate of Amendment of the Restated Certificate of Incorporation has been duly adopted by this corporation’s Board of Directors and Stockholders in accordance with the applicable provisions of Sections 242 of the General Corporation Law of the State of Delaware.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said corporation has caused this Certificate of Amendment to the Restated Certificate of Incorporation to be executed by its Vice President, Legal Affairs, General Counsel and Corporate Secretary this 22nd day of January, 2015.</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Joel L. Poppen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Joel L. Poppen, Vice President,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2"/>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2"/>
    </w:lvl>
  </w:abstractNum>
  <w:abstractNum w:abstractNumId="4">
    <w:nsid w:val="1BEFD79F"/>
    <w:multiLevelType w:val="hybridMultilevel"/>
    <w:lvl w:ilvl="0">
      <w:lvlJc w:val="left"/>
      <w:lvlText w:val="(%1)"/>
      <w:numFmt w:val="lowerLetter"/>
      <w:start w:val="3"/>
    </w:lvl>
  </w:abstractNum>
  <w:abstractNum w:abstractNumId="5">
    <w:nsid w:val="41A7C4C9"/>
    <w:multiLevelType w:val="hybridMultilevel"/>
    <w:lvl w:ilvl="0">
      <w:lvlJc w:val="left"/>
      <w:lvlText w:val="(%1)"/>
      <w:numFmt w:val="lowerLetter"/>
      <w:start w:val="4"/>
    </w:lvl>
  </w:abstractNum>
  <w:abstractNum w:abstractNumId="6">
    <w:nsid w:val="6B68079A"/>
    <w:multiLevelType w:val="hybridMultilevel"/>
    <w:lvl w:ilvl="0">
      <w:lvlJc w:val="left"/>
      <w:lvlText w:val="(%1)"/>
      <w:numFmt w:val="lowerLetter"/>
      <w:start w:val="1"/>
    </w:lvl>
    <w:lvl w:ilvl="1">
      <w:lvlJc w:val="left"/>
      <w:lvlText w:val="(%2)"/>
      <w:numFmt w:val="lowerRoman"/>
      <w:start w:val="1"/>
    </w:lvl>
  </w:abstractNum>
  <w:abstractNum w:abstractNumId="7">
    <w:nsid w:val="4E6AFB66"/>
    <w:multiLevelType w:val="hybridMultilevel"/>
    <w:lvl w:ilvl="0">
      <w:lvlJc w:val="left"/>
      <w:lvlText w:val="(%1)"/>
      <w:numFmt w:val="lowerLetter"/>
      <w:start w:val="2"/>
    </w:lvl>
    <w:lvl w:ilvl="1">
      <w:lvlJc w:val="left"/>
      <w:lvlText w:val="(%2)"/>
      <w:numFmt w:val="lowerRoman"/>
      <w:start w:val="1"/>
    </w:lvl>
  </w:abstractNum>
  <w:abstractNum w:abstractNumId="8">
    <w:nsid w:val="25E45D32"/>
    <w:multiLevelType w:val="hybridMultilevel"/>
    <w:lvl w:ilvl="0">
      <w:lvlJc w:val="left"/>
      <w:lvlText w:val="%1"/>
      <w:numFmt w:val="lowerRoman"/>
      <w:start w:val="1"/>
    </w:lvl>
    <w:lvl w:ilvl="1">
      <w:lvlJc w:val="left"/>
      <w:lvlText w:val="(%2)"/>
      <w:numFmt w:val="lowerRoman"/>
      <w:start w:val="3"/>
    </w:lvl>
  </w:abstractNum>
  <w:abstractNum w:abstractNumId="9">
    <w:nsid w:val="519B500D"/>
    <w:multiLevelType w:val="hybridMultilevel"/>
    <w:lvl w:ilvl="0">
      <w:lvlJc w:val="left"/>
      <w:lvlText w:val="(%1)"/>
      <w:numFmt w:val="lowerRoman"/>
      <w:start w:val="6"/>
    </w:lvl>
    <w:lvl w:ilvl="1">
      <w:lvlJc w:val="left"/>
      <w:lvlText w:val="(%2)"/>
      <w:numFmt w:val="lowerRoman"/>
      <w:start w:val="4"/>
    </w:lvl>
  </w:abstractNum>
  <w:abstractNum w:abstractNumId="10">
    <w:nsid w:val="431BD7B7"/>
    <w:multiLevelType w:val="hybridMultilevel"/>
    <w:lvl w:ilvl="0">
      <w:lvlJc w:val="left"/>
      <w:lvlText w:val="(%1)"/>
      <w:numFmt w:val="lowerRoman"/>
      <w:start w:val="5"/>
    </w:lvl>
  </w:abstractNum>
  <w:abstractNum w:abstractNumId="11">
    <w:nsid w:val="3F2DBA31"/>
    <w:multiLevelType w:val="hybridMultilevel"/>
    <w:lvl w:ilvl="0">
      <w:lvlJc w:val="left"/>
      <w:lvlText w:val="(%1)"/>
      <w:numFmt w:val="lowerLetter"/>
      <w:start w:val="3"/>
    </w:lvl>
    <w:lvl w:ilvl="1">
      <w:lvlJc w:val="left"/>
      <w:lvlText w:val="(%2)"/>
      <w:numFmt w:val="lowerRoman"/>
      <w:start w:val="1"/>
    </w:lvl>
  </w:abstractNum>
  <w:abstractNum w:abstractNumId="12">
    <w:nsid w:val="7C83E458"/>
    <w:multiLevelType w:val="hybridMultilevel"/>
    <w:lvl w:ilvl="0">
      <w:lvlJc w:val="left"/>
      <w:lvlText w:val="(%1)"/>
      <w:numFmt w:val="lowerLetter"/>
      <w:start w:val="4"/>
    </w:lvl>
    <w:lvl w:ilvl="1">
      <w:lvlJc w:val="left"/>
      <w:lvlText w:val="(%2)"/>
      <w:numFmt w:val="lowerRoman"/>
      <w:start w:val="1"/>
    </w:lvl>
  </w:abstractNum>
  <w:abstractNum w:abstractNumId="13">
    <w:nsid w:val="257130A3"/>
    <w:multiLevelType w:val="hybridMultilevel"/>
    <w:lvl w:ilvl="0">
      <w:lvlJc w:val="left"/>
      <w:lvlText w:val="(%1)"/>
      <w:numFmt w:val="lowerLetter"/>
      <w:start w:val="5"/>
    </w:lvl>
    <w:lvl w:ilvl="1">
      <w:lvlJc w:val="left"/>
      <w:lvlText w:val="(%2)"/>
      <w:numFmt w:val="lowerRoman"/>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decimal"/>
      <w:start w:val="8"/>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2019-12-05T21:15:15Z</dcterms:created>
  <dcterms:modified xsi:type="dcterms:W3CDTF">2019-12-05T21:15:15Z</dcterms:modified>
</cp:coreProperties>
</file>