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323"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59"/>
        <w:spacing w:after="0"/>
        <w:rPr>
          <w:sz w:val="20"/>
          <w:szCs w:val="20"/>
          <w:color w:val="auto"/>
        </w:rPr>
      </w:pPr>
      <w:r>
        <w:rPr>
          <w:rFonts w:ascii="Arial" w:cs="Arial" w:eastAsia="Arial" w:hAnsi="Arial"/>
          <w:sz w:val="22"/>
          <w:szCs w:val="22"/>
          <w:b w:val="1"/>
          <w:bCs w:val="1"/>
          <w:color w:val="auto"/>
        </w:rPr>
        <w:t>Washington, D.C. 20549</w:t>
      </w:r>
    </w:p>
    <w:p>
      <w:pPr>
        <w:spacing w:after="0" w:line="267" w:lineRule="exact"/>
        <w:rPr>
          <w:sz w:val="24"/>
          <w:szCs w:val="24"/>
          <w:color w:val="auto"/>
        </w:rPr>
      </w:pPr>
    </w:p>
    <w:p>
      <w:pPr>
        <w:jc w:val="center"/>
        <w:ind w:right="739"/>
        <w:spacing w:after="0"/>
        <w:rPr>
          <w:sz w:val="20"/>
          <w:szCs w:val="20"/>
          <w:color w:val="auto"/>
        </w:rPr>
      </w:pPr>
      <w:r>
        <w:rPr>
          <w:rFonts w:ascii="Arial" w:cs="Arial" w:eastAsia="Arial" w:hAnsi="Arial"/>
          <w:sz w:val="25"/>
          <w:szCs w:val="25"/>
          <w:b w:val="1"/>
          <w:bCs w:val="1"/>
          <w:color w:val="auto"/>
        </w:rPr>
        <w:t>SCHEDULE 13G</w:t>
      </w:r>
    </w:p>
    <w:p>
      <w:pPr>
        <w:spacing w:after="0" w:line="289" w:lineRule="exact"/>
        <w:rPr>
          <w:sz w:val="24"/>
          <w:szCs w:val="24"/>
          <w:color w:val="auto"/>
        </w:rPr>
      </w:pPr>
    </w:p>
    <w:p>
      <w:pPr>
        <w:jc w:val="center"/>
        <w:ind w:right="73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59"/>
        <w:spacing w:after="0"/>
        <w:rPr>
          <w:sz w:val="20"/>
          <w:szCs w:val="20"/>
          <w:color w:val="auto"/>
        </w:rPr>
      </w:pPr>
      <w:r>
        <w:rPr>
          <w:rFonts w:ascii="Arial" w:cs="Arial" w:eastAsia="Arial" w:hAnsi="Arial"/>
          <w:sz w:val="22"/>
          <w:szCs w:val="22"/>
          <w:b w:val="1"/>
          <w:bCs w:val="1"/>
          <w:color w:val="auto"/>
        </w:rPr>
        <w:t>(Amendment No. 1 )</w:t>
      </w:r>
    </w:p>
    <w:p>
      <w:pPr>
        <w:spacing w:after="0" w:line="256"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59"/>
        <w:spacing w:after="0"/>
        <w:rPr>
          <w:sz w:val="20"/>
          <w:szCs w:val="20"/>
          <w:color w:val="auto"/>
        </w:rPr>
      </w:pPr>
      <w:r>
        <w:rPr>
          <w:rFonts w:ascii="Arial" w:cs="Arial" w:eastAsia="Arial" w:hAnsi="Arial"/>
          <w:sz w:val="22"/>
          <w:szCs w:val="22"/>
          <w:color w:val="auto"/>
        </w:rPr>
        <w:t>(Name of Issuer)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(Title of Class of Securities)</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852170</wp:posOffset>
            </wp:positionH>
            <wp:positionV relativeFrom="paragraph">
              <wp:posOffset>73660</wp:posOffset>
            </wp:positionV>
            <wp:extent cx="430911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09110" cy="21590"/>
                    </a:xfrm>
                    <a:prstGeom prst="rect">
                      <a:avLst/>
                    </a:prstGeom>
                    <a:noFill/>
                  </pic:spPr>
                </pic:pic>
              </a:graphicData>
            </a:graphic>
          </wp:anchor>
        </w:drawing>
      </w:r>
    </w:p>
    <w:p>
      <w:pPr>
        <w:spacing w:after="0" w:line="21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(CUSIP Number)</w:t>
      </w:r>
    </w:p>
    <w:p>
      <w:pPr>
        <w:spacing w:after="0" w:line="233" w:lineRule="exact"/>
        <w:rPr>
          <w:sz w:val="24"/>
          <w:szCs w:val="24"/>
          <w:color w:val="auto"/>
        </w:rPr>
      </w:pPr>
    </w:p>
    <w:p>
      <w:pPr>
        <w:jc w:val="center"/>
        <w:ind w:right="739"/>
        <w:spacing w:after="0"/>
        <w:rPr>
          <w:sz w:val="20"/>
          <w:szCs w:val="20"/>
          <w:color w:val="auto"/>
        </w:rPr>
      </w:pPr>
      <w:r>
        <w:rPr>
          <w:rFonts w:ascii="Arial" w:cs="Arial" w:eastAsia="Arial" w:hAnsi="Arial"/>
          <w:sz w:val="22"/>
          <w:szCs w:val="22"/>
          <w:color w:val="auto"/>
        </w:rPr>
        <w:t>December 31,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251460</wp:posOffset>
            </wp:positionH>
            <wp:positionV relativeFrom="paragraph">
              <wp:posOffset>73660</wp:posOffset>
            </wp:positionV>
            <wp:extent cx="550989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09895" cy="21590"/>
                    </a:xfrm>
                    <a:prstGeom prst="rect">
                      <a:avLst/>
                    </a:prstGeom>
                    <a:noFill/>
                  </pic:spPr>
                </pic:pic>
              </a:graphicData>
            </a:graphic>
          </wp:anchor>
        </w:drawing>
      </w:r>
    </w:p>
    <w:p>
      <w:pPr>
        <w:spacing w:after="0" w:line="213" w:lineRule="exact"/>
        <w:rPr>
          <w:sz w:val="24"/>
          <w:szCs w:val="24"/>
          <w:color w:val="auto"/>
        </w:rPr>
      </w:pPr>
    </w:p>
    <w:p>
      <w:pPr>
        <w:ind w:left="2300"/>
        <w:spacing w:after="0"/>
        <w:rPr>
          <w:sz w:val="20"/>
          <w:szCs w:val="20"/>
          <w:color w:val="auto"/>
        </w:rPr>
      </w:pPr>
      <w:r>
        <w:rPr>
          <w:rFonts w:ascii="Arial" w:cs="Arial" w:eastAsia="Arial" w:hAnsi="Arial"/>
          <w:sz w:val="22"/>
          <w:szCs w:val="22"/>
          <w:color w:val="auto"/>
        </w:rPr>
        <w:t>(Date of Event Which Requires Filing of this Statement)</w:t>
      </w: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60" w:lineRule="exact"/>
        <w:rPr>
          <w:sz w:val="24"/>
          <w:szCs w:val="24"/>
          <w:color w:val="auto"/>
        </w:rPr>
      </w:pPr>
    </w:p>
    <w:p>
      <w:pPr>
        <w:ind w:left="620" w:hanging="558"/>
        <w:spacing w:after="0"/>
        <w:tabs>
          <w:tab w:leader="none" w:pos="620" w:val="left"/>
        </w:tabs>
        <w:numPr>
          <w:ilvl w:val="0"/>
          <w:numId w:val="1"/>
        </w:numPr>
        <w:rPr>
          <w:rFonts w:ascii="Arial" w:cs="Arial" w:eastAsia="Arial" w:hAnsi="Arial"/>
          <w:sz w:val="22"/>
          <w:szCs w:val="22"/>
          <w:color w:val="auto"/>
        </w:rPr>
      </w:pPr>
      <w:r>
        <w:rPr>
          <w:rFonts w:ascii="Arial" w:cs="Arial" w:eastAsia="Arial" w:hAnsi="Arial"/>
          <w:sz w:val="22"/>
          <w:szCs w:val="22"/>
          <w:color w:val="auto"/>
        </w:rPr>
        <w:t>Rule 13d-1(b)</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13d-1(c)</w:t>
      </w:r>
    </w:p>
    <w:p>
      <w:pPr>
        <w:spacing w:after="0" w:line="98" w:lineRule="exact"/>
        <w:rPr>
          <w:sz w:val="24"/>
          <w:szCs w:val="24"/>
          <w:color w:val="auto"/>
        </w:rPr>
      </w:pPr>
    </w:p>
    <w:p>
      <w:pPr>
        <w:ind w:left="60"/>
        <w:spacing w:after="0"/>
        <w:tabs>
          <w:tab w:leader="none" w:pos="60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Rule 13d-1(d)</w:t>
      </w:r>
    </w:p>
    <w:p>
      <w:pPr>
        <w:spacing w:after="0" w:line="274" w:lineRule="exact"/>
        <w:rPr>
          <w:sz w:val="24"/>
          <w:szCs w:val="24"/>
          <w:color w:val="auto"/>
        </w:rPr>
      </w:pPr>
    </w:p>
    <w:p>
      <w:pPr>
        <w:jc w:val="both"/>
        <w:ind w:left="20" w:right="1259"/>
        <w:spacing w:after="0"/>
        <w:rPr>
          <w:sz w:val="20"/>
          <w:szCs w:val="20"/>
          <w:color w:val="auto"/>
        </w:rPr>
      </w:pPr>
      <w:r>
        <w:rPr>
          <w:rFonts w:ascii="Arial" w:cs="Arial" w:eastAsia="Arial" w:hAnsi="Arial"/>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jc w:val="both"/>
        <w:ind w:left="20" w:right="1259"/>
        <w:spacing w:after="0" w:line="238" w:lineRule="auto"/>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88" w:lineRule="exact"/>
        <w:rPr>
          <w:sz w:val="24"/>
          <w:szCs w:val="24"/>
          <w:color w:val="auto"/>
        </w:rPr>
      </w:pPr>
    </w:p>
    <w:p>
      <w:pPr>
        <w:ind w:left="60"/>
        <w:spacing w:after="0"/>
        <w:rPr>
          <w:sz w:val="20"/>
          <w:szCs w:val="20"/>
          <w:color w:val="auto"/>
        </w:rPr>
      </w:pPr>
      <w:r>
        <w:rPr>
          <w:rFonts w:ascii="Arial" w:cs="Arial" w:eastAsia="Arial" w:hAnsi="Arial"/>
          <w:sz w:val="22"/>
          <w:szCs w:val="22"/>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Person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569404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94045" cy="17145"/>
                    </a:xfrm>
                    <a:prstGeom prst="rect">
                      <a:avLst/>
                    </a:prstGeom>
                    <a:noFill/>
                  </pic:spPr>
                </pic:pic>
              </a:graphicData>
            </a:graphic>
          </wp:anchor>
        </w:drawing>
      </w:r>
    </w:p>
    <w:p>
      <w:pPr>
        <w:spacing w:after="0" w:line="111" w:lineRule="exact"/>
        <w:rPr>
          <w:sz w:val="24"/>
          <w:szCs w:val="24"/>
          <w:color w:val="auto"/>
        </w:rPr>
      </w:pPr>
    </w:p>
    <w:p>
      <w:pPr>
        <w:ind w:left="700" w:hanging="435"/>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(a) Names of Reporting Persons.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1"/>
          <w:szCs w:val="21"/>
          <w:color w:val="auto"/>
        </w:rPr>
        <w:t>Orbis Investment Management Limited (OIML), Orbis Asset Mangement Limited (OAML)</w:t>
      </w:r>
    </w:p>
    <w:p>
      <w:pPr>
        <w:spacing w:after="0" w:line="91" w:lineRule="exact"/>
        <w:rPr>
          <w:rFonts w:ascii="Arial" w:cs="Arial" w:eastAsia="Arial" w:hAnsi="Arial"/>
          <w:sz w:val="22"/>
          <w:szCs w:val="22"/>
          <w:color w:val="auto"/>
        </w:rPr>
      </w:pPr>
    </w:p>
    <w:p>
      <w:pPr>
        <w:ind w:left="1000" w:hanging="303"/>
        <w:spacing w:after="0"/>
        <w:tabs>
          <w:tab w:leader="none" w:pos="1000" w:val="left"/>
        </w:tabs>
        <w:numPr>
          <w:ilvl w:val="1"/>
          <w:numId w:val="2"/>
        </w:numPr>
        <w:rPr>
          <w:rFonts w:ascii="Arial" w:cs="Arial" w:eastAsia="Arial" w:hAnsi="Arial"/>
          <w:sz w:val="22"/>
          <w:szCs w:val="22"/>
          <w:color w:val="auto"/>
        </w:rPr>
      </w:pPr>
      <w:r>
        <w:rPr>
          <w:rFonts w:ascii="Arial" w:cs="Arial" w:eastAsia="Arial" w:hAnsi="Arial"/>
          <w:sz w:val="22"/>
          <w:szCs w:val="22"/>
          <w:color w:val="auto"/>
        </w:rPr>
        <w:t>Tax ID</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700" w:hanging="435"/>
        <w:spacing w:after="0"/>
        <w:tabs>
          <w:tab w:leader="none" w:pos="700" w:val="left"/>
        </w:tabs>
        <w:numPr>
          <w:ilvl w:val="0"/>
          <w:numId w:val="2"/>
        </w:numPr>
        <w:rPr>
          <w:rFonts w:ascii="Arial" w:cs="Arial" w:eastAsia="Arial" w:hAnsi="Arial"/>
          <w:sz w:val="22"/>
          <w:szCs w:val="22"/>
          <w:color w:val="auto"/>
        </w:rPr>
      </w:pPr>
      <w:r>
        <w:rPr>
          <w:rFonts w:ascii="Arial" w:cs="Arial" w:eastAsia="Arial" w:hAnsi="Arial"/>
          <w:sz w:val="22"/>
          <w:szCs w:val="22"/>
          <w:color w:val="auto"/>
        </w:rPr>
        <w:t>Check the Appropriate Box if a Member of a Group (See Instructions)</w:t>
      </w:r>
    </w:p>
    <w:p>
      <w:pPr>
        <w:spacing w:after="0" w:line="98" w:lineRule="exact"/>
        <w:rPr>
          <w:rFonts w:ascii="Arial" w:cs="Arial" w:eastAsia="Arial" w:hAnsi="Arial"/>
          <w:sz w:val="22"/>
          <w:szCs w:val="22"/>
          <w:color w:val="auto"/>
        </w:rPr>
      </w:pPr>
    </w:p>
    <w:p>
      <w:pPr>
        <w:ind w:left="1040" w:hanging="343"/>
        <w:spacing w:after="0"/>
        <w:tabs>
          <w:tab w:leader="none" w:pos="1040" w:val="left"/>
        </w:tabs>
        <w:numPr>
          <w:ilvl w:val="1"/>
          <w:numId w:val="3"/>
        </w:numPr>
        <w:rPr>
          <w:rFonts w:ascii="Arial" w:cs="Arial" w:eastAsia="Arial" w:hAnsi="Arial"/>
          <w:sz w:val="22"/>
          <w:szCs w:val="22"/>
          <w:color w:val="auto"/>
        </w:rPr>
      </w:pPr>
      <w:r>
        <w:rPr>
          <w:rFonts w:ascii="Arial" w:cs="Arial" w:eastAsia="Arial" w:hAnsi="Arial"/>
          <w:sz w:val="22"/>
          <w:szCs w:val="22"/>
          <w:color w:val="auto"/>
        </w:rPr>
        <w:t>[X]</w:t>
      </w:r>
    </w:p>
    <w:p>
      <w:pPr>
        <w:spacing w:after="0" w:line="98" w:lineRule="exact"/>
        <w:rPr>
          <w:rFonts w:ascii="Arial" w:cs="Arial" w:eastAsia="Arial" w:hAnsi="Arial"/>
          <w:sz w:val="22"/>
          <w:szCs w:val="22"/>
          <w:color w:val="auto"/>
        </w:rPr>
      </w:pPr>
    </w:p>
    <w:p>
      <w:pPr>
        <w:ind w:left="1060" w:hanging="363"/>
        <w:spacing w:after="0"/>
        <w:tabs>
          <w:tab w:leader="none" w:pos="1060" w:val="left"/>
        </w:tabs>
        <w:numPr>
          <w:ilvl w:val="1"/>
          <w:numId w:val="3"/>
        </w:numPr>
        <w:rPr>
          <w:rFonts w:ascii="Arial" w:cs="Arial" w:eastAsia="Arial" w:hAnsi="Arial"/>
          <w:sz w:val="22"/>
          <w:szCs w:val="22"/>
          <w:color w:val="auto"/>
        </w:rPr>
      </w:pPr>
      <w:r>
        <w:rPr>
          <w:rFonts w:ascii="Arial" w:cs="Arial" w:eastAsia="Arial" w:hAnsi="Arial"/>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-748665</wp:posOffset>
            </wp:positionV>
            <wp:extent cx="562991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37465</wp:posOffset>
            </wp:positionH>
            <wp:positionV relativeFrom="paragraph">
              <wp:posOffset>142240</wp:posOffset>
            </wp:positionV>
            <wp:extent cx="562991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ectPr>
          <w:pgSz w:w="11900" w:h="16838" w:orient="portrait"/>
          <w:cols w:equalWidth="0" w:num="1">
            <w:col w:w="10219"/>
          </w:cols>
          <w:pgMar w:left="240" w:top="1440" w:right="1440" w:bottom="0" w:gutter="0" w:footer="0" w:header="0"/>
        </w:sectPr>
      </w:pPr>
    </w:p>
    <w:p>
      <w:pPr>
        <w:spacing w:after="0" w:line="200" w:lineRule="exact"/>
        <w:rPr>
          <w:sz w:val="24"/>
          <w:szCs w:val="24"/>
          <w:color w:val="auto"/>
        </w:rPr>
      </w:pPr>
    </w:p>
    <w:p>
      <w:pPr>
        <w:spacing w:after="0" w:line="249" w:lineRule="exact"/>
        <w:rPr>
          <w:sz w:val="24"/>
          <w:szCs w:val="24"/>
          <w:color w:val="auto"/>
        </w:rPr>
      </w:pPr>
    </w:p>
    <w:p>
      <w:pPr>
        <w:ind w:left="260"/>
        <w:spacing w:after="0"/>
        <w:tabs>
          <w:tab w:leader="none" w:pos="680" w:val="left"/>
        </w:tabs>
        <w:rPr>
          <w:sz w:val="20"/>
          <w:szCs w:val="20"/>
          <w:color w:val="auto"/>
        </w:rPr>
      </w:pPr>
      <w:r>
        <w:rPr>
          <w:rFonts w:ascii="Arial" w:cs="Arial" w:eastAsia="Arial" w:hAnsi="Arial"/>
          <w:sz w:val="19"/>
          <w:szCs w:val="19"/>
          <w:color w:val="auto"/>
        </w:rPr>
        <w:t>3.</w:t>
        <w:tab/>
        <w:t>SEC Use Only . . . . . . . . . . . . . . . . . . . . . . . . . . . . . . . . . . . . . . . . . . . .</w:t>
      </w:r>
    </w:p>
    <w:p>
      <w:pPr>
        <w:sectPr>
          <w:pgSz w:w="11900" w:h="16838" w:orient="portrait"/>
          <w:cols w:equalWidth="0" w:num="1">
            <w:col w:w="10219"/>
          </w:cols>
          <w:pgMar w:left="240" w:top="1440" w:right="1440" w:bottom="0" w:gutter="0" w:footer="0" w:header="0"/>
          <w:type w:val="continuous"/>
        </w:sectPr>
      </w:pPr>
    </w:p>
    <w:bookmarkStart w:id="1" w:name="page2"/>
    <w:bookmarkEnd w:id="1"/>
    <w:p>
      <w:pPr>
        <w:ind w:left="640" w:right="1499" w:hanging="439"/>
        <w:spacing w:after="0" w:line="183" w:lineRule="auto"/>
        <w:tabs>
          <w:tab w:leader="none" w:pos="620" w:val="left"/>
        </w:tabs>
        <w:rPr>
          <w:sz w:val="20"/>
          <w:szCs w:val="20"/>
          <w:color w:val="auto"/>
        </w:rPr>
      </w:pPr>
      <w:r>
        <w:rPr>
          <w:rFonts w:ascii="Arial" w:cs="Arial" w:eastAsia="Arial" w:hAnsi="Arial"/>
          <w:sz w:val="39"/>
          <w:szCs w:val="39"/>
          <w:color w:val="auto"/>
          <w:vertAlign w:val="subscript"/>
        </w:rPr>
        <w:drawing>
          <wp:anchor simplePos="0" relativeHeight="251657728" behindDoc="1" locked="0" layoutInCell="0" allowOverlap="1">
            <wp:simplePos x="0" y="0"/>
            <wp:positionH relativeFrom="page">
              <wp:posOffset>189865</wp:posOffset>
            </wp:positionH>
            <wp:positionV relativeFrom="page">
              <wp:posOffset>88900</wp:posOffset>
            </wp:positionV>
            <wp:extent cx="5629910"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29910" cy="19050"/>
                    </a:xfrm>
                    <a:prstGeom prst="rect">
                      <a:avLst/>
                    </a:prstGeom>
                    <a:noFill/>
                  </pic:spPr>
                </pic:pic>
              </a:graphicData>
            </a:graphic>
          </wp:anchor>
        </w:drawing>
        <w:t>4.</w:t>
      </w:r>
      <w:r>
        <w:rPr>
          <w:sz w:val="20"/>
          <w:szCs w:val="20"/>
          <w:color w:val="auto"/>
        </w:rPr>
        <w:tab/>
      </w:r>
      <w:r>
        <w:rPr>
          <w:rFonts w:ascii="Arial" w:cs="Arial" w:eastAsia="Arial" w:hAnsi="Arial"/>
          <w:sz w:val="20"/>
          <w:szCs w:val="20"/>
          <w:color w:val="auto"/>
        </w:rPr>
        <w:t>Citizenship or Place of Organization The Reporting Persons are companies organised under the laws of Bermuda.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562991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420" w:type="dxa"/>
            <w:vAlign w:val="bottom"/>
          </w:tcPr>
          <w:p>
            <w:pPr>
              <w:spacing w:after="0"/>
              <w:rPr>
                <w:sz w:val="23"/>
                <w:szCs w:val="23"/>
                <w:color w:val="auto"/>
              </w:rPr>
            </w:pPr>
          </w:p>
        </w:tc>
        <w:tc>
          <w:tcPr>
            <w:tcW w:w="7440" w:type="dxa"/>
            <w:vAlign w:val="bottom"/>
          </w:tcPr>
          <w:p>
            <w:pPr>
              <w:spacing w:after="0"/>
              <w:rPr>
                <w:sz w:val="20"/>
                <w:szCs w:val="20"/>
                <w:color w:val="auto"/>
              </w:rPr>
            </w:pPr>
            <w:r>
              <w:rPr>
                <w:rFonts w:ascii="Arial" w:cs="Arial" w:eastAsia="Arial" w:hAnsi="Arial"/>
                <w:sz w:val="22"/>
                <w:szCs w:val="22"/>
                <w:color w:val="auto"/>
              </w:rPr>
              <w:t>5. Sole Voting Power 17,406,439</w:t>
            </w:r>
          </w:p>
        </w:tc>
        <w:tc>
          <w:tcPr>
            <w:tcW w:w="0" w:type="dxa"/>
            <w:vAlign w:val="bottom"/>
          </w:tcPr>
          <w:p>
            <w:pPr>
              <w:spacing w:after="0"/>
              <w:rPr>
                <w:sz w:val="1"/>
                <w:szCs w:val="1"/>
                <w:color w:val="auto"/>
              </w:rPr>
            </w:pPr>
          </w:p>
        </w:tc>
      </w:tr>
      <w:tr>
        <w:trPr>
          <w:trHeight w:val="216"/>
        </w:trPr>
        <w:tc>
          <w:tcPr>
            <w:tcW w:w="14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74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1420" w:type="dxa"/>
            <w:vAlign w:val="bottom"/>
            <w:vMerge w:val="continue"/>
          </w:tcPr>
          <w:p>
            <w:pPr>
              <w:spacing w:after="0"/>
              <w:rPr>
                <w:sz w:val="4"/>
                <w:szCs w:val="4"/>
                <w:color w:val="auto"/>
              </w:rPr>
            </w:pPr>
          </w:p>
        </w:tc>
        <w:tc>
          <w:tcPr>
            <w:tcW w:w="7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6. Shared Voting Power 221,939</w:t>
            </w:r>
          </w:p>
        </w:tc>
        <w:tc>
          <w:tcPr>
            <w:tcW w:w="0" w:type="dxa"/>
            <w:vAlign w:val="bottom"/>
          </w:tcPr>
          <w:p>
            <w:pPr>
              <w:spacing w:after="0"/>
              <w:rPr>
                <w:sz w:val="1"/>
                <w:szCs w:val="1"/>
                <w:color w:val="auto"/>
              </w:rPr>
            </w:pPr>
          </w:p>
        </w:tc>
      </w:tr>
      <w:tr>
        <w:trPr>
          <w:trHeight w:val="166"/>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7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420" w:type="dxa"/>
            <w:vAlign w:val="bottom"/>
            <w:vMerge w:val="continue"/>
          </w:tcPr>
          <w:p>
            <w:pPr>
              <w:spacing w:after="0"/>
              <w:rPr>
                <w:sz w:val="6"/>
                <w:szCs w:val="6"/>
                <w:color w:val="auto"/>
              </w:rPr>
            </w:pPr>
          </w:p>
        </w:tc>
        <w:tc>
          <w:tcPr>
            <w:tcW w:w="7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Owned by</w:t>
            </w:r>
          </w:p>
        </w:tc>
        <w:tc>
          <w:tcPr>
            <w:tcW w:w="7440" w:type="dxa"/>
            <w:vAlign w:val="bottom"/>
            <w:tcBorders>
              <w:bottom w:val="single" w:sz="8" w:color="808080"/>
            </w:tcBorders>
          </w:tcPr>
          <w:p>
            <w:pPr>
              <w:spacing w:after="0"/>
              <w:rPr>
                <w:sz w:val="12"/>
                <w:szCs w:val="12"/>
                <w:color w:val="auto"/>
              </w:rPr>
            </w:pPr>
          </w:p>
        </w:tc>
        <w:tc>
          <w:tcPr>
            <w:tcW w:w="0" w:type="dxa"/>
            <w:vAlign w:val="bottom"/>
          </w:tcPr>
          <w:p>
            <w:pPr>
              <w:spacing w:after="0"/>
              <w:rPr>
                <w:sz w:val="1"/>
                <w:szCs w:val="1"/>
                <w:color w:val="auto"/>
              </w:rPr>
            </w:pPr>
          </w:p>
        </w:tc>
      </w:tr>
      <w:tr>
        <w:trPr>
          <w:trHeight w:val="83"/>
        </w:trPr>
        <w:tc>
          <w:tcPr>
            <w:tcW w:w="1420" w:type="dxa"/>
            <w:vAlign w:val="bottom"/>
            <w:vMerge w:val="continue"/>
          </w:tcPr>
          <w:p>
            <w:pPr>
              <w:spacing w:after="0"/>
              <w:rPr>
                <w:sz w:val="7"/>
                <w:szCs w:val="7"/>
                <w:color w:val="auto"/>
              </w:rPr>
            </w:pPr>
          </w:p>
        </w:tc>
        <w:tc>
          <w:tcPr>
            <w:tcW w:w="7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line="243" w:lineRule="exact"/>
              <w:rPr>
                <w:sz w:val="20"/>
                <w:szCs w:val="20"/>
                <w:color w:val="auto"/>
              </w:rPr>
            </w:pPr>
            <w:r>
              <w:rPr>
                <w:rFonts w:ascii="Arial" w:cs="Arial" w:eastAsia="Arial" w:hAnsi="Arial"/>
                <w:sz w:val="22"/>
                <w:szCs w:val="22"/>
                <w:color w:val="auto"/>
              </w:rPr>
              <w:t>Each</w:t>
            </w:r>
          </w:p>
        </w:tc>
        <w:tc>
          <w:tcPr>
            <w:tcW w:w="7440" w:type="dxa"/>
            <w:vAlign w:val="bottom"/>
            <w:vMerge w:val="restart"/>
          </w:tcPr>
          <w:p>
            <w:pPr>
              <w:spacing w:after="0"/>
              <w:rPr>
                <w:sz w:val="20"/>
                <w:szCs w:val="20"/>
                <w:color w:val="auto"/>
              </w:rPr>
            </w:pPr>
            <w:r>
              <w:rPr>
                <w:rFonts w:ascii="Arial" w:cs="Arial" w:eastAsia="Arial" w:hAnsi="Arial"/>
                <w:sz w:val="22"/>
                <w:szCs w:val="22"/>
                <w:color w:val="auto"/>
              </w:rPr>
              <w:t>7. Sole Dispositive Power 17,628,378</w:t>
            </w:r>
          </w:p>
        </w:tc>
        <w:tc>
          <w:tcPr>
            <w:tcW w:w="0" w:type="dxa"/>
            <w:vAlign w:val="bottom"/>
          </w:tcPr>
          <w:p>
            <w:pPr>
              <w:spacing w:after="0"/>
              <w:rPr>
                <w:sz w:val="1"/>
                <w:szCs w:val="1"/>
                <w:color w:val="auto"/>
              </w:rPr>
            </w:pPr>
          </w:p>
        </w:tc>
      </w:tr>
      <w:tr>
        <w:trPr>
          <w:trHeight w:val="139"/>
        </w:trPr>
        <w:tc>
          <w:tcPr>
            <w:tcW w:w="14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7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420" w:type="dxa"/>
            <w:vAlign w:val="bottom"/>
            <w:vMerge w:val="continue"/>
          </w:tcPr>
          <w:p>
            <w:pPr>
              <w:spacing w:after="0"/>
              <w:rPr>
                <w:sz w:val="9"/>
                <w:szCs w:val="9"/>
                <w:color w:val="auto"/>
              </w:rPr>
            </w:pPr>
          </w:p>
        </w:tc>
        <w:tc>
          <w:tcPr>
            <w:tcW w:w="7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3"/>
        </w:trPr>
        <w:tc>
          <w:tcPr>
            <w:tcW w:w="1420" w:type="dxa"/>
            <w:vAlign w:val="bottom"/>
            <w:vMerge w:val="restart"/>
          </w:tcPr>
          <w:p>
            <w:pPr>
              <w:spacing w:after="0"/>
              <w:rPr>
                <w:sz w:val="20"/>
                <w:szCs w:val="20"/>
                <w:color w:val="auto"/>
              </w:rPr>
            </w:pPr>
            <w:r>
              <w:rPr>
                <w:rFonts w:ascii="Arial" w:cs="Arial" w:eastAsia="Arial" w:hAnsi="Arial"/>
                <w:sz w:val="22"/>
                <w:szCs w:val="22"/>
                <w:color w:val="auto"/>
              </w:rPr>
              <w:t>Person With</w:t>
            </w:r>
          </w:p>
        </w:tc>
        <w:tc>
          <w:tcPr>
            <w:tcW w:w="7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7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5616575</wp:posOffset>
            </wp:positionH>
            <wp:positionV relativeFrom="paragraph">
              <wp:posOffset>-996315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-996315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-550545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-550545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5616575</wp:posOffset>
            </wp:positionH>
            <wp:positionV relativeFrom="paragraph">
              <wp:posOffset>-104140</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899795</wp:posOffset>
            </wp:positionH>
            <wp:positionV relativeFrom="paragraph">
              <wp:posOffset>-104140</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30" w:lineRule="exact"/>
        <w:rPr>
          <w:sz w:val="20"/>
          <w:szCs w:val="20"/>
          <w:color w:val="auto"/>
        </w:rPr>
      </w:pPr>
    </w:p>
    <w:p>
      <w:pPr>
        <w:ind w:left="1640" w:hanging="220"/>
        <w:spacing w:after="0"/>
        <w:tabs>
          <w:tab w:leader="none" w:pos="1640" w:val="left"/>
        </w:tabs>
        <w:numPr>
          <w:ilvl w:val="1"/>
          <w:numId w:val="4"/>
        </w:numPr>
        <w:rPr>
          <w:rFonts w:ascii="Arial" w:cs="Arial" w:eastAsia="Arial" w:hAnsi="Arial"/>
          <w:sz w:val="22"/>
          <w:szCs w:val="22"/>
          <w:color w:val="auto"/>
        </w:rPr>
      </w:pPr>
      <w:r>
        <w:rPr>
          <w:rFonts w:ascii="Arial" w:cs="Arial" w:eastAsia="Arial" w:hAnsi="Arial"/>
          <w:sz w:val="22"/>
          <w:szCs w:val="22"/>
          <w:color w:val="auto"/>
        </w:rPr>
        <w:t>Shared Dispositive Power 0</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right="2199" w:hanging="435"/>
        <w:spacing w:after="0" w:line="328" w:lineRule="auto"/>
        <w:tabs>
          <w:tab w:leader="none" w:pos="640" w:val="left"/>
        </w:tabs>
        <w:numPr>
          <w:ilvl w:val="0"/>
          <w:numId w:val="5"/>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Orbis Investment Management Limited 17,575,453 and Orbis Asset Management Limited 52,925</w:t>
      </w:r>
    </w:p>
    <w:p>
      <w:pPr>
        <w:spacing w:after="0" w:line="348" w:lineRule="exact"/>
        <w:rPr>
          <w:rFonts w:ascii="Arial" w:cs="Arial" w:eastAsia="Arial" w:hAnsi="Arial"/>
          <w:sz w:val="19"/>
          <w:szCs w:val="19"/>
          <w:color w:val="auto"/>
        </w:rPr>
      </w:pPr>
    </w:p>
    <w:p>
      <w:pPr>
        <w:ind w:left="640" w:hanging="435"/>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21"/>
          <w:szCs w:val="21"/>
          <w:color w:val="auto"/>
        </w:rPr>
        <w:t>Check if the Aggregate Amount in Row (9) Excludes Certain Shares (See Instructions)</w:t>
      </w:r>
    </w:p>
    <w:p>
      <w:pPr>
        <w:spacing w:after="0" w:line="200" w:lineRule="exact"/>
        <w:rPr>
          <w:rFonts w:ascii="Arial" w:cs="Arial" w:eastAsia="Arial" w:hAnsi="Arial"/>
          <w:sz w:val="21"/>
          <w:szCs w:val="21"/>
          <w:color w:val="auto"/>
        </w:rPr>
      </w:pPr>
    </w:p>
    <w:p>
      <w:pPr>
        <w:spacing w:after="0" w:line="260" w:lineRule="exact"/>
        <w:rPr>
          <w:rFonts w:ascii="Arial" w:cs="Arial" w:eastAsia="Arial" w:hAnsi="Arial"/>
          <w:sz w:val="21"/>
          <w:szCs w:val="21"/>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 Represented by Amount in Row (9) 2.1%</w:t>
      </w:r>
    </w:p>
    <w:p>
      <w:pPr>
        <w:spacing w:after="0" w:line="200" w:lineRule="exact"/>
        <w:rPr>
          <w:rFonts w:ascii="Arial" w:cs="Arial" w:eastAsia="Arial" w:hAnsi="Arial"/>
          <w:sz w:val="22"/>
          <w:szCs w:val="22"/>
          <w:color w:val="auto"/>
        </w:rPr>
      </w:pPr>
    </w:p>
    <w:p>
      <w:pPr>
        <w:spacing w:after="0" w:line="249" w:lineRule="exact"/>
        <w:rPr>
          <w:rFonts w:ascii="Arial" w:cs="Arial" w:eastAsia="Arial" w:hAnsi="Arial"/>
          <w:sz w:val="22"/>
          <w:szCs w:val="22"/>
          <w:color w:val="auto"/>
        </w:rPr>
      </w:pPr>
    </w:p>
    <w:p>
      <w:pPr>
        <w:ind w:left="640" w:hanging="435"/>
        <w:spacing w:after="0"/>
        <w:tabs>
          <w:tab w:leader="none" w:pos="6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Type of Reporting Person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-1795145</wp:posOffset>
            </wp:positionV>
            <wp:extent cx="562991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-1194435</wp:posOffset>
            </wp:positionV>
            <wp:extent cx="562991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-748665</wp:posOffset>
            </wp:positionV>
            <wp:extent cx="562991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-302895</wp:posOffset>
            </wp:positionV>
            <wp:extent cx="562991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29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FI (OIML) and OO (OAML)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142240</wp:posOffset>
            </wp:positionV>
            <wp:extent cx="562991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29910" cy="2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w:t>
      </w:r>
    </w:p>
    <w:p>
      <w:pPr>
        <w:spacing w:after="0" w:line="104" w:lineRule="exact"/>
        <w:rPr>
          <w:sz w:val="20"/>
          <w:szCs w:val="20"/>
          <w:color w:val="auto"/>
        </w:rPr>
      </w:pPr>
    </w:p>
    <w:p>
      <w:pPr>
        <w:ind w:left="700" w:hanging="374"/>
        <w:spacing w:after="0"/>
        <w:tabs>
          <w:tab w:leader="none" w:pos="700" w:val="left"/>
        </w:tabs>
        <w:numPr>
          <w:ilvl w:val="0"/>
          <w:numId w:val="6"/>
        </w:numPr>
        <w:rPr>
          <w:rFonts w:ascii="Arial" w:cs="Arial" w:eastAsia="Arial" w:hAnsi="Arial"/>
          <w:sz w:val="22"/>
          <w:szCs w:val="22"/>
          <w:color w:val="auto"/>
        </w:rPr>
      </w:pPr>
      <w:r>
        <w:rPr>
          <w:rFonts w:ascii="Arial" w:cs="Arial" w:eastAsia="Arial" w:hAnsi="Arial"/>
          <w:sz w:val="22"/>
          <w:szCs w:val="22"/>
          <w:color w:val="auto"/>
        </w:rPr>
        <w:t>Name of Issuer</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Micron Technology, Inc</w:t>
      </w:r>
    </w:p>
    <w:p>
      <w:pPr>
        <w:spacing w:after="0" w:line="80" w:lineRule="exact"/>
        <w:rPr>
          <w:rFonts w:ascii="Arial" w:cs="Arial" w:eastAsia="Arial" w:hAnsi="Arial"/>
          <w:sz w:val="22"/>
          <w:szCs w:val="22"/>
          <w:color w:val="auto"/>
        </w:rPr>
      </w:pPr>
    </w:p>
    <w:p>
      <w:pPr>
        <w:ind w:left="700" w:right="5039" w:hanging="374"/>
        <w:spacing w:after="0" w:line="382" w:lineRule="auto"/>
        <w:tabs>
          <w:tab w:leader="none" w:pos="700" w:val="left"/>
        </w:tabs>
        <w:numPr>
          <w:ilvl w:val="0"/>
          <w:numId w:val="6"/>
        </w:numPr>
        <w:rPr>
          <w:rFonts w:ascii="Arial" w:cs="Arial" w:eastAsia="Arial" w:hAnsi="Arial"/>
          <w:sz w:val="19"/>
          <w:szCs w:val="19"/>
          <w:color w:val="auto"/>
        </w:rPr>
      </w:pPr>
      <w:r>
        <w:rPr>
          <w:rFonts w:ascii="Arial" w:cs="Arial" w:eastAsia="Arial" w:hAnsi="Arial"/>
          <w:sz w:val="19"/>
          <w:szCs w:val="19"/>
          <w:color w:val="auto"/>
        </w:rPr>
        <w:t>Address of Issuer's Principal Executive Offices 8000 South Federal Way, Boise, Idaho 83716-9632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04" w:lineRule="exact"/>
        <w:rPr>
          <w:sz w:val="20"/>
          <w:szCs w:val="20"/>
          <w:color w:val="auto"/>
        </w:rPr>
      </w:pPr>
    </w:p>
    <w:p>
      <w:pPr>
        <w:ind w:left="700" w:hanging="374"/>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Name of Person Filing</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19"/>
          <w:szCs w:val="19"/>
          <w:color w:val="auto"/>
        </w:rPr>
        <w:t>Orbis Investment Management Limited (OIML), Orbis Asset Mangement Limited (OAML)</w:t>
      </w:r>
    </w:p>
    <w:p>
      <w:pPr>
        <w:spacing w:after="0" w:line="114" w:lineRule="exact"/>
        <w:rPr>
          <w:rFonts w:ascii="Arial" w:cs="Arial" w:eastAsia="Arial" w:hAnsi="Arial"/>
          <w:sz w:val="22"/>
          <w:szCs w:val="22"/>
          <w:color w:val="auto"/>
        </w:rPr>
      </w:pPr>
    </w:p>
    <w:p>
      <w:pPr>
        <w:ind w:left="700" w:right="4339" w:hanging="374"/>
        <w:spacing w:after="0" w:line="274" w:lineRule="auto"/>
        <w:tabs>
          <w:tab w:leader="none" w:pos="700" w:val="left"/>
        </w:tabs>
        <w:numPr>
          <w:ilvl w:val="0"/>
          <w:numId w:val="7"/>
        </w:numPr>
        <w:rPr>
          <w:rFonts w:ascii="Arial" w:cs="Arial" w:eastAsia="Arial" w:hAnsi="Arial"/>
          <w:sz w:val="21"/>
          <w:szCs w:val="21"/>
          <w:color w:val="auto"/>
        </w:rPr>
      </w:pPr>
      <w:r>
        <w:rPr>
          <w:rFonts w:ascii="Arial" w:cs="Arial" w:eastAsia="Arial" w:hAnsi="Arial"/>
          <w:sz w:val="21"/>
          <w:szCs w:val="21"/>
          <w:color w:val="auto"/>
        </w:rPr>
        <w:t>Address of Principal Business Office or, if none, Residence 25 Front Street, Hamilton Bermuda HM11</w:t>
      </w:r>
    </w:p>
    <w:p>
      <w:pPr>
        <w:spacing w:after="0" w:line="42" w:lineRule="exact"/>
        <w:rPr>
          <w:rFonts w:ascii="Arial" w:cs="Arial" w:eastAsia="Arial" w:hAnsi="Arial"/>
          <w:sz w:val="21"/>
          <w:szCs w:val="21"/>
          <w:color w:val="auto"/>
        </w:rPr>
      </w:pPr>
    </w:p>
    <w:p>
      <w:pPr>
        <w:ind w:left="700" w:hanging="374"/>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Citizenship</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The Reporting Persons are companies organised under the laws of Bermuda.</w:t>
      </w:r>
    </w:p>
    <w:p>
      <w:pPr>
        <w:spacing w:after="0" w:line="80" w:lineRule="exact"/>
        <w:rPr>
          <w:rFonts w:ascii="Arial" w:cs="Arial" w:eastAsia="Arial" w:hAnsi="Arial"/>
          <w:sz w:val="22"/>
          <w:szCs w:val="22"/>
          <w:color w:val="auto"/>
        </w:rPr>
      </w:pPr>
    </w:p>
    <w:p>
      <w:pPr>
        <w:ind w:left="700" w:hanging="374"/>
        <w:spacing w:after="0"/>
        <w:tabs>
          <w:tab w:leader="none" w:pos="700" w:val="left"/>
        </w:tabs>
        <w:numPr>
          <w:ilvl w:val="0"/>
          <w:numId w:val="7"/>
        </w:numPr>
        <w:rPr>
          <w:rFonts w:ascii="Arial" w:cs="Arial" w:eastAsia="Arial" w:hAnsi="Arial"/>
          <w:sz w:val="22"/>
          <w:szCs w:val="22"/>
          <w:color w:val="auto"/>
        </w:rPr>
      </w:pPr>
      <w:r>
        <w:rPr>
          <w:rFonts w:ascii="Arial" w:cs="Arial" w:eastAsia="Arial" w:hAnsi="Arial"/>
          <w:sz w:val="22"/>
          <w:szCs w:val="22"/>
          <w:color w:val="auto"/>
        </w:rPr>
        <w:t>Title of Class of Securities</w:t>
      </w:r>
    </w:p>
    <w:p>
      <w:pPr>
        <w:spacing w:after="0" w:line="8" w:lineRule="exact"/>
        <w:rPr>
          <w:rFonts w:ascii="Arial" w:cs="Arial" w:eastAsia="Arial" w:hAnsi="Arial"/>
          <w:sz w:val="22"/>
          <w:szCs w:val="22"/>
          <w:color w:val="auto"/>
        </w:rPr>
      </w:pPr>
    </w:p>
    <w:p>
      <w:pPr>
        <w:ind w:left="700"/>
        <w:spacing w:after="0"/>
        <w:rPr>
          <w:rFonts w:ascii="Arial" w:cs="Arial" w:eastAsia="Arial" w:hAnsi="Arial"/>
          <w:sz w:val="22"/>
          <w:szCs w:val="22"/>
          <w:color w:val="auto"/>
        </w:rPr>
      </w:pPr>
      <w:r>
        <w:rPr>
          <w:rFonts w:ascii="Arial" w:cs="Arial" w:eastAsia="Arial" w:hAnsi="Arial"/>
          <w:sz w:val="22"/>
          <w:szCs w:val="22"/>
          <w:color w:val="auto"/>
        </w:rPr>
        <w:t>Common stock, par value $0.10 per share</w:t>
      </w:r>
    </w:p>
    <w:p>
      <w:pPr>
        <w:spacing w:after="0" w:line="80" w:lineRule="exact"/>
        <w:rPr>
          <w:rFonts w:ascii="Arial" w:cs="Arial" w:eastAsia="Arial" w:hAnsi="Arial"/>
          <w:sz w:val="22"/>
          <w:szCs w:val="22"/>
          <w:color w:val="auto"/>
        </w:rPr>
      </w:pPr>
    </w:p>
    <w:p>
      <w:pPr>
        <w:ind w:left="700" w:right="8099" w:hanging="374"/>
        <w:spacing w:after="0" w:line="328" w:lineRule="auto"/>
        <w:tabs>
          <w:tab w:leader="none" w:pos="700" w:val="left"/>
        </w:tabs>
        <w:numPr>
          <w:ilvl w:val="0"/>
          <w:numId w:val="7"/>
        </w:numPr>
        <w:rPr>
          <w:rFonts w:ascii="Arial" w:cs="Arial" w:eastAsia="Arial" w:hAnsi="Arial"/>
          <w:sz w:val="19"/>
          <w:szCs w:val="19"/>
          <w:color w:val="auto"/>
        </w:rPr>
      </w:pPr>
      <w:r>
        <w:rPr>
          <w:rFonts w:ascii="Arial" w:cs="Arial" w:eastAsia="Arial" w:hAnsi="Arial"/>
          <w:sz w:val="19"/>
          <w:szCs w:val="19"/>
          <w:color w:val="auto"/>
        </w:rPr>
        <w:t>CUSIP Number 595112103</w:t>
      </w:r>
    </w:p>
    <w:p>
      <w:pPr>
        <w:spacing w:after="0" w:line="342" w:lineRule="exact"/>
        <w:rPr>
          <w:sz w:val="20"/>
          <w:szCs w:val="20"/>
          <w:color w:val="auto"/>
        </w:rPr>
      </w:pPr>
    </w:p>
    <w:p>
      <w:pPr>
        <w:ind w:left="780" w:right="1399" w:hanging="782"/>
        <w:spacing w:after="0" w:line="256" w:lineRule="auto"/>
        <w:rPr>
          <w:sz w:val="20"/>
          <w:szCs w:val="20"/>
          <w:color w:val="auto"/>
        </w:rPr>
      </w:pPr>
      <w:r>
        <w:rPr>
          <w:rFonts w:ascii="Arial" w:cs="Arial" w:eastAsia="Arial" w:hAnsi="Arial"/>
          <w:sz w:val="22"/>
          <w:szCs w:val="22"/>
          <w:b w:val="1"/>
          <w:bCs w:val="1"/>
          <w:color w:val="auto"/>
        </w:rPr>
        <w:t>Item 3. If this statement is filed pursuant to 240.13d-1(b) or 240.13d-2(b) or (c), check whether the person filing is a:</w:t>
      </w:r>
    </w:p>
    <w:p>
      <w:pPr>
        <w:spacing w:after="0" w:line="61" w:lineRule="exact"/>
        <w:rPr>
          <w:sz w:val="20"/>
          <w:szCs w:val="20"/>
          <w:color w:val="auto"/>
        </w:rPr>
      </w:pPr>
    </w:p>
    <w:p>
      <w:pPr>
        <w:ind w:left="780" w:hanging="464"/>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78c)</w:t>
      </w:r>
    </w:p>
    <w:p>
      <w:pPr>
        <w:spacing w:after="0" w:line="260" w:lineRule="exact"/>
        <w:rPr>
          <w:rFonts w:ascii="Arial" w:cs="Arial" w:eastAsia="Arial" w:hAnsi="Arial"/>
          <w:sz w:val="22"/>
          <w:szCs w:val="22"/>
          <w:color w:val="auto"/>
        </w:rPr>
      </w:pPr>
    </w:p>
    <w:p>
      <w:pPr>
        <w:ind w:left="780" w:hanging="476"/>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260" w:lineRule="exact"/>
        <w:rPr>
          <w:rFonts w:ascii="Arial" w:cs="Arial" w:eastAsia="Arial" w:hAnsi="Arial"/>
          <w:sz w:val="22"/>
          <w:szCs w:val="22"/>
          <w:color w:val="auto"/>
        </w:rPr>
      </w:pPr>
    </w:p>
    <w:p>
      <w:pPr>
        <w:ind w:left="780" w:hanging="464"/>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260" w:lineRule="exact"/>
        <w:rPr>
          <w:rFonts w:ascii="Arial" w:cs="Arial" w:eastAsia="Arial" w:hAnsi="Arial"/>
          <w:sz w:val="22"/>
          <w:szCs w:val="22"/>
          <w:color w:val="auto"/>
        </w:rPr>
      </w:pPr>
    </w:p>
    <w:p>
      <w:pPr>
        <w:ind w:left="1120" w:right="1399" w:hanging="816"/>
        <w:spacing w:after="0" w:line="251" w:lineRule="auto"/>
        <w:tabs>
          <w:tab w:leader="none" w:pos="782" w:val="left"/>
        </w:tabs>
        <w:numPr>
          <w:ilvl w:val="0"/>
          <w:numId w:val="8"/>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65" w:lineRule="exact"/>
        <w:rPr>
          <w:rFonts w:ascii="Arial" w:cs="Arial" w:eastAsia="Arial" w:hAnsi="Arial"/>
          <w:sz w:val="22"/>
          <w:szCs w:val="22"/>
          <w:color w:val="auto"/>
        </w:rPr>
      </w:pPr>
    </w:p>
    <w:p>
      <w:pPr>
        <w:ind w:left="780" w:hanging="464"/>
        <w:spacing w:after="0"/>
        <w:tabs>
          <w:tab w:leader="none" w:pos="780" w:val="left"/>
        </w:tabs>
        <w:numPr>
          <w:ilvl w:val="0"/>
          <w:numId w:val="8"/>
        </w:numPr>
        <w:rPr>
          <w:rFonts w:ascii="Arial" w:cs="Arial" w:eastAsia="Arial" w:hAnsi="Arial"/>
          <w:sz w:val="22"/>
          <w:szCs w:val="22"/>
          <w:color w:val="auto"/>
        </w:rPr>
      </w:pPr>
      <w:r>
        <w:rPr>
          <w:rFonts w:ascii="Arial" w:cs="Arial" w:eastAsia="Arial" w:hAnsi="Arial"/>
          <w:sz w:val="22"/>
          <w:szCs w:val="22"/>
          <w:color w:val="auto"/>
        </w:rPr>
        <w:t>[ ]  An investment adviser in accordance with 240.13d-1(b)(1)(ii)(E);</w:t>
      </w:r>
    </w:p>
    <w:p>
      <w:pPr>
        <w:sectPr>
          <w:pgSz w:w="11900" w:h="16838" w:orient="portrait"/>
          <w:cols w:equalWidth="0" w:num="1">
            <w:col w:w="10159"/>
          </w:cols>
          <w:pgMar w:left="300" w:top="300" w:right="1440" w:bottom="0" w:gutter="0" w:footer="0" w:header="0"/>
        </w:sectPr>
      </w:pPr>
    </w:p>
    <w:bookmarkStart w:id="2" w:name="page3"/>
    <w:bookmarkEnd w:id="2"/>
    <w:p>
      <w:pPr>
        <w:ind w:left="780" w:hanging="440"/>
        <w:spacing w:after="0"/>
        <w:tabs>
          <w:tab w:leader="none" w:pos="780" w:val="left"/>
        </w:tabs>
        <w:numPr>
          <w:ilvl w:val="0"/>
          <w:numId w:val="9"/>
        </w:numPr>
        <w:rPr>
          <w:rFonts w:ascii="Arial" w:cs="Arial" w:eastAsia="Arial" w:hAnsi="Arial"/>
          <w:sz w:val="19"/>
          <w:szCs w:val="19"/>
          <w:color w:val="auto"/>
        </w:rPr>
      </w:pPr>
      <w:r>
        <w:rPr>
          <w:rFonts w:ascii="Arial" w:cs="Arial" w:eastAsia="Arial" w:hAnsi="Arial"/>
          <w:sz w:val="19"/>
          <w:szCs w:val="19"/>
          <w:color w:val="auto"/>
        </w:rPr>
        <w:t>[ ]  An employee benefit plan or endowment fund in accordance with 240.13d-1(b)(1)(ii)(F);</w:t>
      </w:r>
    </w:p>
    <w:p>
      <w:pPr>
        <w:spacing w:after="0" w:line="254" w:lineRule="exact"/>
        <w:rPr>
          <w:rFonts w:ascii="Arial" w:cs="Arial" w:eastAsia="Arial" w:hAnsi="Arial"/>
          <w:sz w:val="19"/>
          <w:szCs w:val="19"/>
          <w:color w:val="auto"/>
        </w:rPr>
      </w:pPr>
    </w:p>
    <w:p>
      <w:pPr>
        <w:ind w:left="780" w:hanging="476"/>
        <w:spacing w:after="0"/>
        <w:tabs>
          <w:tab w:leader="none" w:pos="780" w:val="left"/>
        </w:tabs>
        <w:numPr>
          <w:ilvl w:val="0"/>
          <w:numId w:val="9"/>
        </w:numPr>
        <w:rPr>
          <w:rFonts w:ascii="Arial" w:cs="Arial" w:eastAsia="Arial" w:hAnsi="Arial"/>
          <w:sz w:val="19"/>
          <w:szCs w:val="19"/>
          <w:color w:val="auto"/>
        </w:rPr>
      </w:pPr>
      <w:r>
        <w:rPr>
          <w:rFonts w:ascii="Arial" w:cs="Arial" w:eastAsia="Arial" w:hAnsi="Arial"/>
          <w:sz w:val="19"/>
          <w:szCs w:val="19"/>
          <w:color w:val="auto"/>
        </w:rPr>
        <w:t>[ ]  A parent holding company or control person in accordance with 240.13d-1(b)(1)(ii)(G);</w:t>
      </w:r>
    </w:p>
    <w:p>
      <w:pPr>
        <w:spacing w:after="0" w:line="294" w:lineRule="exact"/>
        <w:rPr>
          <w:rFonts w:ascii="Arial" w:cs="Arial" w:eastAsia="Arial" w:hAnsi="Arial"/>
          <w:sz w:val="19"/>
          <w:szCs w:val="19"/>
          <w:color w:val="auto"/>
        </w:rPr>
      </w:pPr>
    </w:p>
    <w:p>
      <w:pPr>
        <w:ind w:left="1120" w:right="1559" w:hanging="816"/>
        <w:spacing w:after="0" w:line="251" w:lineRule="auto"/>
        <w:tabs>
          <w:tab w:leader="none" w:pos="782"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savings associations as defined in Section 3(b) of the Federal Deposit Insurance Act (12 U.S.C. 1813);</w:t>
      </w:r>
    </w:p>
    <w:p>
      <w:pPr>
        <w:spacing w:after="0" w:line="65" w:lineRule="exact"/>
        <w:rPr>
          <w:rFonts w:ascii="Arial" w:cs="Arial" w:eastAsia="Arial" w:hAnsi="Arial"/>
          <w:sz w:val="22"/>
          <w:szCs w:val="22"/>
          <w:color w:val="auto"/>
        </w:rPr>
      </w:pPr>
    </w:p>
    <w:p>
      <w:pPr>
        <w:ind w:left="1120" w:right="1819" w:hanging="768"/>
        <w:spacing w:after="0" w:line="239" w:lineRule="auto"/>
        <w:tabs>
          <w:tab w:leader="none" w:pos="782" w:val="left"/>
        </w:tabs>
        <w:numPr>
          <w:ilvl w:val="0"/>
          <w:numId w:val="9"/>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w:t>
      </w:r>
    </w:p>
    <w:p>
      <w:pPr>
        <w:ind w:left="1120"/>
        <w:spacing w:after="0"/>
        <w:rPr>
          <w:rFonts w:ascii="Arial" w:cs="Arial" w:eastAsia="Arial" w:hAnsi="Arial"/>
          <w:sz w:val="22"/>
          <w:szCs w:val="22"/>
          <w:color w:val="auto"/>
        </w:rPr>
      </w:pPr>
      <w:r>
        <w:rPr>
          <w:rFonts w:ascii="Arial" w:cs="Arial" w:eastAsia="Arial" w:hAnsi="Arial"/>
          <w:sz w:val="22"/>
          <w:szCs w:val="22"/>
          <w:color w:val="auto"/>
        </w:rPr>
        <w:t>3(c)(14) of the Investment Company Act of 1940 (15 U.S.C. 80a-3);</w:t>
      </w:r>
    </w:p>
    <w:p>
      <w:pPr>
        <w:spacing w:after="0" w:line="80" w:lineRule="exact"/>
        <w:rPr>
          <w:rFonts w:ascii="Arial" w:cs="Arial" w:eastAsia="Arial" w:hAnsi="Arial"/>
          <w:sz w:val="22"/>
          <w:szCs w:val="22"/>
          <w:color w:val="auto"/>
        </w:rPr>
      </w:pPr>
    </w:p>
    <w:p>
      <w:pPr>
        <w:ind w:left="780" w:hanging="428"/>
        <w:spacing w:after="0"/>
        <w:tabs>
          <w:tab w:leader="none" w:pos="780" w:val="left"/>
        </w:tabs>
        <w:numPr>
          <w:ilvl w:val="0"/>
          <w:numId w:val="9"/>
        </w:numPr>
        <w:rPr>
          <w:rFonts w:ascii="Arial" w:cs="Arial" w:eastAsia="Arial" w:hAnsi="Arial"/>
          <w:sz w:val="22"/>
          <w:szCs w:val="22"/>
          <w:color w:val="auto"/>
        </w:rPr>
      </w:pPr>
      <w:r>
        <w:rPr>
          <w:rFonts w:ascii="Arial" w:cs="Arial" w:eastAsia="Arial" w:hAnsi="Arial"/>
          <w:sz w:val="22"/>
          <w:szCs w:val="22"/>
          <w:color w:val="auto"/>
        </w:rPr>
        <w:t>[X A non-U.S. institution in accordance with 240.13d-1(b)(1)(ii)(J);. for OIML;</w:t>
      </w:r>
    </w:p>
    <w:p>
      <w:pPr>
        <w:spacing w:after="0" w:line="8" w:lineRule="exact"/>
        <w:rPr>
          <w:rFonts w:ascii="Arial" w:cs="Arial" w:eastAsia="Arial" w:hAnsi="Arial"/>
          <w:sz w:val="22"/>
          <w:szCs w:val="22"/>
          <w:color w:val="auto"/>
        </w:rPr>
      </w:pPr>
    </w:p>
    <w:p>
      <w:pPr>
        <w:ind w:left="780"/>
        <w:spacing w:after="0"/>
        <w:rPr>
          <w:rFonts w:ascii="Arial" w:cs="Arial" w:eastAsia="Arial" w:hAnsi="Arial"/>
          <w:sz w:val="22"/>
          <w:szCs w:val="22"/>
          <w:color w:val="auto"/>
        </w:rPr>
      </w:pPr>
      <w:r>
        <w:rPr>
          <w:rFonts w:ascii="Arial" w:cs="Arial" w:eastAsia="Arial" w:hAnsi="Arial"/>
          <w:sz w:val="22"/>
          <w:szCs w:val="22"/>
          <w:color w:val="auto"/>
        </w:rPr>
        <w:t>]</w:t>
      </w:r>
    </w:p>
    <w:p>
      <w:pPr>
        <w:spacing w:after="0" w:line="80" w:lineRule="exact"/>
        <w:rPr>
          <w:rFonts w:ascii="Arial" w:cs="Arial" w:eastAsia="Arial" w:hAnsi="Arial"/>
          <w:sz w:val="22"/>
          <w:szCs w:val="22"/>
          <w:color w:val="auto"/>
        </w:rPr>
      </w:pPr>
    </w:p>
    <w:p>
      <w:pPr>
        <w:ind w:left="780" w:right="1479" w:hanging="476"/>
        <w:spacing w:after="0" w:line="276" w:lineRule="auto"/>
        <w:tabs>
          <w:tab w:leader="none" w:pos="780" w:val="left"/>
        </w:tabs>
        <w:numPr>
          <w:ilvl w:val="0"/>
          <w:numId w:val="9"/>
        </w:numPr>
        <w:rPr>
          <w:rFonts w:ascii="Arial" w:cs="Arial" w:eastAsia="Arial" w:hAnsi="Arial"/>
          <w:sz w:val="19"/>
          <w:szCs w:val="19"/>
          <w:color w:val="auto"/>
        </w:rPr>
      </w:pPr>
      <w:r>
        <w:rPr>
          <w:rFonts w:ascii="Arial" w:cs="Arial" w:eastAsia="Arial" w:hAnsi="Arial"/>
          <w:sz w:val="19"/>
          <w:szCs w:val="19"/>
          <w:color w:val="auto"/>
        </w:rPr>
        <w:t>[X Group, in accordance with 240.13d-1(b)(1)(ii)(K).If filing as a non-U.S. institution in ] accordance with 240.13d-1(b)(ii)(J), please specify the type of institution: equivalent to</w:t>
      </w:r>
    </w:p>
    <w:p>
      <w:pPr>
        <w:spacing w:after="0" w:line="1" w:lineRule="exact"/>
        <w:rPr>
          <w:rFonts w:ascii="Arial" w:cs="Arial" w:eastAsia="Arial" w:hAnsi="Arial"/>
          <w:sz w:val="19"/>
          <w:szCs w:val="19"/>
          <w:color w:val="auto"/>
        </w:rPr>
      </w:pPr>
    </w:p>
    <w:p>
      <w:pPr>
        <w:ind w:left="1120"/>
        <w:spacing w:after="0"/>
        <w:rPr>
          <w:rFonts w:ascii="Arial" w:cs="Arial" w:eastAsia="Arial" w:hAnsi="Arial"/>
          <w:sz w:val="19"/>
          <w:szCs w:val="19"/>
          <w:color w:val="auto"/>
        </w:rPr>
      </w:pPr>
      <w:r>
        <w:rPr>
          <w:rFonts w:ascii="Arial" w:cs="Arial" w:eastAsia="Arial" w:hAnsi="Arial"/>
          <w:sz w:val="22"/>
          <w:szCs w:val="22"/>
          <w:color w:val="auto"/>
        </w:rPr>
        <w:t>IA (only for OIML).</w:t>
      </w:r>
    </w:p>
    <w:p>
      <w:pPr>
        <w:spacing w:after="0" w:line="200" w:lineRule="exact"/>
        <w:rPr>
          <w:sz w:val="20"/>
          <w:szCs w:val="20"/>
          <w:color w:val="auto"/>
        </w:rPr>
      </w:pPr>
    </w:p>
    <w:p>
      <w:pPr>
        <w:spacing w:after="0" w:line="225"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04" w:lineRule="exact"/>
        <w:rPr>
          <w:sz w:val="20"/>
          <w:szCs w:val="20"/>
          <w:color w:val="auto"/>
        </w:rPr>
      </w:pPr>
    </w:p>
    <w:p>
      <w:pPr>
        <w:ind w:right="1779"/>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65" w:lineRule="exact"/>
        <w:rPr>
          <w:sz w:val="20"/>
          <w:szCs w:val="20"/>
          <w:color w:val="auto"/>
        </w:rPr>
      </w:pPr>
    </w:p>
    <w:p>
      <w:pPr>
        <w:ind w:left="880" w:right="1359" w:hanging="473"/>
        <w:spacing w:after="0" w:line="251" w:lineRule="auto"/>
        <w:tabs>
          <w:tab w:leader="none" w:pos="8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Amount beneficially owned: Orbis Investment Management Limited 17,575,453 and Orbis Asset Management Limited 52,925</w:t>
      </w:r>
    </w:p>
    <w:p>
      <w:pPr>
        <w:spacing w:after="0" w:line="65" w:lineRule="exact"/>
        <w:rPr>
          <w:rFonts w:ascii="Arial" w:cs="Arial" w:eastAsia="Arial" w:hAnsi="Arial"/>
          <w:sz w:val="22"/>
          <w:szCs w:val="22"/>
          <w:color w:val="auto"/>
        </w:rPr>
      </w:pPr>
    </w:p>
    <w:p>
      <w:pPr>
        <w:ind w:left="880" w:hanging="473"/>
        <w:spacing w:after="0"/>
        <w:tabs>
          <w:tab w:leader="none" w:pos="8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Percent of class: 2.1%</w:t>
      </w:r>
    </w:p>
    <w:p>
      <w:pPr>
        <w:spacing w:after="0" w:line="98" w:lineRule="exact"/>
        <w:rPr>
          <w:rFonts w:ascii="Arial" w:cs="Arial" w:eastAsia="Arial" w:hAnsi="Arial"/>
          <w:sz w:val="22"/>
          <w:szCs w:val="22"/>
          <w:color w:val="auto"/>
        </w:rPr>
      </w:pPr>
    </w:p>
    <w:p>
      <w:pPr>
        <w:ind w:left="880" w:hanging="473"/>
        <w:spacing w:after="0"/>
        <w:tabs>
          <w:tab w:leader="none" w:pos="880" w:val="left"/>
        </w:tabs>
        <w:numPr>
          <w:ilvl w:val="0"/>
          <w:numId w:val="10"/>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98" w:lineRule="exact"/>
        <w:rPr>
          <w:rFonts w:ascii="Arial" w:cs="Arial" w:eastAsia="Arial" w:hAnsi="Arial"/>
          <w:sz w:val="22"/>
          <w:szCs w:val="22"/>
          <w:color w:val="auto"/>
        </w:rPr>
      </w:pPr>
    </w:p>
    <w:p>
      <w:pPr>
        <w:ind w:left="1340" w:hanging="460"/>
        <w:spacing w:after="0"/>
        <w:tabs>
          <w:tab w:leader="none" w:pos="13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Sole power to vote or to direct the vote 17,406,439</w:t>
      </w:r>
    </w:p>
    <w:p>
      <w:pPr>
        <w:spacing w:after="0" w:line="98" w:lineRule="exact"/>
        <w:rPr>
          <w:rFonts w:ascii="Arial" w:cs="Arial" w:eastAsia="Arial" w:hAnsi="Arial"/>
          <w:sz w:val="22"/>
          <w:szCs w:val="22"/>
          <w:color w:val="auto"/>
        </w:rPr>
      </w:pPr>
    </w:p>
    <w:p>
      <w:pPr>
        <w:ind w:left="1340" w:hanging="460"/>
        <w:spacing w:after="0"/>
        <w:tabs>
          <w:tab w:leader="none" w:pos="13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Shared power to vote or to direct the vote 221,939</w:t>
      </w:r>
    </w:p>
    <w:p>
      <w:pPr>
        <w:spacing w:after="0" w:line="98" w:lineRule="exact"/>
        <w:rPr>
          <w:rFonts w:ascii="Arial" w:cs="Arial" w:eastAsia="Arial" w:hAnsi="Arial"/>
          <w:sz w:val="22"/>
          <w:szCs w:val="22"/>
          <w:color w:val="auto"/>
        </w:rPr>
      </w:pPr>
    </w:p>
    <w:p>
      <w:pPr>
        <w:ind w:left="1340" w:hanging="460"/>
        <w:spacing w:after="0"/>
        <w:tabs>
          <w:tab w:leader="none" w:pos="13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 17,628,378</w:t>
      </w:r>
    </w:p>
    <w:p>
      <w:pPr>
        <w:spacing w:after="0" w:line="98" w:lineRule="exact"/>
        <w:rPr>
          <w:rFonts w:ascii="Arial" w:cs="Arial" w:eastAsia="Arial" w:hAnsi="Arial"/>
          <w:sz w:val="22"/>
          <w:szCs w:val="22"/>
          <w:color w:val="auto"/>
        </w:rPr>
      </w:pPr>
    </w:p>
    <w:p>
      <w:pPr>
        <w:ind w:left="1340" w:hanging="460"/>
        <w:spacing w:after="0"/>
        <w:tabs>
          <w:tab w:leader="none" w:pos="1340" w:val="left"/>
        </w:tabs>
        <w:numPr>
          <w:ilvl w:val="1"/>
          <w:numId w:val="10"/>
        </w:numPr>
        <w:rPr>
          <w:rFonts w:ascii="Arial" w:cs="Arial" w:eastAsia="Arial" w:hAnsi="Arial"/>
          <w:sz w:val="22"/>
          <w:szCs w:val="22"/>
          <w:color w:val="auto"/>
        </w:rPr>
      </w:pPr>
      <w:r>
        <w:rPr>
          <w:rFonts w:ascii="Arial" w:cs="Arial" w:eastAsia="Arial" w:hAnsi="Arial"/>
          <w:sz w:val="22"/>
          <w:szCs w:val="22"/>
          <w:color w:val="auto"/>
        </w:rPr>
        <w:t>Shared power to dispose or to direct the disposition of 0</w:t>
      </w:r>
    </w:p>
    <w:p>
      <w:pPr>
        <w:spacing w:after="0" w:line="200" w:lineRule="exact"/>
        <w:rPr>
          <w:sz w:val="20"/>
          <w:szCs w:val="20"/>
          <w:color w:val="auto"/>
        </w:rPr>
      </w:pPr>
    </w:p>
    <w:p>
      <w:pPr>
        <w:spacing w:after="0" w:line="243"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104" w:lineRule="exact"/>
        <w:rPr>
          <w:sz w:val="20"/>
          <w:szCs w:val="20"/>
          <w:color w:val="auto"/>
        </w:rPr>
      </w:pPr>
    </w:p>
    <w:p>
      <w:pPr>
        <w:ind w:right="1779"/>
        <w:spacing w:after="0"/>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five percent of the class of securities, check the following.[X ].</w:t>
      </w:r>
    </w:p>
    <w:p>
      <w:pPr>
        <w:spacing w:after="0" w:line="200" w:lineRule="exact"/>
        <w:rPr>
          <w:sz w:val="20"/>
          <w:szCs w:val="20"/>
          <w:color w:val="auto"/>
        </w:rPr>
      </w:pPr>
    </w:p>
    <w:p>
      <w:pPr>
        <w:spacing w:after="0" w:line="224"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00" w:lineRule="exact"/>
        <w:rPr>
          <w:sz w:val="20"/>
          <w:szCs w:val="20"/>
          <w:color w:val="auto"/>
        </w:rPr>
      </w:pPr>
    </w:p>
    <w:p>
      <w:pPr>
        <w:spacing w:after="0" w:line="263" w:lineRule="exact"/>
        <w:rPr>
          <w:sz w:val="20"/>
          <w:szCs w:val="20"/>
          <w:color w:val="auto"/>
        </w:rPr>
      </w:pPr>
    </w:p>
    <w:p>
      <w:pPr>
        <w:ind w:left="880" w:right="1379" w:hanging="877"/>
        <w:spacing w:after="0" w:line="280" w:lineRule="auto"/>
        <w:tabs>
          <w:tab w:leader="none" w:pos="860" w:val="left"/>
        </w:tabs>
        <w:rPr>
          <w:sz w:val="20"/>
          <w:szCs w:val="20"/>
          <w:color w:val="auto"/>
        </w:rPr>
      </w:pPr>
      <w:r>
        <w:rPr>
          <w:rFonts w:ascii="Arial" w:cs="Arial" w:eastAsia="Arial" w:hAnsi="Arial"/>
          <w:sz w:val="22"/>
          <w:szCs w:val="22"/>
          <w:b w:val="1"/>
          <w:bCs w:val="1"/>
          <w:color w:val="auto"/>
        </w:rPr>
        <w:t>Item 7.</w:t>
      </w:r>
      <w:r>
        <w:rPr>
          <w:sz w:val="20"/>
          <w:szCs w:val="20"/>
          <w:color w:val="auto"/>
        </w:rPr>
        <w:tab/>
      </w:r>
      <w:r>
        <w:rPr>
          <w:rFonts w:ascii="Arial" w:cs="Arial" w:eastAsia="Arial" w:hAnsi="Arial"/>
          <w:sz w:val="21"/>
          <w:szCs w:val="21"/>
          <w:b w:val="1"/>
          <w:bCs w:val="1"/>
          <w:color w:val="auto"/>
        </w:rPr>
        <w:t>Identification and Classification of the Subsidiary Which Acquired the Security Being Reported on By the Parent Holding Company or Control Person.</w:t>
      </w:r>
    </w:p>
    <w:p>
      <w:pPr>
        <w:spacing w:after="0" w:line="166"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104" w:lineRule="exact"/>
        <w:rPr>
          <w:sz w:val="20"/>
          <w:szCs w:val="20"/>
          <w:color w:val="auto"/>
        </w:rPr>
      </w:pPr>
    </w:p>
    <w:p>
      <w:pPr>
        <w:ind w:right="1459"/>
        <w:spacing w:after="0" w:line="245" w:lineRule="auto"/>
        <w:rPr>
          <w:sz w:val="20"/>
          <w:szCs w:val="20"/>
          <w:color w:val="auto"/>
        </w:rPr>
      </w:pPr>
      <w:r>
        <w:rPr>
          <w:rFonts w:ascii="Arial" w:cs="Arial" w:eastAsia="Arial" w:hAnsi="Arial"/>
          <w:sz w:val="21"/>
          <w:szCs w:val="21"/>
          <w:color w:val="auto"/>
        </w:rPr>
        <w:t>Orbis Investment Management Limited (OIML) and Orbis Asset Management Limited (OAML) are together making this filing because they may be deemed to constitute a "group" for the purposes of Section 13(d)(3) of the Securities Exchange Act of 1934, as amended. Information with respect to each of OIML and OAML (collectively, the "Reporting Persons") is given solely by each such Reporting Person and no Reporting Person has responsibility for the accuracy or completeness of information supplied by the other Reporting Person. OIML is the beneficial owner of 17,575,453 shares of common stock or 2.1% of the 849,823,817 shares of common stock of Micron Technology, Inc believed to be outstanding. OAML is the beneficial owner of 52,925 shares of common stock or 0.0% of the 849,823,817 shares of common stock of Micron Technology, Inc believed to be outstanding.</w:t>
      </w:r>
    </w:p>
    <w:p>
      <w:pPr>
        <w:spacing w:after="0" w:line="68" w:lineRule="exact"/>
        <w:rPr>
          <w:sz w:val="20"/>
          <w:szCs w:val="20"/>
          <w:color w:val="auto"/>
        </w:rPr>
      </w:pPr>
    </w:p>
    <w:p>
      <w:pPr>
        <w:spacing w:after="0"/>
        <w:tabs>
          <w:tab w:leader="none" w:pos="86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104" w:lineRule="exact"/>
        <w:rPr>
          <w:sz w:val="20"/>
          <w:szCs w:val="20"/>
          <w:color w:val="auto"/>
        </w:rPr>
      </w:pPr>
    </w:p>
    <w:p>
      <w:pPr>
        <w:ind w:right="1319"/>
        <w:spacing w:after="0" w:line="236"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159"/>
          </w:cols>
          <w:pgMar w:left="300" w:top="118" w:right="1440" w:bottom="2" w:gutter="0" w:footer="0" w:header="0"/>
        </w:sectPr>
      </w:pPr>
    </w:p>
    <w:bookmarkStart w:id="3" w:name="page4"/>
    <w:bookmarkEnd w:id="3"/>
    <w:p>
      <w:pPr>
        <w:ind w:right="1339"/>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foreign regulatory scheme applicable to Orbis Investment Management Limited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36" w:lineRule="exact"/>
        <w:rPr>
          <w:sz w:val="20"/>
          <w:szCs w:val="20"/>
          <w:color w:val="auto"/>
        </w:rPr>
      </w:pPr>
    </w:p>
    <w:p>
      <w:pPr>
        <w:jc w:val="center"/>
        <w:ind w:right="819"/>
        <w:spacing w:after="0"/>
        <w:rPr>
          <w:sz w:val="20"/>
          <w:szCs w:val="20"/>
          <w:color w:val="auto"/>
        </w:rPr>
      </w:pPr>
      <w:r>
        <w:rPr>
          <w:rFonts w:ascii="Arial" w:cs="Arial" w:eastAsia="Arial" w:hAnsi="Arial"/>
          <w:sz w:val="25"/>
          <w:szCs w:val="25"/>
          <w:b w:val="1"/>
          <w:bCs w:val="1"/>
          <w:color w:val="auto"/>
        </w:rPr>
        <w:t>SIGNATURE</w:t>
      </w:r>
    </w:p>
    <w:p>
      <w:pPr>
        <w:spacing w:after="0" w:line="322" w:lineRule="exact"/>
        <w:rPr>
          <w:sz w:val="20"/>
          <w:szCs w:val="20"/>
          <w:color w:val="auto"/>
        </w:rPr>
      </w:pPr>
    </w:p>
    <w:p>
      <w:pPr>
        <w:ind w:left="240" w:right="1159"/>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February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ind w:left="4480"/>
        <w:spacing w:after="0"/>
        <w:rPr>
          <w:sz w:val="20"/>
          <w:szCs w:val="20"/>
          <w:color w:val="auto"/>
        </w:rPr>
      </w:pPr>
      <w:r>
        <w:rPr>
          <w:rFonts w:ascii="Arial" w:cs="Arial" w:eastAsia="Arial" w:hAnsi="Arial"/>
          <w:sz w:val="22"/>
          <w:szCs w:val="22"/>
          <w:color w:val="auto"/>
        </w:rPr>
        <w:t>Date</w:t>
      </w:r>
    </w:p>
    <w:p>
      <w:pPr>
        <w:spacing w:after="0" w:line="44" w:lineRule="exact"/>
        <w:rPr>
          <w:sz w:val="20"/>
          <w:szCs w:val="20"/>
          <w:color w:val="auto"/>
        </w:rPr>
      </w:pPr>
    </w:p>
    <w:p>
      <w:pPr>
        <w:ind w:left="2940"/>
        <w:spacing w:after="0"/>
        <w:rPr>
          <w:sz w:val="20"/>
          <w:szCs w:val="20"/>
          <w:color w:val="auto"/>
        </w:rPr>
      </w:pPr>
      <w:r>
        <w:rPr>
          <w:rFonts w:ascii="Arial" w:cs="Arial" w:eastAsia="Arial" w:hAnsi="Arial"/>
          <w:sz w:val="22"/>
          <w:szCs w:val="22"/>
          <w:color w:val="auto"/>
        </w:rPr>
        <w:t>Orbis Investment Management Limited</w:t>
      </w:r>
    </w:p>
    <w:p>
      <w:pPr>
        <w:spacing w:after="0" w:line="8" w:lineRule="exact"/>
        <w:rPr>
          <w:sz w:val="20"/>
          <w:szCs w:val="20"/>
          <w:color w:val="auto"/>
        </w:rPr>
      </w:pPr>
    </w:p>
    <w:p>
      <w:pPr>
        <w:jc w:val="center"/>
        <w:ind w:right="799"/>
        <w:spacing w:after="0"/>
        <w:rPr>
          <w:sz w:val="20"/>
          <w:szCs w:val="20"/>
          <w:color w:val="auto"/>
        </w:rPr>
      </w:pPr>
      <w:r>
        <w:rPr>
          <w:rFonts w:ascii="Arial" w:cs="Arial" w:eastAsia="Arial" w:hAnsi="Arial"/>
          <w:sz w:val="22"/>
          <w:szCs w:val="22"/>
          <w:color w:val="auto"/>
        </w:rPr>
        <w:t>Orbis Asset Management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4445</wp:posOffset>
            </wp:positionV>
            <wp:extent cx="3395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20"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Signature</w:t>
      </w:r>
    </w:p>
    <w:p>
      <w:pPr>
        <w:spacing w:after="0" w:line="44"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James Dorr,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1270635</wp:posOffset>
            </wp:positionH>
            <wp:positionV relativeFrom="paragraph">
              <wp:posOffset>15875</wp:posOffset>
            </wp:positionV>
            <wp:extent cx="3395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8" w:lineRule="exact"/>
        <w:rPr>
          <w:sz w:val="20"/>
          <w:szCs w:val="20"/>
          <w:color w:val="auto"/>
        </w:rPr>
      </w:pPr>
    </w:p>
    <w:p>
      <w:pPr>
        <w:jc w:val="center"/>
        <w:ind w:right="819"/>
        <w:spacing w:after="0"/>
        <w:rPr>
          <w:sz w:val="20"/>
          <w:szCs w:val="20"/>
          <w:color w:val="auto"/>
        </w:rPr>
      </w:pPr>
      <w:r>
        <w:rPr>
          <w:rFonts w:ascii="Arial" w:cs="Arial" w:eastAsia="Arial" w:hAnsi="Arial"/>
          <w:sz w:val="22"/>
          <w:szCs w:val="22"/>
          <w:color w:val="auto"/>
        </w:rPr>
        <w:t>Name/Title</w:t>
      </w:r>
    </w:p>
    <w:p>
      <w:pPr>
        <w:spacing w:after="0" w:line="65" w:lineRule="exact"/>
        <w:rPr>
          <w:sz w:val="20"/>
          <w:szCs w:val="20"/>
          <w:color w:val="auto"/>
        </w:rPr>
      </w:pPr>
    </w:p>
    <w:p>
      <w:pPr>
        <w:ind w:left="1060" w:right="1379" w:hanging="1079"/>
        <w:spacing w:after="0" w:line="256" w:lineRule="auto"/>
        <w:tabs>
          <w:tab w:leader="none" w:pos="1040" w:val="left"/>
        </w:tabs>
        <w:rPr>
          <w:sz w:val="20"/>
          <w:szCs w:val="20"/>
          <w:color w:val="auto"/>
        </w:rPr>
      </w:pPr>
      <w:r>
        <w:rPr>
          <w:rFonts w:ascii="Arial" w:cs="Arial" w:eastAsia="Arial" w:hAnsi="Arial"/>
          <w:sz w:val="22"/>
          <w:szCs w:val="22"/>
          <w:b w:val="1"/>
          <w:bCs w:val="1"/>
          <w:color w:val="auto"/>
        </w:rPr>
        <w:t>Attention:</w:t>
        <w:tab/>
        <w:t>Intentional misstatements or omissions of fact constitute Federal criminal violations (See 18 U.S.C. 1001)</w:t>
      </w:r>
    </w:p>
    <w:p>
      <w:pPr>
        <w:spacing w:after="0" w:line="58"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Advisor Consultant Network, Inc. Copyright © 2007-2010</w:t>
      </w:r>
    </w:p>
    <w:sectPr>
      <w:pgSz w:w="11900" w:h="16838" w:orient="portrait"/>
      <w:cols w:equalWidth="0" w:num="1">
        <w:col w:w="10159"/>
      </w:cols>
      <w:pgMar w:left="30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lowerLetter"/>
      <w:start w:val="2"/>
    </w:lvl>
  </w:abstractNum>
  <w:abstractNum w:abstractNumId="2">
    <w:nsid w:val="2EB141F2"/>
    <w:multiLevelType w:val="hybridMultilevel"/>
    <w:lvl w:ilvl="0">
      <w:lvlJc w:val="left"/>
      <w:lvlText w:val="%1"/>
      <w:numFmt w:val="decimal"/>
      <w:start w:val="1"/>
    </w:lvl>
    <w:lvl w:ilvl="1">
      <w:lvlJc w:val="left"/>
      <w:lvlText w:val="(%2)"/>
      <w:numFmt w:val="lowerLetter"/>
      <w:start w:val="1"/>
    </w:lvl>
  </w:abstractNum>
  <w:abstractNum w:abstractNumId="3">
    <w:nsid w:val="41B71EFB"/>
    <w:multiLevelType w:val="hybridMultilevel"/>
    <w:lvl w:ilvl="0">
      <w:lvlJc w:val="left"/>
      <w:lvlText w:val="%1"/>
      <w:numFmt w:val="decimal"/>
      <w:start w:val="1"/>
    </w:lvl>
    <w:lvl w:ilvl="1">
      <w:lvlJc w:val="left"/>
      <w:lvlText w:val="%2."/>
      <w:numFmt w:val="decimal"/>
      <w:start w:val="8"/>
    </w:lvl>
  </w:abstractNum>
  <w:abstractNum w:abstractNumId="4">
    <w:nsid w:val="79E2A9E3"/>
    <w:multiLevelType w:val="hybridMultilevel"/>
    <w:lvl w:ilvl="0">
      <w:lvlJc w:val="left"/>
      <w:lvlText w:val="%1."/>
      <w:numFmt w:val="decimal"/>
      <w:start w:val="9"/>
    </w:lvl>
    <w:lvl w:ilvl="1">
      <w:lvlJc w:val="left"/>
      <w:lvlText w:val="%2"/>
      <w:numFmt w:val="decimal"/>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6"/>
    </w:lvl>
  </w:abstractNum>
  <w:abstractNum w:abstractNumId="9">
    <w:nsid w:val="4DB127F8"/>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2019-12-10T05:16:54Z</dcterms:created>
  <dcterms:modified xsi:type="dcterms:W3CDTF">2019-12-10T05:16:54Z</dcterms:modified>
</cp:coreProperties>
</file>