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July 25, 2007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26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1045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04515" cy="17145"/>
                    </a:xfrm>
                    <a:prstGeom prst="rect">
                      <a:avLst/>
                    </a:prstGeom>
                    <a:noFill/>
                  </pic:spPr>
                </pic:pic>
              </a:graphicData>
            </a:graphic>
          </wp:anchor>
        </w:drawing>
      </w:r>
    </w:p>
    <w:p>
      <w:pPr>
        <w:spacing w:after="0" w:line="20" w:lineRule="exact"/>
        <w:rPr>
          <w:sz w:val="24"/>
          <w:szCs w:val="24"/>
          <w:color w:val="auto"/>
        </w:rPr>
      </w:pPr>
    </w:p>
    <w:p>
      <w:pPr>
        <w:jc w:val="center"/>
        <w:ind w:left="26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3" w:right="239" w:bottom="1440" w:gutter="0" w:footer="0" w:header="0"/>
        </w:sectPr>
      </w:pPr>
    </w:p>
    <w:bookmarkStart w:id="1" w:name="page2"/>
    <w:bookmarkEnd w:id="1"/>
    <w:p>
      <w:pPr>
        <w:spacing w:after="0"/>
        <w:tabs>
          <w:tab w:leader="none" w:pos="14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5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On July 25, 2007, Gordon C. Smith informed the Company of his intention to retire from its Board of Directors, effective immediately.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Smith served on the Audit Committee and the Compensation Committee of the Company’s Board of Directors.</w:t>
      </w:r>
    </w:p>
    <w:p>
      <w:pPr>
        <w:spacing w:after="0" w:line="23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 press release related to Mr. Smith's retirement is attached as Exhibit 99.1 to this Current Report on Form 8-K.</w:t>
      </w:r>
    </w:p>
    <w:p>
      <w:pPr>
        <w:sectPr>
          <w:pgSz w:w="11900" w:h="16838" w:orient="portrait"/>
          <w:cols w:equalWidth="0" w:num="1">
            <w:col w:w="11260"/>
          </w:cols>
          <w:pgMar w:left="240" w:top="607" w:right="39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Statements and Exhibits.</w:t>
      </w:r>
    </w:p>
    <w:p>
      <w:pPr>
        <w:spacing w:after="0" w:line="211" w:lineRule="exact"/>
        <w:rPr>
          <w:sz w:val="20"/>
          <w:szCs w:val="20"/>
          <w:color w:val="auto"/>
        </w:rPr>
      </w:pPr>
    </w:p>
    <w:p>
      <w:pPr>
        <w:sectPr>
          <w:pgSz w:w="11900" w:h="16838" w:orient="portrait"/>
          <w:cols w:equalWidth="0" w:num="2">
            <w:col w:w="780" w:space="600"/>
            <w:col w:w="9880"/>
          </w:cols>
          <w:pgMar w:left="240" w:top="607" w:right="399" w:bottom="1440" w:gutter="0" w:footer="0" w:header="0"/>
          <w:type w:val="continuous"/>
        </w:sectPr>
      </w:pPr>
    </w:p>
    <w:p>
      <w:pPr>
        <w:spacing w:after="0" w:line="4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The following exhibit is filed herewith:</w:t>
      </w:r>
    </w:p>
    <w:p>
      <w:pPr>
        <w:sectPr>
          <w:pgSz w:w="11900" w:h="16838" w:orient="portrait"/>
          <w:cols w:equalWidth="0" w:num="1">
            <w:col w:w="11260"/>
          </w:cols>
          <w:pgMar w:left="240" w:top="607" w:right="399" w:bottom="1440" w:gutter="0" w:footer="0" w:header="0"/>
          <w:type w:val="continuous"/>
        </w:sect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No.</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0" w:lineRule="exact"/>
        <w:rPr>
          <w:sz w:val="20"/>
          <w:szCs w:val="20"/>
          <w:color w:val="auto"/>
        </w:rPr>
      </w:pPr>
    </w:p>
    <w:p>
      <w:pPr>
        <w:sectPr>
          <w:pgSz w:w="11900" w:h="16838" w:orient="portrait"/>
          <w:cols w:equalWidth="0" w:num="2">
            <w:col w:w="880" w:space="500"/>
            <w:col w:w="9880"/>
          </w:cols>
          <w:pgMar w:left="240" w:top="607" w:right="39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99.1</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Press Release issued on July 25, 2007</w:t>
      </w:r>
    </w:p>
    <w:p>
      <w:pPr>
        <w:spacing w:after="0" w:line="211" w:lineRule="exact"/>
        <w:rPr>
          <w:sz w:val="20"/>
          <w:szCs w:val="20"/>
          <w:color w:val="auto"/>
        </w:rPr>
      </w:pPr>
    </w:p>
    <w:p>
      <w:pPr>
        <w:sectPr>
          <w:pgSz w:w="11900" w:h="16838" w:orient="portrait"/>
          <w:cols w:equalWidth="0" w:num="2">
            <w:col w:w="660" w:space="720"/>
            <w:col w:w="9880"/>
          </w:cols>
          <w:pgMar w:left="240" w:top="607"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607" w:right="39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840" w:type="dxa"/>
            <w:vAlign w:val="bottom"/>
            <w:gridSpan w:val="2"/>
          </w:tcPr>
          <w:p>
            <w:pPr>
              <w:ind w:left="312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3580" w:type="dxa"/>
            <w:vAlign w:val="bottom"/>
          </w:tcPr>
          <w:p>
            <w:pPr>
              <w:spacing w:after="0"/>
              <w:rPr>
                <w:sz w:val="20"/>
                <w:szCs w:val="20"/>
                <w:color w:val="auto"/>
              </w:rPr>
            </w:pPr>
            <w:r>
              <w:rPr>
                <w:rFonts w:ascii="Arial" w:cs="Arial" w:eastAsia="Arial" w:hAnsi="Arial"/>
                <w:sz w:val="18"/>
                <w:szCs w:val="18"/>
                <w:color w:val="auto"/>
              </w:rPr>
              <w:t>Date:  July 30, 2007</w:t>
            </w:r>
          </w:p>
        </w:tc>
        <w:tc>
          <w:tcPr>
            <w:tcW w:w="3920" w:type="dxa"/>
            <w:vAlign w:val="bottom"/>
          </w:tcPr>
          <w:p>
            <w:pPr>
              <w:ind w:left="31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Roderic W. Lewis</w:t>
            </w:r>
          </w:p>
        </w:tc>
      </w:tr>
      <w:tr>
        <w:trPr>
          <w:trHeight w:val="202"/>
        </w:trPr>
        <w:tc>
          <w:tcPr>
            <w:tcW w:w="3580" w:type="dxa"/>
            <w:vAlign w:val="bottom"/>
          </w:tcPr>
          <w:p>
            <w:pPr>
              <w:spacing w:after="0"/>
              <w:rPr>
                <w:sz w:val="17"/>
                <w:szCs w:val="17"/>
                <w:color w:val="auto"/>
              </w:rPr>
            </w:pPr>
          </w:p>
        </w:tc>
        <w:tc>
          <w:tcPr>
            <w:tcW w:w="3920" w:type="dxa"/>
            <w:vAlign w:val="bottom"/>
          </w:tcPr>
          <w:p>
            <w:pPr>
              <w:ind w:left="312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Roderic W. Lewis</w:t>
            </w:r>
          </w:p>
        </w:tc>
      </w:tr>
      <w:tr>
        <w:trPr>
          <w:trHeight w:val="216"/>
        </w:trPr>
        <w:tc>
          <w:tcPr>
            <w:tcW w:w="3580" w:type="dxa"/>
            <w:vAlign w:val="bottom"/>
          </w:tcPr>
          <w:p>
            <w:pPr>
              <w:spacing w:after="0"/>
              <w:rPr>
                <w:sz w:val="18"/>
                <w:szCs w:val="18"/>
                <w:color w:val="auto"/>
              </w:rPr>
            </w:pPr>
          </w:p>
        </w:tc>
        <w:tc>
          <w:tcPr>
            <w:tcW w:w="3920" w:type="dxa"/>
            <w:vAlign w:val="bottom"/>
          </w:tcPr>
          <w:p>
            <w:pPr>
              <w:ind w:left="312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 of Legal Affairs,</w:t>
            </w:r>
          </w:p>
        </w:tc>
      </w:tr>
      <w:tr>
        <w:trPr>
          <w:trHeight w:val="230"/>
        </w:trPr>
        <w:tc>
          <w:tcPr>
            <w:tcW w:w="35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r>
        <w:trPr>
          <w:trHeight w:val="702"/>
        </w:trPr>
        <w:tc>
          <w:tcPr>
            <w:tcW w:w="3580" w:type="dxa"/>
            <w:vAlign w:val="bottom"/>
          </w:tcPr>
          <w:p>
            <w:pPr>
              <w:spacing w:after="0"/>
              <w:rPr>
                <w:sz w:val="24"/>
                <w:szCs w:val="24"/>
                <w:color w:val="auto"/>
              </w:rPr>
            </w:pPr>
          </w:p>
        </w:tc>
        <w:tc>
          <w:tcPr>
            <w:tcW w:w="3920" w:type="dxa"/>
            <w:vAlign w:val="bottom"/>
          </w:tcPr>
          <w:p>
            <w:pPr>
              <w:ind w:left="2080"/>
              <w:spacing w:after="0"/>
              <w:rPr>
                <w:sz w:val="20"/>
                <w:szCs w:val="20"/>
                <w:color w:val="auto"/>
              </w:rPr>
            </w:pPr>
            <w:r>
              <w:rPr>
                <w:rFonts w:ascii="Arial" w:cs="Arial" w:eastAsia="Arial" w:hAnsi="Arial"/>
                <w:sz w:val="18"/>
                <w:szCs w:val="18"/>
                <w:color w:val="auto"/>
              </w:rPr>
              <w:t>3</w:t>
            </w:r>
          </w:p>
        </w:tc>
        <w:tc>
          <w:tcPr>
            <w:tcW w:w="3920" w:type="dxa"/>
            <w:vAlign w:val="bottom"/>
          </w:tcPr>
          <w:p>
            <w:pPr>
              <w:spacing w:after="0"/>
              <w:rPr>
                <w:sz w:val="24"/>
                <w:szCs w:val="24"/>
                <w:color w:val="auto"/>
              </w:rPr>
            </w:pPr>
          </w:p>
        </w:tc>
      </w:tr>
      <w:tr>
        <w:trPr>
          <w:trHeight w:val="118"/>
        </w:trPr>
        <w:tc>
          <w:tcPr>
            <w:tcW w:w="3580" w:type="dxa"/>
            <w:vAlign w:val="bottom"/>
            <w:tcBorders>
              <w:bottom w:val="single" w:sz="8" w:color="808080"/>
            </w:tcBorders>
          </w:tcPr>
          <w:p>
            <w:pPr>
              <w:spacing w:after="0"/>
              <w:rPr>
                <w:sz w:val="10"/>
                <w:szCs w:val="10"/>
                <w:color w:val="auto"/>
              </w:rPr>
            </w:pPr>
          </w:p>
        </w:tc>
        <w:tc>
          <w:tcPr>
            <w:tcW w:w="3920" w:type="dxa"/>
            <w:vAlign w:val="bottom"/>
            <w:tcBorders>
              <w:bottom w:val="single" w:sz="8" w:color="808080"/>
            </w:tcBorders>
          </w:tcPr>
          <w:p>
            <w:pPr>
              <w:spacing w:after="0"/>
              <w:rPr>
                <w:sz w:val="10"/>
                <w:szCs w:val="10"/>
                <w:color w:val="auto"/>
              </w:rPr>
            </w:pPr>
          </w:p>
        </w:tc>
        <w:tc>
          <w:tcPr>
            <w:tcW w:w="39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jc w:val="center"/>
        <w:ind w:right="-120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THE CURRENT REPORT ON FORM 8-K DATED JULY 25, 2007</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July 25,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607"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28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45"/>
        </w:trPr>
        <w:tc>
          <w:tcPr>
            <w:tcW w:w="2440" w:type="dxa"/>
            <w:vAlign w:val="bottom"/>
          </w:tcPr>
          <w:p>
            <w:pPr>
              <w:spacing w:after="0"/>
              <w:rPr>
                <w:sz w:val="20"/>
                <w:szCs w:val="20"/>
                <w:color w:val="auto"/>
              </w:rPr>
            </w:pPr>
            <w:r>
              <w:rPr>
                <w:rFonts w:ascii="Arial" w:cs="Arial" w:eastAsia="Arial" w:hAnsi="Arial"/>
                <w:sz w:val="18"/>
                <w:szCs w:val="18"/>
                <w:color w:val="auto"/>
              </w:rPr>
              <w:t>Contacts:</w:t>
            </w:r>
          </w:p>
        </w:tc>
        <w:tc>
          <w:tcPr>
            <w:tcW w:w="2820" w:type="dxa"/>
            <w:vAlign w:val="bottom"/>
          </w:tcPr>
          <w:p>
            <w:pPr>
              <w:ind w:left="60"/>
              <w:spacing w:after="0"/>
              <w:rPr>
                <w:sz w:val="20"/>
                <w:szCs w:val="20"/>
                <w:color w:val="auto"/>
              </w:rPr>
            </w:pPr>
            <w:r>
              <w:rPr>
                <w:rFonts w:ascii="Arial" w:cs="Arial" w:eastAsia="Arial" w:hAnsi="Arial"/>
                <w:sz w:val="18"/>
                <w:szCs w:val="18"/>
                <w:color w:val="auto"/>
              </w:rPr>
              <w:t>Kipp A. Bedard</w:t>
            </w:r>
          </w:p>
        </w:tc>
        <w:tc>
          <w:tcPr>
            <w:tcW w:w="2920" w:type="dxa"/>
            <w:vAlign w:val="bottom"/>
          </w:tcPr>
          <w:p>
            <w:pPr>
              <w:ind w:left="1140"/>
              <w:spacing w:after="0"/>
              <w:rPr>
                <w:sz w:val="20"/>
                <w:szCs w:val="20"/>
                <w:color w:val="auto"/>
              </w:rPr>
            </w:pPr>
            <w:r>
              <w:rPr>
                <w:rFonts w:ascii="Arial" w:cs="Arial" w:eastAsia="Arial" w:hAnsi="Arial"/>
                <w:sz w:val="18"/>
                <w:szCs w:val="18"/>
                <w:color w:val="auto"/>
              </w:rPr>
              <w:t>Daniel Francisco</w:t>
            </w:r>
          </w:p>
        </w:tc>
      </w:tr>
      <w:tr>
        <w:trPr>
          <w:trHeight w:val="216"/>
        </w:trPr>
        <w:tc>
          <w:tcPr>
            <w:tcW w:w="2440" w:type="dxa"/>
            <w:vAlign w:val="bottom"/>
          </w:tcPr>
          <w:p>
            <w:pPr>
              <w:spacing w:after="0"/>
              <w:rPr>
                <w:sz w:val="18"/>
                <w:szCs w:val="18"/>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auto"/>
              </w:rPr>
              <w:t>Investor Relations</w:t>
            </w:r>
          </w:p>
        </w:tc>
        <w:tc>
          <w:tcPr>
            <w:tcW w:w="2920" w:type="dxa"/>
            <w:vAlign w:val="bottom"/>
          </w:tcPr>
          <w:p>
            <w:pPr>
              <w:ind w:left="1140"/>
              <w:spacing w:after="0"/>
              <w:rPr>
                <w:sz w:val="20"/>
                <w:szCs w:val="20"/>
                <w:color w:val="auto"/>
              </w:rPr>
            </w:pPr>
            <w:r>
              <w:rPr>
                <w:rFonts w:ascii="Arial" w:cs="Arial" w:eastAsia="Arial" w:hAnsi="Arial"/>
                <w:sz w:val="18"/>
                <w:szCs w:val="18"/>
                <w:color w:val="auto"/>
              </w:rPr>
              <w:t>Media Relations</w:t>
            </w:r>
          </w:p>
        </w:tc>
      </w:tr>
      <w:tr>
        <w:trPr>
          <w:trHeight w:val="216"/>
        </w:trPr>
        <w:tc>
          <w:tcPr>
            <w:tcW w:w="2440" w:type="dxa"/>
            <w:vAlign w:val="bottom"/>
          </w:tcPr>
          <w:p>
            <w:pPr>
              <w:spacing w:after="0"/>
              <w:rPr>
                <w:sz w:val="18"/>
                <w:szCs w:val="18"/>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auto"/>
              </w:rPr>
              <w:t>kbedard@micron.com</w:t>
            </w:r>
          </w:p>
        </w:tc>
        <w:tc>
          <w:tcPr>
            <w:tcW w:w="2920" w:type="dxa"/>
            <w:vAlign w:val="bottom"/>
          </w:tcPr>
          <w:p>
            <w:pPr>
              <w:ind w:left="1140"/>
              <w:spacing w:after="0"/>
              <w:rPr>
                <w:sz w:val="20"/>
                <w:szCs w:val="20"/>
                <w:color w:val="auto"/>
              </w:rPr>
            </w:pPr>
            <w:r>
              <w:rPr>
                <w:rFonts w:ascii="Arial" w:cs="Arial" w:eastAsia="Arial" w:hAnsi="Arial"/>
                <w:sz w:val="18"/>
                <w:szCs w:val="18"/>
                <w:color w:val="auto"/>
                <w:w w:val="91"/>
              </w:rPr>
              <w:t>dfrancisco@micron.com</w:t>
            </w:r>
          </w:p>
        </w:tc>
      </w:tr>
      <w:tr>
        <w:trPr>
          <w:trHeight w:val="230"/>
        </w:trPr>
        <w:tc>
          <w:tcPr>
            <w:tcW w:w="244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auto"/>
              </w:rPr>
              <w:t>(208) 368-4400</w:t>
            </w:r>
          </w:p>
        </w:tc>
        <w:tc>
          <w:tcPr>
            <w:tcW w:w="2920" w:type="dxa"/>
            <w:vAlign w:val="bottom"/>
          </w:tcPr>
          <w:p>
            <w:pPr>
              <w:ind w:left="1140"/>
              <w:spacing w:after="0"/>
              <w:rPr>
                <w:sz w:val="20"/>
                <w:szCs w:val="20"/>
                <w:color w:val="auto"/>
              </w:rPr>
            </w:pPr>
            <w:r>
              <w:rPr>
                <w:rFonts w:ascii="Arial" w:cs="Arial" w:eastAsia="Arial" w:hAnsi="Arial"/>
                <w:sz w:val="18"/>
                <w:szCs w:val="18"/>
                <w:color w:val="auto"/>
              </w:rPr>
              <w:t>(208) 368-5584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 site URL </w:t>
      </w:r>
      <w:r>
        <w:rPr>
          <w:rFonts w:ascii="Arial" w:cs="Arial" w:eastAsia="Arial" w:hAnsi="Arial"/>
          <w:sz w:val="18"/>
          <w:szCs w:val="18"/>
          <w:u w:val="single" w:color="auto"/>
          <w:color w:val="auto"/>
        </w:rPr>
        <w:t>http://www.micron.com</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MICRON TECHNOLOGY, INC., ANNOUNCES DIRECTOR RESIGNATION</w:t>
      </w:r>
    </w:p>
    <w:p>
      <w:pPr>
        <w:spacing w:after="0" w:line="252"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 xml:space="preserve">Boise, Idaho, July 25, 2007 </w:t>
      </w:r>
      <w:r>
        <w:rPr>
          <w:rFonts w:ascii="Arial" w:cs="Arial" w:eastAsia="Arial" w:hAnsi="Arial"/>
          <w:sz w:val="18"/>
          <w:szCs w:val="18"/>
          <w:color w:val="auto"/>
        </w:rPr>
        <w:t>– Micron Technology, Inc., (NYSE: MU) today announced that Director Gordon C. Smith has informed the company of his</w:t>
      </w:r>
      <w:r>
        <w:rPr>
          <w:rFonts w:ascii="Arial" w:cs="Arial" w:eastAsia="Arial" w:hAnsi="Arial"/>
          <w:sz w:val="18"/>
          <w:szCs w:val="18"/>
          <w:b w:val="1"/>
          <w:bCs w:val="1"/>
          <w:color w:val="auto"/>
        </w:rPr>
        <w:t xml:space="preserve"> </w:t>
      </w:r>
      <w:r>
        <w:rPr>
          <w:rFonts w:ascii="Arial" w:cs="Arial" w:eastAsia="Arial" w:hAnsi="Arial"/>
          <w:sz w:val="18"/>
          <w:szCs w:val="18"/>
          <w:color w:val="auto"/>
        </w:rPr>
        <w:t>resignation from the board of directors for personal reasons.</w:t>
      </w:r>
    </w:p>
    <w:p>
      <w:pPr>
        <w:spacing w:after="0" w:line="19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Smith served two terms on Micron’s board from February 1982 through February 1984 and from September 1990 to the present. Smith is Chairman and Chief Executive Officer of SFG, L.L.C., a holding company for ranch operations and other investments.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“I’ve had a tremendous experience with the company during my 19 years on the Board,” said Smith. “I have enjoyed the opportunity to work with fellow Board members and the Micron team. The semiconductor business is a challenging, competitive business, and I wish the best for Micron as they continue to pursue success in this industry.”</w:t>
      </w:r>
    </w:p>
    <w:p>
      <w:pPr>
        <w:spacing w:after="0" w:line="20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Robert E. Switz, Chairman of the Governance Committee of the Micron Board of Directors, commented, “Speaking on behalf of the Board of Directors, we wish to thank Gordon for his many years of service to Micron. Gordon has been associated with Micron since 1982 and has participated in the company’s growth from a small semiconductor memory company to a globally competitive leader in semiconductor technology and innovation. We wish Gordon well in his future endeavors.”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Micron Technology, Inc., is one of the world's leading providers of advanced semiconductor solutions. Through its worldwide operations, Micron manufactures and markets DRAMs, NAND flash memory, CMOS image sensors, other semiconductor components, and memory modules for use in leading-edge computing, consumer, networking and mobile products. Micron's common stock is traded on the New York Stock Exchange (NYSE) under the MU symbol. To learn more about Micron visit </w:t>
      </w:r>
      <w:r>
        <w:rPr>
          <w:rFonts w:ascii="Arial" w:cs="Arial" w:eastAsia="Arial" w:hAnsi="Arial"/>
          <w:sz w:val="18"/>
          <w:szCs w:val="18"/>
          <w:u w:val="single" w:color="auto"/>
          <w:color w:val="auto"/>
        </w:rPr>
        <w:t>www.micron.com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211455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2019-12-13T13:13:56Z</dcterms:created>
  <dcterms:modified xsi:type="dcterms:W3CDTF">2019-12-13T13:13:56Z</dcterms:modified>
</cp:coreProperties>
</file>