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08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0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BHATIA MANISH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Global Operations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8"/>
            <w:col w:w="346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5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9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9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8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9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4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12/23/2019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41,030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4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Performance-based restricted stock units withheld for employment tax (and related income tax) obligations upon a portion of the grant being earned by (but not yet payable to) the reporting person. Additional shares remain unvested.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6"/>
        <w:spacing w:after="0" w:line="247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new technology ramp and Company performance over a 3-year period beginning August 30, 2018 and ending on September 2, 2021, and certification of such performance by the Compensation Committee following the conclusion of the performance period.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Rachel Southorn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949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2019-12-26T09:45:36Z</dcterms:created>
  <dcterms:modified xsi:type="dcterms:W3CDTF">2019-12-26T09:45:36Z</dcterms:modified>
</cp:coreProperties>
</file>