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15,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0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080" w:type="dxa"/>
            <w:vAlign w:val="bottom"/>
          </w:tcPr>
          <w:p>
            <w:pPr>
              <w:jc w:val="center"/>
              <w:ind w:right="50"/>
              <w:spacing w:after="0"/>
              <w:rPr>
                <w:sz w:val="20"/>
                <w:szCs w:val="20"/>
                <w:color w:val="auto"/>
              </w:rPr>
            </w:pPr>
            <w:r>
              <w:rPr>
                <w:rFonts w:ascii="Arial" w:cs="Arial" w:eastAsia="Arial" w:hAnsi="Arial"/>
                <w:sz w:val="18"/>
                <w:szCs w:val="18"/>
                <w:color w:val="auto"/>
                <w:w w:val="99"/>
              </w:rPr>
              <w:t>(Commission File Number)</w:t>
            </w:r>
          </w:p>
        </w:tc>
        <w:tc>
          <w:tcPr>
            <w:tcW w:w="3960" w:type="dxa"/>
            <w:vAlign w:val="bottom"/>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6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60"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00" w:type="dxa"/>
            <w:vAlign w:val="bottom"/>
            <w:gridSpan w:val="3"/>
          </w:tcPr>
          <w:p>
            <w:pPr>
              <w:jc w:val="center"/>
              <w:ind w:right="120"/>
              <w:spacing w:after="0"/>
              <w:rPr>
                <w:sz w:val="20"/>
                <w:szCs w:val="20"/>
                <w:color w:val="auto"/>
              </w:rPr>
            </w:pPr>
            <w:r>
              <w:rPr>
                <w:rFonts w:ascii="Arial" w:cs="Arial" w:eastAsia="Arial" w:hAnsi="Arial"/>
                <w:sz w:val="18"/>
                <w:szCs w:val="18"/>
                <w:color w:val="auto"/>
              </w:rPr>
              <w:t>Securities registered pursuant to Section 12(b) of the Act: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7"/>
        </w:trPr>
        <w:tc>
          <w:tcPr>
            <w:tcW w:w="40" w:type="dxa"/>
            <w:vAlign w:val="bottom"/>
          </w:tcPr>
          <w:p>
            <w:pPr>
              <w:spacing w:after="0"/>
              <w:rPr>
                <w:sz w:val="22"/>
                <w:szCs w:val="22"/>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0" w:type="dxa"/>
            <w:vAlign w:val="bottom"/>
          </w:tcPr>
          <w:p>
            <w:pPr>
              <w:spacing w:after="0"/>
              <w:rPr>
                <w:sz w:val="19"/>
                <w:szCs w:val="19"/>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Common Stock, par value $0.10 per share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07"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340" w:right="280" w:hanging="1322"/>
        <w:spacing w:after="0"/>
        <w:tabs>
          <w:tab w:leader="none" w:pos="13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 Election of New Director - Linnie Haynesworth.</w:t>
      </w:r>
    </w:p>
    <w:p>
      <w:pPr>
        <w:spacing w:after="0" w:line="28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February 15, 2021, the Board of Directors (the “Board”) of Micron Technology, Inc. (the “Company”) appointed Ms. Linnie Haynesworth as a member of the Board. Ms. Haynesworth has also been appointed to the Governance and Sustainability Committee of the Board. Ms. Haynesworth will participate in the Company’s non-employee director compensation program and will enter into the Company’s standard form of indemnification agreement. The full text of the press release issued on February 16, 2021, in connection with Ms. Haynesworth’s appointment to the Board is attached as Exhibit 99.1 to this report.</w:t>
      </w:r>
    </w:p>
    <w:p>
      <w:pPr>
        <w:spacing w:after="0" w:line="24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7"/>
          <w:szCs w:val="17"/>
          <w:b w:val="1"/>
          <w:bCs w:val="1"/>
          <w:color w:val="auto"/>
        </w:rPr>
        <w:t>Amendments to Articles of Incorporation or Bylaws; Change in Fiscal Year.</w:t>
      </w:r>
    </w:p>
    <w:p>
      <w:pPr>
        <w:spacing w:after="0" w:line="274"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On February 15, 2021, the Board amended and restated the Company’s bylaws (the “Amended and Restated Bylaws”) to increase the size of the Board from seven to eight. This description of the amendment to the Company’s bylaws is qualified in its entirety by reference to the text of the Amended and Restated Bylaws filed as Exhibit 3.1 to this report.</w:t>
      </w:r>
    </w:p>
    <w:p>
      <w:pPr>
        <w:spacing w:after="0" w:line="24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9940" w:type="dxa"/>
            <w:vAlign w:val="bottom"/>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3.1</w:t>
            </w:r>
          </w:p>
        </w:tc>
        <w:tc>
          <w:tcPr>
            <w:tcW w:w="9940" w:type="dxa"/>
            <w:vAlign w:val="bottom"/>
          </w:tcPr>
          <w:p>
            <w:pPr>
              <w:ind w:left="32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Amended and Restated Bylaws as of February</w:t>
              </w:r>
              <w:r>
                <w:rPr>
                  <w:rFonts w:ascii="Arial" w:cs="Arial" w:eastAsia="Arial" w:hAnsi="Arial"/>
                  <w:sz w:val="18"/>
                  <w:szCs w:val="18"/>
                  <w:color w:val="0000FF"/>
                </w:rPr>
                <w:t xml:space="preserve"> 15, </w:t>
              </w:r>
              <w:r>
                <w:rPr>
                  <w:rFonts w:ascii="Arial" w:cs="Arial" w:eastAsia="Arial" w:hAnsi="Arial"/>
                  <w:sz w:val="18"/>
                  <w:szCs w:val="18"/>
                  <w:u w:val="single" w:color="auto"/>
                  <w:color w:val="0000FF"/>
                </w:rPr>
                <w:t>2021</w:t>
              </w:r>
            </w:hyperlink>
          </w:p>
        </w:tc>
      </w:tr>
      <w:tr>
        <w:trPr>
          <w:trHeight w:val="270"/>
        </w:trPr>
        <w:tc>
          <w:tcPr>
            <w:tcW w:w="1300" w:type="dxa"/>
            <w:vAlign w:val="bottom"/>
          </w:tcPr>
          <w:p>
            <w:pPr>
              <w:ind w:left="20"/>
              <w:spacing w:after="0"/>
              <w:rPr>
                <w:sz w:val="20"/>
                <w:szCs w:val="20"/>
                <w:color w:val="auto"/>
              </w:rPr>
            </w:pPr>
            <w:r>
              <w:rPr>
                <w:rFonts w:ascii="Arial" w:cs="Arial" w:eastAsia="Arial" w:hAnsi="Arial"/>
                <w:sz w:val="18"/>
                <w:szCs w:val="18"/>
                <w:color w:val="auto"/>
              </w:rPr>
              <w:t>99.1</w:t>
            </w:r>
          </w:p>
        </w:tc>
        <w:tc>
          <w:tcPr>
            <w:tcW w:w="9940" w:type="dxa"/>
            <w:vAlign w:val="bottom"/>
          </w:tcPr>
          <w:p>
            <w:pPr>
              <w:ind w:left="3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Press Release issued on February 16, 2021</w:t>
              </w:r>
            </w:hyperlink>
          </w:p>
        </w:tc>
      </w:tr>
      <w:tr>
        <w:trPr>
          <w:trHeight w:val="270"/>
        </w:trPr>
        <w:tc>
          <w:tcPr>
            <w:tcW w:w="1300" w:type="dxa"/>
            <w:vAlign w:val="bottom"/>
          </w:tcPr>
          <w:p>
            <w:pPr>
              <w:ind w:left="20"/>
              <w:spacing w:after="0"/>
              <w:rPr>
                <w:sz w:val="20"/>
                <w:szCs w:val="20"/>
                <w:color w:val="auto"/>
              </w:rPr>
            </w:pPr>
            <w:r>
              <w:rPr>
                <w:rFonts w:ascii="Arial" w:cs="Arial" w:eastAsia="Arial" w:hAnsi="Arial"/>
                <w:sz w:val="18"/>
                <w:szCs w:val="18"/>
                <w:color w:val="auto"/>
              </w:rPr>
              <w:t>104</w:t>
            </w:r>
          </w:p>
        </w:tc>
        <w:tc>
          <w:tcPr>
            <w:tcW w:w="9940" w:type="dxa"/>
            <w:vAlign w:val="bottom"/>
          </w:tcPr>
          <w:p>
            <w:pPr>
              <w:ind w:left="3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05"/>
        </w:trPr>
        <w:tc>
          <w:tcPr>
            <w:tcW w:w="1300" w:type="dxa"/>
            <w:vAlign w:val="bottom"/>
            <w:tcBorders>
              <w:bottom w:val="single" w:sz="8" w:color="9A9A9A"/>
            </w:tcBorders>
          </w:tcPr>
          <w:p>
            <w:pPr>
              <w:spacing w:after="0"/>
              <w:rPr>
                <w:sz w:val="24"/>
                <w:szCs w:val="24"/>
                <w:color w:val="auto"/>
              </w:rPr>
            </w:pPr>
          </w:p>
        </w:tc>
        <w:tc>
          <w:tcPr>
            <w:tcW w:w="9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p>
        </w:tc>
        <w:tc>
          <w:tcPr>
            <w:tcW w:w="7320" w:type="dxa"/>
            <w:vAlign w:val="bottom"/>
            <w:gridSpan w:val="2"/>
          </w:tcPr>
          <w:p>
            <w:pPr>
              <w:ind w:left="1700"/>
              <w:spacing w:after="0"/>
              <w:rPr>
                <w:sz w:val="20"/>
                <w:szCs w:val="20"/>
                <w:color w:val="auto"/>
              </w:rPr>
            </w:pPr>
            <w:r>
              <w:rPr>
                <w:rFonts w:ascii="Arial" w:cs="Arial" w:eastAsia="Arial" w:hAnsi="Arial"/>
                <w:sz w:val="18"/>
                <w:szCs w:val="18"/>
                <w:b w:val="1"/>
                <w:bCs w:val="1"/>
                <w:color w:val="auto"/>
              </w:rPr>
              <w:t>MICRON TECHNOLOGY, INC.</w:t>
            </w:r>
          </w:p>
        </w:tc>
      </w:tr>
      <w:tr>
        <w:trPr>
          <w:trHeight w:val="742"/>
        </w:trPr>
        <w:tc>
          <w:tcPr>
            <w:tcW w:w="3900" w:type="dxa"/>
            <w:vAlign w:val="bottom"/>
          </w:tcPr>
          <w:p>
            <w:pPr>
              <w:spacing w:after="0"/>
              <w:rPr>
                <w:sz w:val="20"/>
                <w:szCs w:val="20"/>
                <w:color w:val="auto"/>
              </w:rPr>
            </w:pPr>
            <w:r>
              <w:rPr>
                <w:rFonts w:ascii="Arial" w:cs="Arial" w:eastAsia="Arial" w:hAnsi="Arial"/>
                <w:sz w:val="18"/>
                <w:szCs w:val="18"/>
                <w:color w:val="auto"/>
              </w:rPr>
              <w:t>Date:   February 16, 2021</w:t>
            </w:r>
          </w:p>
        </w:tc>
        <w:tc>
          <w:tcPr>
            <w:tcW w:w="2460" w:type="dxa"/>
            <w:vAlign w:val="bottom"/>
          </w:tcPr>
          <w:p>
            <w:pPr>
              <w:ind w:left="17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23"/>
        </w:trPr>
        <w:tc>
          <w:tcPr>
            <w:tcW w:w="3900" w:type="dxa"/>
            <w:vAlign w:val="bottom"/>
          </w:tcPr>
          <w:p>
            <w:pPr>
              <w:spacing w:after="0"/>
              <w:rPr>
                <w:sz w:val="19"/>
                <w:szCs w:val="19"/>
                <w:color w:val="auto"/>
              </w:rPr>
            </w:pPr>
          </w:p>
        </w:tc>
        <w:tc>
          <w:tcPr>
            <w:tcW w:w="2460" w:type="dxa"/>
            <w:vAlign w:val="bottom"/>
          </w:tcPr>
          <w:p>
            <w:pPr>
              <w:ind w:left="170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30"/>
        </w:trPr>
        <w:tc>
          <w:tcPr>
            <w:tcW w:w="3900" w:type="dxa"/>
            <w:vAlign w:val="bottom"/>
          </w:tcPr>
          <w:p>
            <w:pPr>
              <w:spacing w:after="0"/>
              <w:rPr>
                <w:sz w:val="19"/>
                <w:szCs w:val="19"/>
                <w:color w:val="auto"/>
              </w:rPr>
            </w:pPr>
          </w:p>
        </w:tc>
        <w:tc>
          <w:tcPr>
            <w:tcW w:w="2460" w:type="dxa"/>
            <w:vAlign w:val="bottom"/>
          </w:tcPr>
          <w:p>
            <w:pPr>
              <w:ind w:left="170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112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jc w:val="center"/>
        <w:spacing w:after="0"/>
        <w:rPr>
          <w:sz w:val="20"/>
          <w:szCs w:val="20"/>
          <w:color w:val="auto"/>
        </w:rPr>
      </w:pPr>
      <w:r>
        <w:rPr>
          <w:rFonts w:ascii="Arial" w:cs="Arial" w:eastAsia="Arial" w:hAnsi="Arial"/>
          <w:sz w:val="18"/>
          <w:szCs w:val="18"/>
          <w:b w:val="1"/>
          <w:bCs w:val="1"/>
          <w:color w:val="auto"/>
        </w:rPr>
        <w:t>(Amended and Restated as of February 15, 2021)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CORPORATE OFFICES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Registered Office.</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office shall be fixed in the corporation’s Certificate of Incorporation, as the same may be amended from time to time.</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Other Offices.</w:t>
      </w:r>
    </w:p>
    <w:p>
      <w:pPr>
        <w:spacing w:after="0" w:line="261"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Place of Meetings.</w:t>
      </w:r>
    </w:p>
    <w:p>
      <w:pPr>
        <w:spacing w:after="0" w:line="261"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color w:val="auto"/>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Annual Meeting.</w:t>
      </w:r>
    </w:p>
    <w:p>
      <w:pPr>
        <w:spacing w:after="0" w:line="261" w:lineRule="exact"/>
        <w:rPr>
          <w:sz w:val="20"/>
          <w:szCs w:val="20"/>
          <w:color w:val="auto"/>
        </w:rPr>
      </w:pPr>
    </w:p>
    <w:p>
      <w:pPr>
        <w:jc w:val="both"/>
        <w:ind w:right="160" w:firstLine="648"/>
        <w:spacing w:after="0"/>
        <w:rPr>
          <w:sz w:val="20"/>
          <w:szCs w:val="20"/>
          <w:color w:val="auto"/>
        </w:rPr>
      </w:pPr>
      <w:r>
        <w:rPr>
          <w:rFonts w:ascii="Arial" w:cs="Arial" w:eastAsia="Arial" w:hAnsi="Arial"/>
          <w:sz w:val="18"/>
          <w:szCs w:val="18"/>
          <w:color w:val="auto"/>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Notice of Stockholder Meeting.</w:t>
      </w:r>
    </w:p>
    <w:p>
      <w:pPr>
        <w:spacing w:after="0" w:line="261"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by law, the Certificate of Incorporation or these Bylaws, the written notice of any meeting of stockholders shall be given not less than ten (10) nor more than sixty (60) days before the date of the meeting to each stockholder entitled to vote at such meeting as of the record date for determining the stockholders entitled to notice of the meeting.</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List of Stockholders Entitled to Vote.</w:t>
      </w:r>
    </w:p>
    <w:p>
      <w:pPr>
        <w:spacing w:after="0" w:line="261"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The officer who has charge of the stock ledger of the corporation shall prepare and make, at least ten (10) days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4" w:name="page5"/>
    <w:bookmarkEnd w:id="4"/>
    <w:p>
      <w:pPr>
        <w:ind w:right="40"/>
        <w:spacing w:after="0" w:line="236" w:lineRule="auto"/>
        <w:rPr>
          <w:sz w:val="20"/>
          <w:szCs w:val="20"/>
          <w:color w:val="auto"/>
        </w:rPr>
      </w:pPr>
      <w:r>
        <w:rPr>
          <w:rFonts w:ascii="Arial" w:cs="Arial" w:eastAsia="Arial" w:hAnsi="Arial"/>
          <w:sz w:val="18"/>
          <w:szCs w:val="18"/>
          <w:color w:val="auto"/>
        </w:rPr>
        <w:t>least ten (10) days prior to the meeting (a) on a reasonably accessible electronic network, provided that the information required to gain access to such list is provided with the notice of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meeting. Except as otherwise provided by law, the stock ledger shall be the only evidence as to who are the stockholders entitled to examine the list of stockholders required by this Article II, Section 4 or to vote in person or by proxy at any meeting of stockholders.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Special Meetings.</w:t>
      </w:r>
    </w:p>
    <w:p>
      <w:pPr>
        <w:spacing w:after="0" w:line="261" w:lineRule="exact"/>
        <w:rPr>
          <w:sz w:val="20"/>
          <w:szCs w:val="20"/>
          <w:color w:val="auto"/>
        </w:rPr>
      </w:pPr>
    </w:p>
    <w:p>
      <w:pPr>
        <w:ind w:firstLine="656"/>
        <w:spacing w:after="0" w:line="203" w:lineRule="exact"/>
        <w:tabs>
          <w:tab w:leader="none" w:pos="918" w:val="left"/>
        </w:tabs>
        <w:numPr>
          <w:ilvl w:val="0"/>
          <w:numId w:val="2"/>
        </w:numPr>
        <w:rPr>
          <w:rFonts w:ascii="Arial" w:cs="Arial" w:eastAsia="Arial" w:hAnsi="Arial"/>
          <w:sz w:val="18"/>
          <w:szCs w:val="18"/>
          <w:color w:val="auto"/>
        </w:rPr>
      </w:pPr>
      <w:r>
        <w:rPr>
          <w:rFonts w:ascii="Arial" w:cs="Arial" w:eastAsia="Arial" w:hAnsi="Arial"/>
          <w:sz w:val="18"/>
          <w:szCs w:val="18"/>
          <w:color w:val="auto"/>
        </w:rPr>
        <w:t>Special meetings of the stockholders, for any purpose or purposes, unless otherwise prescribed by law or by the Certificate of Incorporation, may be called by the Board of Directors, the Chair of the Board, the Chief Executive Officer, or by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or Section 11(c) of this Article II, as applicable.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 (a) the business proposed to be brought before the special meeting by stockholders is not a proper subject for stockholder action under applicable law or (b) the Board of Directors has called or calls for an annual meeting of stockholders to be held within ninety (90) days after the 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w:t>
      </w:r>
      <w:r>
        <w:rPr>
          <w:rFonts w:ascii="MS PGothic" w:cs="MS PGothic" w:eastAsia="MS PGothic" w:hAnsi="MS PGothic"/>
          <w:sz w:val="18"/>
          <w:szCs w:val="18"/>
          <w:color w:val="auto"/>
        </w:rPr>
        <w:t>‑</w:t>
      </w:r>
      <w:r>
        <w:rPr>
          <w:rFonts w:ascii="Arial" w:cs="Arial" w:eastAsia="Arial" w:hAnsi="Arial"/>
          <w:sz w:val="18"/>
          <w:szCs w:val="18"/>
          <w:color w:val="auto"/>
        </w:rPr>
        <w:t>revoked requests from stockholders holding in the aggregate less than the requisite number of shares entitling the stockholders to request the calling of a special meeting, the Board of Directors, in its discretion, may cancel the special meeting.</w:t>
      </w:r>
    </w:p>
    <w:p>
      <w:pPr>
        <w:spacing w:after="0" w:line="240" w:lineRule="exact"/>
        <w:rPr>
          <w:rFonts w:ascii="Arial" w:cs="Arial" w:eastAsia="Arial" w:hAnsi="Arial"/>
          <w:sz w:val="18"/>
          <w:szCs w:val="18"/>
          <w:color w:val="auto"/>
        </w:rPr>
      </w:pPr>
    </w:p>
    <w:p>
      <w:pPr>
        <w:ind w:right="280" w:firstLine="656"/>
        <w:spacing w:after="0"/>
        <w:tabs>
          <w:tab w:leader="none" w:pos="918"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Quorum.</w:t>
      </w:r>
    </w:p>
    <w:p>
      <w:pPr>
        <w:spacing w:after="0" w:line="261"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holders of a majority in voting power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thereat may, by a majority in voting power thereof, adjourn the meeting from time to time in the manner provided by this Article II until a quorum shall be present or represented.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Adjourned Meeting Notice.</w:t>
      </w:r>
    </w:p>
    <w:p>
      <w:pPr>
        <w:spacing w:after="0" w:line="261"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Any meeting of stockholders, annual or special, may adjourn from time to time to reconvene at the same or some other place, and notice need not be given of any such reconvened meeting if the time, place, if any, and means of remote communications are announced at the meeting at which the adjournment is taken. At the reconvened meeting the corporation may transact any business which might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35" w:right="339" w:bottom="1440" w:gutter="0" w:footer="0" w:header="0"/>
        </w:sectPr>
      </w:pPr>
    </w:p>
    <w:bookmarkStart w:id="5" w:name="page6"/>
    <w:bookmarkEnd w:id="5"/>
    <w:p>
      <w:pPr>
        <w:spacing w:after="0" w:line="237" w:lineRule="auto"/>
        <w:rPr>
          <w:sz w:val="20"/>
          <w:szCs w:val="20"/>
          <w:color w:val="auto"/>
        </w:rPr>
      </w:pPr>
      <w:r>
        <w:rPr>
          <w:rFonts w:ascii="Arial" w:cs="Arial" w:eastAsia="Arial" w:hAnsi="Arial"/>
          <w:sz w:val="18"/>
          <w:szCs w:val="18"/>
          <w:color w:val="auto"/>
        </w:rPr>
        <w:t>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as the record date for determining stockholders entitled to notice of such reconvened meeting the same or an earlier date as that fixed for determination of stockholders entitled to vote at the adjourned meeting, and shall give notice of the reconvened meeting to each stockholder of record as of the record date so fixed for notice of such reconvened meeting.</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 Proxies.</w:t>
      </w:r>
    </w:p>
    <w:p>
      <w:pPr>
        <w:spacing w:after="0" w:line="261" w:lineRule="exact"/>
        <w:rPr>
          <w:sz w:val="20"/>
          <w:szCs w:val="20"/>
          <w:color w:val="auto"/>
        </w:rPr>
      </w:pPr>
    </w:p>
    <w:p>
      <w:pPr>
        <w:jc w:val="both"/>
        <w:ind w:right="200" w:firstLine="648"/>
        <w:spacing w:after="0" w:line="248" w:lineRule="auto"/>
        <w:rPr>
          <w:sz w:val="20"/>
          <w:szCs w:val="20"/>
          <w:color w:val="auto"/>
        </w:rPr>
      </w:pPr>
      <w:r>
        <w:rPr>
          <w:rFonts w:ascii="Arial" w:cs="Arial" w:eastAsia="Arial" w:hAnsi="Arial"/>
          <w:sz w:val="17"/>
          <w:szCs w:val="17"/>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When a quorum is present at any meeting, the vote of the holders of a majority of the voting power of the stock present in person or represented by proxy shall decide any issue brought before such meeting, unless the issue is (a) one upon which by express provision of the Certificate of Incorporation, these Bylaws, the rules or regulations of any stock exchange applicable to the corporation, or applicable law or pursuant to any regulation applicable to the corporation or its securities, a different vote is required in which case such express provision shall govern and control the decision of the issue or (b) relates to the election of directors, in which case the provisions of Article III, Section 2 shall apply.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 Reserved.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 Action by Written Consent.</w:t>
      </w:r>
    </w:p>
    <w:p>
      <w:pPr>
        <w:spacing w:after="0" w:line="243" w:lineRule="exact"/>
        <w:rPr>
          <w:sz w:val="20"/>
          <w:szCs w:val="20"/>
          <w:color w:val="auto"/>
        </w:rPr>
      </w:pPr>
    </w:p>
    <w:p>
      <w:pPr>
        <w:ind w:right="20" w:firstLine="656"/>
        <w:spacing w:after="0" w:line="238" w:lineRule="auto"/>
        <w:tabs>
          <w:tab w:leader="none" w:pos="918"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Notice. </w:t>
      </w:r>
      <w:r>
        <w:rPr>
          <w:rFonts w:ascii="Arial" w:cs="Arial" w:eastAsia="Arial" w:hAnsi="Arial"/>
          <w:sz w:val="18"/>
          <w:szCs w:val="18"/>
          <w:color w:val="auto"/>
        </w:rPr>
        <w:t>Unless otherwise restricted by the Certificate of Incorporation, any action required to be taken at any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of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212" w:lineRule="exact"/>
        <w:rPr>
          <w:rFonts w:ascii="Arial" w:cs="Arial" w:eastAsia="Arial" w:hAnsi="Arial"/>
          <w:sz w:val="18"/>
          <w:szCs w:val="18"/>
          <w:color w:val="auto"/>
        </w:rPr>
      </w:pPr>
    </w:p>
    <w:p>
      <w:pPr>
        <w:ind w:right="80" w:firstLine="656"/>
        <w:spacing w:after="0" w:line="238" w:lineRule="auto"/>
        <w:tabs>
          <w:tab w:leader="none" w:pos="918"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Record Date. </w:t>
      </w:r>
      <w:r>
        <w:rPr>
          <w:rFonts w:ascii="Arial" w:cs="Arial" w:eastAsia="Arial" w:hAnsi="Arial"/>
          <w:sz w:val="18"/>
          <w:szCs w:val="18"/>
          <w:color w:val="auto"/>
        </w:rPr>
        <w:t>Unless otherwise restricted by the Certificate of Incorporation, in order that the corporation may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 Section 10(b)). If no record date has been fixed by the Board of Directors pursuant to the first sentence of this Article II, Section 10(b) or otherwise within ten (10) days after the date on which such written notice is received, the record date for determining stockholders entitled to consent to corporate action in writing without a meeting, when no prior action by the Board of Directors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35" w:right="339" w:bottom="1440" w:gutter="0" w:footer="0" w:header="0"/>
        </w:sectPr>
      </w:pPr>
    </w:p>
    <w:bookmarkStart w:id="6" w:name="page7"/>
    <w:bookmarkEnd w:id="6"/>
    <w:p>
      <w:pPr>
        <w:ind w:right="20"/>
        <w:spacing w:after="0" w:line="237" w:lineRule="auto"/>
        <w:rPr>
          <w:sz w:val="20"/>
          <w:szCs w:val="20"/>
          <w:color w:val="auto"/>
        </w:rPr>
      </w:pPr>
      <w:r>
        <w:rPr>
          <w:rFonts w:ascii="Arial" w:cs="Arial" w:eastAsia="Arial" w:hAnsi="Arial"/>
          <w:sz w:val="18"/>
          <w:szCs w:val="18"/>
          <w:color w:val="auto"/>
        </w:rPr>
        <w:t>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214" w:lineRule="exact"/>
        <w:rPr>
          <w:sz w:val="20"/>
          <w:szCs w:val="20"/>
          <w:color w:val="auto"/>
        </w:rPr>
      </w:pPr>
    </w:p>
    <w:p>
      <w:pPr>
        <w:ind w:firstLine="656"/>
        <w:spacing w:after="0" w:line="238" w:lineRule="auto"/>
        <w:tabs>
          <w:tab w:leader="none" w:pos="90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Inspector of Elections. </w:t>
      </w:r>
      <w:r>
        <w:rPr>
          <w:rFonts w:ascii="Arial" w:cs="Arial" w:eastAsia="Arial" w:hAnsi="Arial"/>
          <w:sz w:val="18"/>
          <w:szCs w:val="18"/>
          <w:color w:val="auto"/>
        </w:rPr>
        <w:t>In the event of the delivery, in the manner provided by this Article II, Section 10 and applicable law,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of 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212" w:lineRule="exact"/>
        <w:rPr>
          <w:rFonts w:ascii="Arial" w:cs="Arial" w:eastAsia="Arial" w:hAnsi="Arial"/>
          <w:sz w:val="18"/>
          <w:szCs w:val="18"/>
          <w:color w:val="auto"/>
        </w:rPr>
      </w:pPr>
    </w:p>
    <w:p>
      <w:pPr>
        <w:ind w:right="20" w:firstLine="656"/>
        <w:spacing w:after="0" w:line="264" w:lineRule="auto"/>
        <w:tabs>
          <w:tab w:leader="none" w:pos="918"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Every written consent shall bear the date of signature of each stockholder who signs the consent and no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shall be effective to take the corporate action referred to therein unless, within sixty (60) days after the earliest dated written consent delivered in the manner prescribed in this Article II, Section 10 to the corporation, written consents signed by a sufficient number of holders to take such action are delivered to the corporation in the manner prescribed in this Article II, Section 10 and applicable law, and not revoked.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 Advance Notice of Stockholder Nominees, Proxy Access and Stockholder Business.</w:t>
      </w:r>
    </w:p>
    <w:p>
      <w:pPr>
        <w:spacing w:after="0" w:line="261" w:lineRule="exact"/>
        <w:rPr>
          <w:sz w:val="20"/>
          <w:szCs w:val="20"/>
          <w:color w:val="auto"/>
        </w:rPr>
      </w:pPr>
    </w:p>
    <w:p>
      <w:pPr>
        <w:ind w:right="140" w:firstLine="656"/>
        <w:spacing w:after="0"/>
        <w:tabs>
          <w:tab w:leader="none" w:pos="918"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w:t>
      </w:r>
    </w:p>
    <w:p>
      <w:pPr>
        <w:spacing w:after="0" w:line="229" w:lineRule="exact"/>
        <w:rPr>
          <w:rFonts w:ascii="Arial" w:cs="Arial" w:eastAsia="Arial" w:hAnsi="Arial"/>
          <w:sz w:val="18"/>
          <w:szCs w:val="18"/>
          <w:color w:val="auto"/>
        </w:rPr>
      </w:pPr>
    </w:p>
    <w:p>
      <w:pPr>
        <w:ind w:left="660" w:right="140" w:firstLine="644"/>
        <w:spacing w:after="0" w:line="246" w:lineRule="auto"/>
        <w:tabs>
          <w:tab w:leader="none" w:pos="1518" w:val="left"/>
        </w:tabs>
        <w:numPr>
          <w:ilvl w:val="1"/>
          <w:numId w:val="5"/>
        </w:numPr>
        <w:rPr>
          <w:rFonts w:ascii="Arial" w:cs="Arial" w:eastAsia="Arial" w:hAnsi="Arial"/>
          <w:sz w:val="18"/>
          <w:szCs w:val="18"/>
          <w:color w:val="auto"/>
        </w:rPr>
      </w:pPr>
      <w:r>
        <w:rPr>
          <w:rFonts w:ascii="Arial" w:cs="Arial" w:eastAsia="Arial" w:hAnsi="Arial"/>
          <w:sz w:val="18"/>
          <w:szCs w:val="18"/>
          <w:color w:val="auto"/>
        </w:rPr>
        <w:t>specified in the notice of meeting (or any supplement thereto) given by or at the direction of the Board of Directors or any committee thereof,</w:t>
      </w:r>
    </w:p>
    <w:p>
      <w:pPr>
        <w:spacing w:after="0" w:line="223" w:lineRule="exact"/>
        <w:rPr>
          <w:rFonts w:ascii="Arial" w:cs="Arial" w:eastAsia="Arial" w:hAnsi="Arial"/>
          <w:sz w:val="18"/>
          <w:szCs w:val="18"/>
          <w:color w:val="auto"/>
        </w:rPr>
      </w:pPr>
    </w:p>
    <w:p>
      <w:pPr>
        <w:ind w:left="1560" w:hanging="256"/>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of Directors or any committee thereof, or</w:t>
      </w:r>
    </w:p>
    <w:p>
      <w:pPr>
        <w:spacing w:after="0" w:line="238" w:lineRule="exact"/>
        <w:rPr>
          <w:rFonts w:ascii="Arial" w:cs="Arial" w:eastAsia="Arial" w:hAnsi="Arial"/>
          <w:sz w:val="18"/>
          <w:szCs w:val="18"/>
          <w:color w:val="auto"/>
        </w:rPr>
      </w:pPr>
    </w:p>
    <w:p>
      <w:pPr>
        <w:ind w:left="660" w:firstLine="644"/>
        <w:spacing w:after="0" w:line="248" w:lineRule="auto"/>
        <w:tabs>
          <w:tab w:leader="none" w:pos="1598" w:val="left"/>
        </w:tabs>
        <w:numPr>
          <w:ilvl w:val="1"/>
          <w:numId w:val="5"/>
        </w:numPr>
        <w:rPr>
          <w:rFonts w:ascii="Arial" w:cs="Arial" w:eastAsia="Arial" w:hAnsi="Arial"/>
          <w:sz w:val="17"/>
          <w:szCs w:val="17"/>
          <w:color w:val="auto"/>
        </w:rPr>
      </w:pPr>
      <w:r>
        <w:rPr>
          <w:rFonts w:ascii="Arial" w:cs="Arial" w:eastAsia="Arial" w:hAnsi="Arial"/>
          <w:sz w:val="17"/>
          <w:szCs w:val="17"/>
          <w:color w:val="auto"/>
        </w:rPr>
        <w:t>otherwise properly brought before an annual meeting by a stockholder who: (A) is a stockholder of record of the corporation at the time such notice of meeting is delivered and at the time the notice required hereunder is delivered to the Secretary;</w:t>
      </w:r>
    </w:p>
    <w:p>
      <w:pPr>
        <w:spacing w:after="0" w:line="1" w:lineRule="exact"/>
        <w:rPr>
          <w:rFonts w:ascii="Arial" w:cs="Arial" w:eastAsia="Arial" w:hAnsi="Arial"/>
          <w:sz w:val="17"/>
          <w:szCs w:val="17"/>
          <w:color w:val="auto"/>
        </w:rPr>
      </w:pPr>
    </w:p>
    <w:p>
      <w:pPr>
        <w:ind w:left="660" w:right="60"/>
        <w:spacing w:after="0" w:line="246" w:lineRule="auto"/>
        <w:rPr>
          <w:rFonts w:ascii="Arial" w:cs="Arial" w:eastAsia="Arial" w:hAnsi="Arial"/>
          <w:sz w:val="17"/>
          <w:szCs w:val="17"/>
          <w:color w:val="auto"/>
        </w:rPr>
      </w:pPr>
      <w:r>
        <w:rPr>
          <w:rFonts w:ascii="Arial" w:cs="Arial" w:eastAsia="Arial" w:hAnsi="Arial"/>
          <w:sz w:val="18"/>
          <w:szCs w:val="18"/>
          <w:color w:val="auto"/>
        </w:rPr>
        <w:t>(B) is entitled to vote at the meeting; and (C) complies with the notice procedures and disclosure requirements set forth in this Article II, Section 11.</w:t>
      </w:r>
    </w:p>
    <w:p>
      <w:pPr>
        <w:spacing w:after="0" w:line="22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 pursuant to this Article II, Section 11(a) or Section 11(c) below, as applicable, in writing to the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35" w:right="339" w:bottom="1440" w:gutter="0" w:footer="0" w:header="0"/>
        </w:sectPr>
      </w:pPr>
    </w:p>
    <w:bookmarkStart w:id="7" w:name="page8"/>
    <w:bookmarkEnd w:id="7"/>
    <w:p>
      <w:pPr>
        <w:ind w:right="20"/>
        <w:spacing w:after="0" w:line="237" w:lineRule="auto"/>
        <w:rPr>
          <w:sz w:val="20"/>
          <w:szCs w:val="20"/>
          <w:color w:val="auto"/>
        </w:rPr>
      </w:pPr>
      <w:r>
        <w:rPr>
          <w:rFonts w:ascii="Arial" w:cs="Arial" w:eastAsia="Arial" w:hAnsi="Arial"/>
          <w:sz w:val="18"/>
          <w:szCs w:val="18"/>
          <w:color w:val="auto"/>
        </w:rPr>
        <w:t>even if such matter is already the subject of any notice to the stockholders or public disclosure by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w:t>
      </w:r>
    </w:p>
    <w:p>
      <w:pPr>
        <w:spacing w:after="0" w:line="23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Only persons who are nominated in accordance with the procedures set forth in Article II, Section 11(b) and (c) shall be eligible for election as directors.</w:t>
      </w:r>
    </w:p>
    <w:p>
      <w:pPr>
        <w:spacing w:after="0" w:line="224" w:lineRule="exact"/>
        <w:rPr>
          <w:sz w:val="20"/>
          <w:szCs w:val="20"/>
          <w:color w:val="auto"/>
        </w:rPr>
      </w:pPr>
    </w:p>
    <w:p>
      <w:pPr>
        <w:ind w:firstLine="656"/>
        <w:spacing w:after="0" w:line="237" w:lineRule="auto"/>
        <w:tabs>
          <w:tab w:leader="none" w:pos="918" w:val="left"/>
        </w:tabs>
        <w:numPr>
          <w:ilvl w:val="0"/>
          <w:numId w:val="6"/>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may be made at a meeting of stockholders by or at the direction of the Board of Directors or by any stockholder of the corporation entitled to vote in the election of directors at the meeting who complies with the notice procedures set forth in this Article II, Section 11(b). Such nominations, other than those made by or at the direction of the Board of Directors, shall be made pursuant to timely notice in writing to the Secretary in accordance with the provisions of Article II, Section 11(a). For the nomination of any person or persons for election to the Board of Directors by any stockholder, whether at an annual meeting or a properly called special meeting of stockholders, the stockholder's notice to the Secretary shall set forth:</w:t>
      </w:r>
    </w:p>
    <w:p>
      <w:pPr>
        <w:spacing w:after="0" w:line="231" w:lineRule="exact"/>
        <w:rPr>
          <w:rFonts w:ascii="Arial" w:cs="Arial" w:eastAsia="Arial" w:hAnsi="Arial"/>
          <w:sz w:val="18"/>
          <w:szCs w:val="18"/>
          <w:color w:val="auto"/>
        </w:rPr>
      </w:pPr>
    </w:p>
    <w:p>
      <w:pPr>
        <w:ind w:left="1520" w:hanging="216"/>
        <w:spacing w:after="0"/>
        <w:tabs>
          <w:tab w:leader="none" w:pos="1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each nominee proposed in such notice,</w:t>
      </w:r>
    </w:p>
    <w:p>
      <w:pPr>
        <w:spacing w:after="0" w:line="238" w:lineRule="exact"/>
        <w:rPr>
          <w:rFonts w:ascii="Arial" w:cs="Arial" w:eastAsia="Arial" w:hAnsi="Arial"/>
          <w:sz w:val="18"/>
          <w:szCs w:val="18"/>
          <w:color w:val="auto"/>
        </w:rPr>
      </w:pPr>
    </w:p>
    <w:p>
      <w:pPr>
        <w:ind w:left="1560" w:hanging="256"/>
        <w:spacing w:after="0"/>
        <w:tabs>
          <w:tab w:leader="none" w:pos="1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principal occupation or employment of each such nominee,</w:t>
      </w:r>
    </w:p>
    <w:p>
      <w:pPr>
        <w:spacing w:after="0" w:line="238" w:lineRule="exact"/>
        <w:rPr>
          <w:rFonts w:ascii="Arial" w:cs="Arial" w:eastAsia="Arial" w:hAnsi="Arial"/>
          <w:sz w:val="18"/>
          <w:szCs w:val="18"/>
          <w:color w:val="auto"/>
        </w:rPr>
      </w:pPr>
    </w:p>
    <w:p>
      <w:pPr>
        <w:ind w:left="660" w:right="400" w:firstLine="644"/>
        <w:spacing w:after="0" w:line="238" w:lineRule="auto"/>
        <w:tabs>
          <w:tab w:leader="none" w:pos="1598" w:val="left"/>
        </w:tabs>
        <w:numPr>
          <w:ilvl w:val="1"/>
          <w:numId w:val="6"/>
        </w:numPr>
        <w:rPr>
          <w:rFonts w:ascii="Arial" w:cs="Arial" w:eastAsia="Arial" w:hAnsi="Arial"/>
          <w:sz w:val="18"/>
          <w:szCs w:val="18"/>
          <w:color w:val="auto"/>
        </w:rPr>
      </w:pPr>
      <w:r>
        <w:rPr>
          <w:rFonts w:ascii="Arial" w:cs="Arial" w:eastAsia="Arial" w:hAnsi="Arial"/>
          <w:sz w:val="18"/>
          <w:szCs w:val="18"/>
          <w:color w:val="auto"/>
        </w:rPr>
        <w:t>(A) the number of shares of capital stock of the corporation which are owned of record and beneficially by each such nominee and any affiliates or associates of such nominee (if any) and (B) a description of any agreement, arrangement or understanding of the type described in clause (vi) (D) of this section, but as it relates to each such nominee rather than the stockholder,</w:t>
      </w:r>
    </w:p>
    <w:p>
      <w:pPr>
        <w:spacing w:after="0" w:line="231" w:lineRule="exact"/>
        <w:rPr>
          <w:rFonts w:ascii="Arial" w:cs="Arial" w:eastAsia="Arial" w:hAnsi="Arial"/>
          <w:sz w:val="18"/>
          <w:szCs w:val="18"/>
          <w:color w:val="auto"/>
        </w:rPr>
      </w:pPr>
    </w:p>
    <w:p>
      <w:pPr>
        <w:ind w:left="660" w:right="20" w:firstLine="644"/>
        <w:spacing w:after="0" w:line="236" w:lineRule="auto"/>
        <w:tabs>
          <w:tab w:leader="none" w:pos="1608" w:val="left"/>
        </w:tabs>
        <w:numPr>
          <w:ilvl w:val="1"/>
          <w:numId w:val="6"/>
        </w:numPr>
        <w:rPr>
          <w:rFonts w:ascii="Arial" w:cs="Arial" w:eastAsia="Arial" w:hAnsi="Arial"/>
          <w:sz w:val="18"/>
          <w:szCs w:val="18"/>
          <w:color w:val="auto"/>
        </w:rPr>
      </w:pPr>
      <w:r>
        <w:rPr>
          <w:rFonts w:ascii="Arial" w:cs="Arial" w:eastAsia="Arial" w:hAnsi="Arial"/>
          <w:sz w:val="18"/>
          <w:szCs w:val="18"/>
          <w:color w:val="auto"/>
        </w:rPr>
        <w:t>(A) if any such nominee is a party to any direct or indirect compensatory, reimbursement, indemnification, payment or other financial agreement, arrangement or understanding with any person or entity other than the corporation (a “Compensation Arrangement”), or has received, directly or indirectly, any compensation or other payment from any person or entity other than the corporation, in each case in connection with candidacy or service as a director of the corporation, a detailed description of such agreement, arrangement or understanding and its terms and any such compensation received and (B) such other information concerning each such nominee as would be required to be disclosed in a proxy statement soliciting proxies for the election of such nominee as a director in an election contest (even if an election contest is not involved) or that is otherwise required to be disclosed, under Section 14(a) of the Securities Exchange Act of 1934, as amended, and the rules and regulations promulgated thereunder (the “Exchange Act”),</w:t>
      </w:r>
    </w:p>
    <w:p>
      <w:pPr>
        <w:spacing w:after="0" w:line="233" w:lineRule="exact"/>
        <w:rPr>
          <w:rFonts w:ascii="Arial" w:cs="Arial" w:eastAsia="Arial" w:hAnsi="Arial"/>
          <w:sz w:val="18"/>
          <w:szCs w:val="18"/>
          <w:color w:val="auto"/>
        </w:rPr>
      </w:pPr>
    </w:p>
    <w:p>
      <w:pPr>
        <w:ind w:left="660" w:right="160" w:firstLine="644"/>
        <w:spacing w:after="0" w:line="238" w:lineRule="auto"/>
        <w:tabs>
          <w:tab w:leader="none" w:pos="156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consent of the nominee to being named in the proxy statement as a nominee and to serving as a director if elected and a representation by the nominee to the effect that the nominee has read and, if elected will agree to adhere to the corporation’s Code of Business Conduct and Ethics, corporate Governance Guidelines, and any conflict of interest, confidentiality and stock ownership and securities trading policies, and any other policies and guidelines of the Board or the corporation applicable to directors, as well as any applicable law, rule or regulation or listing requirement, and</w:t>
      </w:r>
    </w:p>
    <w:p>
      <w:pPr>
        <w:spacing w:after="0" w:line="229" w:lineRule="exact"/>
        <w:rPr>
          <w:rFonts w:ascii="Arial" w:cs="Arial" w:eastAsia="Arial" w:hAnsi="Arial"/>
          <w:sz w:val="18"/>
          <w:szCs w:val="18"/>
          <w:color w:val="auto"/>
        </w:rPr>
      </w:pPr>
    </w:p>
    <w:p>
      <w:pPr>
        <w:ind w:left="660" w:right="80" w:firstLine="644"/>
        <w:spacing w:after="0"/>
        <w:tabs>
          <w:tab w:leader="none" w:pos="1608"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to the proposing stockholder: (A) the name and address of the stockholder as they appear on the corporation's books and of the beneficial owner, if any, on whose behalf the nomination is being made, (B) the class and number of shares of the corporation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35" w:right="339" w:bottom="1440" w:gutter="0" w:footer="0" w:header="0"/>
        </w:sectPr>
      </w:pPr>
    </w:p>
    <w:bookmarkStart w:id="8" w:name="page9"/>
    <w:bookmarkEnd w:id="8"/>
    <w:p>
      <w:pPr>
        <w:ind w:left="660"/>
        <w:spacing w:after="0" w:line="235" w:lineRule="auto"/>
        <w:rPr>
          <w:sz w:val="20"/>
          <w:szCs w:val="20"/>
          <w:color w:val="auto"/>
        </w:rPr>
      </w:pPr>
      <w:r>
        <w:rPr>
          <w:rFonts w:ascii="Arial" w:cs="Arial" w:eastAsia="Arial" w:hAnsi="Arial"/>
          <w:sz w:val="18"/>
          <w:szCs w:val="18"/>
          <w:color w:val="auto"/>
        </w:rPr>
        <w:t>owned by the proposing stockholder (beneficially and of record) and owned by the beneficial owner, if any, on whose behalf the nomination is being made, as of the date of the proposing stockholder's notice, (C) a description of any agreement, arrangement or understanding with respect to such nomination between or among the proposing stockholder and any of its affiliates or associates, and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the corporation,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intends to deliver a proxy statement and/or form of proxy to holders of at least the percentage of the corporation's outstanding capital stock required to approve the election of the nominee and/or otherwise to solicit proxies from stockholders in support of such election and (G) and, with respect to (B), (C) and (D) above, a representation that the proposing stockholder will promptly notify the corporation in writing of the same as of the record date for the meeting promptly following the later of the record date or the date notice of the record date is first publicly disclosed.</w:t>
      </w:r>
    </w:p>
    <w:p>
      <w:pPr>
        <w:spacing w:after="0" w:line="24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spacing w:after="0" w:line="230" w:lineRule="exact"/>
        <w:rPr>
          <w:sz w:val="20"/>
          <w:szCs w:val="20"/>
          <w:color w:val="auto"/>
        </w:rPr>
      </w:pPr>
    </w:p>
    <w:p>
      <w:pPr>
        <w:ind w:firstLine="656"/>
        <w:spacing w:after="0" w:line="236" w:lineRule="auto"/>
        <w:tabs>
          <w:tab w:leader="none" w:pos="908" w:val="left"/>
        </w:tabs>
        <w:numPr>
          <w:ilvl w:val="0"/>
          <w:numId w:val="7"/>
        </w:numPr>
        <w:rPr>
          <w:rFonts w:ascii="Arial" w:cs="Arial" w:eastAsia="Arial" w:hAnsi="Arial"/>
          <w:sz w:val="18"/>
          <w:szCs w:val="18"/>
          <w:color w:val="auto"/>
        </w:rPr>
      </w:pPr>
      <w:r>
        <w:rPr>
          <w:rFonts w:ascii="Arial" w:cs="Arial" w:eastAsia="Arial" w:hAnsi="Arial"/>
          <w:sz w:val="18"/>
          <w:szCs w:val="18"/>
          <w:color w:val="auto"/>
        </w:rPr>
        <w:t>(i) Subject to the requirements of Article II, Section 11, the corporation shall include in its proxy statement and on its proxy card for any annual meeting of stockholders the name of any director nominee proposed by a stockholder for election to the Board of Directors who is properly submitted pursuant to this Article II, Section 11(c) (each a “Proxy Access Nominee”) provided that (A) timely written notice of such Proxy Access Nominee satisfying this Article II, Section 11(c) (“Proxy Access Nomination Notice”) is delivered to the corporation by or on behalf of a stockholder or group of stockholders that, at the time the Proxy Access Nomination Notice is delivered, satisfy the ownership and other requirements of this Article II, Section 11(c) (such stockholder or stockholders, and any person on whose behalf they are acting, the “Eligible Stockholder”), (B) the Eligible Stockholder expressly elects in writing at the time of providing the Proxy Access Nomination Notice to have its nominee included in the corporation’s proxy statement pursuant to this Article II, Section 11(c), and (C) the Eligible Stockholder and the Proxy Access Nominee otherwise satisfy the requirements of this Article II, Section 11(c) and the criteria for membership on the Board of Directors set forth in the Corporate Governance Guidelines for the corporation or other document(s) setting forth qualifications for directors (the “Board Qualifications”).</w:t>
      </w:r>
    </w:p>
    <w:p>
      <w:pPr>
        <w:spacing w:after="0" w:line="231" w:lineRule="exact"/>
        <w:rPr>
          <w:rFonts w:ascii="Arial" w:cs="Arial" w:eastAsia="Arial" w:hAnsi="Arial"/>
          <w:sz w:val="18"/>
          <w:szCs w:val="18"/>
          <w:color w:val="auto"/>
        </w:rPr>
      </w:pPr>
    </w:p>
    <w:p>
      <w:pPr>
        <w:ind w:left="660" w:right="60" w:firstLine="644"/>
        <w:spacing w:after="0" w:line="236" w:lineRule="auto"/>
        <w:tabs>
          <w:tab w:leader="none" w:pos="1558"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be timely, the Proxy Access Nomination Notice must be delivered to or mailed and received at the principal executive office of the corporation not less than one hundred twenty (120) calendar days nor earlier than one hundred fifty (150)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In no event shall the public announcement of an adjournment or postponement of an annual meeting of stockholders commence a new time period (or extend any time period) for the submission of such Proxy Access Nomination.</w:t>
      </w:r>
    </w:p>
    <w:p>
      <w:pPr>
        <w:spacing w:after="0" w:line="234" w:lineRule="exact"/>
        <w:rPr>
          <w:rFonts w:ascii="Arial" w:cs="Arial" w:eastAsia="Arial" w:hAnsi="Arial"/>
          <w:sz w:val="18"/>
          <w:szCs w:val="18"/>
          <w:color w:val="auto"/>
        </w:rPr>
      </w:pPr>
    </w:p>
    <w:p>
      <w:pPr>
        <w:ind w:left="660" w:right="580" w:firstLine="644"/>
        <w:spacing w:after="0" w:line="246" w:lineRule="auto"/>
        <w:tabs>
          <w:tab w:leader="none" w:pos="1598"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addition to including the name of the Proxy Access Nominee in the corporation’s proxy statement for the annual meeting of stockholders, the corporation also shall include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35" w:right="359" w:bottom="1440" w:gutter="0" w:footer="0" w:header="0"/>
        </w:sectPr>
      </w:pPr>
    </w:p>
    <w:bookmarkStart w:id="9" w:name="page10"/>
    <w:bookmarkEnd w:id="9"/>
    <w:p>
      <w:pPr>
        <w:ind w:left="4" w:right="40"/>
        <w:spacing w:after="0" w:line="237" w:lineRule="auto"/>
        <w:rPr>
          <w:sz w:val="20"/>
          <w:szCs w:val="20"/>
          <w:color w:val="auto"/>
        </w:rPr>
      </w:pPr>
      <w:r>
        <w:rPr>
          <w:rFonts w:ascii="Arial" w:cs="Arial" w:eastAsia="Arial" w:hAnsi="Arial"/>
          <w:sz w:val="18"/>
          <w:szCs w:val="18"/>
          <w:color w:val="auto"/>
        </w:rPr>
        <w:t>information concerning the Proxy Access Nominee and the Eligible Stockholder that is required to be disclosed in the corporation’s proxy statement pursuant to the proxy rules of the Securities and Exchange Commission (the “SEC”) and (B) a Statement (defined below) (collectively, the “Required Information”). To be timely, the Required Information must be received by the Secretary at the principal office of the corporation within the time period specified in Article II, Section 11(c)(ii). Nothing in this Article II, Section 11(c) shall limit the corporation’s ability to solicit against and include in its proxy statement its own statements relating to any Proxy Access Nominee.</w:t>
      </w:r>
    </w:p>
    <w:p>
      <w:pPr>
        <w:spacing w:after="0" w:line="232" w:lineRule="exact"/>
        <w:rPr>
          <w:sz w:val="20"/>
          <w:szCs w:val="20"/>
          <w:color w:val="auto"/>
        </w:rPr>
      </w:pPr>
    </w:p>
    <w:p>
      <w:pPr>
        <w:ind w:left="4" w:right="40" w:firstLine="644"/>
        <w:spacing w:after="0" w:line="248" w:lineRule="auto"/>
        <w:tabs>
          <w:tab w:leader="none" w:pos="952"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maximum number of Stockholder Nominees nominated by all Eligible Stockholders that will be included in the corporation’s proxy materials with respect to an annual meeting of stockholders shall not exceed the greater of (A) two (2) and (B) 20</w:t>
      </w:r>
    </w:p>
    <w:p>
      <w:pPr>
        <w:spacing w:after="0" w:line="1" w:lineRule="exact"/>
        <w:rPr>
          <w:rFonts w:ascii="Arial" w:cs="Arial" w:eastAsia="Arial" w:hAnsi="Arial"/>
          <w:sz w:val="17"/>
          <w:szCs w:val="17"/>
          <w:color w:val="auto"/>
        </w:rPr>
      </w:pPr>
    </w:p>
    <w:p>
      <w:pPr>
        <w:ind w:left="4" w:right="120" w:hanging="4"/>
        <w:spacing w:after="0"/>
        <w:tabs>
          <w:tab w:leader="none" w:pos="214"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the total number of directors in office (rounded down to the nearest whole number), as of the last day on which a Proxy Access Notice may be delivered pursuant to and in accordance with this Article II, Section 11(v) (the “Permitted Number”); provided, however, the Permitted Number shall be reduced (but not below one) by:</w:t>
      </w:r>
    </w:p>
    <w:p>
      <w:pPr>
        <w:spacing w:after="0" w:line="229" w:lineRule="exact"/>
        <w:rPr>
          <w:rFonts w:ascii="Arial" w:cs="Arial" w:eastAsia="Arial" w:hAnsi="Arial"/>
          <w:sz w:val="18"/>
          <w:szCs w:val="18"/>
          <w:color w:val="auto"/>
        </w:rPr>
      </w:pPr>
    </w:p>
    <w:p>
      <w:pPr>
        <w:ind w:left="644" w:right="20" w:firstLine="652"/>
        <w:spacing w:after="0" w:line="248" w:lineRule="auto"/>
        <w:tabs>
          <w:tab w:leader="none" w:pos="1582" w:val="left"/>
        </w:tabs>
        <w:numPr>
          <w:ilvl w:val="2"/>
          <w:numId w:val="8"/>
        </w:numPr>
        <w:rPr>
          <w:rFonts w:ascii="Arial" w:cs="Arial" w:eastAsia="Arial" w:hAnsi="Arial"/>
          <w:sz w:val="17"/>
          <w:szCs w:val="17"/>
          <w:color w:val="auto"/>
        </w:rPr>
      </w:pPr>
      <w:r>
        <w:rPr>
          <w:rFonts w:ascii="Arial" w:cs="Arial" w:eastAsia="Arial" w:hAnsi="Arial"/>
          <w:sz w:val="17"/>
          <w:szCs w:val="17"/>
          <w:color w:val="auto"/>
        </w:rPr>
        <w:t>the number of individuals who will be included in the corporation’s proxy materials as nominees of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w:t>
      </w:r>
    </w:p>
    <w:p>
      <w:pPr>
        <w:spacing w:after="0" w:line="2" w:lineRule="exact"/>
        <w:rPr>
          <w:rFonts w:ascii="Arial" w:cs="Arial" w:eastAsia="Arial" w:hAnsi="Arial"/>
          <w:sz w:val="17"/>
          <w:szCs w:val="17"/>
          <w:color w:val="auto"/>
        </w:rPr>
      </w:pPr>
    </w:p>
    <w:p>
      <w:pPr>
        <w:ind w:left="644"/>
        <w:spacing w:after="0"/>
        <w:rPr>
          <w:rFonts w:ascii="Arial" w:cs="Arial" w:eastAsia="Arial" w:hAnsi="Arial"/>
          <w:sz w:val="17"/>
          <w:szCs w:val="17"/>
          <w:color w:val="auto"/>
        </w:rPr>
      </w:pPr>
      <w:r>
        <w:rPr>
          <w:rFonts w:ascii="Arial" w:cs="Arial" w:eastAsia="Arial" w:hAnsi="Arial"/>
          <w:sz w:val="18"/>
          <w:szCs w:val="18"/>
          <w:color w:val="auto"/>
        </w:rPr>
        <w:t>(2) annual terms;</w:t>
      </w:r>
    </w:p>
    <w:p>
      <w:pPr>
        <w:spacing w:after="0" w:line="238" w:lineRule="exact"/>
        <w:rPr>
          <w:rFonts w:ascii="Arial" w:cs="Arial" w:eastAsia="Arial" w:hAnsi="Arial"/>
          <w:sz w:val="17"/>
          <w:szCs w:val="17"/>
          <w:color w:val="auto"/>
        </w:rPr>
      </w:pPr>
    </w:p>
    <w:p>
      <w:pPr>
        <w:jc w:val="both"/>
        <w:ind w:left="644" w:right="20" w:firstLine="652"/>
        <w:spacing w:after="0" w:line="238" w:lineRule="auto"/>
        <w:tabs>
          <w:tab w:leader="none" w:pos="1582"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number of directors currently in office that will be included in the corporation’s proxy materials as nominees of the Board of Directors who were previously Proxy Access Nominees elected to the Board of Directors pursuant to this Article II, Section 11(c), other than any such director who at the time of such annual meeting will have served as a director continuously, as a nominee of the Board of Directors, for at least two (2) annual terms.</w:t>
      </w:r>
    </w:p>
    <w:p>
      <w:pPr>
        <w:spacing w:after="0" w:line="232" w:lineRule="exact"/>
        <w:rPr>
          <w:sz w:val="20"/>
          <w:szCs w:val="20"/>
          <w:color w:val="auto"/>
        </w:rPr>
      </w:pPr>
    </w:p>
    <w:p>
      <w:pPr>
        <w:ind w:left="4"/>
        <w:spacing w:after="0" w:line="237" w:lineRule="auto"/>
        <w:rPr>
          <w:sz w:val="20"/>
          <w:szCs w:val="20"/>
          <w:color w:val="auto"/>
        </w:rPr>
      </w:pPr>
      <w:r>
        <w:rPr>
          <w:rFonts w:ascii="Arial" w:cs="Arial" w:eastAsia="Arial" w:hAnsi="Arial"/>
          <w:sz w:val="18"/>
          <w:szCs w:val="18"/>
          <w:color w:val="auto"/>
        </w:rPr>
        <w:t>For purposes of determining when the Permitted Number has been reached, any individual nominated by an Eligible Stockholder for inclusion in the Corporation’s proxy materials pursuant to this Article II, Section 11(c) whose nomination is subsequently withdrawn or whom the Board of Directors decides to nominate for election to the Board of Directors shall be counted as one of the Stockholder Nominees. In the event that one or more vacancies for any reason occurs after the deadline for delivery of Proxy Access Notice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232" w:lineRule="exact"/>
        <w:rPr>
          <w:sz w:val="20"/>
          <w:szCs w:val="20"/>
          <w:color w:val="auto"/>
        </w:rPr>
      </w:pPr>
    </w:p>
    <w:p>
      <w:pPr>
        <w:ind w:left="4" w:right="60"/>
        <w:spacing w:after="0" w:line="236" w:lineRule="auto"/>
        <w:rPr>
          <w:sz w:val="20"/>
          <w:szCs w:val="20"/>
          <w:color w:val="auto"/>
        </w:rPr>
      </w:pPr>
      <w:r>
        <w:rPr>
          <w:rFonts w:ascii="Arial" w:cs="Arial" w:eastAsia="Arial" w:hAnsi="Arial"/>
          <w:sz w:val="18"/>
          <w:szCs w:val="18"/>
          <w:color w:val="auto"/>
        </w:rPr>
        <w:t>Any Eligible Stockholder submitting more than one Stockholder Nominee for inclusion in the Corporation’s proxy materials pursuant to this Article II, Section 11(c) shall rank such Stockholder Nominees based on the order that the Eligible Stockholder desires such Stockholder Nominees to be selected for inclusion in the Corporation’s proxy materials. In the event that the number of Stockholder Nominees submitted by Eligible Stockholders pursuant to this Article II, Section 11(c) exceeds the Permitted Number, the highest ranking Stockholder Nominee who meets the requirements of this Article II, Section 11(c) of each Eligible Stockholder will be selected for inclusion in the Corporation’s proxy materials until the Permitted Number is reached, going in order of the amount (largest to smallest) of shares of the Corporation’s outstanding common stock each Eligible Stockholder disclosed as owned (as defined below) in its respective Proxy Access Notice submitted to the Corporation. If the Permitted Number is not reached after the highest ranking Stockholder Nominee who meets the requirements of this Article II, Section 11(c) from each Eligible Stockholder has been selected, this process will continue with the next highest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4"/>
          </w:cols>
          <w:pgMar w:left="976" w:top="143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ranked nominees as many times as necessary, following the same order each time, until the Permitted Number is reached.</w:t>
      </w:r>
    </w:p>
    <w:p>
      <w:pPr>
        <w:spacing w:after="0" w:line="239" w:lineRule="exact"/>
        <w:rPr>
          <w:sz w:val="20"/>
          <w:szCs w:val="20"/>
          <w:color w:val="auto"/>
        </w:rPr>
      </w:pPr>
    </w:p>
    <w:p>
      <w:pPr>
        <w:ind w:firstLine="644"/>
        <w:spacing w:after="0" w:line="235" w:lineRule="auto"/>
        <w:tabs>
          <w:tab w:leader="none" w:pos="90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Eligible Stockholder must have owned (as defined below) continuously for at least three years a number of shares that represents three percent (3%) or more of the total voting power of the corporation’s outstanding shares entitled to vote in the election of directors as of the most recent date prior to the submission of the Proxy Access Nomination Notice for which such amount is given in any filing by the corporation with the SEC (the “Required Shares”) as of both the date the Proxy Access Nomination Notice is received by the corporation in accordance with this Article II, Section 11(c) and the record date for determining stockholders entitled to vote at the annual meeting of stockholders and must continue to own the Required Shares through the meeting date. For purposes of satisfying the ownership requirement under this Article II, Section 11(c), the voting power represented by the shares of the corporation owned by one or more stockholders, or by the person or persons who own shares of the corporation and on whose behalf any stockholder is acting, may be aggregated, provided that the number of stockholders and other persons whose ownership of shares is aggregated for such purpose shall not exceed twenty (20), and a group of two or more funds that are (A) under common management and investment control, (B) under common management and funded primarily by the same employer (or by a group of related employers that are under common control), or (C) a “group of investment companies,” as such term is defined in Section 12(d)(1)(G)(ii) of the Investment Company Act of 1940, as amended, shall be treated as one stockholder or person for this purpose. With respect to any annual meeting of stockholders, no person may be a member of more than one group of persons constituting an Eligible Stockholder under this Article II, Section 11(c).</w:t>
      </w:r>
    </w:p>
    <w:p>
      <w:pPr>
        <w:spacing w:after="0" w:line="24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For purposes of this Article II, Section 11(c), an Eligible Stockholder shall be deemed to “own” only those outstanding shares of the corporation as to which the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person or any of its affiliates in any transaction that has not been settled or closed, (2) borrowed by such person or any of its affiliates for any purposes or purchased by such person or any of its affiliates pursuant to an agreement to resell, or (3)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the corporation’s outstanding shares, in any such case which instrument or agreement has, or is intended to have, the purpose or effect of reducing in any manner, to any extent or at any time in the future, such person’s or affiliates’ full right to vote or direct the voting of any such shares and/or hedging, offsetting or altering to any degree gain or loss arising from the full economic ownership of such shares by such person or affiliate. A person shall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the person has loaned such shares, provided that the person has the power to recall such loaned shares on five business days’ notice and provides a representation that it will promptly recall such loaned shares upon being notified that any of its Proxy Access Nominees will be included in the corporation’s proxy statement, or the person has delegated any voting power by means of a proxy, power of attorney or other instrument or arrangement that is revocable at any time by the person. The terms “owned,” “owning,” and other variations of the word “own” shall have correlative meanings. For purposes of this Article II, Section 11(c), the term “affiliate” shall have the meaning ascribed thereto pursuant to the proxy rules of the Exchange Act.</w:t>
      </w:r>
    </w:p>
    <w:p>
      <w:pPr>
        <w:spacing w:after="0" w:line="240" w:lineRule="exact"/>
        <w:rPr>
          <w:sz w:val="20"/>
          <w:szCs w:val="20"/>
          <w:color w:val="auto"/>
        </w:rPr>
      </w:pPr>
    </w:p>
    <w:p>
      <w:pPr>
        <w:ind w:right="440" w:firstLine="644"/>
        <w:spacing w:after="0"/>
        <w:tabs>
          <w:tab w:leader="none" w:pos="9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Within the time period specified in Article II, Section 11(c)(ii) for the Proxy Access Nomination Notice, an Eligible Stockholder must provide in writing to the Secretary, with respect to the Stockholder Nominee, in addition to the information and representations required to be provided in the stockholder’s notice pursuant to Article II, Section 11(b), representations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980" w:top="1435" w:right="339" w:bottom="1440" w:gutter="0" w:footer="0" w:header="0"/>
        </w:sectPr>
      </w:pPr>
    </w:p>
    <w:bookmarkStart w:id="11" w:name="page12"/>
    <w:bookmarkEnd w:id="11"/>
    <w:p>
      <w:pPr>
        <w:ind w:left="4"/>
        <w:spacing w:after="0" w:line="235" w:lineRule="auto"/>
        <w:rPr>
          <w:sz w:val="20"/>
          <w:szCs w:val="20"/>
          <w:color w:val="auto"/>
        </w:rPr>
      </w:pPr>
      <w:r>
        <w:rPr>
          <w:rFonts w:ascii="Arial" w:cs="Arial" w:eastAsia="Arial" w:hAnsi="Arial"/>
          <w:sz w:val="18"/>
          <w:szCs w:val="18"/>
          <w:color w:val="auto"/>
        </w:rPr>
        <w:t>agreements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(B) is not and will not become a party to a Compensation Arrangement in connection with such person’s nomination for director and/or service as a director, that has not been disclosed to the corporation. At the request of the corporation, the Proxy Access Nominee must complete, sign and submit all questionnaires required of the Board of Directors within five business days of receipt of each such questionnaire from the corporation and provide within five business days of the corporation’s request such additional information as the corporation determines may be necessary to permit the Board of Directors to determine whether such Proxy Access Nominee meets the requirements of this Article II, Section 11(c) and/or satisfies the Board Qualifications, including whether: (1) such Proxy Access Nominee is independent under the listing standards of each principal U.S. exchange upon which the corporation’s shares are listed, any applicable rules of the SEC, and any publicly disclosed standards used by the Board of Directors in determining and disclosing the independence of members of the Board of Directors (the “Independence Standards”), (2) such Proxy Access Nominee has any direct or indirect relationship with the corporation, and (3) such Proxy Access Nominee is not and has not been subject to any event specified in Item 401(f) of Regulation S-K under the Securities Act, or any order of the type specified in Rule 506(d) of Regulation D under the Securities Act.</w:t>
      </w:r>
    </w:p>
    <w:p>
      <w:pPr>
        <w:spacing w:after="0" w:line="240" w:lineRule="exact"/>
        <w:rPr>
          <w:sz w:val="20"/>
          <w:szCs w:val="20"/>
          <w:color w:val="auto"/>
        </w:rPr>
      </w:pPr>
    </w:p>
    <w:p>
      <w:pPr>
        <w:ind w:left="4" w:right="80" w:firstLine="644"/>
        <w:spacing w:after="0" w:line="234" w:lineRule="auto"/>
        <w:tabs>
          <w:tab w:leader="none" w:pos="9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Within the time period specified in Article II, Section 11(c)(ii) for the Proxy Access Nomination Notice, an Eligible Stockholder must provide the following information, representations and agreements: (A) the information and representations that would be required to be set forth in stockholder’s notice of a nomination pursuant to Article II, Section 11(b); (B) one or more written statements from the record holder of the shares (and from each intermediary through which the shares are or have been held during the requisite three-year holding period) verifying that, as of a date within seven calendar days prior to the date the Proxy Access Nomination Notice is received by the secretary of the Company, the Eligible Stockholder owns, and has owned continuously for the preceding three years, the Required Shares, and the Eligible Stockholder’s agreement to provide (1) written statements from the record holder and intermediaries verifying the Eligible Stockholder’s continuous ownership of the Required Shares through the record date by not later than the close of business on the fifth business day after (x) the record date (if, prior to the record date, the Company (a) disclosed such date by press release or any filing with the SEC or (b) delivered a written notice of the record date (including by electronic mail) to the Eligible Stockholder) or (y) the date on which the Company delivered to the Eligible Stockholder written notice (including by electronic mail) of the record date (if such notice is provided after the record date); and (2) immediate notice if the Eligible Stockholder ceases to own any of the Required Shares prior to the date of the annual meeting of stockholders;</w:t>
      </w:r>
    </w:p>
    <w:p>
      <w:pPr>
        <w:spacing w:after="0" w:line="8" w:lineRule="exact"/>
        <w:rPr>
          <w:rFonts w:ascii="Arial" w:cs="Arial" w:eastAsia="Arial" w:hAnsi="Arial"/>
          <w:sz w:val="18"/>
          <w:szCs w:val="18"/>
          <w:color w:val="auto"/>
        </w:rPr>
      </w:pPr>
    </w:p>
    <w:p>
      <w:pPr>
        <w:ind w:left="4" w:right="80" w:hanging="4"/>
        <w:spacing w:after="0" w:line="236" w:lineRule="auto"/>
        <w:tabs>
          <w:tab w:leader="none" w:pos="3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documentation satisfactory to the Company demonstrating that a group of funds are entitled to be treated as one stockholder or person for purposes of this Article II, Section 11(c); (D) a representation that the Eligible Stockholder (including each member of any group of stockholders that together is an Eligible Stockholder hereunder): (1) acquired the Required Shares in the ordinary course of business and not with the intent to change or influence control of the Company, and does not presently have such intent, (2) has not nominated and will not nominate for election to the Board of Directors at the meeting any person other than the Proxy Access Nominee(s) being nominated pursuant to this Article II, Section 11(c) (3)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Proxy Access Nominee(s) or a nominee of the Board of Directors, (4) will not distribute to any stockholder any form of proxy for the annual meeting of stockholders other than the form distributed by the corporation, and (5)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(E) a description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4"/>
          </w:cols>
          <w:pgMar w:left="976" w:top="1435" w:right="339" w:bottom="1440" w:gutter="0" w:footer="0" w:header="0"/>
        </w:sectPr>
      </w:pPr>
    </w:p>
    <w:bookmarkStart w:id="12" w:name="page13"/>
    <w:bookmarkEnd w:id="12"/>
    <w:p>
      <w:pPr>
        <w:spacing w:after="0" w:line="235" w:lineRule="auto"/>
        <w:rPr>
          <w:sz w:val="20"/>
          <w:szCs w:val="20"/>
          <w:color w:val="auto"/>
        </w:rPr>
      </w:pPr>
      <w:r>
        <w:rPr>
          <w:rFonts w:ascii="Arial" w:cs="Arial" w:eastAsia="Arial" w:hAnsi="Arial"/>
          <w:sz w:val="18"/>
          <w:szCs w:val="18"/>
          <w:color w:val="auto"/>
        </w:rPr>
        <w:t>agreements, arrangements or understandings between the Eligible Stockholder and each Stockholder Nominee and any other person or persons, including the Stockholder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Stockholder Nominee were a director or executive officer of such registrant (the “Related Person Agreements”); (F) the written consent of each Proxy Access Nominee to be named in the corporation’s proxy statement as a nominee and to serve as a director if elected; (G) a copy of the Schedule 14N that has been filed with the SEC as required by Rule 14a-18 under the Exchange Act; (H) in the case of a nomination by a group of stockholders that together is an Eligible Stockholder, the designation by all group members of one group member that is authorized to act on behalf of all members of the nominating stockholder group with respect to the nominations and matters related thereto, including withdrawal of the nomination; and (I)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Company, (2) indemnify and hold harmless the Company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solicitation or other activity by the Eligible Stockholder in connection with its efforts to elect the Proxy Access Nominee pursuant to this Article II, Section 11(c), (3) file with the SEC any solicitation with the corporation’s stockholders relating to the meeting at which the Proxy Access Nominee will be nominated, regardless of whether any such filing is required pursuant to the proxy rules of the SEC or whether any exemption from filing is available for such solicitation pursuant to the proxy rules of the SEC, and (4) comply with all other applicable laws, rules, regulations and listing standards with respect to any solicitation in connection with the meeting.</w:t>
      </w:r>
    </w:p>
    <w:p>
      <w:pPr>
        <w:spacing w:after="0" w:line="239" w:lineRule="exact"/>
        <w:rPr>
          <w:sz w:val="20"/>
          <w:szCs w:val="20"/>
          <w:color w:val="auto"/>
        </w:rPr>
      </w:pPr>
    </w:p>
    <w:p>
      <w:pPr>
        <w:ind w:firstLine="644"/>
        <w:spacing w:after="0" w:line="238" w:lineRule="auto"/>
        <w:tabs>
          <w:tab w:leader="none" w:pos="10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Eligible Stockholder may with its Proxy Access Nomination Notice, provide to the Secretary, a written statement for inclusion in the corporation’s proxy statement for the annual meeting of stockholders, not to exceed 500 words per Proxy Access Nominee, in support of each Proxy Access Nominee it names in its Notice (the “Statement”). Notwithstanding anything to the contrary contained in this Article II, Section 11(c) the corporation may omit from its proxy statement any information or Statement that it believes would violate any applicable law, rule, regulation, or listing standard.</w:t>
      </w:r>
    </w:p>
    <w:p>
      <w:pPr>
        <w:spacing w:after="0" w:line="229" w:lineRule="exact"/>
        <w:rPr>
          <w:rFonts w:ascii="Arial" w:cs="Arial" w:eastAsia="Arial" w:hAnsi="Arial"/>
          <w:sz w:val="18"/>
          <w:szCs w:val="18"/>
          <w:color w:val="auto"/>
        </w:rPr>
      </w:pPr>
    </w:p>
    <w:p>
      <w:pPr>
        <w:ind w:right="260" w:firstLine="644"/>
        <w:spacing w:after="0" w:line="238" w:lineRule="auto"/>
        <w:tabs>
          <w:tab w:leader="none" w:pos="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any such inaccuracy or omission in such previously provided information and of the information that is required to make such information or communication true and correct.</w:t>
      </w:r>
    </w:p>
    <w:p>
      <w:pPr>
        <w:spacing w:after="0" w:line="229" w:lineRule="exact"/>
        <w:rPr>
          <w:rFonts w:ascii="Arial" w:cs="Arial" w:eastAsia="Arial" w:hAnsi="Arial"/>
          <w:sz w:val="18"/>
          <w:szCs w:val="18"/>
          <w:color w:val="auto"/>
        </w:rPr>
      </w:pPr>
    </w:p>
    <w:p>
      <w:pPr>
        <w:ind w:right="20" w:firstLine="644"/>
        <w:spacing w:after="0" w:line="237" w:lineRule="auto"/>
        <w:tabs>
          <w:tab w:leader="none" w:pos="9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corporation shall not be required to include pursuant to this Article II, Section 11(c) any Proxy Access Nominee in its proxy materials (or, if the proxy materials have already been filed, to allow the nomination of a Proxy Access Nominee, notwithstanding that proxies in respect of such vote may have been received by the corporation) if (A) the Secretary receives a notice that any stockholder has nominated any person for election to the Board of Directors at such meeting pursuant to the advance notice requirements set forth in Article II, Section 11(b); (B) the Eligible Stockholder has or is engaged in, or has been or is a “participant” in another person’s, “solicitation” within the meaning of Rule 14a-1(l) under the Exchange Act in support of the election of any individual as a director at the annual meeting of stockholders other than its Proxy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980" w:top="1435" w:right="359" w:bottom="1440" w:gutter="0" w:footer="0" w:header="0"/>
        </w:sectPr>
      </w:pPr>
    </w:p>
    <w:bookmarkStart w:id="13" w:name="page14"/>
    <w:bookmarkEnd w:id="13"/>
    <w:p>
      <w:pPr>
        <w:ind w:left="640" w:right="40"/>
        <w:spacing w:after="0" w:line="236" w:lineRule="auto"/>
        <w:rPr>
          <w:sz w:val="20"/>
          <w:szCs w:val="20"/>
          <w:color w:val="auto"/>
        </w:rPr>
      </w:pPr>
      <w:r>
        <w:rPr>
          <w:rFonts w:ascii="Arial" w:cs="Arial" w:eastAsia="Arial" w:hAnsi="Arial"/>
          <w:sz w:val="18"/>
          <w:szCs w:val="18"/>
          <w:color w:val="auto"/>
        </w:rPr>
        <w:t>Nominee(s) or any other nominee of the Board of Directors, (C) the Proxy Access Nominee is determined by the Board of Directors not to be independent under the Independence Standards, (D) the Proxy Access Nominee’s election as a director would cause the corporation to be in violation of these Bylaws, the corporation’s certificate of incorporation, the Board Qualifications, the listing standards of the principal exchange upon which the corporation’s shares are traded, or any applicable state or federal law, rule or regulation, (E) the Proxy Access Nominee is or becomes a party to any undisclosed Voting Commitment or Compensation Arrangement, (F) the Proxy Access Nominee is or has been, within the past three years, an officer or director of a competitor, as defined in Section 8 of the Clayton Antitrust Act of 1914, (G) the Proxy Access Nominee is a named subject of a pending criminal proceeding (excluding traffic violations and other minor offenses) or has been convicted in such a criminal proceeding within the past ten years, (H) the Proxy Access Nominee is subject to any order of the type specified in Rule 506(d) of Regulation D under the Securities Act, or (I)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Article II, Section 11(c).</w:t>
      </w:r>
    </w:p>
    <w:p>
      <w:pPr>
        <w:spacing w:after="0" w:line="230" w:lineRule="exact"/>
        <w:rPr>
          <w:sz w:val="20"/>
          <w:szCs w:val="20"/>
          <w:color w:val="auto"/>
        </w:rPr>
      </w:pPr>
    </w:p>
    <w:p>
      <w:pPr>
        <w:ind w:left="640" w:right="20" w:firstLine="644"/>
        <w:spacing w:after="0" w:line="236" w:lineRule="auto"/>
        <w:tabs>
          <w:tab w:leader="none" w:pos="15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if (A) the Proxy Access Nominee and/or the applicable Eligible Stockholder shall have breached its or their agreements, representations, undertakings and/or obligations pursuant to this Article II, Section 11(c) as determined by the Board of Directors or the person presiding at the meeting, or (B) the Eligible Stockholder (or a qualified representative thereof) does not appear at the meeting to present any nomination pursuant to this Article II, Section 11(c),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and the corporation shall not be required to include in its proxy statement any successor or replacement nominee proposed by the applicable Eligible Stockholder or any other Eligible Stockholder.</w:t>
      </w:r>
    </w:p>
    <w:p>
      <w:pPr>
        <w:spacing w:after="0" w:line="234" w:lineRule="exact"/>
        <w:rPr>
          <w:rFonts w:ascii="Arial" w:cs="Arial" w:eastAsia="Arial" w:hAnsi="Arial"/>
          <w:sz w:val="18"/>
          <w:szCs w:val="18"/>
          <w:color w:val="auto"/>
        </w:rPr>
      </w:pPr>
    </w:p>
    <w:p>
      <w:pPr>
        <w:ind w:left="640" w:firstLine="644"/>
        <w:spacing w:after="0" w:line="238" w:lineRule="auto"/>
        <w:tabs>
          <w:tab w:leader="none" w:pos="16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Stockholder Nominee who is included in the corporation’s proxy materials for a particular annual meeting of stockholders but either (A) withdraws from or becomes ineligible or unavailable for election at the meeting, or (B) does not receive at least twenty percent (20%) of the votes cast in favor of the Proxy Access Nominee’s election, shall be ineligible to be a Proxy Access Nominee pursuant to this Article II, Section 11(c) for the next two annual meetings of stockholders following the meeting for which the Stockholder Nominee has been nominated for election.</w:t>
      </w:r>
    </w:p>
    <w:p>
      <w:pPr>
        <w:spacing w:after="0" w:line="229" w:lineRule="exact"/>
        <w:rPr>
          <w:rFonts w:ascii="Arial" w:cs="Arial" w:eastAsia="Arial" w:hAnsi="Arial"/>
          <w:sz w:val="18"/>
          <w:szCs w:val="18"/>
          <w:color w:val="auto"/>
        </w:rPr>
      </w:pPr>
    </w:p>
    <w:p>
      <w:pPr>
        <w:ind w:left="640" w:right="520" w:firstLine="644"/>
        <w:spacing w:after="0" w:line="246" w:lineRule="auto"/>
        <w:tabs>
          <w:tab w:leader="none" w:pos="16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This Article II, Section 11(c) provides the exclusive method for stockholders to include nominees for director in the corporation’s proxy materials with respect to an annual meeting of stockholders.</w:t>
      </w:r>
    </w:p>
    <w:p>
      <w:pPr>
        <w:spacing w:after="0" w:line="223" w:lineRule="exact"/>
        <w:rPr>
          <w:rFonts w:ascii="Arial" w:cs="Arial" w:eastAsia="Arial" w:hAnsi="Arial"/>
          <w:sz w:val="18"/>
          <w:szCs w:val="18"/>
          <w:color w:val="auto"/>
        </w:rPr>
      </w:pPr>
    </w:p>
    <w:p>
      <w:pPr>
        <w:ind w:left="-20" w:right="520" w:firstLine="656"/>
        <w:spacing w:after="0" w:line="246" w:lineRule="auto"/>
        <w:tabs>
          <w:tab w:leader="none" w:pos="898"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all business other than director nominations, a stockholder's notice to the Secretary shall set forth as to each matter the stockholder proposes to bring before the annual meeting or properly called special meeting:</w:t>
      </w:r>
    </w:p>
    <w:p>
      <w:pPr>
        <w:spacing w:after="0" w:line="223" w:lineRule="exact"/>
        <w:rPr>
          <w:rFonts w:ascii="Arial" w:cs="Arial" w:eastAsia="Arial" w:hAnsi="Arial"/>
          <w:sz w:val="18"/>
          <w:szCs w:val="18"/>
          <w:color w:val="auto"/>
        </w:rPr>
      </w:pPr>
    </w:p>
    <w:p>
      <w:pPr>
        <w:ind w:left="640" w:right="40" w:firstLine="644"/>
        <w:spacing w:after="0" w:line="246" w:lineRule="auto"/>
        <w:tabs>
          <w:tab w:leader="none" w:pos="14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and the reasons for conducting such business at the meeting,</w:t>
      </w:r>
    </w:p>
    <w:p>
      <w:pPr>
        <w:spacing w:after="0" w:line="223" w:lineRule="exact"/>
        <w:rPr>
          <w:rFonts w:ascii="Arial" w:cs="Arial" w:eastAsia="Arial" w:hAnsi="Arial"/>
          <w:sz w:val="18"/>
          <w:szCs w:val="18"/>
          <w:color w:val="auto"/>
        </w:rPr>
      </w:pPr>
    </w:p>
    <w:p>
      <w:pPr>
        <w:ind w:left="640" w:right="340" w:firstLine="644"/>
        <w:spacing w:after="0" w:line="238" w:lineRule="auto"/>
        <w:tabs>
          <w:tab w:leader="none" w:pos="153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other information relating to the proposing stockholder or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40" w:top="1435" w:right="339" w:bottom="1440" w:gutter="0" w:footer="0" w:header="0"/>
        </w:sectPr>
      </w:pPr>
    </w:p>
    <w:bookmarkStart w:id="14" w:name="page15"/>
    <w:bookmarkEnd w:id="14"/>
    <w:p>
      <w:pPr>
        <w:jc w:val="both"/>
        <w:ind w:left="660" w:right="60" w:firstLine="644"/>
        <w:spacing w:after="0" w:line="254" w:lineRule="auto"/>
        <w:tabs>
          <w:tab w:leader="none" w:pos="15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w:t>
      </w:r>
    </w:p>
    <w:p>
      <w:pPr>
        <w:spacing w:after="0" w:line="230" w:lineRule="exact"/>
        <w:rPr>
          <w:rFonts w:ascii="Arial" w:cs="Arial" w:eastAsia="Arial" w:hAnsi="Arial"/>
          <w:sz w:val="18"/>
          <w:szCs w:val="18"/>
          <w:color w:val="auto"/>
        </w:rPr>
      </w:pPr>
    </w:p>
    <w:p>
      <w:pPr>
        <w:ind w:left="1600" w:hanging="296"/>
        <w:spacing w:after="0"/>
        <w:tabs>
          <w:tab w:leader="none" w:pos="1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required by Article II, Section 11(b)(vi) above.</w:t>
      </w:r>
    </w:p>
    <w:p>
      <w:pPr>
        <w:spacing w:after="0" w:line="23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w:t>
      </w:r>
    </w:p>
    <w:p>
      <w:pPr>
        <w:spacing w:after="0" w:line="224" w:lineRule="exact"/>
        <w:rPr>
          <w:sz w:val="20"/>
          <w:szCs w:val="20"/>
          <w:color w:val="auto"/>
        </w:rPr>
      </w:pPr>
    </w:p>
    <w:p>
      <w:pPr>
        <w:jc w:val="both"/>
        <w:ind w:right="520" w:firstLine="656"/>
        <w:spacing w:after="0"/>
        <w:tabs>
          <w:tab w:leader="none" w:pos="9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 any committee thereof (or stockholders pursuant to Article II, Section 5</w:t>
      </w:r>
    </w:p>
    <w:p>
      <w:pPr>
        <w:ind w:left="660"/>
        <w:spacing w:after="0"/>
        <w:rPr>
          <w:rFonts w:ascii="Arial" w:cs="Arial" w:eastAsia="Arial" w:hAnsi="Arial"/>
          <w:sz w:val="18"/>
          <w:szCs w:val="18"/>
          <w:color w:val="auto"/>
        </w:rPr>
      </w:pPr>
      <w:r>
        <w:rPr>
          <w:rFonts w:ascii="Arial" w:cs="Arial" w:eastAsia="Arial" w:hAnsi="Arial"/>
          <w:sz w:val="18"/>
          <w:szCs w:val="18"/>
          <w:color w:val="auto"/>
        </w:rPr>
        <w:t>above), or</w:t>
      </w:r>
    </w:p>
    <w:p>
      <w:pPr>
        <w:spacing w:after="0" w:line="238" w:lineRule="exact"/>
        <w:rPr>
          <w:rFonts w:ascii="Arial" w:cs="Arial" w:eastAsia="Arial" w:hAnsi="Arial"/>
          <w:sz w:val="18"/>
          <w:szCs w:val="18"/>
          <w:color w:val="auto"/>
        </w:rPr>
      </w:pPr>
    </w:p>
    <w:p>
      <w:pPr>
        <w:jc w:val="both"/>
        <w:ind w:left="660" w:right="40" w:firstLine="644"/>
        <w:spacing w:after="0" w:line="238" w:lineRule="auto"/>
        <w:tabs>
          <w:tab w:leader="none" w:pos="15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provided that the Board of Directors (or stockholders pursuant to Article II, Section 5 above) has determined that directors shall be elected at such meeting, by any stockholder of the corporation who is a stockholder of record at the time the notice provided for in this Article II, Section 11 is delivered to the Secretary, who is entitled to vote at the meeting and upon such election and who complies with the notice procedures set forth in this Article II, Section 11.</w:t>
      </w:r>
    </w:p>
    <w:p>
      <w:pPr>
        <w:spacing w:after="0" w:line="232"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Article II, Section 11 shall be delivered to the Secretary at the principal executive offices of the corporation not later than the close of business on the tenth (10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day on which notice of the date of the special meeting was mailed or public disclosure of the date of the special meeting was made by the corporation, whichever first occurs. In no event shall any adjournment or postponement of a special meeting, or the public disclosure thereof, commence a new time period (or extend any notice time period).</w:t>
      </w:r>
    </w:p>
    <w:p>
      <w:pPr>
        <w:spacing w:after="0" w:line="229" w:lineRule="exact"/>
        <w:rPr>
          <w:sz w:val="20"/>
          <w:szCs w:val="20"/>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w:t>
      </w:r>
    </w:p>
    <w:p>
      <w:pPr>
        <w:spacing w:after="0" w:line="238" w:lineRule="exact"/>
        <w:rPr>
          <w:rFonts w:ascii="Arial" w:cs="Arial" w:eastAsia="Arial" w:hAnsi="Arial"/>
          <w:sz w:val="18"/>
          <w:szCs w:val="18"/>
          <w:color w:val="auto"/>
        </w:rPr>
      </w:pPr>
    </w:p>
    <w:p>
      <w:pPr>
        <w:ind w:left="660" w:right="720" w:firstLine="644"/>
        <w:spacing w:after="0" w:line="246" w:lineRule="auto"/>
        <w:tabs>
          <w:tab w:leader="none" w:pos="15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 nominations shall be made or business shall be conducted at any annual meeting or special meeting except in accordance with the procedures set forth in this Article II, Section 11, and</w:t>
      </w:r>
    </w:p>
    <w:p>
      <w:pPr>
        <w:spacing w:after="0" w:line="223" w:lineRule="exact"/>
        <w:rPr>
          <w:rFonts w:ascii="Arial" w:cs="Arial" w:eastAsia="Arial" w:hAnsi="Arial"/>
          <w:sz w:val="18"/>
          <w:szCs w:val="18"/>
          <w:color w:val="auto"/>
        </w:rPr>
      </w:pPr>
    </w:p>
    <w:p>
      <w:pPr>
        <w:ind w:left="660" w:firstLine="644"/>
        <w:spacing w:after="0" w:line="236" w:lineRule="auto"/>
        <w:tabs>
          <w:tab w:leader="none" w:pos="15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at the meeting to present the proposed business or nominations, such business or nominations shall not be considered, notwithstanding that proxies in respect of such business or nominations may have been received by the corporation. The Chair of the meeting shall, if the facts warrant, determine and declare at the meeting that any nomination or business, as the case may be, was not properly brought before the meeting and in accordance with the provisions of this Article II, Section 11, and, if he should so determine, he shall so declare at the meeting that any such nomination or business, as the case may be, not properly brought before the meeting shall not be transacted.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35"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b w:val="1"/>
          <w:bCs w:val="1"/>
          <w:color w:val="auto"/>
        </w:rPr>
        <w:t>Section 12. Conduct of Meetings.</w:t>
      </w:r>
    </w:p>
    <w:p>
      <w:pPr>
        <w:spacing w:after="0" w:line="261" w:lineRule="exact"/>
        <w:rPr>
          <w:sz w:val="20"/>
          <w:szCs w:val="20"/>
          <w:color w:val="auto"/>
        </w:rPr>
      </w:pPr>
    </w:p>
    <w:p>
      <w:pPr>
        <w:ind w:firstLine="656"/>
        <w:spacing w:after="0" w:line="238" w:lineRule="auto"/>
        <w:tabs>
          <w:tab w:leader="none" w:pos="9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 of the Board of Directors, if any, or in his or her absence, the Chief Executive Officer, if any, or in his or her absence by the President, if any, or in the absence of the foregoing persons by a Chair designated by the Board of Directors, or in the absence of such designation by a Chair chosen at the meeting. The Secretary shall act as secretary of the meeting, but in his or her absence the Chair of the meeting may appoint any person to act as secretary of the meeting.</w:t>
      </w:r>
    </w:p>
    <w:p>
      <w:pPr>
        <w:spacing w:after="0" w:line="231" w:lineRule="exact"/>
        <w:rPr>
          <w:rFonts w:ascii="Arial" w:cs="Arial" w:eastAsia="Arial" w:hAnsi="Arial"/>
          <w:sz w:val="18"/>
          <w:szCs w:val="18"/>
          <w:color w:val="auto"/>
        </w:rPr>
      </w:pPr>
    </w:p>
    <w:p>
      <w:pPr>
        <w:ind w:firstLine="656"/>
        <w:spacing w:after="0" w:line="235" w:lineRule="auto"/>
        <w:tabs>
          <w:tab w:leader="none" w:pos="9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 Inspector of Elections.</w:t>
      </w:r>
    </w:p>
    <w:p>
      <w:pPr>
        <w:spacing w:after="0" w:line="261"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 DIRECTORS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13" w:right="339" w:bottom="1440" w:gutter="0" w:footer="0" w:header="0"/>
        </w:sectPr>
      </w:pPr>
    </w:p>
    <w:bookmarkStart w:id="16" w:name="page17"/>
    <w:bookmarkEnd w:id="16"/>
    <w:p>
      <w:pPr>
        <w:spacing w:after="0" w:line="238" w:lineRule="exact"/>
        <w:rPr>
          <w:sz w:val="20"/>
          <w:szCs w:val="20"/>
          <w:color w:val="auto"/>
        </w:rPr>
      </w:pPr>
    </w:p>
    <w:p>
      <w:pPr>
        <w:jc w:val="both"/>
        <w:ind w:right="340" w:firstLine="648"/>
        <w:spacing w:after="0"/>
        <w:rPr>
          <w:sz w:val="20"/>
          <w:szCs w:val="20"/>
          <w:color w:val="auto"/>
        </w:rPr>
      </w:pPr>
      <w:r>
        <w:rPr>
          <w:rFonts w:ascii="Arial" w:cs="Arial" w:eastAsia="Arial" w:hAnsi="Arial"/>
          <w:sz w:val="18"/>
          <w:szCs w:val="18"/>
          <w:color w:val="auto"/>
        </w:rPr>
        <w:t>The authorized number of directors of the corporation shall be eight. The number of directors provided in this Article III, Section 1 may be changed from time to time by a Bylaw duly adopted by the affirmative vote of a majority in voting power of the outstanding shares entitled to vote or by a resolution of the Board of Directors.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Election of Directors.</w:t>
      </w:r>
    </w:p>
    <w:p>
      <w:pPr>
        <w:spacing w:after="0" w:line="261"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The directors shall be elected at each annual meeting of stockholders, but if any such annual meeting is not held, or the directors are not elected thereat, the directors may be elected at any special meeting of the stockholders held for that purpose. All directors shall hold office until the expiration of the term for which elected and qualified and until their respective successors are elected, except in the case of death, resignation or removal of any director. A director need not be a stockholder.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Majority Voting.</w:t>
      </w:r>
    </w:p>
    <w:p>
      <w:pPr>
        <w:spacing w:after="0" w:line="26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Except as provided in Section 5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not counted as a vote cast either “for” or “against” that director’s election). The Governance and Sustainability Committee has established procedures under which any incumbent director that fails to receive a majority of the votes cast in an election that is not a Contested Election shall offer to tender his or her resignation to the Board. The Governance and Sustainability Committee shall make a recommendation to the Board on whether to accept or reject the resignation of such incumbent director, or whether other action should be taken. The Board shall act on the resignation, taking into account the Governance and Sustainability Committee’s recommendation, and publicly disclose its decision and the rationale behind it within ninety (90) days from the date of the certification of the election results.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Resignation of Directors.</w:t>
      </w:r>
    </w:p>
    <w:p>
      <w:pPr>
        <w:spacing w:after="0" w:line="261" w:lineRule="exact"/>
        <w:rPr>
          <w:sz w:val="20"/>
          <w:szCs w:val="20"/>
          <w:color w:val="auto"/>
        </w:rPr>
      </w:pPr>
    </w:p>
    <w:p>
      <w:pPr>
        <w:ind w:right="120" w:firstLine="648"/>
        <w:spacing w:after="0" w:line="261" w:lineRule="auto"/>
        <w:rPr>
          <w:sz w:val="20"/>
          <w:szCs w:val="20"/>
          <w:color w:val="auto"/>
        </w:rPr>
      </w:pPr>
      <w:r>
        <w:rPr>
          <w:rFonts w:ascii="Arial" w:cs="Arial" w:eastAsia="Arial" w:hAnsi="Arial"/>
          <w:sz w:val="17"/>
          <w:szCs w:val="17"/>
          <w:color w:val="auto"/>
        </w:rPr>
        <w:t>Any director may resign effective upon giving notice in writing or by electronic transmission to the Chair of the Board, the Chief Executive Officer, the President, the Secretary or the Board of Directors, unless the notice specifies a later time for the effectiveness of such resignation. If the resignation is effective at a future time, a successor may be elected to take office when the resignation becomes effective.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Removal of Directors.</w:t>
      </w:r>
    </w:p>
    <w:p>
      <w:pPr>
        <w:spacing w:after="0" w:line="261" w:lineRule="exact"/>
        <w:rPr>
          <w:sz w:val="20"/>
          <w:szCs w:val="20"/>
          <w:color w:val="auto"/>
        </w:rPr>
      </w:pPr>
    </w:p>
    <w:p>
      <w:pPr>
        <w:jc w:val="both"/>
        <w:ind w:right="180" w:firstLine="648"/>
        <w:spacing w:after="0" w:line="238" w:lineRule="auto"/>
        <w:rPr>
          <w:sz w:val="20"/>
          <w:szCs w:val="20"/>
          <w:color w:val="auto"/>
        </w:rPr>
      </w:pPr>
      <w:r>
        <w:rPr>
          <w:rFonts w:ascii="Arial" w:cs="Arial" w:eastAsia="Arial" w:hAnsi="Arial"/>
          <w:sz w:val="18"/>
          <w:szCs w:val="18"/>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Vacancies.</w:t>
      </w:r>
    </w:p>
    <w:p>
      <w:pPr>
        <w:spacing w:after="0" w:line="261"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Unless otherwise provided by law or the Certificate of Incorporation, any newly created directorship or any vacancy occurring in the Board of Directors for any reason shall be filled by a majority of the directors then in office, whether or not less than a quorum, or by a sole remaining director.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7" w:name="page18"/>
    <w:bookmarkEnd w:id="17"/>
    <w:p>
      <w:pPr>
        <w:ind w:right="280"/>
        <w:spacing w:after="0" w:line="246" w:lineRule="auto"/>
        <w:rPr>
          <w:sz w:val="20"/>
          <w:szCs w:val="20"/>
          <w:color w:val="auto"/>
        </w:rPr>
      </w:pPr>
      <w:r>
        <w:rPr>
          <w:rFonts w:ascii="Arial" w:cs="Arial" w:eastAsia="Arial" w:hAnsi="Arial"/>
          <w:sz w:val="18"/>
          <w:szCs w:val="18"/>
          <w:color w:val="auto"/>
        </w:rPr>
        <w:t>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224"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Powers.</w:t>
      </w:r>
    </w:p>
    <w:p>
      <w:pPr>
        <w:spacing w:after="0" w:line="26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 Place of Meetings.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the corporation may hold meetings, both regular and special, either within or without the State of Delaware.</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 Notice.</w:t>
      </w:r>
    </w:p>
    <w:p>
      <w:pPr>
        <w:spacing w:after="0" w:line="261"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 Special Meetings.</w:t>
      </w:r>
    </w:p>
    <w:p>
      <w:pPr>
        <w:spacing w:after="0" w:line="261"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Special meetings of the Board may be called by the Chair of the Board of Directors or the Chief Executive Officer on two (2) days' notice to each director, either personally or by mail or by phone, facsimile or other electronic transmission; special meetings shall be called by the Chief Executive Officer or Secretary in like manner and on like notice on the request of the Chair of the Board of Directors or two (2) directors.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 Quorum.</w:t>
      </w:r>
    </w:p>
    <w:p>
      <w:pPr>
        <w:spacing w:after="0" w:line="261"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 Written Consent.</w:t>
      </w:r>
    </w:p>
    <w:p>
      <w:pPr>
        <w:spacing w:after="0" w:line="261"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transmissions are filed with the minutes of proceedings of the Board of Directors or committee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35"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color w:val="auto"/>
        </w:rPr>
        <w:t>Section 13. Meeting by Telephone.</w:t>
      </w:r>
    </w:p>
    <w:p>
      <w:pPr>
        <w:spacing w:after="0" w:line="261"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14. Board Committees.</w:t>
      </w:r>
    </w:p>
    <w:p>
      <w:pPr>
        <w:spacing w:after="0" w:line="243" w:lineRule="exact"/>
        <w:rPr>
          <w:sz w:val="20"/>
          <w:szCs w:val="20"/>
          <w:color w:val="auto"/>
        </w:rPr>
      </w:pPr>
    </w:p>
    <w:p>
      <w:pPr>
        <w:ind w:firstLine="656"/>
        <w:spacing w:after="0" w:line="239" w:lineRule="auto"/>
        <w:tabs>
          <w:tab w:leader="none" w:pos="91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Executive Committee. </w:t>
      </w:r>
      <w:r>
        <w:rPr>
          <w:rFonts w:ascii="Arial" w:cs="Arial" w:eastAsia="Arial" w:hAnsi="Arial"/>
          <w:sz w:val="18"/>
          <w:szCs w:val="18"/>
          <w:color w:val="auto"/>
        </w:rPr>
        <w:t>The Board of Directors may designate an executive committee consisting of one or more of the directors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The Board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214" w:lineRule="exact"/>
        <w:rPr>
          <w:rFonts w:ascii="Arial" w:cs="Arial" w:eastAsia="Arial" w:hAnsi="Arial"/>
          <w:sz w:val="18"/>
          <w:szCs w:val="18"/>
          <w:color w:val="auto"/>
        </w:rPr>
      </w:pPr>
    </w:p>
    <w:p>
      <w:pPr>
        <w:ind w:right="60" w:firstLine="656"/>
        <w:spacing w:after="0" w:line="238" w:lineRule="auto"/>
        <w:tabs>
          <w:tab w:leader="none" w:pos="91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Other Committees. </w:t>
      </w:r>
      <w:r>
        <w:rPr>
          <w:rFonts w:ascii="Arial" w:cs="Arial" w:eastAsia="Arial" w:hAnsi="Arial"/>
          <w:sz w:val="18"/>
          <w:szCs w:val="18"/>
          <w:color w:val="auto"/>
        </w:rPr>
        <w:t>The Board of Directors may designate such other committees, each consisting of one or more directors, as it</w:t>
      </w:r>
      <w:r>
        <w:rPr>
          <w:rFonts w:ascii="Arial" w:cs="Arial" w:eastAsia="Arial" w:hAnsi="Arial"/>
          <w:sz w:val="18"/>
          <w:szCs w:val="18"/>
          <w:i w:val="1"/>
          <w:iCs w:val="1"/>
          <w:color w:val="auto"/>
        </w:rPr>
        <w:t xml:space="preserve"> </w:t>
      </w:r>
      <w:r>
        <w:rPr>
          <w:rFonts w:ascii="Arial" w:cs="Arial" w:eastAsia="Arial" w:hAnsi="Arial"/>
          <w:sz w:val="18"/>
          <w:szCs w:val="18"/>
          <w:color w:val="auto"/>
        </w:rPr>
        <w:t>may from time to time deem advisable to perform such general or special duties as may from time to time be delegated to any such committee by the Board of Directors, subject to the limitations imposed by law, the Certificate of Incorporation or by these Bylaws. The Board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215" w:lineRule="exact"/>
        <w:rPr>
          <w:rFonts w:ascii="Arial" w:cs="Arial" w:eastAsia="Arial" w:hAnsi="Arial"/>
          <w:sz w:val="18"/>
          <w:szCs w:val="18"/>
          <w:color w:val="auto"/>
        </w:rPr>
      </w:pPr>
    </w:p>
    <w:p>
      <w:pPr>
        <w:ind w:right="180" w:firstLine="656"/>
        <w:spacing w:after="0" w:line="245" w:lineRule="auto"/>
        <w:tabs>
          <w:tab w:leader="none" w:pos="90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Conduct of Committee Meetings. </w:t>
      </w:r>
      <w:r>
        <w:rPr>
          <w:rFonts w:ascii="Arial" w:cs="Arial" w:eastAsia="Arial" w:hAnsi="Arial"/>
          <w:sz w:val="18"/>
          <w:szCs w:val="18"/>
          <w:color w:val="auto"/>
        </w:rPr>
        <w:t>Unless the Board of Directors otherwise provides, each committee designated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make, alter and 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15. Compensation of Directors.</w:t>
      </w:r>
    </w:p>
    <w:p>
      <w:pPr>
        <w:spacing w:after="0" w:line="261"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13" w:right="339" w:bottom="1440" w:gutter="0" w:footer="0" w:header="0"/>
        </w:sectPr>
      </w:pPr>
    </w:p>
    <w:bookmarkStart w:id="19" w:name="page20"/>
    <w:bookmarkEnd w:id="19"/>
    <w:p>
      <w:pPr>
        <w:ind w:left="4640"/>
        <w:spacing w:after="0"/>
        <w:rPr>
          <w:sz w:val="20"/>
          <w:szCs w:val="20"/>
          <w:color w:val="auto"/>
        </w:rPr>
      </w:pPr>
      <w:r>
        <w:rPr>
          <w:rFonts w:ascii="Arial" w:cs="Arial" w:eastAsia="Arial" w:hAnsi="Arial"/>
          <w:sz w:val="18"/>
          <w:szCs w:val="18"/>
          <w:b w:val="1"/>
          <w:bCs w:val="1"/>
          <w:color w:val="auto"/>
        </w:rPr>
        <w:t>ARTICLE IV - NOTICES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Notice to Directors and Stockholders.</w:t>
      </w:r>
    </w:p>
    <w:p>
      <w:pPr>
        <w:spacing w:after="0" w:line="261"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Whenever, under any provision of applicable law, the Certificate of Incorporation or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facsimile or by other forms of electronic transmission. Notice to stockholders may also be given by electronic transmission in compliance with applicable law.</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Waiver of Notice.</w:t>
      </w:r>
    </w:p>
    <w:p>
      <w:pPr>
        <w:spacing w:after="0" w:line="261"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Whenever any notice is required to be given under any provision of Delaware law, the Certificate of Incorporation or these Bylaws, a waiver thereof in writing, signed by the person entitled to notice, or a waiver thereof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 - OFFICERS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Officers.</w:t>
      </w:r>
    </w:p>
    <w:p>
      <w:pPr>
        <w:spacing w:after="0" w:line="261"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officers of the corporation shall be a Chief Executive Officer and a Secretary. The corporation may also have, at the discretion of the Board of Directors, a Chair of the Board of Directors, a Vice Chair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Appointment of Officers.</w:t>
      </w:r>
    </w:p>
    <w:p>
      <w:pPr>
        <w:spacing w:after="0" w:line="261"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 Board of Directors shall appoint the officers of the corporation, including such officers as may be appointed in accordance with the provisions of Article V, Section 3 of these Bylaws, subject to the rights, if any, of an officer under any contract of employment.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Subordinate Officers.</w:t>
      </w:r>
    </w:p>
    <w:p>
      <w:pPr>
        <w:spacing w:after="0" w:line="261"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Board of Directors or Chief Executive Officer may appoint, or in the absence of a Chief Executive Officer the President may appoint, subordinate officers and agents as the business of the corporation may require. Each of such officers and agents shall hold office for such period, have such authority, and perform such duties as are provided in these Bylaws or as the Board of Directors, Chief Executive Officer or President may from time to time determine.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Removal and Resignation of Officers.</w:t>
      </w:r>
    </w:p>
    <w:p>
      <w:pPr>
        <w:spacing w:after="0" w:line="243" w:lineRule="exact"/>
        <w:rPr>
          <w:sz w:val="20"/>
          <w:szCs w:val="20"/>
          <w:color w:val="auto"/>
        </w:rPr>
      </w:pPr>
    </w:p>
    <w:p>
      <w:pPr>
        <w:ind w:right="120" w:firstLine="656"/>
        <w:spacing w:after="0" w:line="250" w:lineRule="auto"/>
        <w:tabs>
          <w:tab w:leader="none" w:pos="91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Removal</w:t>
      </w:r>
      <w:r>
        <w:rPr>
          <w:rFonts w:ascii="Arial" w:cs="Arial" w:eastAsia="Arial" w:hAnsi="Arial"/>
          <w:sz w:val="18"/>
          <w:szCs w:val="18"/>
          <w:color w:val="auto"/>
        </w:rPr>
        <w:t>. Subject to the rights, if any, of an officer under any contract of employment, any officer may be removed, either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cause, by an affirmative vote of the majority of the Board of Directors at any regular or special meeting of the Board of Directors or, except in the case of an officer chosen by the Board of Directors, by any officer upon whom such power of removal may be conferred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413" w:right="359" w:bottom="1440" w:gutter="0" w:footer="0" w:header="0"/>
        </w:sectPr>
      </w:pPr>
    </w:p>
    <w:bookmarkStart w:id="20" w:name="page21"/>
    <w:bookmarkEnd w:id="20"/>
    <w:p>
      <w:pPr>
        <w:ind w:right="160"/>
        <w:spacing w:after="0" w:line="246" w:lineRule="auto"/>
        <w:rPr>
          <w:sz w:val="20"/>
          <w:szCs w:val="20"/>
          <w:color w:val="auto"/>
        </w:rPr>
      </w:pPr>
      <w:r>
        <w:rPr>
          <w:rFonts w:ascii="Arial" w:cs="Arial" w:eastAsia="Arial" w:hAnsi="Arial"/>
          <w:sz w:val="18"/>
          <w:szCs w:val="18"/>
          <w:color w:val="auto"/>
        </w:rPr>
        <w:t>the Board of Directors. An officer appointed by the Chief Executive Officer or President pursuant to Article V, Section 3, may be removed by the Chief Executive Officer or President.</w:t>
      </w:r>
    </w:p>
    <w:p>
      <w:pPr>
        <w:spacing w:after="0" w:line="206" w:lineRule="exact"/>
        <w:rPr>
          <w:sz w:val="20"/>
          <w:szCs w:val="20"/>
          <w:color w:val="auto"/>
        </w:rPr>
      </w:pPr>
    </w:p>
    <w:p>
      <w:pPr>
        <w:ind w:right="100" w:firstLine="656"/>
        <w:spacing w:after="0" w:line="245" w:lineRule="auto"/>
        <w:tabs>
          <w:tab w:leader="none" w:pos="91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Resignation. </w:t>
      </w:r>
      <w:r>
        <w:rPr>
          <w:rFonts w:ascii="Arial" w:cs="Arial" w:eastAsia="Arial" w:hAnsi="Arial"/>
          <w:sz w:val="18"/>
          <w:szCs w:val="18"/>
          <w:color w:val="auto"/>
        </w:rPr>
        <w:t>Any officer may resign at any time by giving written notice to the corporation. Any resignation shall take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Vacancies in Office.</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Article V, Section 3.</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Representation of Shares of Other Corporations.</w:t>
      </w:r>
    </w:p>
    <w:p>
      <w:pPr>
        <w:spacing w:after="0" w:line="261"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The Chair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Authority and Duties of Officers.</w:t>
      </w:r>
    </w:p>
    <w:p>
      <w:pPr>
        <w:spacing w:after="0" w:line="261" w:lineRule="exact"/>
        <w:rPr>
          <w:sz w:val="20"/>
          <w:szCs w:val="20"/>
          <w:color w:val="auto"/>
        </w:rPr>
      </w:pPr>
    </w:p>
    <w:p>
      <w:pPr>
        <w:jc w:val="both"/>
        <w:ind w:right="220" w:firstLine="648"/>
        <w:spacing w:after="0"/>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 CERTIFICATES OF STOCK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Certificates.</w:t>
      </w:r>
    </w:p>
    <w:p>
      <w:pPr>
        <w:spacing w:after="0" w:line="261"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 or Vice Chair of the Board of Directors, if any, or the President or a Vice President and the Treasurer or an Assistant Treasurer, or the Secretary or an Assistant Secretary certifying the number of shares owned by such holder in the corporation.</w:t>
      </w:r>
    </w:p>
    <w:p>
      <w:pPr>
        <w:spacing w:after="0" w:line="23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35"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color w:val="auto"/>
        </w:rPr>
        <w:t>Section 2. Signatures on Certificates.</w:t>
      </w:r>
    </w:p>
    <w:p>
      <w:pPr>
        <w:spacing w:after="0" w:line="261"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Lost Certificates.</w:t>
      </w:r>
    </w:p>
    <w:p>
      <w:pPr>
        <w:spacing w:after="0" w:line="261"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Board of Directors may direct a new certificate or certificates of stock or uncertificated shares to be issued in place of any certificate or certificates theretofore issued by the corporation, alleged to have been lost, stolen or destroyed, upon the making of an affidavit to that fact by the person claiming the certificate of stock to be lost, stolen or destroyed. When authorizing such issue of a new certificate or certificates of stock or uncertificated shares, the Board of Directors may, in its discretion and as a condition precedent to the issuance thereof, require the owner of such lost, stolen or destroyed certificate or certificates, or such owner’s legal representative, to give the corporation a bond in such sum as it may direct as indemnity against any claim that may be made against the corporation with respect to the certificate alleged to have been lost, stolen or destroyed.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Transfer of Stock.</w:t>
      </w:r>
    </w:p>
    <w:p>
      <w:pPr>
        <w:spacing w:after="0" w:line="261"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Transfer of shares of stock of the corporation shall be made only on the transfer books of the corporation upon authorization by the registered holder thereof or by such holder’s attorney thereunto authorized by a power of attorney duly executed and filed with the Secretary or a transfer agent of such stock, and if such shares are represented by a certificate, upon surrender of the certificate or certificates for such shares properly endorsed or accompanied by a duly executed stock transfer power and payment of any taxes thereon; provided however, that the corporation shall be entitled to recognize any lawful restriction on transfer.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Record Date.</w:t>
      </w:r>
    </w:p>
    <w:p>
      <w:pPr>
        <w:spacing w:after="0" w:line="261" w:lineRule="exact"/>
        <w:rPr>
          <w:sz w:val="20"/>
          <w:szCs w:val="20"/>
          <w:color w:val="auto"/>
        </w:rPr>
      </w:pPr>
    </w:p>
    <w:p>
      <w:pPr>
        <w:ind w:right="20" w:firstLine="656"/>
        <w:spacing w:after="0" w:line="236" w:lineRule="auto"/>
        <w:tabs>
          <w:tab w:leader="none" w:pos="9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herewith at the reconvened meeting.</w:t>
      </w:r>
    </w:p>
    <w:p>
      <w:pPr>
        <w:spacing w:after="0" w:line="229" w:lineRule="exact"/>
        <w:rPr>
          <w:rFonts w:ascii="Arial" w:cs="Arial" w:eastAsia="Arial" w:hAnsi="Arial"/>
          <w:sz w:val="18"/>
          <w:szCs w:val="18"/>
          <w:color w:val="auto"/>
        </w:rPr>
      </w:pPr>
    </w:p>
    <w:p>
      <w:pPr>
        <w:ind w:firstLine="656"/>
        <w:spacing w:after="0" w:line="238" w:lineRule="auto"/>
        <w:tabs>
          <w:tab w:leader="none" w:pos="9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shall not be more than sixty (60) days prior to such other action. If no such record date is fixed, the record date for determining stockholders for any such purpose (other than action by consent in writing without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13"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meeting) shall be at the close of business on the day on which the Board of Directors adopts the resolution relating thereto.</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Registered Stockholders.</w:t>
      </w:r>
    </w:p>
    <w:p>
      <w:pPr>
        <w:spacing w:after="0" w:line="261"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 - FORUM FOR DISPUTES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Forum for Disputes.</w:t>
      </w:r>
    </w:p>
    <w:p>
      <w:pPr>
        <w:spacing w:after="0" w:line="261" w:lineRule="exact"/>
        <w:rPr>
          <w:sz w:val="20"/>
          <w:szCs w:val="20"/>
          <w:color w:val="auto"/>
        </w:rPr>
      </w:pPr>
    </w:p>
    <w:p>
      <w:pPr>
        <w:ind w:firstLine="656"/>
        <w:spacing w:after="0" w:line="238" w:lineRule="auto"/>
        <w:tabs>
          <w:tab w:leader="none" w:pos="9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General Corporation Law of Delaware, or (iv) any action asserting a claim governed by the internal affairs doctrine.</w:t>
      </w:r>
    </w:p>
    <w:p>
      <w:pPr>
        <w:spacing w:after="0" w:line="229" w:lineRule="exact"/>
        <w:rPr>
          <w:rFonts w:ascii="Arial" w:cs="Arial" w:eastAsia="Arial" w:hAnsi="Arial"/>
          <w:sz w:val="18"/>
          <w:szCs w:val="18"/>
          <w:color w:val="auto"/>
        </w:rPr>
      </w:pPr>
    </w:p>
    <w:p>
      <w:pPr>
        <w:ind w:right="160" w:firstLine="656"/>
        <w:spacing w:after="0" w:line="237" w:lineRule="auto"/>
        <w:tabs>
          <w:tab w:leader="none" w:pos="9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any action the subject matter of which is within the scope of Article VII, Section 1(a)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Article VII, Section 1(a) above (an “FSC Enforcement Action”) and (ii) having service of process made upon such stockholder in any such FSC Enforcement Action by service upon such stockholder’s counsel in the Foreign Action as agent for such stockholder.</w:t>
      </w:r>
    </w:p>
    <w:p>
      <w:pPr>
        <w:spacing w:after="0" w:line="231" w:lineRule="exact"/>
        <w:rPr>
          <w:rFonts w:ascii="Arial" w:cs="Arial" w:eastAsia="Arial" w:hAnsi="Arial"/>
          <w:sz w:val="18"/>
          <w:szCs w:val="18"/>
          <w:color w:val="auto"/>
        </w:rPr>
      </w:pPr>
    </w:p>
    <w:p>
      <w:pPr>
        <w:ind w:right="160" w:firstLine="656"/>
        <w:spacing w:after="0" w:line="246" w:lineRule="auto"/>
        <w:tabs>
          <w:tab w:leader="none" w:pos="9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enforce the foregoing provisions would cause the corporation irreparable harm and the corporation shall be entitled to equitable relief, including injunctive relief and specific performance, to enforce the foregoing provisions.</w:t>
      </w:r>
    </w:p>
    <w:p>
      <w:pPr>
        <w:spacing w:after="0" w:line="223" w:lineRule="exact"/>
        <w:rPr>
          <w:rFonts w:ascii="Arial" w:cs="Arial" w:eastAsia="Arial" w:hAnsi="Arial"/>
          <w:sz w:val="18"/>
          <w:szCs w:val="18"/>
          <w:color w:val="auto"/>
        </w:rPr>
      </w:pPr>
    </w:p>
    <w:p>
      <w:pPr>
        <w:ind w:right="120" w:firstLine="656"/>
        <w:spacing w:after="0" w:line="246" w:lineRule="auto"/>
        <w:tabs>
          <w:tab w:leader="none" w:pos="9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any interest in shares of capital stock of the corporation shall be deemed to have notice of and consented to the provisions of this Article VII Section 2.</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 - GENERAL PROVISIONS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Dividends.</w:t>
      </w:r>
    </w:p>
    <w:p>
      <w:pPr>
        <w:spacing w:after="0" w:line="243" w:lineRule="exact"/>
        <w:rPr>
          <w:sz w:val="20"/>
          <w:szCs w:val="20"/>
          <w:color w:val="auto"/>
        </w:rPr>
      </w:pPr>
    </w:p>
    <w:p>
      <w:pPr>
        <w:ind w:right="80" w:firstLine="656"/>
        <w:spacing w:after="0" w:line="250" w:lineRule="auto"/>
        <w:tabs>
          <w:tab w:leader="none" w:pos="91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Declaration of Dividends</w:t>
      </w:r>
      <w:r>
        <w:rPr>
          <w:rFonts w:ascii="Arial" w:cs="Arial" w:eastAsia="Arial" w:hAnsi="Arial"/>
          <w:sz w:val="18"/>
          <w:szCs w:val="18"/>
          <w:color w:val="auto"/>
        </w:rPr>
        <w:t>. Dividends upon the capital stock of the corporation, subject to the provision of the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203" w:lineRule="exact"/>
        <w:rPr>
          <w:rFonts w:ascii="Arial" w:cs="Arial" w:eastAsia="Arial" w:hAnsi="Arial"/>
          <w:sz w:val="18"/>
          <w:szCs w:val="18"/>
          <w:color w:val="auto"/>
        </w:rPr>
      </w:pPr>
    </w:p>
    <w:p>
      <w:pPr>
        <w:ind w:right="200" w:firstLine="656"/>
        <w:spacing w:after="0" w:line="242" w:lineRule="auto"/>
        <w:tabs>
          <w:tab w:leader="none" w:pos="91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Payment of Dividends. </w:t>
      </w:r>
      <w:r>
        <w:rPr>
          <w:rFonts w:ascii="Arial" w:cs="Arial" w:eastAsia="Arial" w:hAnsi="Arial"/>
          <w:sz w:val="18"/>
          <w:szCs w:val="18"/>
          <w:color w:val="auto"/>
        </w:rPr>
        <w:t>Before payment of any dividend, there may be set aside out of funds of the corporation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435" w:right="379" w:bottom="1440" w:gutter="0" w:footer="0" w:header="0"/>
        </w:sectPr>
      </w:pPr>
    </w:p>
    <w:bookmarkStart w:id="23" w:name="page24"/>
    <w:bookmarkEnd w:id="23"/>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Checks.</w:t>
      </w:r>
    </w:p>
    <w:p>
      <w:pPr>
        <w:spacing w:after="0" w:line="261"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color w:val="auto"/>
        </w:rPr>
        <w:t>All checks or demands for money and notes of the corporation shall be signed by such officer or officers or such other person or persons as the Board of Directors may from time to time designate.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Fiscal Year.</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resolution of the Board of Directors.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Corporate Seal</w:t>
      </w:r>
      <w:r>
        <w:rPr>
          <w:rFonts w:ascii="Arial" w:cs="Arial" w:eastAsia="Arial" w:hAnsi="Arial"/>
          <w:sz w:val="18"/>
          <w:szCs w:val="18"/>
          <w:color w:val="auto"/>
        </w:rPr>
        <w:t>.</w:t>
      </w:r>
    </w:p>
    <w:p>
      <w:pPr>
        <w:spacing w:after="0" w:line="261"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Indemnification.</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indemnify its officers, directors, employees and agents to the extent set forth in the Certificate of Incorporation.</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Advancement of Expenses.</w:t>
      </w:r>
    </w:p>
    <w:p>
      <w:pPr>
        <w:spacing w:after="0" w:line="261"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corporation shall, to the fullest extent not prohibited by applicable law, pay the expenses (including attorneys’ fees) incurred by a director or officer in defending any action, suit or proceeding, whether civil, criminal, administrative or investigative (a “proceeding”) in advance of its final disposition,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Amendment.</w:t>
      </w:r>
    </w:p>
    <w:p>
      <w:pPr>
        <w:spacing w:after="0" w:line="26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440" w:right="3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29476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476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Appoints Linnie Haynesworth to Its Board of Directors</w:t>
      </w:r>
    </w:p>
    <w:p>
      <w:pPr>
        <w:spacing w:after="0" w:line="252"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b w:val="1"/>
          <w:bCs w:val="1"/>
          <w:color w:val="auto"/>
        </w:rPr>
        <w:t xml:space="preserve">BOISE, Idaho, Feb. 16, 2021 </w:t>
      </w:r>
      <w:r>
        <w:rPr>
          <w:rFonts w:ascii="Arial" w:cs="Arial" w:eastAsia="Arial" w:hAnsi="Arial"/>
          <w:sz w:val="18"/>
          <w:szCs w:val="18"/>
          <w:color w:val="auto"/>
        </w:rPr>
        <w:t>— Micron Technology, Inc. (Nasdaq: MU), an industry leader in innovative memory and storage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the appointment of Linnie Haynesworth to its board of directors. Haynesworth has more than 30 years of experience in technology, including aerospace and cybersecurity.</w:t>
      </w:r>
    </w:p>
    <w:p>
      <w:pPr>
        <w:spacing w:after="0" w:line="2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“Linnie’s extensive expertise in complex system development, technology integration and risk management makes her a valuable addition to our board,” said Micron President and CEO Sanjay Mehrotra. “She also brings deep insights on cybersecurity that will provide fresh perspective as we further advance Micron’s technology leadership and deliver trusted solutions to address the growing data economy.”</w:t>
      </w:r>
    </w:p>
    <w:p>
      <w:pPr>
        <w:spacing w:after="0" w:line="22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“Linnie has a wealth of knowledge that stems from leading billion-dollar business divisions, driving significant technology advancements and serving as a director of multiple public companies,” said Micron Board Chair Robert Switz. “We are pleased to welcome Linnie to the Micron board and look forward to her contributions as we continue to position Micron for long-term growth and profitability.”</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Haynesworth was most recently the sector vice president and general manager of the Cyber and Intelligence Mission Solutions Division for Northrop Grumman Corporation’s (NGC) Mission Systems Sector, responsible for multiple $1 billion plus divisions. She was also NGC’s division vice president for Aerospace Products and led large space program efforts. Haynesworth held various senior-level roles at NGC within the areas of program management, supply chain, subcontract technical management and engineering, and was executive co-chair and co-sponsor for its Women in Leadership program. Haynesworth is currently on the boards of Truist Financial Corporation and Automatic Data Processing Inc. She holds a bachelor's degree in electrical engineering from the University of Southern California.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 and Crucial® — our broad portfolio of high-performance memory and storage technologies, including DRAM, NAND, 3D XPoint™ memory, and NOR, is transforming how the world uses information to enrich life for all.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 Our common stock is traded on Nasdaq under the MU symbol. To learn more about Micron Technology, Inc., visit micron.com.</w:t>
      </w:r>
    </w:p>
    <w:p>
      <w:pPr>
        <w:spacing w:after="0" w:line="222" w:lineRule="exact"/>
        <w:rPr>
          <w:sz w:val="20"/>
          <w:szCs w:val="20"/>
          <w:color w:val="auto"/>
        </w:rPr>
      </w:pPr>
    </w:p>
    <w:p>
      <w:pPr>
        <w:ind w:firstLine="8"/>
        <w:spacing w:after="0" w:line="281" w:lineRule="auto"/>
        <w:tabs>
          <w:tab w:leader="none" w:pos="164"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2021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Media Relations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Erica Pompen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834-1873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epompen@micron.com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Investor Relations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Farhan Ahmad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834-1927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farhanahmad@micron.com</w:t>
      </w:r>
    </w:p>
    <w:sectPr>
      <w:pgSz w:w="11900" w:h="16838" w:orient="portrait"/>
      <w:cols w:equalWidth="0" w:num="1">
        <w:col w:w="11240"/>
      </w:cols>
      <w:pgMar w:left="320" w:top="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1"/>
    </w:lvl>
  </w:abstractNum>
  <w:abstractNum w:abstractNumId="2">
    <w:nsid w:val="7FDCC233"/>
    <w:multiLevelType w:val="hybridMultilevel"/>
    <w:lvl w:ilvl="0">
      <w:lvlJc w:val="left"/>
      <w:lvlText w:val="(%1)"/>
      <w:numFmt w:val="lowerLetter"/>
      <w:start w:val="1"/>
    </w:lvl>
  </w:abstractNum>
  <w:abstractNum w:abstractNumId="3">
    <w:nsid w:val="1BEFD79F"/>
    <w:multiLevelType w:val="hybridMultilevel"/>
    <w:lvl w:ilvl="0">
      <w:lvlJc w:val="left"/>
      <w:lvlText w:val="(%1)"/>
      <w:numFmt w:val="lowerLetter"/>
      <w:start w:val="3"/>
    </w:lvl>
  </w:abstractNum>
  <w:abstractNum w:abstractNumId="4">
    <w:nsid w:val="41A7C4C9"/>
    <w:multiLevelType w:val="hybridMultilevel"/>
    <w:lvl w:ilvl="0">
      <w:lvlJc w:val="left"/>
      <w:lvlText w:val="(%1)"/>
      <w:numFmt w:val="lowerLetter"/>
      <w:start w:val="1"/>
    </w:lvl>
    <w:lvl w:ilvl="1">
      <w:lvlJc w:val="left"/>
      <w:lvlText w:val="(%2)"/>
      <w:numFmt w:val="lowerRoman"/>
      <w:start w:val="1"/>
    </w:lvl>
  </w:abstractNum>
  <w:abstractNum w:abstractNumId="5">
    <w:nsid w:val="6B68079A"/>
    <w:multiLevelType w:val="hybridMultilevel"/>
    <w:lvl w:ilvl="0">
      <w:lvlJc w:val="left"/>
      <w:lvlText w:val="(%1)"/>
      <w:numFmt w:val="lowerLetter"/>
      <w:start w:val="2"/>
    </w:lvl>
    <w:lvl w:ilvl="1">
      <w:lvlJc w:val="left"/>
      <w:lvlText w:val="(%2)"/>
      <w:numFmt w:val="lowerRoman"/>
      <w:start w:val="1"/>
    </w:lvl>
  </w:abstractNum>
  <w:abstractNum w:abstractNumId="6">
    <w:nsid w:val="4E6AFB66"/>
    <w:multiLevelType w:val="hybridMultilevel"/>
    <w:lvl w:ilvl="0">
      <w:lvlJc w:val="left"/>
      <w:lvlText w:val="(%1)"/>
      <w:numFmt w:val="lowerLetter"/>
      <w:start w:val="3"/>
    </w:lvl>
    <w:lvl w:ilvl="1">
      <w:lvlJc w:val="left"/>
      <w:lvlText w:val="(%2)"/>
      <w:numFmt w:val="lowerRoman"/>
      <w:start w:val="2"/>
    </w:lvl>
  </w:abstractNum>
  <w:abstractNum w:abstractNumId="7">
    <w:nsid w:val="25E45D32"/>
    <w:multiLevelType w:val="hybridMultilevel"/>
    <w:lvl w:ilvl="0">
      <w:lvlJc w:val="left"/>
      <w:lvlText w:val="%"/>
      <w:numFmt w:val="bullet"/>
      <w:start w:val="1"/>
    </w:lvl>
    <w:lvl w:ilvl="1">
      <w:lvlJc w:val="left"/>
      <w:lvlText w:val="(%2)"/>
      <w:numFmt w:val="lowerRoman"/>
      <w:start w:val="4"/>
    </w:lvl>
    <w:lvl w:ilvl="2">
      <w:lvlJc w:val="left"/>
      <w:lvlText w:val="(%3)"/>
      <w:numFmt w:val="upperLetter"/>
      <w:start w:val="1"/>
    </w:lvl>
  </w:abstractNum>
  <w:abstractNum w:abstractNumId="8">
    <w:nsid w:val="519B500D"/>
    <w:multiLevelType w:val="hybridMultilevel"/>
    <w:lvl w:ilvl="0">
      <w:lvlJc w:val="left"/>
      <w:lvlText w:val="(%1)"/>
      <w:numFmt w:val="lowerRoman"/>
      <w:start w:val="5"/>
    </w:lvl>
  </w:abstractNum>
  <w:abstractNum w:abstractNumId="9">
    <w:nsid w:val="431BD7B7"/>
    <w:multiLevelType w:val="hybridMultilevel"/>
    <w:lvl w:ilvl="0">
      <w:lvlJc w:val="left"/>
      <w:lvlText w:val="(%1)"/>
      <w:numFmt w:val="lowerRoman"/>
      <w:start w:val="6"/>
    </w:lvl>
  </w:abstractNum>
  <w:abstractNum w:abstractNumId="10">
    <w:nsid w:val="3F2DBA31"/>
    <w:multiLevelType w:val="hybridMultilevel"/>
    <w:lvl w:ilvl="0">
      <w:lvlJc w:val="left"/>
      <w:lvlText w:val="%1"/>
      <w:numFmt w:val="upperLetter"/>
      <w:start w:val="1"/>
    </w:lvl>
    <w:lvl w:ilvl="1">
      <w:lvlJc w:val="left"/>
      <w:lvlText w:val="(%2)"/>
      <w:numFmt w:val="lowerRoman"/>
      <w:start w:val="7"/>
    </w:lvl>
  </w:abstractNum>
  <w:abstractNum w:abstractNumId="11">
    <w:nsid w:val="7C83E458"/>
    <w:multiLevelType w:val="hybridMultilevel"/>
    <w:lvl w:ilvl="0">
      <w:lvlJc w:val="left"/>
      <w:lvlText w:val="(%1)"/>
      <w:numFmt w:val="upperLetter"/>
      <w:start w:val="3"/>
    </w:lvl>
    <w:lvl w:ilvl="1">
      <w:lvlJc w:val="left"/>
      <w:lvlText w:val="%2"/>
      <w:numFmt w:val="lowerRoman"/>
      <w:start w:val="1"/>
    </w:lvl>
  </w:abstractNum>
  <w:abstractNum w:abstractNumId="12">
    <w:nsid w:val="257130A3"/>
    <w:multiLevelType w:val="hybridMultilevel"/>
    <w:lvl w:ilvl="0">
      <w:lvlJc w:val="left"/>
      <w:lvlText w:val="(%1)"/>
      <w:numFmt w:val="lowerRoman"/>
      <w:start w:val="8"/>
    </w:lvl>
  </w:abstractNum>
  <w:abstractNum w:abstractNumId="13">
    <w:nsid w:val="62BBD95A"/>
    <w:multiLevelType w:val="hybridMultilevel"/>
    <w:lvl w:ilvl="0">
      <w:lvlJc w:val="left"/>
      <w:lvlText w:val="%1"/>
      <w:numFmt w:val="lowerLetter"/>
      <w:start w:val="1"/>
    </w:lvl>
    <w:lvl w:ilvl="1">
      <w:lvlJc w:val="left"/>
      <w:lvlText w:val="(%2)"/>
      <w:numFmt w:val="lowerRoman"/>
      <w:start w:val="11"/>
    </w:lvl>
  </w:abstractNum>
  <w:abstractNum w:abstractNumId="14">
    <w:nsid w:val="436C6125"/>
    <w:multiLevelType w:val="hybridMultilevel"/>
    <w:lvl w:ilvl="0">
      <w:lvlJc w:val="left"/>
      <w:lvlText w:val="(%1)"/>
      <w:numFmt w:val="lowerLetter"/>
      <w:start w:val="4"/>
    </w:lvl>
    <w:lvl w:ilvl="1">
      <w:lvlJc w:val="left"/>
      <w:lvlText w:val="(%2)"/>
      <w:numFmt w:val="lowerRoman"/>
      <w:start w:val="1"/>
    </w:lvl>
  </w:abstractNum>
  <w:abstractNum w:abstractNumId="15">
    <w:nsid w:val="628C895D"/>
    <w:multiLevelType w:val="hybridMultilevel"/>
    <w:lvl w:ilvl="0">
      <w:lvlJc w:val="left"/>
      <w:lvlText w:val="(%1)"/>
      <w:numFmt w:val="lowerRoman"/>
      <w:start w:val="3"/>
    </w:lvl>
  </w:abstractNum>
  <w:abstractNum w:abstractNumId="16">
    <w:nsid w:val="333AB105"/>
    <w:multiLevelType w:val="hybridMultilevel"/>
    <w:lvl w:ilvl="0">
      <w:lvlJc w:val="left"/>
      <w:lvlText w:val="(%1)"/>
      <w:numFmt w:val="lowerLetter"/>
      <w:start w:val="5"/>
    </w:lvl>
    <w:lvl w:ilvl="1">
      <w:lvlJc w:val="left"/>
      <w:lvlText w:val="(%2)"/>
      <w:numFmt w:val="lowerRoman"/>
      <w:start w:val="1"/>
    </w:lvl>
  </w:abstractNum>
  <w:abstractNum w:abstractNumId="17">
    <w:nsid w:val="721DA317"/>
    <w:multiLevelType w:val="hybridMultilevel"/>
    <w:lvl w:ilvl="0">
      <w:lvlJc w:val="left"/>
      <w:lvlText w:val="(%1)"/>
      <w:numFmt w:val="lowerLetter"/>
      <w:start w:val="6"/>
    </w:lvl>
    <w:lvl w:ilvl="1">
      <w:lvlJc w:val="left"/>
      <w:lvlText w:val="(%2)"/>
      <w:numFmt w:val="lowerRoman"/>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2"/>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2021-02-16T16:19:22Z</dcterms:created>
  <dcterms:modified xsi:type="dcterms:W3CDTF">2021-02-16T16:19:22Z</dcterms:modified>
</cp:coreProperties>
</file>