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jc w:val="center"/>
        <w:ind w:right="1779"/>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MICRON TECHNOLOGY,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Common Stock, $0.1 par value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595112103</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December 31, 2007</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536" w:lineRule="auto"/>
        <w:tabs>
          <w:tab w:leader="none" w:pos="42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0" w:lineRule="exact"/>
        <w:rPr>
          <w:sz w:val="24"/>
          <w:szCs w:val="24"/>
          <w:color w:val="auto"/>
        </w:rPr>
      </w:pPr>
    </w:p>
    <w:p>
      <w:pPr>
        <w:spacing w:after="0" w:line="209" w:lineRule="exact"/>
        <w:rPr>
          <w:sz w:val="24"/>
          <w:szCs w:val="24"/>
          <w:color w:val="auto"/>
        </w:rPr>
      </w:pPr>
    </w:p>
    <w:p>
      <w:pPr>
        <w:jc w:val="both"/>
        <w:ind w:right="18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securities,and for any subsequent amendment containing information which would alter the disclosures provided in a prior cover page.</w:t>
      </w:r>
    </w:p>
    <w:p>
      <w:pPr>
        <w:spacing w:after="0" w:line="200" w:lineRule="exact"/>
        <w:rPr>
          <w:sz w:val="24"/>
          <w:szCs w:val="24"/>
          <w:color w:val="auto"/>
        </w:rPr>
      </w:pPr>
    </w:p>
    <w:p>
      <w:pPr>
        <w:spacing w:after="0" w:line="210" w:lineRule="exact"/>
        <w:rPr>
          <w:sz w:val="24"/>
          <w:szCs w:val="24"/>
          <w:color w:val="auto"/>
        </w:rPr>
      </w:pPr>
    </w:p>
    <w:p>
      <w:pPr>
        <w:jc w:val="both"/>
        <w:ind w:right="18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Page 1 of 7</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jc w:val="right"/>
              <w:ind w:right="712"/>
              <w:spacing w:after="0"/>
              <w:rPr>
                <w:sz w:val="20"/>
                <w:szCs w:val="20"/>
                <w:color w:val="auto"/>
              </w:rPr>
            </w:pPr>
            <w:r>
              <w:rPr>
                <w:rFonts w:ascii="Courier New" w:cs="Courier New" w:eastAsia="Courier New" w:hAnsi="Courier New"/>
                <w:sz w:val="18"/>
                <w:szCs w:val="18"/>
                <w:color w:val="auto"/>
                <w:w w:val="97"/>
              </w:rPr>
              <w:t>- -----------------------</w:t>
            </w:r>
          </w:p>
        </w:tc>
        <w:tc>
          <w:tcPr>
            <w:tcW w:w="1100" w:type="dxa"/>
            <w:vAlign w:val="bottom"/>
          </w:tcPr>
          <w:p>
            <w:pPr>
              <w:spacing w:after="0"/>
              <w:rPr>
                <w:sz w:val="17"/>
                <w:szCs w:val="17"/>
                <w:color w:val="auto"/>
              </w:rPr>
            </w:pPr>
          </w:p>
        </w:tc>
      </w:tr>
      <w:tr>
        <w:trPr>
          <w:trHeight w:val="203"/>
        </w:trPr>
        <w:tc>
          <w:tcPr>
            <w:tcW w:w="3440" w:type="dxa"/>
            <w:vAlign w:val="bottom"/>
          </w:tcPr>
          <w:p>
            <w:pPr>
              <w:jc w:val="right"/>
              <w:ind w:right="1132"/>
              <w:spacing w:after="0" w:line="203" w:lineRule="exact"/>
              <w:rPr>
                <w:sz w:val="20"/>
                <w:szCs w:val="20"/>
                <w:color w:val="auto"/>
              </w:rPr>
            </w:pPr>
            <w:r>
              <w:rPr>
                <w:rFonts w:ascii="Courier New" w:cs="Courier New" w:eastAsia="Courier New" w:hAnsi="Courier New"/>
                <w:sz w:val="18"/>
                <w:szCs w:val="18"/>
                <w:color w:val="auto"/>
              </w:rPr>
              <w:t>CUSIP No. 595112103</w:t>
            </w:r>
          </w:p>
        </w:tc>
        <w:tc>
          <w:tcPr>
            <w:tcW w:w="110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w w:val="92"/>
              </w:rPr>
              <w:t>13G</w:t>
            </w:r>
          </w:p>
        </w:tc>
      </w:tr>
    </w:tbl>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hanging="527"/>
        <w:spacing w:after="0" w:line="238" w:lineRule="auto"/>
        <w:tabs>
          <w:tab w:leader="none" w:pos="64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202"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GOLDMAN SACHS ASSET MANAGEMENT, L.P.</w:t>
      </w:r>
    </w:p>
    <w:p>
      <w:pPr>
        <w:spacing w:after="0" w:line="207"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hanging="527"/>
        <w:spacing w:after="0" w:line="238" w:lineRule="auto"/>
        <w:tabs>
          <w:tab w:leader="none" w:pos="64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7180" w:hanging="430"/>
        <w:spacing w:after="0"/>
        <w:tabs>
          <w:tab w:leader="none" w:pos="7180" w:val="left"/>
        </w:tabs>
        <w:numPr>
          <w:ilvl w:val="2"/>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7180" w:hanging="430"/>
        <w:spacing w:after="0" w:line="238" w:lineRule="auto"/>
        <w:tabs>
          <w:tab w:leader="none" w:pos="7180" w:val="left"/>
        </w:tabs>
        <w:numPr>
          <w:ilvl w:val="2"/>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hanging="527"/>
        <w:spacing w:after="0" w:line="238" w:lineRule="auto"/>
        <w:tabs>
          <w:tab w:leader="none" w:pos="64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ectPr>
          <w:pgSz w:w="11900" w:h="16838" w:orient="portrait"/>
          <w:cols w:equalWidth="0" w:num="1">
            <w:col w:w="10219"/>
          </w:cols>
          <w:pgMar w:left="240" w:top="447" w:right="1440" w:bottom="254" w:gutter="0" w:footer="0" w:header="0"/>
        </w:sectPr>
      </w:pPr>
    </w:p>
    <w:bookmarkStart w:id="1" w:name="page2"/>
    <w:bookmarkEnd w:id="1"/>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hanging="527"/>
        <w:spacing w:after="0" w:line="238" w:lineRule="auto"/>
        <w:tabs>
          <w:tab w:leader="none" w:pos="64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740" w:hanging="520"/>
        <w:spacing w:after="0" w:line="238" w:lineRule="auto"/>
        <w:tabs>
          <w:tab w:leader="none" w:pos="27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2"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15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6"/>
              </w:rPr>
              <w:t>Number of</w:t>
            </w:r>
          </w:p>
        </w:tc>
        <w:tc>
          <w:tcPr>
            <w:tcW w:w="880" w:type="dxa"/>
            <w:vAlign w:val="bottom"/>
          </w:tcPr>
          <w:p>
            <w:pPr>
              <w:spacing w:after="0"/>
              <w:rPr>
                <w:sz w:val="17"/>
                <w:szCs w:val="17"/>
                <w:color w:val="auto"/>
              </w:rPr>
            </w:pPr>
          </w:p>
        </w:tc>
        <w:tc>
          <w:tcPr>
            <w:tcW w:w="5480" w:type="dxa"/>
            <w:vAlign w:val="bottom"/>
          </w:tcPr>
          <w:p>
            <w:pPr>
              <w:ind w:left="540"/>
              <w:spacing w:after="0"/>
              <w:rPr>
                <w:sz w:val="20"/>
                <w:szCs w:val="20"/>
                <w:color w:val="auto"/>
              </w:rPr>
            </w:pPr>
            <w:r>
              <w:rPr>
                <w:rFonts w:ascii="Courier New" w:cs="Courier New" w:eastAsia="Courier New" w:hAnsi="Courier New"/>
                <w:sz w:val="18"/>
                <w:szCs w:val="18"/>
                <w:color w:val="auto"/>
              </w:rPr>
              <w:t>144,664</w:t>
            </w:r>
          </w:p>
        </w:tc>
      </w:tr>
      <w:tr>
        <w:trPr>
          <w:trHeight w:val="405"/>
        </w:trPr>
        <w:tc>
          <w:tcPr>
            <w:tcW w:w="15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8"/>
              </w:rPr>
              <w:t>Shares</w:t>
            </w:r>
          </w:p>
        </w:tc>
        <w:tc>
          <w:tcPr>
            <w:tcW w:w="63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540" w:type="dxa"/>
            <w:vAlign w:val="bottom"/>
          </w:tcPr>
          <w:p>
            <w:pPr>
              <w:spacing w:after="0"/>
              <w:rPr>
                <w:sz w:val="17"/>
                <w:szCs w:val="17"/>
                <w:color w:val="auto"/>
              </w:rPr>
            </w:pP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w:t>
            </w:r>
          </w:p>
        </w:tc>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4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88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88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6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54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Each</w:t>
            </w: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w:t>
            </w:r>
          </w:p>
        </w:tc>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540" w:type="dxa"/>
            <w:vAlign w:val="bottom"/>
          </w:tcPr>
          <w:p>
            <w:pPr>
              <w:ind w:left="100"/>
              <w:spacing w:after="0"/>
              <w:rPr>
                <w:sz w:val="20"/>
                <w:szCs w:val="20"/>
                <w:color w:val="auto"/>
              </w:rPr>
            </w:pPr>
            <w:r>
              <w:rPr>
                <w:rFonts w:ascii="Courier New" w:cs="Courier New" w:eastAsia="Courier New" w:hAnsi="Courier New"/>
                <w:sz w:val="18"/>
                <w:szCs w:val="18"/>
                <w:color w:val="auto"/>
              </w:rPr>
              <w:t>Reporting</w:t>
            </w:r>
          </w:p>
        </w:tc>
        <w:tc>
          <w:tcPr>
            <w:tcW w:w="880" w:type="dxa"/>
            <w:vAlign w:val="bottom"/>
          </w:tcPr>
          <w:p>
            <w:pPr>
              <w:spacing w:after="0"/>
              <w:rPr>
                <w:sz w:val="24"/>
                <w:szCs w:val="24"/>
                <w:color w:val="auto"/>
              </w:rPr>
            </w:pPr>
          </w:p>
        </w:tc>
        <w:tc>
          <w:tcPr>
            <w:tcW w:w="5480" w:type="dxa"/>
            <w:vAlign w:val="bottom"/>
          </w:tcPr>
          <w:p>
            <w:pPr>
              <w:ind w:left="540"/>
              <w:spacing w:after="0"/>
              <w:rPr>
                <w:sz w:val="20"/>
                <w:szCs w:val="20"/>
                <w:color w:val="auto"/>
              </w:rPr>
            </w:pPr>
            <w:r>
              <w:rPr>
                <w:rFonts w:ascii="Courier New" w:cs="Courier New" w:eastAsia="Courier New" w:hAnsi="Courier New"/>
                <w:sz w:val="18"/>
                <w:szCs w:val="18"/>
                <w:color w:val="auto"/>
              </w:rPr>
              <w:t>144,664</w:t>
            </w:r>
          </w:p>
        </w:tc>
      </w:tr>
      <w:tr>
        <w:trPr>
          <w:trHeight w:val="405"/>
        </w:trPr>
        <w:tc>
          <w:tcPr>
            <w:tcW w:w="15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8"/>
              </w:rPr>
              <w:t>Person</w:t>
            </w:r>
          </w:p>
        </w:tc>
        <w:tc>
          <w:tcPr>
            <w:tcW w:w="63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540" w:type="dxa"/>
            <w:vAlign w:val="bottom"/>
          </w:tcPr>
          <w:p>
            <w:pPr>
              <w:spacing w:after="0"/>
              <w:rPr>
                <w:sz w:val="17"/>
                <w:szCs w:val="17"/>
                <w:color w:val="auto"/>
              </w:rPr>
            </w:pP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w:t>
            </w:r>
          </w:p>
        </w:tc>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5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9"/>
              </w:rPr>
              <w:t>With:</w:t>
            </w:r>
          </w:p>
        </w:tc>
        <w:tc>
          <w:tcPr>
            <w:tcW w:w="88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hanging="527"/>
        <w:spacing w:after="0" w:line="238" w:lineRule="auto"/>
        <w:tabs>
          <w:tab w:leader="none" w:pos="6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144,664</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7180" w:right="2739" w:hanging="7172"/>
        <w:spacing w:after="0" w:line="399" w:lineRule="auto"/>
        <w:tabs>
          <w:tab w:leader="none" w:pos="649"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(9) Excludes Certain Shares [_]</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11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.0 %</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ind w:left="11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7"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3" w:lineRule="exact"/>
        <w:rPr>
          <w:rFonts w:ascii="Courier New" w:cs="Courier New" w:eastAsia="Courier New" w:hAnsi="Courier New"/>
          <w:sz w:val="16"/>
          <w:szCs w:val="16"/>
          <w:color w:val="auto"/>
        </w:rPr>
      </w:pPr>
    </w:p>
    <w:p>
      <w:pPr>
        <w:ind w:left="33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2 of 7</w:t>
      </w:r>
    </w:p>
    <w:p>
      <w:pPr>
        <w:sectPr>
          <w:pgSz w:w="11900" w:h="16838" w:orient="portrait"/>
          <w:cols w:equalWidth="0" w:num="1">
            <w:col w:w="10219"/>
          </w:cols>
          <w:pgMar w:left="240" w:top="142" w:right="1440" w:bottom="1440" w:gutter="0" w:footer="0" w:header="0"/>
        </w:sectPr>
      </w:pPr>
    </w:p>
    <w:bookmarkStart w:id="2" w:name="page3"/>
    <w:bookmarkEnd w:id="2"/>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Name of Issuer: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MICRON TECHNOLOGY, INC.</w:t>
      </w:r>
    </w:p>
    <w:p>
      <w:pPr>
        <w:spacing w:after="0" w:line="200" w:lineRule="exact"/>
        <w:rPr>
          <w:sz w:val="20"/>
          <w:szCs w:val="20"/>
          <w:color w:val="auto"/>
        </w:rPr>
      </w:pPr>
    </w:p>
    <w:p>
      <w:pPr>
        <w:sectPr>
          <w:pgSz w:w="11900" w:h="16838" w:orient="portrait"/>
          <w:cols w:equalWidth="0" w:num="2">
            <w:col w:w="1280" w:space="720"/>
            <w:col w:w="8219"/>
          </w:cols>
          <w:pgMar w:left="240" w:top="717" w:right="1440" w:bottom="1440" w:gutter="0" w:footer="0" w:header="0"/>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1(b).</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Issuer's Principal Executive Offices: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8000 S. Federal Way</w:t>
      </w:r>
    </w:p>
    <w:p>
      <w:pPr>
        <w:spacing w:after="0" w:line="238" w:lineRule="auto"/>
        <w:rPr>
          <w:sz w:val="20"/>
          <w:szCs w:val="20"/>
          <w:color w:val="auto"/>
        </w:rPr>
      </w:pPr>
      <w:r>
        <w:rPr>
          <w:rFonts w:ascii="Courier New" w:cs="Courier New" w:eastAsia="Courier New" w:hAnsi="Courier New"/>
          <w:sz w:val="18"/>
          <w:szCs w:val="18"/>
          <w:color w:val="auto"/>
        </w:rPr>
        <w:t>Boise, IDAHO 83716-9632.</w:t>
      </w:r>
    </w:p>
    <w:p>
      <w:pPr>
        <w:spacing w:after="0" w:line="200" w:lineRule="exact"/>
        <w:rPr>
          <w:sz w:val="20"/>
          <w:szCs w:val="20"/>
          <w:color w:val="auto"/>
        </w:rPr>
      </w:pPr>
    </w:p>
    <w:p>
      <w:pPr>
        <w:sectPr>
          <w:pgSz w:w="11900" w:h="16838" w:orient="portrait"/>
          <w:cols w:equalWidth="0" w:num="2">
            <w:col w:w="1280" w:space="720"/>
            <w:col w:w="8219"/>
          </w:cols>
          <w:pgMar w:left="240" w:top="7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Name of Persons Filing:</w:t>
      </w:r>
    </w:p>
    <w:p>
      <w:pPr>
        <w:spacing w:after="0" w:line="200" w:lineRule="exact"/>
        <w:rPr>
          <w:sz w:val="20"/>
          <w:szCs w:val="20"/>
          <w:color w:val="auto"/>
        </w:rPr>
      </w:pPr>
    </w:p>
    <w:p>
      <w:pPr>
        <w:sectPr>
          <w:pgSz w:w="11900" w:h="16838" w:orient="portrait"/>
          <w:cols w:equalWidth="0" w:num="2">
            <w:col w:w="1280" w:space="720"/>
            <w:col w:w="8219"/>
          </w:cols>
          <w:pgMar w:left="240" w:top="717" w:right="1440" w:bottom="1440" w:gutter="0" w:footer="0" w:header="0"/>
          <w:type w:val="continuous"/>
        </w:sectPr>
      </w:pPr>
    </w:p>
    <w:p>
      <w:pPr>
        <w:spacing w:after="0" w:line="24"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GOLDMAN SACHS ASSET MANAGEMENT, L.P.</w:t>
      </w:r>
    </w:p>
    <w:p>
      <w:pPr>
        <w:sectPr>
          <w:pgSz w:w="11900" w:h="16838" w:orient="portrait"/>
          <w:cols w:equalWidth="0" w:num="1">
            <w:col w:w="10219"/>
          </w:cols>
          <w:pgMar w:left="240" w:top="717"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2(b).</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ectPr>
          <w:pgSz w:w="11900" w:h="16838" w:orient="portrait"/>
          <w:cols w:equalWidth="0" w:num="2">
            <w:col w:w="1280" w:space="720"/>
            <w:col w:w="8219"/>
          </w:cols>
          <w:pgMar w:left="240" w:top="717" w:right="1440" w:bottom="1440" w:gutter="0" w:footer="0" w:header="0"/>
          <w:type w:val="continuous"/>
        </w:sectPr>
      </w:pPr>
    </w:p>
    <w:p>
      <w:pPr>
        <w:spacing w:after="0" w:line="24"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Goldman Sachs Asset Management, L.P.</w:t>
      </w:r>
    </w:p>
    <w:p>
      <w:pPr>
        <w:spacing w:after="0" w:line="16"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32 Old Slip</w:t>
      </w:r>
    </w:p>
    <w:p>
      <w:pPr>
        <w:ind w:left="2000"/>
        <w:spacing w:after="0" w:line="238" w:lineRule="auto"/>
        <w:tabs>
          <w:tab w:leader="none" w:pos="3460" w:val="left"/>
        </w:tabs>
        <w:rPr>
          <w:sz w:val="20"/>
          <w:szCs w:val="20"/>
          <w:color w:val="auto"/>
        </w:rPr>
      </w:pPr>
      <w:r>
        <w:rPr>
          <w:rFonts w:ascii="Courier New" w:cs="Courier New" w:eastAsia="Courier New" w:hAnsi="Courier New"/>
          <w:sz w:val="18"/>
          <w:szCs w:val="18"/>
          <w:color w:val="auto"/>
        </w:rPr>
        <w:t>New York, NY</w:t>
        <w:tab/>
        <w:t>10005</w:t>
      </w:r>
    </w:p>
    <w:p>
      <w:pPr>
        <w:sectPr>
          <w:pgSz w:w="11900" w:h="16838" w:orient="portrait"/>
          <w:cols w:equalWidth="0" w:num="1">
            <w:col w:w="10219"/>
          </w:cols>
          <w:pgMar w:left="240" w:top="717" w:right="1440"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Citizenship: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GOLDMAN SACHS ASSET MANAGEMENT, L.P. - Delaware</w:t>
      </w:r>
    </w:p>
    <w:p>
      <w:pPr>
        <w:spacing w:after="0" w:line="200" w:lineRule="exact"/>
        <w:rPr>
          <w:sz w:val="20"/>
          <w:szCs w:val="20"/>
          <w:color w:val="auto"/>
        </w:rPr>
      </w:pPr>
    </w:p>
    <w:p>
      <w:pPr>
        <w:sectPr>
          <w:pgSz w:w="11900" w:h="16838" w:orient="portrait"/>
          <w:cols w:equalWidth="0" w:num="2">
            <w:col w:w="1280" w:space="720"/>
            <w:col w:w="8219"/>
          </w:cols>
          <w:pgMar w:left="240" w:top="717"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of Class of Securities: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 $0.1 par value</w:t>
      </w:r>
    </w:p>
    <w:p>
      <w:pPr>
        <w:spacing w:after="0" w:line="200" w:lineRule="exact"/>
        <w:rPr>
          <w:sz w:val="20"/>
          <w:szCs w:val="20"/>
          <w:color w:val="auto"/>
        </w:rPr>
      </w:pPr>
    </w:p>
    <w:p>
      <w:pPr>
        <w:sectPr>
          <w:pgSz w:w="11900" w:h="16838" w:orient="portrait"/>
          <w:cols w:equalWidth="0" w:num="2">
            <w:col w:w="1280" w:space="720"/>
            <w:col w:w="8219"/>
          </w:cols>
          <w:pgMar w:left="240" w:top="7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CUSIP Number: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595112103</w:t>
      </w:r>
    </w:p>
    <w:p>
      <w:pPr>
        <w:spacing w:after="0" w:line="200" w:lineRule="exact"/>
        <w:rPr>
          <w:sz w:val="20"/>
          <w:szCs w:val="20"/>
          <w:color w:val="auto"/>
        </w:rPr>
      </w:pPr>
    </w:p>
    <w:p>
      <w:pPr>
        <w:sectPr>
          <w:pgSz w:w="11900" w:h="16838" w:orient="portrait"/>
          <w:cols w:equalWidth="0" w:num="2">
            <w:col w:w="1280" w:space="720"/>
            <w:col w:w="8219"/>
          </w:cols>
          <w:pgMar w:left="240" w:top="7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w:t>
      </w:r>
    </w:p>
    <w:p>
      <w:pPr>
        <w:spacing w:after="0" w:line="20" w:lineRule="exact"/>
        <w:rPr>
          <w:sz w:val="20"/>
          <w:szCs w:val="20"/>
          <w:color w:val="auto"/>
        </w:rPr>
      </w:pPr>
      <w:r>
        <w:rPr>
          <w:sz w:val="20"/>
          <w:szCs w:val="20"/>
          <w:color w:val="auto"/>
        </w:rPr>
        <w:br w:type="column"/>
      </w:r>
    </w:p>
    <w:p>
      <w:pPr>
        <w:ind w:right="2319"/>
        <w:spacing w:after="0" w:line="290" w:lineRule="auto"/>
        <w:rPr>
          <w:sz w:val="20"/>
          <w:szCs w:val="20"/>
          <w:color w:val="auto"/>
        </w:rPr>
      </w:pPr>
      <w:r>
        <w:rPr>
          <w:rFonts w:ascii="Courier New" w:cs="Courier New" w:eastAsia="Courier New" w:hAnsi="Courier New"/>
          <w:sz w:val="16"/>
          <w:szCs w:val="16"/>
          <w:color w:val="auto"/>
        </w:rPr>
        <w:t>If this statement is filed pursuant to Rules 13d-1(b) or 13d-2(b) or (c), check whether the person filing is a:</w:t>
      </w:r>
    </w:p>
    <w:p>
      <w:pPr>
        <w:spacing w:after="0" w:line="170" w:lineRule="exact"/>
        <w:rPr>
          <w:sz w:val="20"/>
          <w:szCs w:val="20"/>
          <w:color w:val="auto"/>
        </w:rPr>
      </w:pPr>
    </w:p>
    <w:p>
      <w:pPr>
        <w:sectPr>
          <w:pgSz w:w="11900" w:h="16838" w:orient="portrait"/>
          <w:cols w:equalWidth="0" w:num="2">
            <w:col w:w="1280" w:space="720"/>
            <w:col w:w="8219"/>
          </w:cols>
          <w:pgMar w:left="240" w:top="717" w:right="1440" w:bottom="1440" w:gutter="0" w:footer="0" w:header="0"/>
          <w:type w:val="continuous"/>
        </w:sectPr>
      </w:pPr>
    </w:p>
    <w:p>
      <w:pPr>
        <w:ind w:left="1060"/>
        <w:spacing w:after="0"/>
        <w:rPr>
          <w:sz w:val="20"/>
          <w:szCs w:val="20"/>
          <w:color w:val="auto"/>
        </w:rPr>
      </w:pPr>
      <w:r>
        <w:rPr>
          <w:rFonts w:ascii="Courier New" w:cs="Courier New" w:eastAsia="Courier New" w:hAnsi="Courier New"/>
          <w:sz w:val="16"/>
          <w:szCs w:val="16"/>
          <w:color w:val="auto"/>
        </w:rPr>
        <w:t>(a).[</w:t>
      </w:r>
    </w:p>
    <w:p>
      <w:pPr>
        <w:spacing w:after="0" w:line="20" w:lineRule="exact"/>
        <w:rPr>
          <w:sz w:val="20"/>
          <w:szCs w:val="20"/>
          <w:color w:val="auto"/>
        </w:rPr>
      </w:pPr>
      <w:r>
        <w:rPr>
          <w:sz w:val="20"/>
          <w:szCs w:val="20"/>
          <w:color w:val="auto"/>
        </w:rPr>
        <w:br w:type="column"/>
      </w:r>
    </w:p>
    <w:p>
      <w:pPr>
        <w:ind w:right="2319" w:hanging="3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Broker or dealer registered under Section 15 of the Act (15 U.S.C. 78o).</w:t>
      </w:r>
    </w:p>
    <w:p>
      <w:pPr>
        <w:spacing w:after="0" w:line="200" w:lineRule="exact"/>
        <w:rPr>
          <w:sz w:val="20"/>
          <w:szCs w:val="20"/>
          <w:color w:val="auto"/>
        </w:rPr>
      </w:pPr>
    </w:p>
    <w:p>
      <w:pPr>
        <w:sectPr>
          <w:pgSz w:w="11900" w:h="16838" w:orient="portrait"/>
          <w:cols w:equalWidth="0" w:num="2">
            <w:col w:w="1580" w:space="540"/>
            <w:col w:w="8099"/>
          </w:cols>
          <w:pgMar w:left="240" w:top="717" w:right="1440" w:bottom="1440" w:gutter="0" w:footer="0" w:header="0"/>
          <w:type w:val="continuous"/>
        </w:sectPr>
      </w:pP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(b).[</w:t>
      </w:r>
    </w:p>
    <w:p>
      <w:pPr>
        <w:spacing w:after="0" w:line="20" w:lineRule="exact"/>
        <w:rPr>
          <w:sz w:val="20"/>
          <w:szCs w:val="20"/>
          <w:color w:val="auto"/>
        </w:rPr>
      </w:pPr>
      <w:r>
        <w:rPr>
          <w:sz w:val="20"/>
          <w:szCs w:val="20"/>
          <w:color w:val="auto"/>
        </w:rPr>
        <w:br w:type="column"/>
      </w:r>
    </w:p>
    <w:p>
      <w:pPr>
        <w:ind w:right="3359" w:hanging="3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Bank as defined in Section 3(a)(6) of the Act (15 U.S.C. 78c).</w:t>
      </w:r>
    </w:p>
    <w:p>
      <w:pPr>
        <w:spacing w:after="0" w:line="200" w:lineRule="exact"/>
        <w:rPr>
          <w:sz w:val="20"/>
          <w:szCs w:val="20"/>
          <w:color w:val="auto"/>
        </w:rPr>
      </w:pPr>
    </w:p>
    <w:p>
      <w:pPr>
        <w:sectPr>
          <w:pgSz w:w="11900" w:h="16838" w:orient="portrait"/>
          <w:cols w:equalWidth="0" w:num="2">
            <w:col w:w="1580" w:space="540"/>
            <w:col w:w="8099"/>
          </w:cols>
          <w:pgMar w:left="240" w:top="717" w:right="1440" w:bottom="1440" w:gutter="0" w:footer="0" w:header="0"/>
          <w:type w:val="continuous"/>
        </w:sectPr>
      </w:pP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(c).[</w:t>
      </w:r>
    </w:p>
    <w:p>
      <w:pPr>
        <w:spacing w:after="0" w:line="20" w:lineRule="exact"/>
        <w:rPr>
          <w:sz w:val="20"/>
          <w:szCs w:val="20"/>
          <w:color w:val="auto"/>
        </w:rPr>
      </w:pPr>
      <w:r>
        <w:rPr>
          <w:sz w:val="20"/>
          <w:szCs w:val="20"/>
          <w:color w:val="auto"/>
        </w:rPr>
        <w:br w:type="column"/>
      </w:r>
    </w:p>
    <w:p>
      <w:pPr>
        <w:ind w:right="1879" w:hanging="3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Insurance company as defined in Section 3(a)(19) of the Act (15 U.S.C. 78c).</w:t>
      </w:r>
    </w:p>
    <w:p>
      <w:pPr>
        <w:spacing w:after="0" w:line="200" w:lineRule="exact"/>
        <w:rPr>
          <w:sz w:val="20"/>
          <w:szCs w:val="20"/>
          <w:color w:val="auto"/>
        </w:rPr>
      </w:pPr>
    </w:p>
    <w:p>
      <w:pPr>
        <w:sectPr>
          <w:pgSz w:w="11900" w:h="16838" w:orient="portrait"/>
          <w:cols w:equalWidth="0" w:num="2">
            <w:col w:w="1580" w:space="540"/>
            <w:col w:w="8099"/>
          </w:cols>
          <w:pgMar w:left="240" w:top="717" w:right="1440" w:bottom="1440" w:gutter="0" w:footer="0" w:header="0"/>
          <w:type w:val="continuous"/>
        </w:sectPr>
      </w:pP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(d).[</w:t>
      </w:r>
    </w:p>
    <w:p>
      <w:pPr>
        <w:spacing w:after="0" w:line="20" w:lineRule="exact"/>
        <w:rPr>
          <w:sz w:val="20"/>
          <w:szCs w:val="20"/>
          <w:color w:val="auto"/>
        </w:rPr>
      </w:pPr>
      <w:r>
        <w:rPr>
          <w:sz w:val="20"/>
          <w:szCs w:val="20"/>
          <w:color w:val="auto"/>
        </w:rPr>
        <w:br w:type="column"/>
      </w:r>
    </w:p>
    <w:p>
      <w:pPr>
        <w:jc w:val="center"/>
        <w:ind w:right="2619"/>
        <w:spacing w:after="0"/>
        <w:tabs>
          <w:tab w:leader="none" w:pos="2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Investment company registered under Section 8 of the</w:t>
      </w:r>
    </w:p>
    <w:p>
      <w:pPr>
        <w:jc w:val="center"/>
        <w:ind w:right="2619"/>
        <w:spacing w:after="0" w:line="238" w:lineRule="auto"/>
        <w:rPr>
          <w:sz w:val="20"/>
          <w:szCs w:val="20"/>
          <w:color w:val="auto"/>
        </w:rPr>
      </w:pPr>
      <w:r>
        <w:rPr>
          <w:rFonts w:ascii="Courier New" w:cs="Courier New" w:eastAsia="Courier New" w:hAnsi="Courier New"/>
          <w:sz w:val="18"/>
          <w:szCs w:val="18"/>
          <w:color w:val="auto"/>
        </w:rPr>
        <w:t>Investment Company Act of 1940 (15 U.S.C. 80a-8).</w:t>
      </w:r>
    </w:p>
    <w:p>
      <w:pPr>
        <w:spacing w:after="0" w:line="200" w:lineRule="exact"/>
        <w:rPr>
          <w:sz w:val="20"/>
          <w:szCs w:val="20"/>
          <w:color w:val="auto"/>
        </w:rPr>
      </w:pPr>
    </w:p>
    <w:p>
      <w:pPr>
        <w:sectPr>
          <w:pgSz w:w="11900" w:h="16838" w:orient="portrait"/>
          <w:cols w:equalWidth="0" w:num="2">
            <w:col w:w="1580" w:space="220"/>
            <w:col w:w="8419"/>
          </w:cols>
          <w:pgMar w:left="240" w:top="717" w:right="1440" w:bottom="1440" w:gutter="0" w:footer="0" w:header="0"/>
          <w:type w:val="continuous"/>
        </w:sectPr>
      </w:pPr>
    </w:p>
    <w:p>
      <w:pPr>
        <w:spacing w:after="0" w:line="7"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(e).[X]</w:t>
      </w:r>
    </w:p>
    <w:p>
      <w:pPr>
        <w:spacing w:after="0" w:line="20" w:lineRule="exact"/>
        <w:rPr>
          <w:sz w:val="20"/>
          <w:szCs w:val="20"/>
          <w:color w:val="auto"/>
        </w:rPr>
      </w:pPr>
      <w:r>
        <w:rPr>
          <w:sz w:val="20"/>
          <w:szCs w:val="20"/>
          <w:color w:val="auto"/>
        </w:rPr>
        <w:br w:type="column"/>
      </w:r>
    </w:p>
    <w:p>
      <w:pPr>
        <w:ind w:right="3899"/>
        <w:spacing w:after="0" w:line="235" w:lineRule="auto"/>
        <w:rPr>
          <w:sz w:val="20"/>
          <w:szCs w:val="20"/>
          <w:color w:val="auto"/>
        </w:rPr>
      </w:pPr>
      <w:r>
        <w:rPr>
          <w:rFonts w:ascii="Courier New" w:cs="Courier New" w:eastAsia="Courier New" w:hAnsi="Courier New"/>
          <w:sz w:val="18"/>
          <w:szCs w:val="18"/>
          <w:color w:val="auto"/>
        </w:rPr>
        <w:t>An investment adviser in accordance with Rule 13d-1(b)(1)(ii)(E);</w:t>
      </w:r>
    </w:p>
    <w:p>
      <w:pPr>
        <w:spacing w:after="0" w:line="200" w:lineRule="exact"/>
        <w:rPr>
          <w:sz w:val="20"/>
          <w:szCs w:val="20"/>
          <w:color w:val="auto"/>
        </w:rPr>
      </w:pPr>
    </w:p>
    <w:p>
      <w:pPr>
        <w:sectPr>
          <w:pgSz w:w="11900" w:h="16838" w:orient="portrait"/>
          <w:cols w:equalWidth="0" w:num="2">
            <w:col w:w="1800" w:space="320"/>
            <w:col w:w="8099"/>
          </w:cols>
          <w:pgMar w:left="240" w:top="717" w:right="1440" w:bottom="1440" w:gutter="0" w:footer="0" w:header="0"/>
          <w:type w:val="continuous"/>
        </w:sectPr>
      </w:pP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(f).[</w:t>
      </w:r>
    </w:p>
    <w:p>
      <w:pPr>
        <w:spacing w:after="0" w:line="20" w:lineRule="exact"/>
        <w:rPr>
          <w:sz w:val="20"/>
          <w:szCs w:val="20"/>
          <w:color w:val="auto"/>
        </w:rPr>
      </w:pPr>
      <w:r>
        <w:rPr>
          <w:sz w:val="20"/>
          <w:szCs w:val="20"/>
          <w:color w:val="auto"/>
        </w:rPr>
        <w:br w:type="column"/>
      </w:r>
    </w:p>
    <w:p>
      <w:pPr>
        <w:ind w:right="2199" w:hanging="3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An employee benefit plan or endowment fund in accordance with Rule 13d-1(b)(1)(ii)(F);</w:t>
      </w:r>
    </w:p>
    <w:p>
      <w:pPr>
        <w:spacing w:after="0" w:line="200" w:lineRule="exact"/>
        <w:rPr>
          <w:sz w:val="20"/>
          <w:szCs w:val="20"/>
          <w:color w:val="auto"/>
        </w:rPr>
      </w:pPr>
    </w:p>
    <w:p>
      <w:pPr>
        <w:sectPr>
          <w:pgSz w:w="11900" w:h="16838" w:orient="portrait"/>
          <w:cols w:equalWidth="0" w:num="2">
            <w:col w:w="1580" w:space="540"/>
            <w:col w:w="8099"/>
          </w:cols>
          <w:pgMar w:left="240" w:top="717" w:right="1440" w:bottom="1440" w:gutter="0" w:footer="0" w:header="0"/>
          <w:type w:val="continuous"/>
        </w:sectPr>
      </w:pP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(g).[</w:t>
      </w:r>
    </w:p>
    <w:p>
      <w:pPr>
        <w:spacing w:after="0" w:line="20" w:lineRule="exact"/>
        <w:rPr>
          <w:sz w:val="20"/>
          <w:szCs w:val="20"/>
          <w:color w:val="auto"/>
        </w:rPr>
      </w:pPr>
      <w:r>
        <w:rPr>
          <w:sz w:val="20"/>
          <w:szCs w:val="20"/>
          <w:color w:val="auto"/>
        </w:rPr>
        <w:br w:type="column"/>
      </w:r>
    </w:p>
    <w:p>
      <w:pPr>
        <w:ind w:right="2199" w:hanging="3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A parent holding company or control person in accordance with Rule 13d-1(b)(1)(ii)(G);</w:t>
      </w:r>
    </w:p>
    <w:p>
      <w:pPr>
        <w:spacing w:after="0" w:line="200" w:lineRule="exact"/>
        <w:rPr>
          <w:sz w:val="20"/>
          <w:szCs w:val="20"/>
          <w:color w:val="auto"/>
        </w:rPr>
      </w:pPr>
    </w:p>
    <w:p>
      <w:pPr>
        <w:sectPr>
          <w:pgSz w:w="11900" w:h="16838" w:orient="portrait"/>
          <w:cols w:equalWidth="0" w:num="2">
            <w:col w:w="1580" w:space="540"/>
            <w:col w:w="8099"/>
          </w:cols>
          <w:pgMar w:left="240" w:top="717" w:right="1440" w:bottom="1440" w:gutter="0" w:footer="0" w:header="0"/>
          <w:type w:val="continuous"/>
        </w:sectPr>
      </w:pP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(h).[</w:t>
      </w:r>
    </w:p>
    <w:p>
      <w:pPr>
        <w:spacing w:after="0" w:line="20" w:lineRule="exact"/>
        <w:rPr>
          <w:sz w:val="20"/>
          <w:szCs w:val="20"/>
          <w:color w:val="auto"/>
        </w:rPr>
      </w:pPr>
      <w:r>
        <w:rPr>
          <w:sz w:val="20"/>
          <w:szCs w:val="20"/>
          <w:color w:val="auto"/>
        </w:rPr>
        <w:br w:type="column"/>
      </w:r>
    </w:p>
    <w:p>
      <w:pPr>
        <w:ind w:right="2319" w:hanging="3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A savings association as defined in Section 3(b) of the Federal Deposit Insurance Act (12 U.S.C. 1813);</w:t>
      </w:r>
    </w:p>
    <w:p>
      <w:pPr>
        <w:spacing w:after="0" w:line="200" w:lineRule="exact"/>
        <w:rPr>
          <w:sz w:val="20"/>
          <w:szCs w:val="20"/>
          <w:color w:val="auto"/>
        </w:rPr>
      </w:pPr>
    </w:p>
    <w:p>
      <w:pPr>
        <w:sectPr>
          <w:pgSz w:w="11900" w:h="16838" w:orient="portrait"/>
          <w:cols w:equalWidth="0" w:num="2">
            <w:col w:w="1580" w:space="540"/>
            <w:col w:w="8099"/>
          </w:cols>
          <w:pgMar w:left="240" w:top="717" w:right="1440" w:bottom="1440" w:gutter="0" w:footer="0" w:header="0"/>
          <w:type w:val="continuous"/>
        </w:sectPr>
      </w:pP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(i).[</w:t>
      </w:r>
    </w:p>
    <w:p>
      <w:pPr>
        <w:spacing w:after="0" w:line="20" w:lineRule="exact"/>
        <w:rPr>
          <w:sz w:val="20"/>
          <w:szCs w:val="20"/>
          <w:color w:val="auto"/>
        </w:rPr>
      </w:pPr>
      <w:r>
        <w:rPr>
          <w:sz w:val="20"/>
          <w:szCs w:val="20"/>
          <w:color w:val="auto"/>
        </w:rPr>
        <w:br w:type="column"/>
      </w:r>
    </w:p>
    <w:p>
      <w:pPr>
        <w:ind w:right="2199" w:hanging="319"/>
        <w:spacing w:after="0" w:line="236"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A church plan that is excluded from the definition of an investment company under Section 3(c)(14) of the Investment Company Act of 1940 (15 U.S.C. 80a-3);</w:t>
      </w:r>
    </w:p>
    <w:p>
      <w:pPr>
        <w:spacing w:after="0" w:line="200" w:lineRule="exact"/>
        <w:rPr>
          <w:sz w:val="20"/>
          <w:szCs w:val="20"/>
          <w:color w:val="auto"/>
        </w:rPr>
      </w:pPr>
    </w:p>
    <w:p>
      <w:pPr>
        <w:sectPr>
          <w:pgSz w:w="11900" w:h="16838" w:orient="portrait"/>
          <w:cols w:equalWidth="0" w:num="2">
            <w:col w:w="1580" w:space="540"/>
            <w:col w:w="8099"/>
          </w:cols>
          <w:pgMar w:left="240" w:top="717" w:right="1440" w:bottom="1440" w:gutter="0" w:footer="0" w:header="0"/>
          <w:type w:val="continuous"/>
        </w:sectPr>
      </w:pPr>
    </w:p>
    <w:p>
      <w:pPr>
        <w:spacing w:after="0" w:line="9"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(j).[</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Group, in accordance with Rule 13d-1(b)(1)(ii)(J).</w:t>
      </w:r>
    </w:p>
    <w:p>
      <w:pPr>
        <w:spacing w:after="0" w:line="200" w:lineRule="exact"/>
        <w:rPr>
          <w:sz w:val="20"/>
          <w:szCs w:val="20"/>
          <w:color w:val="auto"/>
        </w:rPr>
      </w:pPr>
    </w:p>
    <w:p>
      <w:pPr>
        <w:sectPr>
          <w:pgSz w:w="11900" w:h="16838" w:orient="portrait"/>
          <w:cols w:equalWidth="0" w:num="2">
            <w:col w:w="1580" w:space="220"/>
            <w:col w:w="8419"/>
          </w:cols>
          <w:pgMar w:left="240" w:top="717" w:right="1440" w:bottom="1440" w:gutter="0" w:footer="0" w:header="0"/>
          <w:type w:val="continuous"/>
        </w:sectPr>
      </w:pPr>
    </w:p>
    <w:p>
      <w:pPr>
        <w:spacing w:after="0" w:line="209"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Page 3 of 7</w:t>
      </w:r>
    </w:p>
    <w:p>
      <w:pPr>
        <w:sectPr>
          <w:pgSz w:w="11900" w:h="16838" w:orient="portrait"/>
          <w:cols w:equalWidth="0" w:num="1">
            <w:col w:w="10219"/>
          </w:cols>
          <w:pgMar w:left="240" w:top="717" w:right="1440" w:bottom="144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Ownership.*</w:t>
      </w:r>
    </w:p>
    <w:p>
      <w:pPr>
        <w:spacing w:after="0" w:line="200" w:lineRule="exact"/>
        <w:rPr>
          <w:sz w:val="20"/>
          <w:szCs w:val="20"/>
          <w:color w:val="auto"/>
        </w:rPr>
      </w:pPr>
    </w:p>
    <w:p>
      <w:pPr>
        <w:sectPr>
          <w:pgSz w:w="11900" w:h="16838" w:orient="portrait"/>
          <w:cols w:equalWidth="0" w:num="2">
            <w:col w:w="1280" w:space="720"/>
            <w:col w:w="8219"/>
          </w:cols>
          <w:pgMar w:left="240" w:top="520" w:right="1440" w:bottom="1440" w:gutter="0" w:footer="0" w:header="0"/>
        </w:sectPr>
      </w:pPr>
    </w:p>
    <w:p>
      <w:pPr>
        <w:spacing w:after="0" w:line="2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the response(s) to Item 9 on the attached cover page(s).</w:t>
      </w:r>
    </w:p>
    <w:p>
      <w:pPr>
        <w:spacing w:after="0" w:line="200" w:lineRule="exact"/>
        <w:rPr>
          <w:sz w:val="20"/>
          <w:szCs w:val="20"/>
          <w:color w:val="auto"/>
        </w:rPr>
      </w:pPr>
    </w:p>
    <w:p>
      <w:pPr>
        <w:sectPr>
          <w:pgSz w:w="11900" w:h="16838" w:orient="portrait"/>
          <w:cols w:equalWidth="0" w:num="2">
            <w:col w:w="1480" w:space="520"/>
            <w:col w:w="8219"/>
          </w:cols>
          <w:pgMar w:left="240" w:top="520" w:right="1440" w:bottom="1440" w:gutter="0" w:footer="0" w:header="0"/>
          <w:type w:val="continuous"/>
        </w:sectPr>
      </w:pPr>
    </w:p>
    <w:p>
      <w:pPr>
        <w:spacing w:after="0" w:line="2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Percent of Class: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the response(s)to Item 11 on the attached cover page(s).</w:t>
      </w:r>
    </w:p>
    <w:p>
      <w:pPr>
        <w:spacing w:after="0" w:line="200" w:lineRule="exact"/>
        <w:rPr>
          <w:sz w:val="20"/>
          <w:szCs w:val="20"/>
          <w:color w:val="auto"/>
        </w:rPr>
      </w:pPr>
    </w:p>
    <w:p>
      <w:pPr>
        <w:sectPr>
          <w:pgSz w:w="11900" w:h="16838" w:orient="portrait"/>
          <w:cols w:equalWidth="0" w:num="2">
            <w:col w:w="1480" w:space="520"/>
            <w:col w:w="8219"/>
          </w:cols>
          <w:pgMar w:left="240" w:top="520" w:right="1440" w:bottom="1440" w:gutter="0" w:footer="0" w:header="0"/>
          <w:type w:val="continuous"/>
        </w:sectPr>
      </w:pPr>
    </w:p>
    <w:p>
      <w:pPr>
        <w:spacing w:after="0" w:line="18"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(c).</w:t>
      </w:r>
      <w:r>
        <w:rPr>
          <w:sz w:val="20"/>
          <w:szCs w:val="20"/>
          <w:color w:val="auto"/>
        </w:rPr>
        <w:tab/>
      </w:r>
      <w:r>
        <w:rPr>
          <w:rFonts w:ascii="Courier New" w:cs="Courier New" w:eastAsia="Courier New" w:hAnsi="Courier New"/>
          <w:sz w:val="16"/>
          <w:szCs w:val="16"/>
          <w:color w:val="auto"/>
        </w:rPr>
        <w:t>Number of shares as to which such person has:</w:t>
      </w:r>
    </w:p>
    <w:p>
      <w:pPr>
        <w:spacing w:after="0" w:line="207" w:lineRule="exact"/>
        <w:rPr>
          <w:sz w:val="20"/>
          <w:szCs w:val="20"/>
          <w:color w:val="auto"/>
        </w:rPr>
      </w:pPr>
    </w:p>
    <w:p>
      <w:pPr>
        <w:ind w:left="2860" w:right="1879" w:hanging="842"/>
        <w:spacing w:after="0" w:line="290" w:lineRule="auto"/>
        <w:tabs>
          <w:tab w:leader="none" w:pos="284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6"/>
          <w:szCs w:val="16"/>
          <w:color w:val="auto"/>
        </w:rPr>
        <w:t>Sole power to vote or to direct the vote: See the response(s) to Item 5 on the attached cover page(s).</w:t>
      </w:r>
    </w:p>
    <w:p>
      <w:pPr>
        <w:spacing w:after="0" w:line="170" w:lineRule="exact"/>
        <w:rPr>
          <w:sz w:val="20"/>
          <w:szCs w:val="20"/>
          <w:color w:val="auto"/>
        </w:rPr>
      </w:pPr>
    </w:p>
    <w:p>
      <w:pPr>
        <w:jc w:val="right"/>
        <w:ind w:left="2000" w:right="1879"/>
        <w:spacing w:after="0" w:line="235" w:lineRule="auto"/>
        <w:rPr>
          <w:sz w:val="20"/>
          <w:szCs w:val="20"/>
          <w:color w:val="auto"/>
        </w:rPr>
      </w:pPr>
      <w:r>
        <w:rPr>
          <w:rFonts w:ascii="Courier New" w:cs="Courier New" w:eastAsia="Courier New" w:hAnsi="Courier New"/>
          <w:sz w:val="18"/>
          <w:szCs w:val="18"/>
          <w:color w:val="auto"/>
        </w:rPr>
        <w:t>(ii).   Shared power to vote or to direct the vote:  See the response(s) to Item 6 on the attached cover page(s).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17"/>
                <w:szCs w:val="17"/>
                <w:color w:val="auto"/>
              </w:rPr>
            </w:pPr>
          </w:p>
        </w:tc>
        <w:tc>
          <w:tcPr>
            <w:tcW w:w="1880" w:type="dxa"/>
            <w:vAlign w:val="bottom"/>
          </w:tcPr>
          <w:p>
            <w:pPr>
              <w:ind w:left="560"/>
              <w:spacing w:after="0"/>
              <w:rPr>
                <w:sz w:val="20"/>
                <w:szCs w:val="20"/>
                <w:color w:val="auto"/>
              </w:rPr>
            </w:pPr>
            <w:r>
              <w:rPr>
                <w:rFonts w:ascii="Courier New" w:cs="Courier New" w:eastAsia="Courier New" w:hAnsi="Courier New"/>
                <w:sz w:val="18"/>
                <w:szCs w:val="18"/>
                <w:color w:val="auto"/>
              </w:rPr>
              <w:t>(iii).  Sole</w:t>
            </w:r>
          </w:p>
        </w:tc>
        <w:tc>
          <w:tcPr>
            <w:tcW w:w="900" w:type="dxa"/>
            <w:vAlign w:val="bottom"/>
          </w:tcPr>
          <w:p>
            <w:pPr>
              <w:jc w:val="center"/>
              <w:spacing w:after="0"/>
              <w:rPr>
                <w:sz w:val="20"/>
                <w:szCs w:val="20"/>
                <w:color w:val="auto"/>
              </w:rPr>
            </w:pPr>
            <w:r>
              <w:rPr>
                <w:rFonts w:ascii="Courier New" w:cs="Courier New" w:eastAsia="Courier New" w:hAnsi="Courier New"/>
                <w:sz w:val="18"/>
                <w:szCs w:val="18"/>
                <w:color w:val="auto"/>
                <w:w w:val="97"/>
              </w:rPr>
              <w:t>power to</w:t>
            </w:r>
          </w:p>
        </w:tc>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rPr>
              <w:t>dispose or to</w:t>
            </w:r>
          </w:p>
        </w:tc>
        <w:tc>
          <w:tcPr>
            <w:tcW w:w="880" w:type="dxa"/>
            <w:vAlign w:val="bottom"/>
          </w:tcPr>
          <w:p>
            <w:pPr>
              <w:ind w:left="40"/>
              <w:spacing w:after="0"/>
              <w:rPr>
                <w:sz w:val="20"/>
                <w:szCs w:val="20"/>
                <w:color w:val="auto"/>
              </w:rPr>
            </w:pPr>
            <w:r>
              <w:rPr>
                <w:rFonts w:ascii="Courier New" w:cs="Courier New" w:eastAsia="Courier New" w:hAnsi="Courier New"/>
                <w:sz w:val="18"/>
                <w:szCs w:val="18"/>
                <w:color w:val="auto"/>
              </w:rPr>
              <w:t>direct</w:t>
            </w:r>
          </w:p>
        </w:tc>
        <w:tc>
          <w:tcPr>
            <w:tcW w:w="1700" w:type="dxa"/>
            <w:vAlign w:val="bottom"/>
          </w:tcPr>
          <w:p>
            <w:pPr>
              <w:spacing w:after="0"/>
              <w:rPr>
                <w:sz w:val="20"/>
                <w:szCs w:val="20"/>
                <w:color w:val="auto"/>
              </w:rPr>
            </w:pPr>
            <w:r>
              <w:rPr>
                <w:rFonts w:ascii="Courier New" w:cs="Courier New" w:eastAsia="Courier New" w:hAnsi="Courier New"/>
                <w:sz w:val="18"/>
                <w:szCs w:val="18"/>
                <w:color w:val="auto"/>
              </w:rPr>
              <w:t>the disposition</w:t>
            </w:r>
          </w:p>
        </w:tc>
      </w:tr>
      <w:tr>
        <w:trPr>
          <w:trHeight w:val="203"/>
        </w:trPr>
        <w:tc>
          <w:tcPr>
            <w:tcW w:w="1440" w:type="dxa"/>
            <w:vAlign w:val="bottom"/>
          </w:tcPr>
          <w:p>
            <w:pPr>
              <w:spacing w:after="0"/>
              <w:rPr>
                <w:sz w:val="17"/>
                <w:szCs w:val="17"/>
                <w:color w:val="auto"/>
              </w:rPr>
            </w:pPr>
          </w:p>
        </w:tc>
        <w:tc>
          <w:tcPr>
            <w:tcW w:w="188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of:</w:t>
            </w:r>
          </w:p>
        </w:tc>
        <w:tc>
          <w:tcPr>
            <w:tcW w:w="25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See the response(s) to</w:t>
            </w:r>
          </w:p>
        </w:tc>
        <w:tc>
          <w:tcPr>
            <w:tcW w:w="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Item 7</w:t>
            </w:r>
          </w:p>
        </w:tc>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on the attached</w:t>
            </w:r>
          </w:p>
        </w:tc>
      </w:tr>
      <w:tr>
        <w:trPr>
          <w:trHeight w:val="203"/>
        </w:trPr>
        <w:tc>
          <w:tcPr>
            <w:tcW w:w="1440" w:type="dxa"/>
            <w:vAlign w:val="bottom"/>
          </w:tcPr>
          <w:p>
            <w:pPr>
              <w:spacing w:after="0"/>
              <w:rPr>
                <w:sz w:val="17"/>
                <w:szCs w:val="17"/>
                <w:color w:val="auto"/>
              </w:rPr>
            </w:pPr>
          </w:p>
        </w:tc>
        <w:tc>
          <w:tcPr>
            <w:tcW w:w="4420" w:type="dxa"/>
            <w:vAlign w:val="bottom"/>
            <w:gridSpan w:val="3"/>
          </w:tcPr>
          <w:p>
            <w:pPr>
              <w:ind w:left="1420"/>
              <w:spacing w:after="0" w:line="203" w:lineRule="exact"/>
              <w:rPr>
                <w:sz w:val="20"/>
                <w:szCs w:val="20"/>
                <w:color w:val="auto"/>
              </w:rPr>
            </w:pPr>
            <w:r>
              <w:rPr>
                <w:rFonts w:ascii="Courier New" w:cs="Courier New" w:eastAsia="Courier New" w:hAnsi="Courier New"/>
                <w:sz w:val="18"/>
                <w:szCs w:val="18"/>
                <w:color w:val="auto"/>
              </w:rPr>
              <w:t>cover page(s).</w:t>
            </w:r>
          </w:p>
        </w:tc>
        <w:tc>
          <w:tcPr>
            <w:tcW w:w="8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405"/>
        </w:trPr>
        <w:tc>
          <w:tcPr>
            <w:tcW w:w="1440" w:type="dxa"/>
            <w:vAlign w:val="bottom"/>
          </w:tcPr>
          <w:p>
            <w:pPr>
              <w:spacing w:after="0"/>
              <w:rPr>
                <w:sz w:val="24"/>
                <w:szCs w:val="24"/>
                <w:color w:val="auto"/>
              </w:rPr>
            </w:pPr>
          </w:p>
        </w:tc>
        <w:tc>
          <w:tcPr>
            <w:tcW w:w="7000" w:type="dxa"/>
            <w:vAlign w:val="bottom"/>
            <w:gridSpan w:val="5"/>
          </w:tcPr>
          <w:p>
            <w:pPr>
              <w:ind w:left="560"/>
              <w:spacing w:after="0"/>
              <w:rPr>
                <w:sz w:val="20"/>
                <w:szCs w:val="20"/>
                <w:color w:val="auto"/>
              </w:rPr>
            </w:pPr>
            <w:r>
              <w:rPr>
                <w:rFonts w:ascii="Courier New" w:cs="Courier New" w:eastAsia="Courier New" w:hAnsi="Courier New"/>
                <w:sz w:val="18"/>
                <w:szCs w:val="18"/>
                <w:color w:val="auto"/>
                <w:w w:val="99"/>
              </w:rPr>
              <w:t>(iv).   Shared power to dispose or to direct the disposition</w:t>
            </w:r>
          </w:p>
        </w:tc>
      </w:tr>
      <w:tr>
        <w:trPr>
          <w:trHeight w:val="203"/>
        </w:trPr>
        <w:tc>
          <w:tcPr>
            <w:tcW w:w="1440" w:type="dxa"/>
            <w:vAlign w:val="bottom"/>
          </w:tcPr>
          <w:p>
            <w:pPr>
              <w:spacing w:after="0"/>
              <w:rPr>
                <w:sz w:val="17"/>
                <w:szCs w:val="17"/>
                <w:color w:val="auto"/>
              </w:rPr>
            </w:pPr>
          </w:p>
        </w:tc>
        <w:tc>
          <w:tcPr>
            <w:tcW w:w="188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of:</w:t>
            </w:r>
          </w:p>
        </w:tc>
        <w:tc>
          <w:tcPr>
            <w:tcW w:w="25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See the response(s) to</w:t>
            </w:r>
          </w:p>
        </w:tc>
        <w:tc>
          <w:tcPr>
            <w:tcW w:w="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Item 8</w:t>
            </w:r>
          </w:p>
        </w:tc>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on the attached</w:t>
            </w:r>
          </w:p>
        </w:tc>
      </w:tr>
      <w:tr>
        <w:trPr>
          <w:trHeight w:val="203"/>
        </w:trPr>
        <w:tc>
          <w:tcPr>
            <w:tcW w:w="1440" w:type="dxa"/>
            <w:vAlign w:val="bottom"/>
          </w:tcPr>
          <w:p>
            <w:pPr>
              <w:spacing w:after="0"/>
              <w:rPr>
                <w:sz w:val="17"/>
                <w:szCs w:val="17"/>
                <w:color w:val="auto"/>
              </w:rPr>
            </w:pPr>
          </w:p>
        </w:tc>
        <w:tc>
          <w:tcPr>
            <w:tcW w:w="4420" w:type="dxa"/>
            <w:vAlign w:val="bottom"/>
            <w:gridSpan w:val="3"/>
          </w:tcPr>
          <w:p>
            <w:pPr>
              <w:ind w:left="1420"/>
              <w:spacing w:after="0" w:line="203" w:lineRule="exact"/>
              <w:rPr>
                <w:sz w:val="20"/>
                <w:szCs w:val="20"/>
                <w:color w:val="auto"/>
              </w:rPr>
            </w:pPr>
            <w:r>
              <w:rPr>
                <w:rFonts w:ascii="Courier New" w:cs="Courier New" w:eastAsia="Courier New" w:hAnsi="Courier New"/>
                <w:sz w:val="18"/>
                <w:szCs w:val="18"/>
                <w:color w:val="auto"/>
              </w:rPr>
              <w:t>cover page(s).</w:t>
            </w:r>
          </w:p>
        </w:tc>
        <w:tc>
          <w:tcPr>
            <w:tcW w:w="8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5300" w:type="dxa"/>
            <w:vAlign w:val="bottom"/>
            <w:gridSpan w:val="4"/>
          </w:tcPr>
          <w:p>
            <w:pPr>
              <w:ind w:left="560"/>
              <w:spacing w:after="0"/>
              <w:rPr>
                <w:sz w:val="20"/>
                <w:szCs w:val="20"/>
                <w:color w:val="auto"/>
              </w:rPr>
            </w:pPr>
            <w:r>
              <w:rPr>
                <w:rFonts w:ascii="Courier New" w:cs="Courier New" w:eastAsia="Courier New" w:hAnsi="Courier New"/>
                <w:sz w:val="18"/>
                <w:szCs w:val="18"/>
                <w:color w:val="auto"/>
                <w:w w:val="97"/>
              </w:rPr>
              <w:t>Ownership of Five Percent or Less of a Class.</w:t>
            </w:r>
          </w:p>
        </w:tc>
        <w:tc>
          <w:tcPr>
            <w:tcW w:w="1700" w:type="dxa"/>
            <w:vAlign w:val="bottom"/>
          </w:tcPr>
          <w:p>
            <w:pPr>
              <w:spacing w:after="0"/>
              <w:rPr>
                <w:sz w:val="24"/>
                <w:szCs w:val="24"/>
                <w:color w:val="auto"/>
              </w:rPr>
            </w:pPr>
          </w:p>
        </w:tc>
      </w:tr>
      <w:tr>
        <w:trPr>
          <w:trHeight w:val="203"/>
        </w:trPr>
        <w:tc>
          <w:tcPr>
            <w:tcW w:w="1440" w:type="dxa"/>
            <w:vAlign w:val="bottom"/>
          </w:tcPr>
          <w:p>
            <w:pPr>
              <w:spacing w:after="0"/>
              <w:rPr>
                <w:sz w:val="17"/>
                <w:szCs w:val="17"/>
                <w:color w:val="auto"/>
              </w:rPr>
            </w:pPr>
          </w:p>
        </w:tc>
        <w:tc>
          <w:tcPr>
            <w:tcW w:w="7000" w:type="dxa"/>
            <w:vAlign w:val="bottom"/>
            <w:gridSpan w:val="5"/>
          </w:tcPr>
          <w:p>
            <w:pPr>
              <w:ind w:left="560"/>
              <w:spacing w:after="0" w:line="203" w:lineRule="exact"/>
              <w:rPr>
                <w:sz w:val="20"/>
                <w:szCs w:val="20"/>
                <w:color w:val="auto"/>
              </w:rPr>
            </w:pPr>
            <w:r>
              <w:rPr>
                <w:rFonts w:ascii="Courier New" w:cs="Courier New" w:eastAsia="Courier New" w:hAnsi="Courier New"/>
                <w:sz w:val="18"/>
                <w:szCs w:val="18"/>
                <w:color w:val="auto"/>
              </w:rPr>
              <w:t>If this statement is being filed to report the fact that as</w:t>
            </w:r>
          </w:p>
        </w:tc>
      </w:tr>
      <w:tr>
        <w:trPr>
          <w:trHeight w:val="203"/>
        </w:trPr>
        <w:tc>
          <w:tcPr>
            <w:tcW w:w="1440" w:type="dxa"/>
            <w:vAlign w:val="bottom"/>
          </w:tcPr>
          <w:p>
            <w:pPr>
              <w:spacing w:after="0"/>
              <w:rPr>
                <w:sz w:val="17"/>
                <w:szCs w:val="17"/>
                <w:color w:val="auto"/>
              </w:rPr>
            </w:pPr>
          </w:p>
        </w:tc>
        <w:tc>
          <w:tcPr>
            <w:tcW w:w="7000" w:type="dxa"/>
            <w:vAlign w:val="bottom"/>
            <w:gridSpan w:val="5"/>
          </w:tcPr>
          <w:p>
            <w:pPr>
              <w:ind w:left="560"/>
              <w:spacing w:after="0" w:line="203" w:lineRule="exact"/>
              <w:rPr>
                <w:sz w:val="20"/>
                <w:szCs w:val="20"/>
                <w:color w:val="auto"/>
              </w:rPr>
            </w:pPr>
            <w:r>
              <w:rPr>
                <w:rFonts w:ascii="Courier New" w:cs="Courier New" w:eastAsia="Courier New" w:hAnsi="Courier New"/>
                <w:sz w:val="18"/>
                <w:szCs w:val="18"/>
                <w:color w:val="auto"/>
              </w:rPr>
              <w:t>of the date hereof the reporting persons have ceased to be</w:t>
            </w:r>
          </w:p>
        </w:tc>
      </w:tr>
      <w:tr>
        <w:trPr>
          <w:trHeight w:val="203"/>
        </w:trPr>
        <w:tc>
          <w:tcPr>
            <w:tcW w:w="1440" w:type="dxa"/>
            <w:vAlign w:val="bottom"/>
          </w:tcPr>
          <w:p>
            <w:pPr>
              <w:spacing w:after="0"/>
              <w:rPr>
                <w:sz w:val="17"/>
                <w:szCs w:val="17"/>
                <w:color w:val="auto"/>
              </w:rPr>
            </w:pPr>
          </w:p>
        </w:tc>
        <w:tc>
          <w:tcPr>
            <w:tcW w:w="7000" w:type="dxa"/>
            <w:vAlign w:val="bottom"/>
            <w:gridSpan w:val="5"/>
          </w:tcPr>
          <w:p>
            <w:pPr>
              <w:ind w:left="560"/>
              <w:spacing w:after="0" w:line="203" w:lineRule="exact"/>
              <w:rPr>
                <w:sz w:val="20"/>
                <w:szCs w:val="20"/>
                <w:color w:val="auto"/>
              </w:rPr>
            </w:pPr>
            <w:r>
              <w:rPr>
                <w:rFonts w:ascii="Courier New" w:cs="Courier New" w:eastAsia="Courier New" w:hAnsi="Courier New"/>
                <w:sz w:val="18"/>
                <w:szCs w:val="18"/>
                <w:color w:val="auto"/>
                <w:w w:val="99"/>
              </w:rPr>
              <w:t>the beneficial owners of more than five percent of the class</w:t>
            </w:r>
          </w:p>
        </w:tc>
      </w:tr>
      <w:tr>
        <w:trPr>
          <w:trHeight w:val="203"/>
        </w:trPr>
        <w:tc>
          <w:tcPr>
            <w:tcW w:w="1440" w:type="dxa"/>
            <w:vAlign w:val="bottom"/>
          </w:tcPr>
          <w:p>
            <w:pPr>
              <w:spacing w:after="0"/>
              <w:rPr>
                <w:sz w:val="17"/>
                <w:szCs w:val="17"/>
                <w:color w:val="auto"/>
              </w:rPr>
            </w:pPr>
          </w:p>
        </w:tc>
        <w:tc>
          <w:tcPr>
            <w:tcW w:w="5300" w:type="dxa"/>
            <w:vAlign w:val="bottom"/>
            <w:gridSpan w:val="4"/>
          </w:tcPr>
          <w:p>
            <w:pPr>
              <w:ind w:left="560"/>
              <w:spacing w:after="0" w:line="203" w:lineRule="exact"/>
              <w:rPr>
                <w:sz w:val="20"/>
                <w:szCs w:val="20"/>
                <w:color w:val="auto"/>
              </w:rPr>
            </w:pPr>
            <w:r>
              <w:rPr>
                <w:rFonts w:ascii="Courier New" w:cs="Courier New" w:eastAsia="Courier New" w:hAnsi="Courier New"/>
                <w:sz w:val="18"/>
                <w:szCs w:val="18"/>
                <w:color w:val="auto"/>
              </w:rPr>
              <w:t>of securities, check the following [X].</w:t>
            </w:r>
          </w:p>
        </w:tc>
        <w:tc>
          <w:tcPr>
            <w:tcW w:w="1700" w:type="dxa"/>
            <w:vAlign w:val="bottom"/>
          </w:tcPr>
          <w:p>
            <w:pPr>
              <w:spacing w:after="0"/>
              <w:rPr>
                <w:sz w:val="17"/>
                <w:szCs w:val="17"/>
                <w:color w:val="auto"/>
              </w:rPr>
            </w:pP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7000" w:type="dxa"/>
            <w:vAlign w:val="bottom"/>
            <w:gridSpan w:val="5"/>
          </w:tcPr>
          <w:p>
            <w:pPr>
              <w:ind w:left="560"/>
              <w:spacing w:after="0"/>
              <w:rPr>
                <w:sz w:val="20"/>
                <w:szCs w:val="20"/>
                <w:color w:val="auto"/>
              </w:rPr>
            </w:pPr>
            <w:r>
              <w:rPr>
                <w:rFonts w:ascii="Courier New" w:cs="Courier New" w:eastAsia="Courier New" w:hAnsi="Courier New"/>
                <w:sz w:val="18"/>
                <w:szCs w:val="18"/>
                <w:color w:val="auto"/>
              </w:rPr>
              <w:t>Ownership of More than Five Percent on Behalf of Another</w:t>
            </w:r>
          </w:p>
        </w:tc>
      </w:tr>
      <w:tr>
        <w:trPr>
          <w:trHeight w:val="203"/>
        </w:trPr>
        <w:tc>
          <w:tcPr>
            <w:tcW w:w="1440" w:type="dxa"/>
            <w:vAlign w:val="bottom"/>
          </w:tcPr>
          <w:p>
            <w:pPr>
              <w:spacing w:after="0"/>
              <w:rPr>
                <w:sz w:val="17"/>
                <w:szCs w:val="17"/>
                <w:color w:val="auto"/>
              </w:rPr>
            </w:pPr>
          </w:p>
        </w:tc>
        <w:tc>
          <w:tcPr>
            <w:tcW w:w="1880" w:type="dxa"/>
            <w:vAlign w:val="bottom"/>
          </w:tcPr>
          <w:p>
            <w:pPr>
              <w:ind w:left="560"/>
              <w:spacing w:after="0" w:line="203" w:lineRule="exact"/>
              <w:rPr>
                <w:sz w:val="20"/>
                <w:szCs w:val="20"/>
                <w:color w:val="auto"/>
              </w:rPr>
            </w:pPr>
            <w:r>
              <w:rPr>
                <w:rFonts w:ascii="Courier New" w:cs="Courier New" w:eastAsia="Courier New" w:hAnsi="Courier New"/>
                <w:sz w:val="18"/>
                <w:szCs w:val="18"/>
                <w:color w:val="auto"/>
              </w:rPr>
              <w:t>Person.</w:t>
            </w:r>
          </w:p>
        </w:tc>
        <w:tc>
          <w:tcPr>
            <w:tcW w:w="9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4420" w:type="dxa"/>
            <w:vAlign w:val="bottom"/>
            <w:gridSpan w:val="3"/>
          </w:tcPr>
          <w:p>
            <w:pPr>
              <w:jc w:val="center"/>
              <w:ind w:left="212"/>
              <w:spacing w:after="0" w:line="203" w:lineRule="exact"/>
              <w:rPr>
                <w:sz w:val="20"/>
                <w:szCs w:val="20"/>
                <w:color w:val="auto"/>
              </w:rPr>
            </w:pPr>
            <w:r>
              <w:rPr>
                <w:rFonts w:ascii="Courier New" w:cs="Courier New" w:eastAsia="Courier New" w:hAnsi="Courier New"/>
                <w:sz w:val="18"/>
                <w:szCs w:val="18"/>
                <w:color w:val="auto"/>
                <w:w w:val="97"/>
              </w:rPr>
              <w:t>Not Applicable</w:t>
            </w:r>
          </w:p>
        </w:tc>
        <w:tc>
          <w:tcPr>
            <w:tcW w:w="8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2780" w:type="dxa"/>
            <w:vAlign w:val="bottom"/>
            <w:gridSpan w:val="2"/>
          </w:tcPr>
          <w:p>
            <w:pPr>
              <w:ind w:left="560"/>
              <w:spacing w:after="0"/>
              <w:rPr>
                <w:sz w:val="20"/>
                <w:szCs w:val="20"/>
                <w:color w:val="auto"/>
              </w:rPr>
            </w:pPr>
            <w:r>
              <w:rPr>
                <w:rFonts w:ascii="Courier New" w:cs="Courier New" w:eastAsia="Courier New" w:hAnsi="Courier New"/>
                <w:sz w:val="18"/>
                <w:szCs w:val="18"/>
                <w:color w:val="auto"/>
              </w:rPr>
              <w:t>Identification  and</w:t>
            </w:r>
          </w:p>
        </w:tc>
        <w:tc>
          <w:tcPr>
            <w:tcW w:w="164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6"/>
              </w:rPr>
              <w:t>Classification</w:t>
            </w:r>
          </w:p>
        </w:tc>
        <w:tc>
          <w:tcPr>
            <w:tcW w:w="2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of the Subsidiary Which</w:t>
            </w:r>
          </w:p>
        </w:tc>
      </w:tr>
      <w:tr>
        <w:trPr>
          <w:trHeight w:val="203"/>
        </w:trPr>
        <w:tc>
          <w:tcPr>
            <w:tcW w:w="1440" w:type="dxa"/>
            <w:vAlign w:val="bottom"/>
          </w:tcPr>
          <w:p>
            <w:pPr>
              <w:spacing w:after="0"/>
              <w:rPr>
                <w:sz w:val="17"/>
                <w:szCs w:val="17"/>
                <w:color w:val="auto"/>
              </w:rPr>
            </w:pPr>
          </w:p>
        </w:tc>
        <w:tc>
          <w:tcPr>
            <w:tcW w:w="7000" w:type="dxa"/>
            <w:vAlign w:val="bottom"/>
            <w:gridSpan w:val="5"/>
          </w:tcPr>
          <w:p>
            <w:pPr>
              <w:ind w:left="560"/>
              <w:spacing w:after="0" w:line="203" w:lineRule="exact"/>
              <w:rPr>
                <w:sz w:val="20"/>
                <w:szCs w:val="20"/>
                <w:color w:val="auto"/>
              </w:rPr>
            </w:pPr>
            <w:r>
              <w:rPr>
                <w:rFonts w:ascii="Courier New" w:cs="Courier New" w:eastAsia="Courier New" w:hAnsi="Courier New"/>
                <w:sz w:val="18"/>
                <w:szCs w:val="18"/>
                <w:color w:val="auto"/>
                <w:w w:val="99"/>
              </w:rPr>
              <w:t>Acquired  the  Security  Being  Reported  on  by the  Parent</w:t>
            </w:r>
          </w:p>
        </w:tc>
      </w:tr>
      <w:tr>
        <w:trPr>
          <w:trHeight w:val="203"/>
        </w:trPr>
        <w:tc>
          <w:tcPr>
            <w:tcW w:w="1440" w:type="dxa"/>
            <w:vAlign w:val="bottom"/>
          </w:tcPr>
          <w:p>
            <w:pPr>
              <w:spacing w:after="0"/>
              <w:rPr>
                <w:sz w:val="17"/>
                <w:szCs w:val="17"/>
                <w:color w:val="auto"/>
              </w:rPr>
            </w:pPr>
          </w:p>
        </w:tc>
        <w:tc>
          <w:tcPr>
            <w:tcW w:w="2780" w:type="dxa"/>
            <w:vAlign w:val="bottom"/>
            <w:gridSpan w:val="2"/>
          </w:tcPr>
          <w:p>
            <w:pPr>
              <w:ind w:left="560"/>
              <w:spacing w:after="0" w:line="203" w:lineRule="exact"/>
              <w:rPr>
                <w:sz w:val="20"/>
                <w:szCs w:val="20"/>
                <w:color w:val="auto"/>
              </w:rPr>
            </w:pPr>
            <w:r>
              <w:rPr>
                <w:rFonts w:ascii="Courier New" w:cs="Courier New" w:eastAsia="Courier New" w:hAnsi="Courier New"/>
                <w:sz w:val="18"/>
                <w:szCs w:val="18"/>
                <w:color w:val="auto"/>
              </w:rPr>
              <w:t>Holding Company.</w:t>
            </w:r>
          </w:p>
        </w:tc>
        <w:tc>
          <w:tcPr>
            <w:tcW w:w="1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4420" w:type="dxa"/>
            <w:vAlign w:val="bottom"/>
            <w:gridSpan w:val="3"/>
          </w:tcPr>
          <w:p>
            <w:pPr>
              <w:jc w:val="center"/>
              <w:ind w:left="212"/>
              <w:spacing w:after="0" w:line="203" w:lineRule="exact"/>
              <w:rPr>
                <w:sz w:val="20"/>
                <w:szCs w:val="20"/>
                <w:color w:val="auto"/>
              </w:rPr>
            </w:pPr>
            <w:r>
              <w:rPr>
                <w:rFonts w:ascii="Courier New" w:cs="Courier New" w:eastAsia="Courier New" w:hAnsi="Courier New"/>
                <w:sz w:val="18"/>
                <w:szCs w:val="18"/>
                <w:color w:val="auto"/>
                <w:w w:val="97"/>
              </w:rPr>
              <w:t>Not Applicable</w:t>
            </w:r>
          </w:p>
        </w:tc>
        <w:tc>
          <w:tcPr>
            <w:tcW w:w="8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7000" w:type="dxa"/>
            <w:vAlign w:val="bottom"/>
            <w:gridSpan w:val="5"/>
          </w:tcPr>
          <w:p>
            <w:pPr>
              <w:ind w:left="56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r>
      <w:tr>
        <w:trPr>
          <w:trHeight w:val="203"/>
        </w:trPr>
        <w:tc>
          <w:tcPr>
            <w:tcW w:w="1440" w:type="dxa"/>
            <w:vAlign w:val="bottom"/>
          </w:tcPr>
          <w:p>
            <w:pPr>
              <w:spacing w:after="0"/>
              <w:rPr>
                <w:sz w:val="17"/>
                <w:szCs w:val="17"/>
                <w:color w:val="auto"/>
              </w:rPr>
            </w:pPr>
          </w:p>
        </w:tc>
        <w:tc>
          <w:tcPr>
            <w:tcW w:w="4420" w:type="dxa"/>
            <w:vAlign w:val="bottom"/>
            <w:gridSpan w:val="3"/>
          </w:tcPr>
          <w:p>
            <w:pPr>
              <w:jc w:val="center"/>
              <w:ind w:left="212"/>
              <w:spacing w:after="0" w:line="203" w:lineRule="exact"/>
              <w:rPr>
                <w:sz w:val="20"/>
                <w:szCs w:val="20"/>
                <w:color w:val="auto"/>
              </w:rPr>
            </w:pPr>
            <w:r>
              <w:rPr>
                <w:rFonts w:ascii="Courier New" w:cs="Courier New" w:eastAsia="Courier New" w:hAnsi="Courier New"/>
                <w:sz w:val="18"/>
                <w:szCs w:val="18"/>
                <w:color w:val="auto"/>
                <w:w w:val="97"/>
              </w:rPr>
              <w:t>Not Applicable</w:t>
            </w:r>
          </w:p>
        </w:tc>
        <w:tc>
          <w:tcPr>
            <w:tcW w:w="8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4420" w:type="dxa"/>
            <w:vAlign w:val="bottom"/>
            <w:gridSpan w:val="3"/>
          </w:tcPr>
          <w:p>
            <w:pPr>
              <w:ind w:left="560"/>
              <w:spacing w:after="0"/>
              <w:rPr>
                <w:sz w:val="20"/>
                <w:szCs w:val="20"/>
                <w:color w:val="auto"/>
              </w:rPr>
            </w:pPr>
            <w:r>
              <w:rPr>
                <w:rFonts w:ascii="Courier New" w:cs="Courier New" w:eastAsia="Courier New" w:hAnsi="Courier New"/>
                <w:sz w:val="18"/>
                <w:szCs w:val="18"/>
                <w:color w:val="auto"/>
              </w:rPr>
              <w:t>Notice of Dissolution of Group.</w:t>
            </w:r>
          </w:p>
        </w:tc>
        <w:tc>
          <w:tcPr>
            <w:tcW w:w="8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03"/>
        </w:trPr>
        <w:tc>
          <w:tcPr>
            <w:tcW w:w="1440" w:type="dxa"/>
            <w:vAlign w:val="bottom"/>
          </w:tcPr>
          <w:p>
            <w:pPr>
              <w:spacing w:after="0"/>
              <w:rPr>
                <w:sz w:val="17"/>
                <w:szCs w:val="17"/>
                <w:color w:val="auto"/>
              </w:rPr>
            </w:pPr>
          </w:p>
        </w:tc>
        <w:tc>
          <w:tcPr>
            <w:tcW w:w="4420" w:type="dxa"/>
            <w:vAlign w:val="bottom"/>
            <w:gridSpan w:val="3"/>
          </w:tcPr>
          <w:p>
            <w:pPr>
              <w:jc w:val="center"/>
              <w:ind w:left="212"/>
              <w:spacing w:after="0" w:line="203" w:lineRule="exact"/>
              <w:rPr>
                <w:sz w:val="20"/>
                <w:szCs w:val="20"/>
                <w:color w:val="auto"/>
              </w:rPr>
            </w:pPr>
            <w:r>
              <w:rPr>
                <w:rFonts w:ascii="Courier New" w:cs="Courier New" w:eastAsia="Courier New" w:hAnsi="Courier New"/>
                <w:sz w:val="18"/>
                <w:szCs w:val="18"/>
                <w:color w:val="auto"/>
                <w:w w:val="97"/>
              </w:rPr>
              <w:t>Not Applicable</w:t>
            </w:r>
          </w:p>
        </w:tc>
        <w:tc>
          <w:tcPr>
            <w:tcW w:w="8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10.</w:t>
            </w:r>
          </w:p>
        </w:tc>
        <w:tc>
          <w:tcPr>
            <w:tcW w:w="2780" w:type="dxa"/>
            <w:vAlign w:val="bottom"/>
            <w:gridSpan w:val="2"/>
          </w:tcPr>
          <w:p>
            <w:pPr>
              <w:ind w:left="560"/>
              <w:spacing w:after="0"/>
              <w:rPr>
                <w:sz w:val="20"/>
                <w:szCs w:val="20"/>
                <w:color w:val="auto"/>
              </w:rPr>
            </w:pPr>
            <w:r>
              <w:rPr>
                <w:rFonts w:ascii="Courier New" w:cs="Courier New" w:eastAsia="Courier New" w:hAnsi="Courier New"/>
                <w:sz w:val="18"/>
                <w:szCs w:val="18"/>
                <w:color w:val="auto"/>
              </w:rPr>
              <w:t>Certification.</w:t>
            </w:r>
          </w:p>
        </w:tc>
        <w:tc>
          <w:tcPr>
            <w:tcW w:w="1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03"/>
        </w:trPr>
        <w:tc>
          <w:tcPr>
            <w:tcW w:w="1440" w:type="dxa"/>
            <w:vAlign w:val="bottom"/>
          </w:tcPr>
          <w:p>
            <w:pPr>
              <w:spacing w:after="0"/>
              <w:rPr>
                <w:sz w:val="17"/>
                <w:szCs w:val="17"/>
                <w:color w:val="auto"/>
              </w:rPr>
            </w:pPr>
          </w:p>
        </w:tc>
        <w:tc>
          <w:tcPr>
            <w:tcW w:w="7000" w:type="dxa"/>
            <w:vAlign w:val="bottom"/>
            <w:gridSpan w:val="5"/>
          </w:tcPr>
          <w:p>
            <w:pPr>
              <w:ind w:left="560"/>
              <w:spacing w:after="0" w:line="203" w:lineRule="exact"/>
              <w:rPr>
                <w:sz w:val="20"/>
                <w:szCs w:val="20"/>
                <w:color w:val="auto"/>
              </w:rPr>
            </w:pPr>
            <w:r>
              <w:rPr>
                <w:rFonts w:ascii="Courier New" w:cs="Courier New" w:eastAsia="Courier New" w:hAnsi="Courier New"/>
                <w:sz w:val="18"/>
                <w:szCs w:val="18"/>
                <w:color w:val="auto"/>
                <w:w w:val="99"/>
              </w:rPr>
              <w:t>By signing below I certify that, to the best of my knowledge</w:t>
            </w:r>
          </w:p>
        </w:tc>
      </w:tr>
      <w:tr>
        <w:trPr>
          <w:trHeight w:val="203"/>
        </w:trPr>
        <w:tc>
          <w:tcPr>
            <w:tcW w:w="1440" w:type="dxa"/>
            <w:vAlign w:val="bottom"/>
          </w:tcPr>
          <w:p>
            <w:pPr>
              <w:spacing w:after="0"/>
              <w:rPr>
                <w:sz w:val="17"/>
                <w:szCs w:val="17"/>
                <w:color w:val="auto"/>
              </w:rPr>
            </w:pPr>
          </w:p>
        </w:tc>
        <w:tc>
          <w:tcPr>
            <w:tcW w:w="7000" w:type="dxa"/>
            <w:vAlign w:val="bottom"/>
            <w:gridSpan w:val="5"/>
          </w:tcPr>
          <w:p>
            <w:pPr>
              <w:ind w:left="560"/>
              <w:spacing w:after="0" w:line="203" w:lineRule="exact"/>
              <w:rPr>
                <w:sz w:val="20"/>
                <w:szCs w:val="20"/>
                <w:color w:val="auto"/>
              </w:rPr>
            </w:pPr>
            <w:r>
              <w:rPr>
                <w:rFonts w:ascii="Courier New" w:cs="Courier New" w:eastAsia="Courier New" w:hAnsi="Courier New"/>
                <w:sz w:val="18"/>
                <w:szCs w:val="18"/>
                <w:color w:val="auto"/>
              </w:rPr>
              <w:t>and belief, the securities referred to above were acquired</w:t>
            </w:r>
          </w:p>
        </w:tc>
      </w:tr>
      <w:tr>
        <w:trPr>
          <w:trHeight w:val="203"/>
        </w:trPr>
        <w:tc>
          <w:tcPr>
            <w:tcW w:w="1440" w:type="dxa"/>
            <w:vAlign w:val="bottom"/>
          </w:tcPr>
          <w:p>
            <w:pPr>
              <w:spacing w:after="0"/>
              <w:rPr>
                <w:sz w:val="17"/>
                <w:szCs w:val="17"/>
                <w:color w:val="auto"/>
              </w:rPr>
            </w:pPr>
          </w:p>
        </w:tc>
        <w:tc>
          <w:tcPr>
            <w:tcW w:w="7000" w:type="dxa"/>
            <w:vAlign w:val="bottom"/>
            <w:gridSpan w:val="5"/>
          </w:tcPr>
          <w:p>
            <w:pPr>
              <w:ind w:left="560"/>
              <w:spacing w:after="0" w:line="203" w:lineRule="exact"/>
              <w:rPr>
                <w:sz w:val="20"/>
                <w:szCs w:val="20"/>
                <w:color w:val="auto"/>
              </w:rPr>
            </w:pPr>
            <w:r>
              <w:rPr>
                <w:rFonts w:ascii="Courier New" w:cs="Courier New" w:eastAsia="Courier New" w:hAnsi="Courier New"/>
                <w:sz w:val="18"/>
                <w:szCs w:val="18"/>
                <w:color w:val="auto"/>
                <w:w w:val="99"/>
              </w:rPr>
              <w:t>and are held in the ordinary course of business and were not</w:t>
            </w:r>
          </w:p>
        </w:tc>
      </w:tr>
      <w:tr>
        <w:trPr>
          <w:trHeight w:val="203"/>
        </w:trPr>
        <w:tc>
          <w:tcPr>
            <w:tcW w:w="1440" w:type="dxa"/>
            <w:vAlign w:val="bottom"/>
          </w:tcPr>
          <w:p>
            <w:pPr>
              <w:spacing w:after="0"/>
              <w:rPr>
                <w:sz w:val="17"/>
                <w:szCs w:val="17"/>
                <w:color w:val="auto"/>
              </w:rPr>
            </w:pPr>
          </w:p>
        </w:tc>
        <w:tc>
          <w:tcPr>
            <w:tcW w:w="7000" w:type="dxa"/>
            <w:vAlign w:val="bottom"/>
            <w:gridSpan w:val="5"/>
          </w:tcPr>
          <w:p>
            <w:pPr>
              <w:ind w:left="560"/>
              <w:spacing w:after="0" w:line="203" w:lineRule="exact"/>
              <w:rPr>
                <w:sz w:val="20"/>
                <w:szCs w:val="20"/>
                <w:color w:val="auto"/>
              </w:rPr>
            </w:pPr>
            <w:r>
              <w:rPr>
                <w:rFonts w:ascii="Courier New" w:cs="Courier New" w:eastAsia="Courier New" w:hAnsi="Courier New"/>
                <w:sz w:val="18"/>
                <w:szCs w:val="18"/>
                <w:color w:val="auto"/>
              </w:rPr>
              <w:t>acquired and are not held for the purpose of or with the</w:t>
            </w:r>
          </w:p>
        </w:tc>
      </w:tr>
      <w:tr>
        <w:trPr>
          <w:trHeight w:val="203"/>
        </w:trPr>
        <w:tc>
          <w:tcPr>
            <w:tcW w:w="1440" w:type="dxa"/>
            <w:vAlign w:val="bottom"/>
          </w:tcPr>
          <w:p>
            <w:pPr>
              <w:spacing w:after="0"/>
              <w:rPr>
                <w:sz w:val="17"/>
                <w:szCs w:val="17"/>
                <w:color w:val="auto"/>
              </w:rPr>
            </w:pPr>
          </w:p>
        </w:tc>
        <w:tc>
          <w:tcPr>
            <w:tcW w:w="7000" w:type="dxa"/>
            <w:vAlign w:val="bottom"/>
            <w:gridSpan w:val="5"/>
          </w:tcPr>
          <w:p>
            <w:pPr>
              <w:ind w:left="560"/>
              <w:spacing w:after="0" w:line="203" w:lineRule="exact"/>
              <w:rPr>
                <w:sz w:val="20"/>
                <w:szCs w:val="20"/>
                <w:color w:val="auto"/>
              </w:rPr>
            </w:pPr>
            <w:r>
              <w:rPr>
                <w:rFonts w:ascii="Courier New" w:cs="Courier New" w:eastAsia="Courier New" w:hAnsi="Courier New"/>
                <w:sz w:val="18"/>
                <w:szCs w:val="18"/>
                <w:color w:val="auto"/>
              </w:rPr>
              <w:t>effect of changing or influencing the control of the issuer</w:t>
            </w:r>
          </w:p>
        </w:tc>
      </w:tr>
      <w:tr>
        <w:trPr>
          <w:trHeight w:val="203"/>
        </w:trPr>
        <w:tc>
          <w:tcPr>
            <w:tcW w:w="1440" w:type="dxa"/>
            <w:vAlign w:val="bottom"/>
          </w:tcPr>
          <w:p>
            <w:pPr>
              <w:spacing w:after="0"/>
              <w:rPr>
                <w:sz w:val="17"/>
                <w:szCs w:val="17"/>
                <w:color w:val="auto"/>
              </w:rPr>
            </w:pPr>
          </w:p>
        </w:tc>
        <w:tc>
          <w:tcPr>
            <w:tcW w:w="7000" w:type="dxa"/>
            <w:vAlign w:val="bottom"/>
            <w:gridSpan w:val="5"/>
          </w:tcPr>
          <w:p>
            <w:pPr>
              <w:ind w:left="560"/>
              <w:spacing w:after="0" w:line="203" w:lineRule="exact"/>
              <w:rPr>
                <w:sz w:val="20"/>
                <w:szCs w:val="20"/>
                <w:color w:val="auto"/>
              </w:rPr>
            </w:pPr>
            <w:r>
              <w:rPr>
                <w:rFonts w:ascii="Courier New" w:cs="Courier New" w:eastAsia="Courier New" w:hAnsi="Courier New"/>
                <w:sz w:val="18"/>
                <w:szCs w:val="18"/>
                <w:color w:val="auto"/>
              </w:rPr>
              <w:t>of the securities and were not acquired and are not held in</w:t>
            </w:r>
          </w:p>
        </w:tc>
      </w:tr>
      <w:tr>
        <w:trPr>
          <w:trHeight w:val="203"/>
        </w:trPr>
        <w:tc>
          <w:tcPr>
            <w:tcW w:w="1440" w:type="dxa"/>
            <w:vAlign w:val="bottom"/>
          </w:tcPr>
          <w:p>
            <w:pPr>
              <w:spacing w:after="0"/>
              <w:rPr>
                <w:sz w:val="17"/>
                <w:szCs w:val="17"/>
                <w:color w:val="auto"/>
              </w:rPr>
            </w:pPr>
          </w:p>
        </w:tc>
        <w:tc>
          <w:tcPr>
            <w:tcW w:w="7000" w:type="dxa"/>
            <w:vAlign w:val="bottom"/>
            <w:gridSpan w:val="5"/>
          </w:tcPr>
          <w:p>
            <w:pPr>
              <w:ind w:left="560"/>
              <w:spacing w:after="0" w:line="203" w:lineRule="exact"/>
              <w:rPr>
                <w:sz w:val="20"/>
                <w:szCs w:val="20"/>
                <w:color w:val="auto"/>
              </w:rPr>
            </w:pPr>
            <w:r>
              <w:rPr>
                <w:rFonts w:ascii="Courier New" w:cs="Courier New" w:eastAsia="Courier New" w:hAnsi="Courier New"/>
                <w:sz w:val="18"/>
                <w:szCs w:val="18"/>
                <w:color w:val="auto"/>
                <w:w w:val="97"/>
              </w:rPr>
              <w:t>connection with or as a participant in any transaction having</w:t>
            </w:r>
          </w:p>
        </w:tc>
      </w:tr>
      <w:tr>
        <w:trPr>
          <w:trHeight w:val="203"/>
        </w:trPr>
        <w:tc>
          <w:tcPr>
            <w:tcW w:w="1440" w:type="dxa"/>
            <w:vAlign w:val="bottom"/>
          </w:tcPr>
          <w:p>
            <w:pPr>
              <w:spacing w:after="0"/>
              <w:rPr>
                <w:sz w:val="17"/>
                <w:szCs w:val="17"/>
                <w:color w:val="auto"/>
              </w:rPr>
            </w:pPr>
          </w:p>
        </w:tc>
        <w:tc>
          <w:tcPr>
            <w:tcW w:w="4420" w:type="dxa"/>
            <w:vAlign w:val="bottom"/>
            <w:gridSpan w:val="3"/>
          </w:tcPr>
          <w:p>
            <w:pPr>
              <w:ind w:left="560"/>
              <w:spacing w:after="0" w:line="203" w:lineRule="exact"/>
              <w:rPr>
                <w:sz w:val="20"/>
                <w:szCs w:val="20"/>
                <w:color w:val="auto"/>
              </w:rPr>
            </w:pPr>
            <w:r>
              <w:rPr>
                <w:rFonts w:ascii="Courier New" w:cs="Courier New" w:eastAsia="Courier New" w:hAnsi="Courier New"/>
                <w:sz w:val="18"/>
                <w:szCs w:val="18"/>
                <w:color w:val="auto"/>
              </w:rPr>
              <w:t>that purpose or effect.</w:t>
            </w:r>
          </w:p>
        </w:tc>
        <w:tc>
          <w:tcPr>
            <w:tcW w:w="880" w:type="dxa"/>
            <w:vAlign w:val="bottom"/>
          </w:tcPr>
          <w:p>
            <w:pPr>
              <w:spacing w:after="0"/>
              <w:rPr>
                <w:sz w:val="17"/>
                <w:szCs w:val="17"/>
                <w:color w:val="auto"/>
              </w:rPr>
            </w:pPr>
          </w:p>
        </w:tc>
        <w:tc>
          <w:tcPr>
            <w:tcW w:w="170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9" w:lineRule="exact"/>
        <w:rPr>
          <w:sz w:val="20"/>
          <w:szCs w:val="20"/>
          <w:color w:val="auto"/>
        </w:rPr>
      </w:pPr>
    </w:p>
    <w:p>
      <w:pPr>
        <w:ind w:right="1779" w:firstLine="105"/>
        <w:spacing w:after="0" w:line="237" w:lineRule="auto"/>
        <w:rPr>
          <w:sz w:val="20"/>
          <w:szCs w:val="20"/>
          <w:color w:val="auto"/>
        </w:rPr>
      </w:pPr>
      <w:r>
        <w:rPr>
          <w:rFonts w:ascii="Courier New" w:cs="Courier New" w:eastAsia="Courier New" w:hAnsi="Courier New"/>
          <w:sz w:val="18"/>
          <w:szCs w:val="18"/>
          <w:color w:val="auto"/>
        </w:rPr>
        <w:t>* In accordance with Securities and Exchange Commission ("SEC") Release No. 34-39538 (January 12, 1998), this filing reflects the securities beneficially owned by Goldman Sachs Asset Management, L.P. ("GSAM LP"). GSAM LP, an investment advisor, disclaims beneficial ownership of any securities managed, on GSAM LP's behalf, by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4 of 7</w:t>
      </w:r>
    </w:p>
    <w:p>
      <w:pPr>
        <w:sectPr>
          <w:pgSz w:w="11900" w:h="16838" w:orient="portrait"/>
          <w:cols w:equalWidth="0" w:num="1">
            <w:col w:w="10219"/>
          </w:cols>
          <w:pgMar w:left="240" w:top="520" w:right="1440" w:bottom="1440" w:gutter="0" w:footer="0" w:header="0"/>
          <w:type w:val="continuous"/>
        </w:sectPr>
      </w:pPr>
    </w:p>
    <w:bookmarkStart w:id="4" w:name="page5"/>
    <w:bookmarkEnd w:id="4"/>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jc w:val="both"/>
        <w:ind w:left="1280" w:right="3039"/>
        <w:spacing w:after="0" w:line="279"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7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29, 2008</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GOLDMAN SACHS ASSET MANAGEMENT, L.P.</w:t>
      </w:r>
    </w:p>
    <w:p>
      <w:pPr>
        <w:spacing w:after="0" w:line="201" w:lineRule="exact"/>
        <w:rPr>
          <w:sz w:val="20"/>
          <w:szCs w:val="20"/>
          <w:color w:val="auto"/>
        </w:rPr>
      </w:pPr>
    </w:p>
    <w:p>
      <w:pPr>
        <w:ind w:left="1380"/>
        <w:spacing w:after="0"/>
        <w:tabs>
          <w:tab w:leader="none" w:pos="2200" w:val="left"/>
        </w:tabs>
        <w:rPr>
          <w:sz w:val="20"/>
          <w:szCs w:val="20"/>
          <w:color w:val="auto"/>
        </w:rPr>
      </w:pPr>
      <w:r>
        <w:rPr>
          <w:rFonts w:ascii="Courier New" w:cs="Courier New" w:eastAsia="Courier New" w:hAnsi="Courier New"/>
          <w:sz w:val="18"/>
          <w:szCs w:val="18"/>
          <w:color w:val="auto"/>
        </w:rPr>
        <w:t>By:/s/</w:t>
      </w:r>
      <w:r>
        <w:rPr>
          <w:sz w:val="20"/>
          <w:szCs w:val="20"/>
          <w:color w:val="auto"/>
        </w:rPr>
        <w:tab/>
      </w:r>
      <w:r>
        <w:rPr>
          <w:rFonts w:ascii="Courier New" w:cs="Courier New" w:eastAsia="Courier New" w:hAnsi="Courier New"/>
          <w:sz w:val="16"/>
          <w:szCs w:val="16"/>
          <w:color w:val="auto"/>
        </w:rPr>
        <w:t>Ronald L. Christopher</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tabs>
          <w:tab w:leader="none" w:pos="22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Ronald L. Christopher</w:t>
      </w:r>
    </w:p>
    <w:p>
      <w:pPr>
        <w:ind w:left="1380"/>
        <w:spacing w:after="0"/>
        <w:tabs>
          <w:tab w:leader="none" w:pos="220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5 of 7</w:t>
      </w:r>
    </w:p>
    <w:p>
      <w:pPr>
        <w:sectPr>
          <w:pgSz w:w="11900" w:h="16838" w:orient="portrait"/>
          <w:cols w:equalWidth="0" w:num="1">
            <w:col w:w="10219"/>
          </w:cols>
          <w:pgMar w:left="240" w:top="717" w:right="1440" w:bottom="1440" w:gutter="0" w:footer="0" w:header="0"/>
        </w:sectPr>
      </w:pPr>
    </w:p>
    <w:bookmarkStart w:id="5" w:name="page6"/>
    <w:bookmarkEnd w:id="5"/>
    <w:p>
      <w:pPr>
        <w:ind w:left="3380"/>
        <w:spacing w:after="0"/>
        <w:rPr>
          <w:sz w:val="20"/>
          <w:szCs w:val="20"/>
          <w:color w:val="auto"/>
        </w:rPr>
      </w:pPr>
      <w:r>
        <w:rPr>
          <w:rFonts w:ascii="Courier New" w:cs="Courier New" w:eastAsia="Courier New" w:hAnsi="Courier New"/>
          <w:sz w:val="16"/>
          <w:szCs w:val="16"/>
          <w:color w:val="auto"/>
        </w:rPr>
        <w:t>INDEX TO EXHIBITS</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No.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99.1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Exhibit</w:t>
      </w:r>
    </w:p>
    <w:p>
      <w:pPr>
        <w:ind w:left="104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Power of Attorney, relating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GOLDMAN SACHS ASSET MANAGEMENT, L.P.</w:t>
      </w:r>
    </w:p>
    <w:p>
      <w:pPr>
        <w:spacing w:after="0" w:line="200" w:lineRule="exact"/>
        <w:rPr>
          <w:sz w:val="20"/>
          <w:szCs w:val="20"/>
          <w:color w:val="auto"/>
        </w:rPr>
      </w:pPr>
    </w:p>
    <w:p>
      <w:pPr>
        <w:sectPr>
          <w:pgSz w:w="11900" w:h="16838" w:orient="portrait"/>
          <w:cols w:equalWidth="0" w:num="2">
            <w:col w:w="1380" w:space="320"/>
            <w:col w:w="8519"/>
          </w:cols>
          <w:pgMar w:left="240" w:top="723" w:right="1440" w:bottom="1440" w:gutter="0" w:footer="0" w:header="0"/>
          <w:type w:val="continuous"/>
        </w:sectPr>
      </w:pPr>
    </w:p>
    <w:p>
      <w:pPr>
        <w:spacing w:after="0" w:line="24"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Page 6 of 7</w:t>
      </w:r>
    </w:p>
    <w:p>
      <w:pPr>
        <w:sectPr>
          <w:pgSz w:w="11900" w:h="16838" w:orient="portrait"/>
          <w:cols w:equalWidth="0" w:num="1">
            <w:col w:w="10219"/>
          </w:cols>
          <w:pgMar w:left="240" w:top="723" w:right="1440" w:bottom="1440" w:gutter="0" w:footer="0" w:header="0"/>
          <w:type w:val="continuous"/>
        </w:sectPr>
      </w:pPr>
    </w:p>
    <w:bookmarkStart w:id="6" w:name="page7"/>
    <w:bookmarkEnd w:id="6"/>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jc w:val="both"/>
        <w:ind w:right="2099"/>
        <w:spacing w:after="0" w:line="270" w:lineRule="auto"/>
        <w:rPr>
          <w:sz w:val="20"/>
          <w:szCs w:val="20"/>
          <w:color w:val="auto"/>
        </w:rPr>
      </w:pPr>
      <w:r>
        <w:rPr>
          <w:rFonts w:ascii="Courier New" w:cs="Courier New" w:eastAsia="Courier New" w:hAnsi="Courier New"/>
          <w:sz w:val="16"/>
          <w:szCs w:val="16"/>
          <w:color w:val="auto"/>
        </w:rPr>
        <w:t>KNOW ALL PERSONS BY THESE PRESENTS that GOLDMAN SACHS ASSET MANAGEMENT, L.P. (the "Company") does hereby make, constitute and appoint each of Catherine Wedgbury, Ronald L. Christopher and Lauren LoFaro, (and any other employee of The Goldman Sachs Group, Inc. or one of its affiliates designated in writing by one of the attorneys-in-fact), acting individually, its true and lawful attorney, to execute and deliver in its name and on its behalf whether the Company is acting individually or as representative of others, any and all filings required to be made by the Company under the Securities Exchange Act of 1934, (as amended, the "Act"), with respect to securities which may be deemed to be beneficially owned by the Company under the Act, giving and granting unto each said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w:t>
      </w:r>
    </w:p>
    <w:p>
      <w:pPr>
        <w:spacing w:after="0" w:line="387" w:lineRule="exact"/>
        <w:rPr>
          <w:sz w:val="20"/>
          <w:szCs w:val="20"/>
          <w:color w:val="auto"/>
        </w:rPr>
      </w:pPr>
    </w:p>
    <w:p>
      <w:pPr>
        <w:jc w:val="both"/>
        <w:ind w:right="219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either revoked in writing by the undersigned or until such time as the person or persons to whom power of attorney has been hereby granted cease(s) to be an employee of The Goldman Sachs Group, Inc. or one of its affiliates.</w:t>
      </w:r>
    </w:p>
    <w:p>
      <w:pPr>
        <w:spacing w:after="0" w:line="207" w:lineRule="exact"/>
        <w:rPr>
          <w:sz w:val="20"/>
          <w:szCs w:val="20"/>
          <w:color w:val="auto"/>
        </w:rPr>
      </w:pPr>
    </w:p>
    <w:p>
      <w:pPr>
        <w:jc w:val="both"/>
        <w:ind w:right="2199"/>
        <w:spacing w:after="0" w:line="235" w:lineRule="auto"/>
        <w:rPr>
          <w:sz w:val="20"/>
          <w:szCs w:val="20"/>
          <w:color w:val="auto"/>
        </w:rPr>
      </w:pPr>
      <w:r>
        <w:rPr>
          <w:rFonts w:ascii="Courier New" w:cs="Courier New" w:eastAsia="Courier New" w:hAnsi="Courier New"/>
          <w:sz w:val="18"/>
          <w:szCs w:val="18"/>
          <w:color w:val="auto"/>
        </w:rPr>
        <w:t>IN WITNESS WHEREOF, the undersigned has duly subscribed these presents as of December 4, 2007.</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ASSET MANAGEMENT, L.P.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By:/s/ Ellen R. Porges</w:t>
      </w:r>
    </w:p>
    <w:p>
      <w:pPr>
        <w:spacing w:after="0" w:line="238" w:lineRule="auto"/>
        <w:rPr>
          <w:sz w:val="20"/>
          <w:szCs w:val="20"/>
          <w:color w:val="auto"/>
        </w:rPr>
      </w:pPr>
      <w:r>
        <w:rPr>
          <w:rFonts w:ascii="Courier New" w:cs="Courier New" w:eastAsia="Courier New" w:hAnsi="Courier New"/>
          <w:sz w:val="18"/>
          <w:szCs w:val="18"/>
          <w:color w:val="auto"/>
        </w:rPr>
        <w:t>________________________</w:t>
      </w: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Ellen R. Porges</w:t>
      </w:r>
    </w:p>
    <w:p>
      <w:pPr>
        <w:spacing w:after="0" w:line="237" w:lineRule="auto"/>
        <w:rPr>
          <w:sz w:val="20"/>
          <w:szCs w:val="20"/>
          <w:color w:val="auto"/>
        </w:rPr>
      </w:pPr>
      <w:r>
        <w:rPr>
          <w:rFonts w:ascii="Courier New" w:cs="Courier New" w:eastAsia="Courier New" w:hAnsi="Courier New"/>
          <w:sz w:val="18"/>
          <w:szCs w:val="18"/>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7 of 7</w:t>
      </w: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upperLetter"/>
      <w:start w:val="24"/>
    </w:lvl>
  </w:abstractNum>
  <w:abstractNum w:abstractNumId="4">
    <w:nsid w:val="12200854"/>
    <w:multiLevelType w:val="hybridMultilevel"/>
    <w:lvl w:ilvl="0">
      <w:lvlJc w:val="left"/>
      <w:lvlText w:val="-"/>
      <w:numFmt w:val="bullet"/>
      <w:start w:val="1"/>
    </w:lvl>
    <w:lvl w:ilvl="1">
      <w:lvlJc w:val="left"/>
      <w:lvlText w:val="%2."/>
      <w:numFmt w:val="decimal"/>
      <w:start w:val="1"/>
    </w:lvl>
  </w:abstractNum>
  <w:abstractNum w:abstractNumId="5">
    <w:nsid w:val="4DB127F8"/>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6">
    <w:nsid w:val="216231B"/>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7">
    <w:nsid w:val="1F16E9E8"/>
    <w:multiLevelType w:val="hybridMultilevel"/>
    <w:lvl w:ilvl="0">
      <w:lvlJc w:val="left"/>
      <w:lvlText w:val="-"/>
      <w:numFmt w:val="bullet"/>
      <w:start w:val="1"/>
    </w:lvl>
    <w:lvl w:ilvl="1">
      <w:lvlJc w:val="left"/>
      <w:lvlText w:val="%2."/>
      <w:numFmt w:val="decimal"/>
      <w:start w:val="4"/>
    </w:lvl>
  </w:abstractNum>
  <w:abstractNum w:abstractNumId="8">
    <w:nsid w:val="1190CDE7"/>
    <w:multiLevelType w:val="hybridMultilevel"/>
    <w:lvl w:ilvl="0">
      <w:lvlJc w:val="left"/>
      <w:lvlText w:val="-"/>
      <w:numFmt w:val="bullet"/>
      <w:start w:val="1"/>
    </w:lvl>
    <w:lvl w:ilvl="1">
      <w:lvlJc w:val="left"/>
      <w:lvlText w:val="%2."/>
      <w:numFmt w:val="decimal"/>
      <w:start w:val="5"/>
    </w:lvl>
  </w:abstractNum>
  <w:abstractNum w:abstractNumId="9">
    <w:nsid w:val="66EF438D"/>
    <w:multiLevelType w:val="hybridMultilevel"/>
    <w:lvl w:ilvl="0">
      <w:lvlJc w:val="left"/>
      <w:lvlText w:val="-"/>
      <w:numFmt w:val="bullet"/>
      <w:start w:val="1"/>
    </w:lvl>
    <w:lvl w:ilvl="1">
      <w:lvlJc w:val="left"/>
      <w:lvlText w:val="%2."/>
      <w:numFmt w:val="decimal"/>
      <w:start w:val="9"/>
    </w:lvl>
  </w:abstractNum>
  <w:abstractNum w:abstractNumId="10">
    <w:nsid w:val="140E0F76"/>
    <w:multiLevelType w:val="hybridMultilevel"/>
    <w:lvl w:ilvl="0">
      <w:lvlJc w:val="left"/>
      <w:lvlText w:val="%1."/>
      <w:numFmt w:val="decimal"/>
      <w:start w:val="10"/>
    </w:lvl>
  </w:abstractNum>
  <w:abstractNum w:abstractNumId="11">
    <w:nsid w:val="3352255A"/>
    <w:multiLevelType w:val="hybridMultilevel"/>
    <w:lvl w:ilvl="0">
      <w:lvlJc w:val="left"/>
      <w:lvlText w:val="%1."/>
      <w:numFmt w:val="decimal"/>
      <w:start w:val="11"/>
    </w:lvl>
  </w:abstractNum>
  <w:abstractNum w:abstractNumId="12">
    <w:nsid w:val="109CF92E"/>
    <w:multiLevelType w:val="hybridMultilevel"/>
    <w:lvl w:ilvl="0">
      <w:lvlJc w:val="left"/>
      <w:lvlText w:val="%1."/>
      <w:numFmt w:val="decimal"/>
      <w:start w:val="12"/>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2019-12-11T14:21:02Z</dcterms:created>
  <dcterms:modified xsi:type="dcterms:W3CDTF">2019-12-11T14:21:02Z</dcterms:modified>
</cp:coreProperties>
</file>