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1"/>
          <w:szCs w:val="21"/>
          <w:b w:val="1"/>
          <w:bCs w:val="1"/>
          <w:color w:val="auto"/>
        </w:rPr>
        <w:t>UNITED STATES</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FORM 8-K</w:t>
      </w:r>
    </w:p>
    <w:p>
      <w:pPr>
        <w:spacing w:after="0" w:line="24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March 20, 2008</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Report (date of earliest event reported)</w:t>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2485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Borders>
              <w:bottom w:val="single" w:sz="8" w:color="auto"/>
            </w:tcBorders>
          </w:tcPr>
          <w:p>
            <w:pPr>
              <w:jc w:val="center"/>
              <w:ind w:left="271"/>
              <w:spacing w:after="0"/>
              <w:rPr>
                <w:sz w:val="20"/>
                <w:szCs w:val="20"/>
                <w:color w:val="auto"/>
              </w:rPr>
            </w:pPr>
            <w:r>
              <w:rPr>
                <w:rFonts w:ascii="Arial" w:cs="Arial" w:eastAsia="Arial" w:hAnsi="Arial"/>
                <w:sz w:val="18"/>
                <w:szCs w:val="18"/>
                <w:b w:val="1"/>
                <w:bCs w:val="1"/>
                <w:color w:val="auto"/>
                <w:w w:val="88"/>
              </w:rPr>
              <w:t>Delaware</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1-10658</w:t>
            </w:r>
          </w:p>
        </w:tc>
        <w:tc>
          <w:tcPr>
            <w:tcW w:w="3420" w:type="dxa"/>
            <w:vAlign w:val="bottom"/>
            <w:tcBorders>
              <w:bottom w:val="single" w:sz="8" w:color="auto"/>
            </w:tcBorders>
          </w:tcPr>
          <w:p>
            <w:pPr>
              <w:jc w:val="right"/>
              <w:ind w:right="1371"/>
              <w:spacing w:after="0"/>
              <w:rPr>
                <w:sz w:val="20"/>
                <w:szCs w:val="20"/>
                <w:color w:val="auto"/>
              </w:rPr>
            </w:pPr>
            <w:r>
              <w:rPr>
                <w:rFonts w:ascii="Arial" w:cs="Arial" w:eastAsia="Arial" w:hAnsi="Arial"/>
                <w:sz w:val="18"/>
                <w:szCs w:val="18"/>
                <w:b w:val="1"/>
                <w:bCs w:val="1"/>
                <w:color w:val="auto"/>
              </w:rPr>
              <w:t>75-1618004</w:t>
            </w:r>
          </w:p>
        </w:tc>
      </w:tr>
      <w:tr>
        <w:trPr>
          <w:trHeight w:val="224"/>
        </w:trPr>
        <w:tc>
          <w:tcPr>
            <w:tcW w:w="3660" w:type="dxa"/>
            <w:vAlign w:val="bottom"/>
          </w:tcPr>
          <w:p>
            <w:pPr>
              <w:jc w:val="center"/>
              <w:ind w:left="271"/>
              <w:spacing w:after="0"/>
              <w:rPr>
                <w:sz w:val="20"/>
                <w:szCs w:val="20"/>
                <w:color w:val="auto"/>
              </w:rPr>
            </w:pPr>
            <w:r>
              <w:rPr>
                <w:rFonts w:ascii="Arial" w:cs="Arial" w:eastAsia="Arial" w:hAnsi="Arial"/>
                <w:sz w:val="18"/>
                <w:szCs w:val="18"/>
                <w:color w:val="auto"/>
                <w:w w:val="91"/>
              </w:rPr>
              <w:t>(State or other jurisdiction of incorporation)</w:t>
            </w:r>
          </w:p>
        </w:tc>
        <w:tc>
          <w:tcPr>
            <w:tcW w:w="4240" w:type="dxa"/>
            <w:vAlign w:val="bottom"/>
          </w:tcPr>
          <w:p>
            <w:pPr>
              <w:jc w:val="center"/>
              <w:spacing w:after="0"/>
              <w:rPr>
                <w:sz w:val="20"/>
                <w:szCs w:val="20"/>
                <w:color w:val="auto"/>
              </w:rPr>
            </w:pPr>
            <w:r>
              <w:rPr>
                <w:rFonts w:ascii="Arial" w:cs="Arial" w:eastAsia="Arial" w:hAnsi="Arial"/>
                <w:sz w:val="18"/>
                <w:szCs w:val="18"/>
                <w:color w:val="auto"/>
                <w:w w:val="91"/>
              </w:rPr>
              <w:t>(Commission File Number)</w:t>
            </w:r>
          </w:p>
        </w:tc>
        <w:tc>
          <w:tcPr>
            <w:tcW w:w="3420" w:type="dxa"/>
            <w:vAlign w:val="bottom"/>
          </w:tcPr>
          <w:p>
            <w:pPr>
              <w:jc w:val="right"/>
              <w:ind w:right="451"/>
              <w:spacing w:after="0"/>
              <w:rPr>
                <w:sz w:val="20"/>
                <w:szCs w:val="20"/>
                <w:color w:val="auto"/>
              </w:rPr>
            </w:pPr>
            <w:r>
              <w:rPr>
                <w:rFonts w:ascii="Arial" w:cs="Arial" w:eastAsia="Arial" w:hAnsi="Arial"/>
                <w:sz w:val="18"/>
                <w:szCs w:val="18"/>
                <w:color w:val="auto"/>
              </w:rPr>
              <w:t>(I.R.S. Employer Identification No.)</w:t>
            </w:r>
          </w:p>
        </w:tc>
      </w:tr>
      <w:tr>
        <w:trPr>
          <w:trHeight w:val="423"/>
        </w:trPr>
        <w:tc>
          <w:tcPr>
            <w:tcW w:w="366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88"/>
              </w:rPr>
              <w:t>8000 South Federal Way</w:t>
            </w:r>
          </w:p>
        </w:tc>
        <w:tc>
          <w:tcPr>
            <w:tcW w:w="3420" w:type="dxa"/>
            <w:vAlign w:val="bottom"/>
          </w:tcPr>
          <w:p>
            <w:pPr>
              <w:spacing w:after="0"/>
              <w:rPr>
                <w:sz w:val="24"/>
                <w:szCs w:val="24"/>
                <w:color w:val="auto"/>
              </w:rPr>
            </w:pPr>
          </w:p>
        </w:tc>
      </w:tr>
      <w:tr>
        <w:trPr>
          <w:trHeight w:val="238"/>
        </w:trPr>
        <w:tc>
          <w:tcPr>
            <w:tcW w:w="3660" w:type="dxa"/>
            <w:vAlign w:val="bottom"/>
          </w:tcPr>
          <w:p>
            <w:pPr>
              <w:spacing w:after="0"/>
              <w:rPr>
                <w:sz w:val="20"/>
                <w:szCs w:val="20"/>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Boise, Idaho 83716-9632</w:t>
            </w:r>
          </w:p>
        </w:tc>
        <w:tc>
          <w:tcPr>
            <w:tcW w:w="3420" w:type="dxa"/>
            <w:vAlign w:val="bottom"/>
          </w:tcPr>
          <w:p>
            <w:pPr>
              <w:spacing w:after="0"/>
              <w:rPr>
                <w:sz w:val="20"/>
                <w:szCs w:val="20"/>
                <w:color w:val="auto"/>
              </w:rPr>
            </w:pPr>
          </w:p>
        </w:tc>
      </w:tr>
      <w:tr>
        <w:trPr>
          <w:trHeight w:val="224"/>
        </w:trPr>
        <w:tc>
          <w:tcPr>
            <w:tcW w:w="366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3420" w:type="dxa"/>
            <w:vAlign w:val="bottom"/>
          </w:tcPr>
          <w:p>
            <w:pPr>
              <w:spacing w:after="0"/>
              <w:rPr>
                <w:sz w:val="19"/>
                <w:szCs w:val="19"/>
                <w:color w:val="auto"/>
              </w:rPr>
            </w:pPr>
          </w:p>
        </w:tc>
      </w:tr>
    </w:tbl>
    <w:p>
      <w:pPr>
        <w:spacing w:after="0" w:line="21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15240</wp:posOffset>
            </wp:positionV>
            <wp:extent cx="32607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60725" cy="17145"/>
                    </a:xfrm>
                    <a:prstGeom prst="rect">
                      <a:avLst/>
                    </a:prstGeom>
                    <a:noFill/>
                  </pic:spPr>
                </pic:pic>
              </a:graphicData>
            </a:graphic>
          </wp:anchor>
        </w:drawing>
      </w:r>
    </w:p>
    <w:p>
      <w:pPr>
        <w:spacing w:after="0" w:line="18"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(Registrant’s telephone number, including area code)</w:t>
      </w:r>
    </w:p>
    <w:p>
      <w:pPr>
        <w:spacing w:after="0" w:line="245" w:lineRule="exact"/>
        <w:rPr>
          <w:sz w:val="24"/>
          <w:szCs w:val="24"/>
          <w:color w:val="auto"/>
        </w:rPr>
      </w:pPr>
    </w:p>
    <w:p>
      <w:pPr>
        <w:ind w:right="180"/>
        <w:spacing w:after="0" w:line="26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6" w:lineRule="exact"/>
        <w:rPr>
          <w:sz w:val="24"/>
          <w:szCs w:val="24"/>
          <w:color w:val="auto"/>
        </w:rPr>
      </w:pPr>
    </w:p>
    <w:p>
      <w:pPr>
        <w:ind w:left="660" w:hanging="65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45" w:lineRule="exact"/>
        <w:rPr>
          <w:rFonts w:ascii="MS PGothic" w:cs="MS PGothic" w:eastAsia="MS PGothic" w:hAnsi="MS PGothic"/>
          <w:sz w:val="18"/>
          <w:szCs w:val="18"/>
          <w:color w:val="auto"/>
        </w:rPr>
      </w:pPr>
    </w:p>
    <w:p>
      <w:pPr>
        <w:ind w:left="660" w:hanging="65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45" w:lineRule="exact"/>
        <w:rPr>
          <w:rFonts w:ascii="MS PGothic" w:cs="MS PGothic" w:eastAsia="MS PGothic" w:hAnsi="MS PGothic"/>
          <w:sz w:val="18"/>
          <w:szCs w:val="18"/>
          <w:color w:val="auto"/>
        </w:rPr>
      </w:pPr>
    </w:p>
    <w:p>
      <w:pPr>
        <w:ind w:left="660" w:hanging="65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45" w:lineRule="exact"/>
        <w:rPr>
          <w:rFonts w:ascii="MS PGothic" w:cs="MS PGothic" w:eastAsia="MS PGothic" w:hAnsi="MS PGothic"/>
          <w:sz w:val="18"/>
          <w:szCs w:val="18"/>
          <w:color w:val="auto"/>
        </w:rPr>
      </w:pPr>
    </w:p>
    <w:p>
      <w:pPr>
        <w:ind w:left="660" w:hanging="65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415290</wp:posOffset>
            </wp:positionV>
            <wp:extent cx="725297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20"/>
          </w:cols>
          <w:pgMar w:left="240" w:top="69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51" w:lineRule="exact"/>
        <w:rPr>
          <w:sz w:val="20"/>
          <w:szCs w:val="20"/>
          <w:color w:val="auto"/>
        </w:rPr>
      </w:pPr>
    </w:p>
    <w:p>
      <w:pPr>
        <w:ind w:right="200" w:firstLine="1312"/>
        <w:spacing w:after="0" w:line="270" w:lineRule="auto"/>
        <w:rPr>
          <w:sz w:val="20"/>
          <w:szCs w:val="20"/>
          <w:color w:val="auto"/>
        </w:rPr>
      </w:pPr>
      <w:r>
        <w:rPr>
          <w:rFonts w:ascii="Arial" w:cs="Arial" w:eastAsia="Arial" w:hAnsi="Arial"/>
          <w:sz w:val="17"/>
          <w:szCs w:val="17"/>
          <w:color w:val="auto"/>
        </w:rPr>
        <w:t>On March 20, 2008, the Company announced appointment of Ronald C. Foster to the position of Chief Financial Officer (CFO) and Vice President of Finance, effective April 1. Mr. Foster served as the CFO of FormFactor, Inc., a maker of semiconductor testing equipment, from March 2005 to March 2008, and as the CFO of JDS Uniphase, a manufacturer of products for fiber optic communications, from February 2003 to March 2005. Mr. Foster also served as a member of the Micron Board of Directors from June 2004 to April 2005. Mr. Foster earned a master’s of business degree from the University of Chicago and a bachelor of arts degree in economics from Whitman College. Mr. Foster is 57 years old.</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Mr. Foster does not have an employment agreement with the Company. The terms of Mr. Foster’s severance agreement with the Company have not been finalized and are thus not yet available. The Company will file an amendment to this Current Report on Form 8-K with Mr. Foster’s severance agreement once it is finalized. Mr. Foster will participate in the Company’s equity plans along with the Company’s other employees and in the Company’s Executive Officer Performance Incentive Plan (EIP) along with the Company’s other officers. The Company’s equity plans and the EIP have been filed as exhibits to the periodic reports the Company files with the Securities and Exchange Commission pursuant to the Securities Exchange Act of 1934 and are described in the Company’s mo recent Proxy Statement.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related Mr. Foster's appointment is attached as Exhibit 99.1 to this Current Report on Form 8-K.</w:t>
      </w:r>
    </w:p>
    <w:p>
      <w:pPr>
        <w:spacing w:after="0" w:line="200" w:lineRule="exact"/>
        <w:rPr>
          <w:sz w:val="20"/>
          <w:szCs w:val="20"/>
          <w:color w:val="auto"/>
        </w:rPr>
      </w:pP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exhibits are filed herewith:</w:t>
      </w:r>
    </w:p>
    <w:p>
      <w:pPr>
        <w:spacing w:after="0" w:line="23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72485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17145"/>
                    </a:xfrm>
                    <a:prstGeom prst="rect">
                      <a:avLst/>
                    </a:prstGeom>
                    <a:noFill/>
                  </pic:spPr>
                </pic:pic>
              </a:graphicData>
            </a:graphic>
          </wp:anchor>
        </w:drawing>
      </w:r>
    </w:p>
    <w:p>
      <w:pPr>
        <w:spacing w:after="0" w:line="214"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4"/>
          <w:szCs w:val="14"/>
          <w:color w:val="auto"/>
        </w:rPr>
        <w:t>Press Release issued on March 20,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520"/>
          </w:cols>
          <w:pgMar w:left="240" w:top="746" w:right="1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w:t>
      </w:r>
    </w:p>
    <w:p>
      <w:pPr>
        <w:spacing w:after="0" w:line="251" w:lineRule="exact"/>
        <w:rPr>
          <w:sz w:val="20"/>
          <w:szCs w:val="20"/>
          <w:color w:val="auto"/>
        </w:rPr>
      </w:pPr>
    </w:p>
    <w:p>
      <w:pPr>
        <w:ind w:right="180" w:firstLine="639"/>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6820" w:type="dxa"/>
            <w:vAlign w:val="bottom"/>
            <w:gridSpan w:val="2"/>
          </w:tcPr>
          <w:p>
            <w:pPr>
              <w:ind w:left="2500"/>
              <w:spacing w:after="0"/>
              <w:rPr>
                <w:sz w:val="20"/>
                <w:szCs w:val="20"/>
                <w:color w:val="auto"/>
              </w:rPr>
            </w:pPr>
            <w:r>
              <w:rPr>
                <w:rFonts w:ascii="Arial" w:cs="Arial" w:eastAsia="Arial" w:hAnsi="Arial"/>
                <w:sz w:val="18"/>
                <w:szCs w:val="18"/>
                <w:b w:val="1"/>
                <w:bCs w:val="1"/>
                <w:color w:val="auto"/>
              </w:rPr>
              <w:t>MICRON TECHNOLOGY, INC.</w:t>
            </w:r>
          </w:p>
        </w:tc>
      </w:tr>
      <w:tr>
        <w:trPr>
          <w:trHeight w:val="646"/>
        </w:trPr>
        <w:tc>
          <w:tcPr>
            <w:tcW w:w="4180" w:type="dxa"/>
            <w:vAlign w:val="bottom"/>
          </w:tcPr>
          <w:p>
            <w:pPr>
              <w:spacing w:after="0"/>
              <w:rPr>
                <w:sz w:val="20"/>
                <w:szCs w:val="20"/>
                <w:color w:val="auto"/>
              </w:rPr>
            </w:pPr>
            <w:r>
              <w:rPr>
                <w:rFonts w:ascii="Arial" w:cs="Arial" w:eastAsia="Arial" w:hAnsi="Arial"/>
                <w:sz w:val="18"/>
                <w:szCs w:val="18"/>
                <w:color w:val="auto"/>
              </w:rPr>
              <w:t>Date:  March 25, 2008</w:t>
            </w:r>
          </w:p>
        </w:tc>
        <w:tc>
          <w:tcPr>
            <w:tcW w:w="3340" w:type="dxa"/>
            <w:vAlign w:val="bottom"/>
          </w:tcPr>
          <w:p>
            <w:pPr>
              <w:ind w:left="2500"/>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Roderic W. Lewis</w:t>
            </w:r>
          </w:p>
        </w:tc>
      </w:tr>
      <w:tr>
        <w:trPr>
          <w:trHeight w:val="201"/>
        </w:trPr>
        <w:tc>
          <w:tcPr>
            <w:tcW w:w="4180" w:type="dxa"/>
            <w:vAlign w:val="bottom"/>
          </w:tcPr>
          <w:p>
            <w:pPr>
              <w:spacing w:after="0"/>
              <w:rPr>
                <w:sz w:val="17"/>
                <w:szCs w:val="17"/>
                <w:color w:val="auto"/>
              </w:rPr>
            </w:pPr>
          </w:p>
        </w:tc>
        <w:tc>
          <w:tcPr>
            <w:tcW w:w="3340" w:type="dxa"/>
            <w:vAlign w:val="bottom"/>
          </w:tcPr>
          <w:p>
            <w:pPr>
              <w:ind w:left="2500"/>
              <w:spacing w:after="0" w:line="201" w:lineRule="exact"/>
              <w:rPr>
                <w:sz w:val="20"/>
                <w:szCs w:val="20"/>
                <w:color w:val="auto"/>
              </w:rPr>
            </w:pPr>
            <w:r>
              <w:rPr>
                <w:rFonts w:ascii="Arial" w:cs="Arial" w:eastAsia="Arial" w:hAnsi="Arial"/>
                <w:sz w:val="18"/>
                <w:szCs w:val="18"/>
                <w:color w:val="auto"/>
              </w:rPr>
              <w:t>Name:</w:t>
            </w:r>
          </w:p>
        </w:tc>
        <w:tc>
          <w:tcPr>
            <w:tcW w:w="3480" w:type="dxa"/>
            <w:vAlign w:val="bottom"/>
          </w:tcPr>
          <w:p>
            <w:pPr>
              <w:spacing w:after="0" w:line="201" w:lineRule="exact"/>
              <w:rPr>
                <w:sz w:val="20"/>
                <w:szCs w:val="20"/>
                <w:color w:val="auto"/>
              </w:rPr>
            </w:pPr>
            <w:r>
              <w:rPr>
                <w:rFonts w:ascii="Arial" w:cs="Arial" w:eastAsia="Arial" w:hAnsi="Arial"/>
                <w:sz w:val="18"/>
                <w:szCs w:val="18"/>
                <w:color w:val="auto"/>
              </w:rPr>
              <w:t>Roderic W. Lewis</w:t>
            </w:r>
          </w:p>
        </w:tc>
      </w:tr>
      <w:tr>
        <w:trPr>
          <w:trHeight w:val="213"/>
        </w:trPr>
        <w:tc>
          <w:tcPr>
            <w:tcW w:w="4180" w:type="dxa"/>
            <w:vAlign w:val="bottom"/>
          </w:tcPr>
          <w:p>
            <w:pPr>
              <w:spacing w:after="0"/>
              <w:rPr>
                <w:sz w:val="18"/>
                <w:szCs w:val="18"/>
                <w:color w:val="auto"/>
              </w:rPr>
            </w:pPr>
          </w:p>
        </w:tc>
        <w:tc>
          <w:tcPr>
            <w:tcW w:w="3340" w:type="dxa"/>
            <w:vAlign w:val="bottom"/>
          </w:tcPr>
          <w:p>
            <w:pPr>
              <w:ind w:left="2500"/>
              <w:spacing w:after="0"/>
              <w:rPr>
                <w:sz w:val="20"/>
                <w:szCs w:val="20"/>
                <w:color w:val="auto"/>
              </w:rPr>
            </w:pPr>
            <w:r>
              <w:rPr>
                <w:rFonts w:ascii="Arial" w:cs="Arial" w:eastAsia="Arial" w:hAnsi="Arial"/>
                <w:sz w:val="18"/>
                <w:szCs w:val="18"/>
                <w:color w:val="auto"/>
              </w:rPr>
              <w:t>Title:</w:t>
            </w:r>
          </w:p>
        </w:tc>
        <w:tc>
          <w:tcPr>
            <w:tcW w:w="3480" w:type="dxa"/>
            <w:vAlign w:val="bottom"/>
          </w:tcPr>
          <w:p>
            <w:pPr>
              <w:spacing w:after="0"/>
              <w:rPr>
                <w:sz w:val="20"/>
                <w:szCs w:val="20"/>
                <w:color w:val="auto"/>
              </w:rPr>
            </w:pPr>
            <w:r>
              <w:rPr>
                <w:rFonts w:ascii="Arial" w:cs="Arial" w:eastAsia="Arial" w:hAnsi="Arial"/>
                <w:sz w:val="18"/>
                <w:szCs w:val="18"/>
                <w:color w:val="auto"/>
              </w:rPr>
              <w:t>Vice President of Legal Affairs,</w:t>
            </w:r>
          </w:p>
        </w:tc>
      </w:tr>
      <w:tr>
        <w:trPr>
          <w:trHeight w:val="224"/>
        </w:trPr>
        <w:tc>
          <w:tcPr>
            <w:tcW w:w="41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General Counsel &amp;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000"/>
          </w:cols>
          <w:pgMar w:left="240" w:top="507" w:right="6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INDEX TO EXHIBITS FILED WITH</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CURRENT REPORT ON FORM 8-K DATED MARCH </w:t>
      </w:r>
      <w:r>
        <w:rPr>
          <w:rFonts w:ascii="Arial" w:cs="Arial" w:eastAsia="Arial" w:hAnsi="Arial"/>
          <w:sz w:val="21"/>
          <w:szCs w:val="21"/>
          <w:b w:val="1"/>
          <w:bCs w:val="1"/>
          <w:color w:val="auto"/>
        </w:rPr>
        <w:t>20,</w:t>
      </w:r>
      <w:r>
        <w:rPr>
          <w:rFonts w:ascii="Arial" w:cs="Arial" w:eastAsia="Arial" w:hAnsi="Arial"/>
          <w:sz w:val="18"/>
          <w:szCs w:val="18"/>
          <w:b w:val="1"/>
          <w:bCs w:val="1"/>
          <w:color w:val="auto"/>
        </w:rPr>
        <w:t xml:space="preserve"> 2008</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60" w:type="dxa"/>
            <w:vAlign w:val="bottom"/>
          </w:tcPr>
          <w:p>
            <w:pPr>
              <w:spacing w:after="0"/>
              <w:rPr>
                <w:sz w:val="20"/>
                <w:szCs w:val="20"/>
                <w:color w:val="auto"/>
              </w:rPr>
            </w:pPr>
          </w:p>
        </w:tc>
        <w:tc>
          <w:tcPr>
            <w:tcW w:w="8960" w:type="dxa"/>
            <w:vAlign w:val="bottom"/>
            <w:tcBorders>
              <w:bottom w:val="single" w:sz="8" w:color="auto"/>
            </w:tcBorders>
          </w:tcPr>
          <w:p>
            <w:pPr>
              <w:ind w:left="4040"/>
              <w:spacing w:after="0"/>
              <w:rPr>
                <w:sz w:val="20"/>
                <w:szCs w:val="20"/>
                <w:color w:val="auto"/>
              </w:rPr>
            </w:pPr>
            <w:r>
              <w:rPr>
                <w:rFonts w:ascii="Arial" w:cs="Arial" w:eastAsia="Arial" w:hAnsi="Arial"/>
                <w:sz w:val="18"/>
                <w:szCs w:val="18"/>
                <w:b w:val="1"/>
                <w:bCs w:val="1"/>
                <w:color w:val="auto"/>
              </w:rPr>
              <w:t>Description</w:t>
            </w:r>
          </w:p>
        </w:tc>
      </w:tr>
      <w:tr>
        <w:trPr>
          <w:trHeight w:val="425"/>
        </w:trPr>
        <w:tc>
          <w:tcPr>
            <w:tcW w:w="2200" w:type="dxa"/>
            <w:vAlign w:val="bottom"/>
          </w:tcPr>
          <w:p>
            <w:pPr>
              <w:jc w:val="right"/>
              <w:ind w:right="851"/>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Press Release issued on March 20, 2008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2320" w:type="dxa"/>
            <w:vAlign w:val="bottom"/>
          </w:tcPr>
          <w:p>
            <w:pPr>
              <w:spacing w:after="0"/>
              <w:rPr>
                <w:sz w:val="20"/>
                <w:szCs w:val="20"/>
                <w:color w:val="auto"/>
              </w:rPr>
            </w:pPr>
          </w:p>
        </w:tc>
      </w:tr>
      <w:tr>
        <w:trPr>
          <w:trHeight w:val="654"/>
        </w:trPr>
        <w:tc>
          <w:tcPr>
            <w:tcW w:w="980" w:type="dxa"/>
            <w:vAlign w:val="bottom"/>
          </w:tcPr>
          <w:p>
            <w:pPr>
              <w:spacing w:after="0"/>
              <w:rPr>
                <w:sz w:val="20"/>
                <w:szCs w:val="20"/>
                <w:color w:val="auto"/>
              </w:rPr>
            </w:pPr>
            <w:r>
              <w:rPr>
                <w:rFonts w:ascii="Arial" w:cs="Arial" w:eastAsia="Arial" w:hAnsi="Arial"/>
                <w:sz w:val="18"/>
                <w:szCs w:val="18"/>
                <w:color w:val="auto"/>
              </w:rPr>
              <w:t>Contacts:</w:t>
            </w:r>
          </w:p>
        </w:tc>
        <w:tc>
          <w:tcPr>
            <w:tcW w:w="2460" w:type="dxa"/>
            <w:vAlign w:val="bottom"/>
          </w:tcPr>
          <w:p>
            <w:pPr>
              <w:ind w:left="300"/>
              <w:spacing w:after="0"/>
              <w:rPr>
                <w:sz w:val="20"/>
                <w:szCs w:val="20"/>
                <w:color w:val="auto"/>
              </w:rPr>
            </w:pPr>
            <w:r>
              <w:rPr>
                <w:rFonts w:ascii="Arial" w:cs="Arial" w:eastAsia="Arial" w:hAnsi="Arial"/>
                <w:sz w:val="18"/>
                <w:szCs w:val="18"/>
                <w:color w:val="auto"/>
              </w:rPr>
              <w:t>Kipp A. Bedard</w:t>
            </w:r>
          </w:p>
        </w:tc>
        <w:tc>
          <w:tcPr>
            <w:tcW w:w="2320" w:type="dxa"/>
            <w:vAlign w:val="bottom"/>
          </w:tcPr>
          <w:p>
            <w:pPr>
              <w:ind w:left="580"/>
              <w:spacing w:after="0"/>
              <w:rPr>
                <w:sz w:val="20"/>
                <w:szCs w:val="20"/>
                <w:color w:val="auto"/>
              </w:rPr>
            </w:pPr>
            <w:r>
              <w:rPr>
                <w:rFonts w:ascii="Arial" w:cs="Arial" w:eastAsia="Arial" w:hAnsi="Arial"/>
                <w:sz w:val="18"/>
                <w:szCs w:val="18"/>
                <w:color w:val="auto"/>
              </w:rPr>
              <w:t>Daniel Francisco</w:t>
            </w:r>
          </w:p>
        </w:tc>
      </w:tr>
      <w:tr>
        <w:trPr>
          <w:trHeight w:val="213"/>
        </w:trPr>
        <w:tc>
          <w:tcPr>
            <w:tcW w:w="980" w:type="dxa"/>
            <w:vAlign w:val="bottom"/>
          </w:tcPr>
          <w:p>
            <w:pPr>
              <w:spacing w:after="0"/>
              <w:rPr>
                <w:sz w:val="18"/>
                <w:szCs w:val="18"/>
                <w:color w:val="auto"/>
              </w:rPr>
            </w:pPr>
          </w:p>
        </w:tc>
        <w:tc>
          <w:tcPr>
            <w:tcW w:w="2460" w:type="dxa"/>
            <w:vAlign w:val="bottom"/>
          </w:tcPr>
          <w:p>
            <w:pPr>
              <w:ind w:left="300"/>
              <w:spacing w:after="0"/>
              <w:rPr>
                <w:sz w:val="20"/>
                <w:szCs w:val="20"/>
                <w:color w:val="auto"/>
              </w:rPr>
            </w:pPr>
            <w:r>
              <w:rPr>
                <w:rFonts w:ascii="Arial" w:cs="Arial" w:eastAsia="Arial" w:hAnsi="Arial"/>
                <w:sz w:val="18"/>
                <w:szCs w:val="18"/>
                <w:color w:val="auto"/>
              </w:rPr>
              <w:t>Investor Relations</w:t>
            </w:r>
          </w:p>
        </w:tc>
        <w:tc>
          <w:tcPr>
            <w:tcW w:w="2320" w:type="dxa"/>
            <w:vAlign w:val="bottom"/>
          </w:tcPr>
          <w:p>
            <w:pPr>
              <w:ind w:left="580"/>
              <w:spacing w:after="0"/>
              <w:rPr>
                <w:sz w:val="20"/>
                <w:szCs w:val="20"/>
                <w:color w:val="auto"/>
              </w:rPr>
            </w:pPr>
            <w:r>
              <w:rPr>
                <w:rFonts w:ascii="Arial" w:cs="Arial" w:eastAsia="Arial" w:hAnsi="Arial"/>
                <w:sz w:val="18"/>
                <w:szCs w:val="18"/>
                <w:color w:val="auto"/>
              </w:rPr>
              <w:t>Media Relations</w:t>
            </w:r>
          </w:p>
        </w:tc>
      </w:tr>
      <w:tr>
        <w:trPr>
          <w:trHeight w:val="213"/>
        </w:trPr>
        <w:tc>
          <w:tcPr>
            <w:tcW w:w="980" w:type="dxa"/>
            <w:vAlign w:val="bottom"/>
          </w:tcPr>
          <w:p>
            <w:pPr>
              <w:spacing w:after="0"/>
              <w:rPr>
                <w:sz w:val="18"/>
                <w:szCs w:val="18"/>
                <w:color w:val="auto"/>
              </w:rPr>
            </w:pPr>
          </w:p>
        </w:tc>
        <w:tc>
          <w:tcPr>
            <w:tcW w:w="2460" w:type="dxa"/>
            <w:vAlign w:val="bottom"/>
          </w:tcPr>
          <w:p>
            <w:pPr>
              <w:ind w:left="300"/>
              <w:spacing w:after="0"/>
              <w:rPr>
                <w:sz w:val="20"/>
                <w:szCs w:val="20"/>
                <w:color w:val="auto"/>
              </w:rPr>
            </w:pPr>
            <w:r>
              <w:rPr>
                <w:rFonts w:ascii="Arial" w:cs="Arial" w:eastAsia="Arial" w:hAnsi="Arial"/>
                <w:sz w:val="18"/>
                <w:szCs w:val="18"/>
                <w:color w:val="auto"/>
              </w:rPr>
              <w:t>kbedard@micron.com</w:t>
            </w:r>
          </w:p>
        </w:tc>
        <w:tc>
          <w:tcPr>
            <w:tcW w:w="2320" w:type="dxa"/>
            <w:vAlign w:val="bottom"/>
          </w:tcPr>
          <w:p>
            <w:pPr>
              <w:ind w:left="580"/>
              <w:spacing w:after="0"/>
              <w:rPr>
                <w:sz w:val="20"/>
                <w:szCs w:val="20"/>
                <w:color w:val="auto"/>
              </w:rPr>
            </w:pPr>
            <w:r>
              <w:rPr>
                <w:rFonts w:ascii="Arial" w:cs="Arial" w:eastAsia="Arial" w:hAnsi="Arial"/>
                <w:sz w:val="18"/>
                <w:szCs w:val="18"/>
                <w:color w:val="auto"/>
                <w:w w:val="88"/>
              </w:rPr>
              <w:t>dfrancisco@micron.com</w:t>
            </w:r>
          </w:p>
        </w:tc>
      </w:tr>
      <w:tr>
        <w:trPr>
          <w:trHeight w:val="224"/>
        </w:trPr>
        <w:tc>
          <w:tcPr>
            <w:tcW w:w="980" w:type="dxa"/>
            <w:vAlign w:val="bottom"/>
          </w:tcPr>
          <w:p>
            <w:pPr>
              <w:spacing w:after="0"/>
              <w:rPr>
                <w:sz w:val="19"/>
                <w:szCs w:val="19"/>
                <w:color w:val="auto"/>
              </w:rPr>
            </w:pPr>
          </w:p>
        </w:tc>
        <w:tc>
          <w:tcPr>
            <w:tcW w:w="2460" w:type="dxa"/>
            <w:vAlign w:val="bottom"/>
          </w:tcPr>
          <w:p>
            <w:pPr>
              <w:ind w:left="300"/>
              <w:spacing w:after="0"/>
              <w:rPr>
                <w:sz w:val="20"/>
                <w:szCs w:val="20"/>
                <w:color w:val="auto"/>
              </w:rPr>
            </w:pPr>
            <w:r>
              <w:rPr>
                <w:rFonts w:ascii="Arial" w:cs="Arial" w:eastAsia="Arial" w:hAnsi="Arial"/>
                <w:sz w:val="18"/>
                <w:szCs w:val="18"/>
                <w:color w:val="auto"/>
              </w:rPr>
              <w:t>(208) 368-4400</w:t>
            </w:r>
          </w:p>
        </w:tc>
        <w:tc>
          <w:tcPr>
            <w:tcW w:w="2320" w:type="dxa"/>
            <w:vAlign w:val="bottom"/>
          </w:tcPr>
          <w:p>
            <w:pPr>
              <w:ind w:left="580"/>
              <w:spacing w:after="0"/>
              <w:rPr>
                <w:sz w:val="20"/>
                <w:szCs w:val="20"/>
                <w:color w:val="auto"/>
              </w:rPr>
            </w:pPr>
            <w:r>
              <w:rPr>
                <w:rFonts w:ascii="Arial" w:cs="Arial" w:eastAsia="Arial" w:hAnsi="Arial"/>
                <w:sz w:val="18"/>
                <w:szCs w:val="18"/>
                <w:color w:val="auto"/>
              </w:rPr>
              <w:t>(208) 368-5584</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 site URL </w:t>
      </w:r>
      <w:r>
        <w:rPr>
          <w:rFonts w:ascii="Arial" w:cs="Arial" w:eastAsia="Arial" w:hAnsi="Arial"/>
          <w:sz w:val="18"/>
          <w:szCs w:val="18"/>
          <w:u w:val="single" w:color="auto"/>
          <w:color w:val="auto"/>
        </w:rPr>
        <w:t>http://www.micron.com</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MICRON TECHNOLOGY, INC., ANNOUNCES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APPOINTMENT OF CHIEF FINANCIAL OFFICER</w:t>
      </w:r>
    </w:p>
    <w:p>
      <w:pPr>
        <w:spacing w:after="0" w:line="228"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b w:val="1"/>
          <w:bCs w:val="1"/>
          <w:color w:val="auto"/>
        </w:rPr>
        <w:t xml:space="preserve">BOISE, Idaho, March 20, 2008 </w:t>
      </w:r>
      <w:r>
        <w:rPr>
          <w:rFonts w:ascii="Arial" w:cs="Arial" w:eastAsia="Arial" w:hAnsi="Arial"/>
          <w:sz w:val="18"/>
          <w:szCs w:val="18"/>
          <w:color w:val="auto"/>
        </w:rPr>
        <w:t>– Micron Technology, Inc., today announced the appointment of Ronald C. Foster to the position of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(CFO) and Vice President of Finance, effective April 1.</w:t>
      </w:r>
    </w:p>
    <w:p>
      <w:pPr>
        <w:spacing w:after="0" w:line="20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Foster served as the CFO of FormFactor, Inc., a maker of semiconductor testing equipment, from March 2005 to March 2008, and as the CFO of JDS Uniphase, a manufacturer of products for fiber optic communications, from February 2003 to March 2005. Foster also served as a member of the Micron Board of Directors from June 2004 to April 2005. Foster earned a master’s of business degree from the University of Chicago and a bachelor of arts degree in economics from Whitman College.</w:t>
      </w:r>
    </w:p>
    <w:p>
      <w:pPr>
        <w:spacing w:after="0" w:line="218"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color w:val="auto"/>
        </w:rPr>
        <w:t>“We are pleased to welcome Ron back to the Micron team,” said Micron Chairman and CEO Steve Appleton. “With his breadth of experience, we are confident that Ron will be a valuable contributor to Micron.”</w:t>
      </w:r>
    </w:p>
    <w:p>
      <w:pPr>
        <w:spacing w:after="0" w:line="206"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 xml:space="preserve">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sectPr>
      <w:pgSz w:w="11900" w:h="16838" w:orient="portrait"/>
      <w:cols w:equalWidth="0" w:num="1">
        <w:col w:w="11420"/>
      </w:cols>
      <w:pgMar w:left="240" w:top="6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2019-12-11T14:21:01Z</dcterms:created>
  <dcterms:modified xsi:type="dcterms:W3CDTF">2019-12-11T14:21:01Z</dcterms:modified>
</cp:coreProperties>
</file>