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ARNZEN APRIL S</w:t>
              </w:r>
            </w:hyperlink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MU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09/24/2021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6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Chief People Officer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09/24/2021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8,300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73.32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64,487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92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1. The sales reported on this Form 4 were effected pursuant to a Rule 10b5-1 trading plan adopted by the reporting person on January 11, 2021.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Rob Beard, Attorney-in-fact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09/27/2021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top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-2559050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3206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2021-09-28T05:47:53Z</dcterms:created>
  <dcterms:modified xsi:type="dcterms:W3CDTF">2021-09-28T05:47:53Z</dcterms:modified>
</cp:coreProperties>
</file>