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23,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June 23, 2014, the Company announced its financial results for the third quarter ended May 29, 2014.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23, 2014</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60" w:type="dxa"/>
            <w:vAlign w:val="bottom"/>
          </w:tcPr>
          <w:p>
            <w:pPr>
              <w:spacing w:after="0"/>
              <w:rPr>
                <w:sz w:val="20"/>
                <w:szCs w:val="20"/>
                <w:color w:val="auto"/>
              </w:rPr>
            </w:pPr>
            <w:r>
              <w:rPr>
                <w:rFonts w:ascii="Arial" w:cs="Arial" w:eastAsia="Arial" w:hAnsi="Arial"/>
                <w:sz w:val="18"/>
                <w:szCs w:val="18"/>
                <w:color w:val="auto"/>
              </w:rPr>
              <w:t>Date:  June 23, 2014</w:t>
            </w:r>
          </w:p>
        </w:tc>
        <w:tc>
          <w:tcPr>
            <w:tcW w:w="3520" w:type="dxa"/>
            <w:vAlign w:val="bottom"/>
          </w:tcPr>
          <w:p>
            <w:pPr>
              <w:ind w:left="26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60" w:type="dxa"/>
            <w:vAlign w:val="bottom"/>
          </w:tcPr>
          <w:p>
            <w:pPr>
              <w:spacing w:after="0"/>
              <w:rPr>
                <w:sz w:val="17"/>
                <w:szCs w:val="17"/>
                <w:color w:val="auto"/>
              </w:rPr>
            </w:pPr>
          </w:p>
        </w:tc>
        <w:tc>
          <w:tcPr>
            <w:tcW w:w="3520" w:type="dxa"/>
            <w:vAlign w:val="bottom"/>
          </w:tcPr>
          <w:p>
            <w:pPr>
              <w:ind w:left="26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60" w:type="dxa"/>
            <w:vAlign w:val="bottom"/>
          </w:tcPr>
          <w:p>
            <w:pPr>
              <w:spacing w:after="0"/>
              <w:rPr>
                <w:sz w:val="18"/>
                <w:szCs w:val="18"/>
                <w:color w:val="auto"/>
              </w:rPr>
            </w:pPr>
          </w:p>
        </w:tc>
        <w:tc>
          <w:tcPr>
            <w:tcW w:w="3520" w:type="dxa"/>
            <w:vAlign w:val="bottom"/>
          </w:tcPr>
          <w:p>
            <w:pPr>
              <w:ind w:left="26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6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23,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080" w:type="dxa"/>
            <w:vAlign w:val="bottom"/>
          </w:tcPr>
          <w:p>
            <w:pPr>
              <w:spacing w:after="0"/>
              <w:rPr>
                <w:sz w:val="20"/>
                <w:szCs w:val="20"/>
                <w:color w:val="auto"/>
              </w:rPr>
            </w:pP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740" w:type="dxa"/>
            <w:vAlign w:val="bottom"/>
          </w:tcPr>
          <w:p>
            <w:pPr>
              <w:ind w:left="820"/>
              <w:spacing w:after="0"/>
              <w:rPr>
                <w:sz w:val="20"/>
                <w:szCs w:val="20"/>
                <w:color w:val="auto"/>
              </w:rPr>
            </w:pPr>
            <w:r>
              <w:rPr>
                <w:rFonts w:ascii="Arial" w:cs="Arial" w:eastAsia="Arial" w:hAnsi="Arial"/>
                <w:sz w:val="18"/>
                <w:szCs w:val="18"/>
                <w:color w:val="auto"/>
              </w:rPr>
              <w:t>Kipp A. Bedard</w:t>
            </w:r>
          </w:p>
        </w:tc>
        <w:tc>
          <w:tcPr>
            <w:tcW w:w="3080" w:type="dxa"/>
            <w:vAlign w:val="bottom"/>
          </w:tcPr>
          <w:p>
            <w:pPr>
              <w:ind w:left="1300"/>
              <w:spacing w:after="0"/>
              <w:rPr>
                <w:sz w:val="20"/>
                <w:szCs w:val="20"/>
                <w:color w:val="auto"/>
              </w:rPr>
            </w:pPr>
            <w:r>
              <w:rPr>
                <w:rFonts w:ascii="Arial" w:cs="Arial" w:eastAsia="Arial" w:hAnsi="Arial"/>
                <w:sz w:val="18"/>
                <w:szCs w:val="18"/>
                <w:color w:val="auto"/>
              </w:rPr>
              <w:t>Daniel Francisco</w:t>
            </w:r>
          </w:p>
        </w:tc>
      </w:tr>
      <w:tr>
        <w:trPr>
          <w:trHeight w:val="216"/>
        </w:trPr>
        <w:tc>
          <w:tcPr>
            <w:tcW w:w="1500" w:type="dxa"/>
            <w:vAlign w:val="bottom"/>
          </w:tcPr>
          <w:p>
            <w:pPr>
              <w:spacing w:after="0"/>
              <w:rPr>
                <w:sz w:val="18"/>
                <w:szCs w:val="18"/>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Investor Relations</w:t>
            </w:r>
          </w:p>
        </w:tc>
        <w:tc>
          <w:tcPr>
            <w:tcW w:w="3080" w:type="dxa"/>
            <w:vAlign w:val="bottom"/>
          </w:tcPr>
          <w:p>
            <w:pPr>
              <w:ind w:left="1300"/>
              <w:spacing w:after="0"/>
              <w:rPr>
                <w:sz w:val="20"/>
                <w:szCs w:val="20"/>
                <w:color w:val="auto"/>
              </w:rPr>
            </w:pPr>
            <w:r>
              <w:rPr>
                <w:rFonts w:ascii="Arial" w:cs="Arial" w:eastAsia="Arial" w:hAnsi="Arial"/>
                <w:sz w:val="18"/>
                <w:szCs w:val="18"/>
                <w:color w:val="auto"/>
              </w:rPr>
              <w:t>Media Relations</w:t>
            </w:r>
          </w:p>
        </w:tc>
      </w:tr>
      <w:tr>
        <w:trPr>
          <w:trHeight w:val="216"/>
        </w:trPr>
        <w:tc>
          <w:tcPr>
            <w:tcW w:w="1500" w:type="dxa"/>
            <w:vAlign w:val="bottom"/>
          </w:tcPr>
          <w:p>
            <w:pPr>
              <w:spacing w:after="0"/>
              <w:rPr>
                <w:sz w:val="18"/>
                <w:szCs w:val="18"/>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kbedard@micron.com</w:t>
            </w:r>
          </w:p>
        </w:tc>
        <w:tc>
          <w:tcPr>
            <w:tcW w:w="3080" w:type="dxa"/>
            <w:vAlign w:val="bottom"/>
          </w:tcPr>
          <w:p>
            <w:pPr>
              <w:ind w:left="13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500" w:type="dxa"/>
            <w:vAlign w:val="bottom"/>
          </w:tcPr>
          <w:p>
            <w:pPr>
              <w:spacing w:after="0"/>
              <w:rPr>
                <w:sz w:val="20"/>
                <w:szCs w:val="20"/>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(208) 368-4465</w:t>
            </w:r>
          </w:p>
        </w:tc>
        <w:tc>
          <w:tcPr>
            <w:tcW w:w="3080" w:type="dxa"/>
            <w:vAlign w:val="bottom"/>
          </w:tcPr>
          <w:p>
            <w:pPr>
              <w:ind w:left="13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OF FISCAL 2014</w:t>
      </w:r>
    </w:p>
    <w:p>
      <w:pPr>
        <w:spacing w:after="0" w:line="200" w:lineRule="exact"/>
        <w:rPr>
          <w:sz w:val="20"/>
          <w:szCs w:val="20"/>
          <w:color w:val="auto"/>
        </w:rPr>
      </w:pPr>
    </w:p>
    <w:p>
      <w:pPr>
        <w:spacing w:after="0" w:line="27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23, 2014 – Micron Technology, Inc., (NASDAQ: MU) today announced results of operations for its third quarter of fiscal 2014,</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ended May 29, 2014. Revenues for the third quarter of fiscal 2014 were $3.98 billion and were 3 percent lower compared to the second quarter of fiscal 2014 and 72 percent higher compared to the third quarter of fiscal 2013.</w:t>
      </w:r>
    </w:p>
    <w:p>
      <w:pPr>
        <w:spacing w:after="0" w:line="203" w:lineRule="exact"/>
        <w:rPr>
          <w:sz w:val="20"/>
          <w:szCs w:val="20"/>
          <w:color w:val="auto"/>
        </w:rPr>
      </w:pPr>
    </w:p>
    <w:p>
      <w:pPr>
        <w:jc w:val="both"/>
        <w:ind w:right="100" w:firstLine="324"/>
        <w:spacing w:after="0" w:line="226" w:lineRule="auto"/>
        <w:rPr>
          <w:sz w:val="20"/>
          <w:szCs w:val="20"/>
          <w:color w:val="auto"/>
        </w:rPr>
      </w:pPr>
      <w:r>
        <w:rPr>
          <w:rFonts w:ascii="Arial" w:cs="Arial" w:eastAsia="Arial" w:hAnsi="Arial"/>
          <w:sz w:val="18"/>
          <w:szCs w:val="18"/>
          <w:b w:val="1"/>
          <w:bCs w:val="1"/>
          <w:color w:val="auto"/>
        </w:rPr>
        <w:t xml:space="preserve">GAAP Income and Per Share Data </w:t>
      </w:r>
      <w:r>
        <w:rPr>
          <w:rFonts w:ascii="Arial" w:cs="Arial" w:eastAsia="Arial" w:hAnsi="Arial"/>
          <w:sz w:val="18"/>
          <w:szCs w:val="18"/>
          <w:color w:val="auto"/>
        </w:rPr>
        <w:t>– On a GAAP</w:t>
      </w:r>
      <w:r>
        <w:rPr>
          <w:rFonts w:ascii="Arial" w:cs="Arial" w:eastAsia="Arial" w:hAnsi="Arial"/>
          <w:sz w:val="25"/>
          <w:szCs w:val="25"/>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basis, net income attributable to Micron shareholders for the third quarter of fiscal 2014 was $806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$0.68 per diluted share, compared to net income of $731 million, or $0.61 per diluted share, for the second quarter of fiscal 2014 and net income of $43 million, or $0.04 per diluted share, for the third quarter of fiscal 2013.</w:t>
      </w:r>
    </w:p>
    <w:p>
      <w:pPr>
        <w:spacing w:after="0" w:line="2" w:lineRule="exact"/>
        <w:rPr>
          <w:sz w:val="20"/>
          <w:szCs w:val="20"/>
          <w:color w:val="auto"/>
        </w:rPr>
      </w:pPr>
    </w:p>
    <w:p>
      <w:pPr>
        <w:jc w:val="both"/>
        <w:ind w:right="120" w:firstLine="324"/>
        <w:spacing w:after="0" w:line="223" w:lineRule="auto"/>
        <w:rPr>
          <w:sz w:val="20"/>
          <w:szCs w:val="20"/>
          <w:color w:val="auto"/>
        </w:rPr>
      </w:pPr>
      <w:r>
        <w:rPr>
          <w:rFonts w:ascii="Arial" w:cs="Arial" w:eastAsia="Arial" w:hAnsi="Arial"/>
          <w:sz w:val="18"/>
          <w:szCs w:val="18"/>
          <w:b w:val="1"/>
          <w:bCs w:val="1"/>
          <w:color w:val="auto"/>
        </w:rPr>
        <w:t xml:space="preserve">Non-GAAP Income and Per Share Data </w:t>
      </w:r>
      <w:r>
        <w:rPr>
          <w:rFonts w:ascii="Arial" w:cs="Arial" w:eastAsia="Arial" w:hAnsi="Arial"/>
          <w:sz w:val="18"/>
          <w:szCs w:val="18"/>
          <w:color w:val="auto"/>
        </w:rPr>
        <w:t>– On a non-GAAP</w:t>
      </w:r>
      <w:r>
        <w:rPr>
          <w:rFonts w:ascii="Arial" w:cs="Arial" w:eastAsia="Arial" w:hAnsi="Arial"/>
          <w:sz w:val="25"/>
          <w:szCs w:val="25"/>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basis, net income attributable to Micron shareholders for the third quarter of fiscal 2014</w:t>
      </w:r>
      <w:r>
        <w:rPr>
          <w:rFonts w:ascii="Arial" w:cs="Arial" w:eastAsia="Arial" w:hAnsi="Arial"/>
          <w:sz w:val="18"/>
          <w:szCs w:val="18"/>
          <w:b w:val="1"/>
          <w:bCs w:val="1"/>
          <w:color w:val="auto"/>
        </w:rPr>
        <w:t xml:space="preserve"> </w:t>
      </w:r>
      <w:r>
        <w:rPr>
          <w:rFonts w:ascii="Arial" w:cs="Arial" w:eastAsia="Arial" w:hAnsi="Arial"/>
          <w:sz w:val="18"/>
          <w:szCs w:val="18"/>
          <w:color w:val="auto"/>
        </w:rPr>
        <w:t>was $913 million, or $0.79 per diluted share, compared to net income of $989 million, or $0.85 per diluted share, for the second quarter of fiscal 2014. For a reconciliation of GAAP to non-GAAP results, see the accompanying financial tables and footnotes.</w:t>
      </w:r>
    </w:p>
    <w:p>
      <w:pPr>
        <w:spacing w:after="0" w:line="229" w:lineRule="exact"/>
        <w:rPr>
          <w:sz w:val="20"/>
          <w:szCs w:val="20"/>
          <w:color w:val="auto"/>
        </w:rPr>
      </w:pPr>
    </w:p>
    <w:p>
      <w:pPr>
        <w:jc w:val="both"/>
        <w:ind w:right="360" w:firstLine="324"/>
        <w:spacing w:after="0" w:line="312" w:lineRule="auto"/>
        <w:rPr>
          <w:sz w:val="20"/>
          <w:szCs w:val="20"/>
          <w:color w:val="auto"/>
        </w:rPr>
      </w:pPr>
      <w:r>
        <w:rPr>
          <w:rFonts w:ascii="Arial" w:cs="Arial" w:eastAsia="Arial" w:hAnsi="Arial"/>
          <w:sz w:val="16"/>
          <w:szCs w:val="16"/>
          <w:color w:val="auto"/>
        </w:rPr>
        <w:t>Revenues for both DRAM and NAND Flash products were down slightly for the third quarter of fiscal 2014 compared to the second quarter of fiscal 2014. The company’s overall consolidated gross margin of 34 percent for the third quarter of fiscal 2014 was consistent with the second quarter of fiscal 2014, as mix-related decreases in average selling prices were essentially offset by corresponding decreases in manufacturing costs.</w:t>
      </w:r>
    </w:p>
    <w:p>
      <w:pPr>
        <w:spacing w:after="0" w:line="17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Cash flows from operations for the third quarter of fiscal 2014 were $1.46 billion, while investments in capital expenditures were $576 million. The company ended the third fiscal quarter of fiscal 2014 with cash and marketable investments of $4.81 billion.</w:t>
      </w:r>
    </w:p>
    <w:p>
      <w:pPr>
        <w:spacing w:after="0" w:line="197" w:lineRule="exact"/>
        <w:rPr>
          <w:sz w:val="20"/>
          <w:szCs w:val="20"/>
          <w:color w:val="auto"/>
        </w:rPr>
      </w:pPr>
    </w:p>
    <w:p>
      <w:pPr>
        <w:jc w:val="both"/>
        <w:ind w:right="180" w:firstLine="324"/>
        <w:spacing w:after="0" w:line="288" w:lineRule="auto"/>
        <w:rPr>
          <w:sz w:val="20"/>
          <w:szCs w:val="20"/>
          <w:color w:val="auto"/>
        </w:rPr>
      </w:pPr>
      <w:r>
        <w:rPr>
          <w:rFonts w:ascii="Arial" w:cs="Arial" w:eastAsia="Arial" w:hAnsi="Arial"/>
          <w:sz w:val="16"/>
          <w:szCs w:val="16"/>
          <w:color w:val="auto"/>
        </w:rPr>
        <w:t xml:space="preserve">The company will host a conference call Monday, June 23 at 2:30 p.m. MT to discuss its financial results. The call, audio, slides, other operational and financial information, and guidance will be available online at </w:t>
      </w:r>
      <w:r>
        <w:rPr>
          <w:rFonts w:ascii="Arial" w:cs="Arial" w:eastAsia="Arial" w:hAnsi="Arial"/>
          <w:sz w:val="16"/>
          <w:szCs w:val="16"/>
          <w:u w:val="single" w:color="auto"/>
          <w:color w:val="auto"/>
        </w:rPr>
        <w:t>http://investors.micron.com/events.cfm</w:t>
      </w:r>
      <w:r>
        <w:rPr>
          <w:rFonts w:ascii="Arial" w:cs="Arial" w:eastAsia="Arial" w:hAnsi="Arial"/>
          <w:sz w:val="16"/>
          <w:szCs w:val="16"/>
          <w:color w:val="auto"/>
        </w:rPr>
        <w:t>. A webcast replay will be available on the company’s website until June 23, 2015. A taped audio replay of the conference call will also be available at 1-404-537-3406 or 1-855-859-2056 (conference number:</w:t>
      </w:r>
    </w:p>
    <w:p>
      <w:pPr>
        <w:jc w:val="both"/>
        <w:ind w:right="160"/>
        <w:spacing w:after="0" w:line="261" w:lineRule="auto"/>
        <w:rPr>
          <w:sz w:val="20"/>
          <w:szCs w:val="20"/>
          <w:color w:val="auto"/>
        </w:rPr>
      </w:pPr>
      <w:r>
        <w:rPr>
          <w:rFonts w:ascii="Arial" w:cs="Arial" w:eastAsia="Arial" w:hAnsi="Arial"/>
          <w:sz w:val="18"/>
          <w:szCs w:val="18"/>
          <w:color w:val="auto"/>
        </w:rPr>
        <w:t xml:space="preserve">56949074) beginning at 5:30 p.m. MT, Monday, June 23, 2014 and continuing until 5:30 p.m. MT, Monday, June 30, 2014. For Investor Relations and other company updates, follow @MicronTech on Twitter at </w:t>
      </w:r>
      <w:r>
        <w:rPr>
          <w:rFonts w:ascii="Arial" w:cs="Arial" w:eastAsia="Arial" w:hAnsi="Arial"/>
          <w:sz w:val="18"/>
          <w:szCs w:val="18"/>
          <w:u w:val="single" w:color="auto"/>
          <w:color w:val="auto"/>
        </w:rPr>
        <w:t>https://twitter.com/MicronTech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164" w:lineRule="exact"/>
        <w:rPr>
          <w:sz w:val="20"/>
          <w:szCs w:val="20"/>
          <w:color w:val="auto"/>
        </w:rPr>
      </w:pPr>
    </w:p>
    <w:p>
      <w:pPr>
        <w:ind w:left="520" w:hanging="188"/>
        <w:spacing w:after="0"/>
        <w:tabs>
          <w:tab w:leader="none" w:pos="520" w:val="left"/>
        </w:tabs>
        <w:numPr>
          <w:ilvl w:val="0"/>
          <w:numId w:val="1"/>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GAAP represents U.S. Generally Accepted Accounting Principles.</w:t>
      </w:r>
    </w:p>
    <w:p>
      <w:pPr>
        <w:spacing w:after="0" w:line="1" w:lineRule="exact"/>
        <w:rPr>
          <w:rFonts w:ascii="Arial" w:cs="Arial" w:eastAsia="Arial" w:hAnsi="Arial"/>
          <w:sz w:val="23"/>
          <w:szCs w:val="23"/>
          <w:i w:val="1"/>
          <w:iCs w:val="1"/>
          <w:color w:val="auto"/>
          <w:vertAlign w:val="superscript"/>
        </w:rPr>
      </w:pPr>
    </w:p>
    <w:p>
      <w:pPr>
        <w:ind w:right="100" w:firstLine="332"/>
        <w:spacing w:after="0" w:line="254" w:lineRule="auto"/>
        <w:tabs>
          <w:tab w:leader="none" w:pos="516"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0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3rd Qtr.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2nd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3rd Qtr.</w:t>
            </w: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Feb. 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May 30,</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Restructure and asset impairments (1)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 (2)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non-operating income (expense), net (3)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4"/>
              </w:rPr>
              <w:t>Equity in net income (loss) of equity method investees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887"/>
        </w:trPr>
        <w:tc>
          <w:tcPr>
            <w:tcW w:w="2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Aug.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restricted cash (5)</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debt (3)(5)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 (3)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May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right="120" w:firstLine="324"/>
        <w:spacing w:after="0" w:line="257" w:lineRule="auto"/>
        <w:rPr>
          <w:sz w:val="20"/>
          <w:szCs w:val="20"/>
          <w:color w:val="auto"/>
        </w:rPr>
      </w:pPr>
      <w:r>
        <w:rPr>
          <w:rFonts w:ascii="Arial" w:cs="Arial" w:eastAsia="Arial" w:hAnsi="Arial"/>
          <w:sz w:val="18"/>
          <w:szCs w:val="18"/>
          <w:color w:val="auto"/>
        </w:rPr>
        <w:t>On July 31, 2013, the company acquired Elpida Memory, Inc., now known as Micron Memory Japan, Inc. (“MMJ”), and an 89% interest in Rexchip Electronics Corporation, now known as Micron Memory Taiwan Co., Ltd. (“MMT”), for an aggregate of $949 million in cash. MMJ’s assets include, among others, a 300mm DRAM wafer fabrication facility located in Hiroshima, Japan and an assembly and test facility located in Akita, Japan. MMT’s assets include a 300mm DRAM wafer fabrication facility located in Taichung City, Taiwan. In the second and third quarters of fiscal 2014, the company purchased an additional aggregate 10.62% of MMT’s outstanding common stock.</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Restructure and asset impairments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3rd Qtr.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2nd Qtr.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3rd Qtr.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May 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Feb. 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May 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May 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May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00" w:type="dxa"/>
            <w:vAlign w:val="bottom"/>
          </w:tcPr>
          <w:p>
            <w:pPr>
              <w:spacing w:after="0"/>
              <w:rPr>
                <w:sz w:val="20"/>
                <w:szCs w:val="20"/>
                <w:color w:val="auto"/>
              </w:rPr>
            </w:pPr>
          </w:p>
        </w:tc>
        <w:tc>
          <w:tcPr>
            <w:tcW w:w="9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impairment of MIT assets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Loss (gain) on impairment of LED assets</w:t>
            </w:r>
          </w:p>
        </w:tc>
        <w:tc>
          <w:tcPr>
            <w:tcW w:w="9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restructure of consortium agreement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Gain on termination of lease to Transform</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(25)</w:t>
            </w: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2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w:t>
            </w:r>
          </w:p>
        </w:tc>
        <w:tc>
          <w:tcPr>
            <w:tcW w:w="9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
        </w:trPr>
        <w:tc>
          <w:tcPr>
            <w:tcW w:w="4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Other restructure for the first nine months of fiscal 2014 included an aggregate of approximately $30 million associated with the company’s efforts to wind down its 200mm operations in Agrate, Italy and Kiryat Gat, Israel.</w:t>
      </w:r>
    </w:p>
    <w:p>
      <w:pPr>
        <w:spacing w:after="0" w:line="197" w:lineRule="exact"/>
        <w:rPr>
          <w:sz w:val="20"/>
          <w:szCs w:val="20"/>
          <w:color w:val="auto"/>
        </w:rPr>
      </w:pPr>
    </w:p>
    <w:p>
      <w:pPr>
        <w:jc w:val="both"/>
        <w:ind w:left="340" w:hanging="308"/>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operating expense for the first nine months of fiscal 2014 included a charge in the first quarter of $233 million to accrue a liability in connection with the company’s settlement of all pending litigation between it and Rambus, Inc., including all antitrust and patent matters. The amount accrued represented the discounted value of amounts due under the arrangement.</w:t>
      </w:r>
    </w:p>
    <w:p>
      <w:pPr>
        <w:spacing w:after="0" w:line="208" w:lineRule="exact"/>
        <w:rPr>
          <w:rFonts w:ascii="Arial" w:cs="Arial" w:eastAsia="Arial" w:hAnsi="Arial"/>
          <w:sz w:val="18"/>
          <w:szCs w:val="18"/>
          <w:color w:val="auto"/>
        </w:rPr>
      </w:pPr>
    </w:p>
    <w:p>
      <w:pPr>
        <w:ind w:left="340" w:hanging="30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3rd Qtr.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2nd Qtr.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3rd Qtr.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May 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Feb. 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May 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30,</w:t>
            </w:r>
          </w:p>
        </w:tc>
      </w:tr>
      <w:tr>
        <w:trPr>
          <w:trHeight w:val="241"/>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restructure of debt</w:t>
            </w:r>
          </w:p>
        </w:tc>
        <w:tc>
          <w:tcPr>
            <w:tcW w:w="1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(80)</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w w:val="96"/>
              </w:rPr>
              <w:t>Gain (loss) from changes in currency exchange rates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to gain on acquisition of MMJ</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color w:val="auto"/>
        </w:rPr>
        <w:t>In the first nine months of fiscal 2014, the company initiated a series of actions to restructure its debt, including exchange transactions, debt conversions and settlements and cash repurchases. These actions resulted in aggregate non-operating losses of $16 million, $80 million and $75 million in the third, second and first quarters of fiscal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ind w:left="320"/>
        <w:spacing w:after="0"/>
        <w:rPr>
          <w:sz w:val="20"/>
          <w:szCs w:val="20"/>
          <w:color w:val="auto"/>
        </w:rPr>
      </w:pPr>
      <w:r>
        <w:rPr>
          <w:rFonts w:ascii="Arial" w:cs="Arial" w:eastAsia="Arial" w:hAnsi="Arial"/>
          <w:sz w:val="18"/>
          <w:szCs w:val="18"/>
          <w:b w:val="1"/>
          <w:bCs w:val="1"/>
          <w:color w:val="auto"/>
        </w:rPr>
        <w:t>Exchange Transactions</w:t>
      </w:r>
    </w:p>
    <w:p>
      <w:pPr>
        <w:spacing w:after="0" w:line="256" w:lineRule="exact"/>
        <w:rPr>
          <w:sz w:val="20"/>
          <w:szCs w:val="20"/>
          <w:color w:val="auto"/>
        </w:rPr>
      </w:pPr>
    </w:p>
    <w:p>
      <w:pPr>
        <w:ind w:left="640" w:right="60"/>
        <w:spacing w:after="0" w:line="273" w:lineRule="auto"/>
        <w:rPr>
          <w:sz w:val="20"/>
          <w:szCs w:val="20"/>
          <w:color w:val="auto"/>
        </w:rPr>
      </w:pPr>
      <w:r>
        <w:rPr>
          <w:rFonts w:ascii="Arial" w:cs="Arial" w:eastAsia="Arial" w:hAnsi="Arial"/>
          <w:sz w:val="17"/>
          <w:szCs w:val="17"/>
          <w:color w:val="auto"/>
        </w:rPr>
        <w:t>In November 2013, in a series of separate non-cash transactions, the company exchanged portions of its 2027 Notes, 2031A Notes and 2031B Notes (collectively, the “Exchanged Notes”) into 3.00% Convertible Senior Notes due 2043 (the “2043G Notes”). In connection with the issuance of the 2043G Notes, the company recorded $627 million of debt and $173 million of additional capital. The net effect of the Exchange Transactions was an increase to the carrying value of the company’s debt of $282 million and a decrease in the company’s additional capital of ($238) million in the first quarter of fiscal 2014. In connection with the Exchange Transactions, which were accounted for as extinguishments, the company recognized aggregate non-operating losses of $38 million in the first quarter of fiscal 2014.</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Debt Conversions and Settlements</w:t>
      </w:r>
    </w:p>
    <w:p>
      <w:pPr>
        <w:spacing w:after="0" w:line="256" w:lineRule="exact"/>
        <w:rPr>
          <w:sz w:val="20"/>
          <w:szCs w:val="20"/>
          <w:color w:val="auto"/>
        </w:rPr>
      </w:pPr>
    </w:p>
    <w:p>
      <w:pPr>
        <w:ind w:left="640" w:right="100"/>
        <w:spacing w:after="0" w:line="297" w:lineRule="auto"/>
        <w:rPr>
          <w:sz w:val="20"/>
          <w:szCs w:val="20"/>
          <w:color w:val="auto"/>
        </w:rPr>
      </w:pPr>
      <w:r>
        <w:rPr>
          <w:rFonts w:ascii="Arial" w:cs="Arial" w:eastAsia="Arial" w:hAnsi="Arial"/>
          <w:sz w:val="16"/>
          <w:szCs w:val="16"/>
          <w:b w:val="1"/>
          <w:bCs w:val="1"/>
          <w:i w:val="1"/>
          <w:iCs w:val="1"/>
          <w:color w:val="auto"/>
        </w:rPr>
        <w:t xml:space="preserve">2027 Notes </w:t>
      </w:r>
      <w:r>
        <w:rPr>
          <w:rFonts w:ascii="Arial" w:cs="Arial" w:eastAsia="Arial" w:hAnsi="Arial"/>
          <w:sz w:val="16"/>
          <w:szCs w:val="16"/>
          <w:color w:val="auto"/>
        </w:rPr>
        <w:t>– In November 2013, the company announced the termination of the conversion rights for its remaining 2027 Notes, effective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13, 2013. During the first and second quarters of fiscal 2014, substantially all of the holders of the company’s 2027 Notes exercised their option to convert their notes and, in each case, the company elected to settle the conversion amount entirely in cash. In the second quarter of fiscal 2014, the company settled the conversion amounts for $179 million in cash. In connection with these actions, the company recognized non-operating losses of $19 million and $41 million in the second quarter and first nine months of fiscal 2014, respectively.</w:t>
      </w:r>
    </w:p>
    <w:p>
      <w:pPr>
        <w:spacing w:after="0" w:line="185" w:lineRule="exact"/>
        <w:rPr>
          <w:sz w:val="20"/>
          <w:szCs w:val="20"/>
          <w:color w:val="auto"/>
        </w:rPr>
      </w:pPr>
    </w:p>
    <w:p>
      <w:pPr>
        <w:ind w:left="640"/>
        <w:spacing w:after="0" w:line="276" w:lineRule="auto"/>
        <w:rPr>
          <w:sz w:val="20"/>
          <w:szCs w:val="20"/>
          <w:color w:val="auto"/>
        </w:rPr>
      </w:pPr>
      <w:r>
        <w:rPr>
          <w:rFonts w:ascii="Arial" w:cs="Arial" w:eastAsia="Arial" w:hAnsi="Arial"/>
          <w:sz w:val="17"/>
          <w:szCs w:val="17"/>
          <w:b w:val="1"/>
          <w:bCs w:val="1"/>
          <w:i w:val="1"/>
          <w:iCs w:val="1"/>
          <w:color w:val="auto"/>
        </w:rPr>
        <w:t xml:space="preserve">2031A Notes </w:t>
      </w:r>
      <w:r>
        <w:rPr>
          <w:rFonts w:ascii="Arial" w:cs="Arial" w:eastAsia="Arial" w:hAnsi="Arial"/>
          <w:sz w:val="17"/>
          <w:szCs w:val="17"/>
          <w:color w:val="auto"/>
        </w:rPr>
        <w:t>– In November 2013, the company called for the redemption of its remaining 2031A Notes on December 7, 2013. During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second quarters of fiscal 2014, substantially all of the holders of the company’s 2031A Notes exercised their option to convert their notes and, in each case, the company elected to settle the conversion amount entirely in cash. In the second quarter of fiscal 2014, the company settled the conversion amounts for $440 million in cash. In connection with these actions, the company recognized non-operating losses of $50 million and $65 million in the second quarter and first nine months of fiscal 2014, respectively.</w:t>
      </w:r>
    </w:p>
    <w:p>
      <w:pPr>
        <w:spacing w:after="0" w:line="200" w:lineRule="exact"/>
        <w:rPr>
          <w:sz w:val="20"/>
          <w:szCs w:val="20"/>
          <w:color w:val="auto"/>
        </w:rPr>
      </w:pPr>
    </w:p>
    <w:p>
      <w:pPr>
        <w:ind w:left="640" w:right="160"/>
        <w:spacing w:after="0" w:line="257" w:lineRule="auto"/>
        <w:rPr>
          <w:sz w:val="20"/>
          <w:szCs w:val="20"/>
          <w:color w:val="auto"/>
        </w:rPr>
      </w:pPr>
      <w:r>
        <w:rPr>
          <w:rFonts w:ascii="Arial" w:cs="Arial" w:eastAsia="Arial" w:hAnsi="Arial"/>
          <w:sz w:val="18"/>
          <w:szCs w:val="18"/>
          <w:b w:val="1"/>
          <w:bCs w:val="1"/>
          <w:i w:val="1"/>
          <w:iCs w:val="1"/>
          <w:color w:val="auto"/>
        </w:rPr>
        <w:t xml:space="preserve">2014 Notes </w:t>
      </w:r>
      <w:r>
        <w:rPr>
          <w:rFonts w:ascii="Arial" w:cs="Arial" w:eastAsia="Arial" w:hAnsi="Arial"/>
          <w:sz w:val="18"/>
          <w:szCs w:val="18"/>
          <w:color w:val="auto"/>
        </w:rPr>
        <w:t>– In January 2014, the company called for the redemption of its remaining 2014 Notes on March 3, 2014. During the second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quarters of fiscal 2014, holders of a majority of the company’s 2014 Notes exercised their option to convert their notes and, in each case, the company elected to settle the conversion amount entirely in cash. In the third quarter of fiscal 2014, the company settled the conversion amounts for $718 million in cash. In connection with these actions, the company recognized non-operating losses of $9 million in the third quarter of fiscal 2014.</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Repurchases</w:t>
      </w:r>
    </w:p>
    <w:p>
      <w:pPr>
        <w:spacing w:after="0" w:line="256" w:lineRule="exact"/>
        <w:rPr>
          <w:sz w:val="20"/>
          <w:szCs w:val="20"/>
          <w:color w:val="auto"/>
        </w:rPr>
      </w:pPr>
    </w:p>
    <w:p>
      <w:pPr>
        <w:ind w:left="640" w:right="200"/>
        <w:spacing w:after="0" w:line="264" w:lineRule="auto"/>
        <w:rPr>
          <w:sz w:val="20"/>
          <w:szCs w:val="20"/>
          <w:color w:val="auto"/>
        </w:rPr>
      </w:pPr>
      <w:r>
        <w:rPr>
          <w:rFonts w:ascii="Arial" w:cs="Arial" w:eastAsia="Arial" w:hAnsi="Arial"/>
          <w:sz w:val="18"/>
          <w:szCs w:val="18"/>
          <w:b w:val="1"/>
          <w:bCs w:val="1"/>
          <w:i w:val="1"/>
          <w:iCs w:val="1"/>
          <w:color w:val="auto"/>
        </w:rPr>
        <w:t xml:space="preserve">January 2014 </w:t>
      </w:r>
      <w:r>
        <w:rPr>
          <w:rFonts w:ascii="Arial" w:cs="Arial" w:eastAsia="Arial" w:hAnsi="Arial"/>
          <w:sz w:val="18"/>
          <w:szCs w:val="18"/>
          <w:color w:val="auto"/>
        </w:rPr>
        <w:t>– In January 2014, the company repurchased $164 million in aggregate principal amount of its 2031B Notes, 2032C Notes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2032D Notes in privately-negotiated transactions for an aggregate of $407 million in cash. In connection with these actions, the company recognized non-operating losses of $11 million in the second quarter of fiscal 2014.</w:t>
      </w:r>
    </w:p>
    <w:p>
      <w:pPr>
        <w:spacing w:after="0" w:line="208"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b w:val="1"/>
          <w:bCs w:val="1"/>
          <w:i w:val="1"/>
          <w:iCs w:val="1"/>
          <w:color w:val="auto"/>
        </w:rPr>
        <w:t xml:space="preserve">April and May 2014 </w:t>
      </w:r>
      <w:r>
        <w:rPr>
          <w:rFonts w:ascii="Arial" w:cs="Arial" w:eastAsia="Arial" w:hAnsi="Arial"/>
          <w:sz w:val="18"/>
          <w:szCs w:val="18"/>
          <w:color w:val="auto"/>
        </w:rPr>
        <w:t>– In April and May 2014, the company repurchased $99 million in aggregate principal amount of its 2032C Notes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2032D Notes in privately-negotiated transactions for an aggregate of $253 million in cash. In connection with these actions, the company recognized non-operating losses of $7 million in the third quarter of fiscal 2014.</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Gain (loss) from changes in currency exchange rates for the third quarter and first nine months of fiscal 2013 included currency losses of $47 million and $225 million, respectively, from changes in the market value of currency hedges executed in connection with the company’s acquisition of MMJ and MMT.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513" w:right="279" w:bottom="1440" w:gutter="0" w:footer="0" w:header="0"/>
        </w:sectPr>
      </w:pPr>
    </w:p>
    <w:bookmarkStart w:id="10" w:name="page11"/>
    <w:bookmarkEnd w:id="10"/>
    <w:p>
      <w:pPr>
        <w:ind w:left="308" w:right="120"/>
        <w:spacing w:after="0" w:line="257" w:lineRule="auto"/>
        <w:rPr>
          <w:sz w:val="20"/>
          <w:szCs w:val="20"/>
          <w:color w:val="auto"/>
        </w:rPr>
      </w:pPr>
      <w:r>
        <w:rPr>
          <w:rFonts w:ascii="Arial" w:cs="Arial" w:eastAsia="Arial" w:hAnsi="Arial"/>
          <w:sz w:val="18"/>
          <w:szCs w:val="18"/>
          <w:color w:val="auto"/>
        </w:rPr>
        <w:t>In connection with the acquisition of MMJ and MMT, the company recorded net assets of $2,601 million and noncontrolling interests of $168 million. Because the fair value of the net assets acquired less noncontrolling interests exceeded the company’s purchase price, the company recognized a gain on the acquisition of $1,484 million in the fourth quarter of fiscal 2103. In the second quarter of fiscal 2014, the provisional amounts as of the acquisition date were adjusted, primarily for pre-petition liabilities. As a result, the company recorded a non-operating expense of $33 million in the second quarter of fiscal 2014 for these measurement period adjustments.</w:t>
      </w:r>
    </w:p>
    <w:p>
      <w:pPr>
        <w:spacing w:after="0" w:line="215" w:lineRule="exact"/>
        <w:rPr>
          <w:sz w:val="20"/>
          <w:szCs w:val="20"/>
          <w:color w:val="auto"/>
        </w:rPr>
      </w:pPr>
    </w:p>
    <w:p>
      <w:pPr>
        <w:jc w:val="both"/>
        <w:ind w:left="308" w:hanging="308"/>
        <w:spacing w:after="0" w:line="255" w:lineRule="auto"/>
        <w:tabs>
          <w:tab w:leader="none" w:pos="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for the third quarter and first nine months of fiscal 2014 included $49 million and $177 million, respectively, related to the utilization of deferred tax assets as a result of MMJ’s and MMT’s operations. Remaining taxes for the third quarters and first nine months of fiscal 2014 and 2013 primarily reflect taxes on the company’s non-U.S. operations. The company has a full valuation allowance for its net deferred tax asset associated with its U.S. operations. The provision (benefit) for taxes on U.S. operations for the third quarters and first nine months of fiscal 2014 and 2013 was substantially offset by changes in the valuation allowance. As of the third quarter of fiscal 2014, the company estimates it will have an increase in unrecognized tax benefits for fiscal 2014 of approximately $110 million primarily related to transfer pricing matters. This increase is expected to be substantially offset by a change in the company’s valuation allowance.</w:t>
      </w:r>
    </w:p>
    <w:p>
      <w:pPr>
        <w:spacing w:after="0" w:line="216" w:lineRule="exact"/>
        <w:rPr>
          <w:rFonts w:ascii="Arial" w:cs="Arial" w:eastAsia="Arial" w:hAnsi="Arial"/>
          <w:sz w:val="18"/>
          <w:szCs w:val="18"/>
          <w:color w:val="auto"/>
        </w:rPr>
      </w:pPr>
    </w:p>
    <w:p>
      <w:pPr>
        <w:ind w:left="308" w:hanging="308"/>
        <w:spacing w:after="0" w:line="277" w:lineRule="auto"/>
        <w:tabs>
          <w:tab w:leader="none" w:pos="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5, 2014, the company issued $600 million in aggregate principal amount of 5.875% Senior Notes due February 2022 (the “2022 Notes”). Issuance costs for the 2022 Notes totaled $14 million.</w:t>
      </w:r>
    </w:p>
    <w:p>
      <w:pPr>
        <w:spacing w:after="0" w:line="197" w:lineRule="exact"/>
        <w:rPr>
          <w:rFonts w:ascii="Arial" w:cs="Arial" w:eastAsia="Arial" w:hAnsi="Arial"/>
          <w:sz w:val="18"/>
          <w:szCs w:val="18"/>
          <w:color w:val="auto"/>
        </w:rPr>
      </w:pPr>
    </w:p>
    <w:p>
      <w:pPr>
        <w:ind w:left="308" w:right="80"/>
        <w:spacing w:after="0" w:line="279" w:lineRule="auto"/>
        <w:rPr>
          <w:rFonts w:ascii="Arial" w:cs="Arial" w:eastAsia="Arial" w:hAnsi="Arial"/>
          <w:sz w:val="18"/>
          <w:szCs w:val="18"/>
          <w:color w:val="auto"/>
        </w:rPr>
      </w:pPr>
      <w:r>
        <w:rPr>
          <w:rFonts w:ascii="Arial" w:cs="Arial" w:eastAsia="Arial" w:hAnsi="Arial"/>
          <w:sz w:val="17"/>
          <w:szCs w:val="17"/>
          <w:color w:val="auto"/>
        </w:rPr>
        <w:t>On December 20, 2013, the company issued $462 million in aggregate principal amount of 1.258% Secured Notes due January 2019 (the “2019 Notes”), which are collateralized by certain equipment and mature on January 15, 2019. The principal amount of the 2019 Notes is payable in 10 consecutive semi-annual installments payable in January and July of each year, commencing in July 2014. In connection with the issuance of the 2019 Notes, the company paid a guarantee fee of $23 million, which is being amortized over the term of the 2019 Notes.</w:t>
      </w:r>
    </w:p>
    <w:p>
      <w:pPr>
        <w:spacing w:after="0" w:line="198" w:lineRule="exact"/>
        <w:rPr>
          <w:rFonts w:ascii="Arial" w:cs="Arial" w:eastAsia="Arial" w:hAnsi="Arial"/>
          <w:sz w:val="18"/>
          <w:szCs w:val="18"/>
          <w:color w:val="auto"/>
        </w:rPr>
      </w:pPr>
    </w:p>
    <w:p>
      <w:pPr>
        <w:ind w:left="308" w:right="120"/>
        <w:spacing w:after="0" w:line="277" w:lineRule="auto"/>
        <w:rPr>
          <w:rFonts w:ascii="Arial" w:cs="Arial" w:eastAsia="Arial" w:hAnsi="Arial"/>
          <w:sz w:val="18"/>
          <w:szCs w:val="18"/>
          <w:color w:val="auto"/>
        </w:rPr>
      </w:pPr>
      <w:r>
        <w:rPr>
          <w:rFonts w:ascii="Arial" w:cs="Arial" w:eastAsia="Arial" w:hAnsi="Arial"/>
          <w:sz w:val="18"/>
          <w:szCs w:val="18"/>
          <w:color w:val="auto"/>
        </w:rPr>
        <w:t>During the first quarter of fiscal 2014, the company made the first MMJ creditor installment payment of $534 million from funds that had been held in a current restricted cash account since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544195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8"/>
          </w:cols>
          <w:pgMar w:left="272" w:top="517" w:right="239" w:bottom="1440" w:gutter="0" w:footer="0" w:header="0"/>
        </w:sectPr>
      </w:pPr>
    </w:p>
    <w:bookmarkStart w:id="11" w:name="page12"/>
    <w:bookmarkEnd w:id="11"/>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840" w:type="dxa"/>
            <w:vAlign w:val="bottom"/>
            <w:gridSpan w:val="2"/>
          </w:tcPr>
          <w:p>
            <w:pPr>
              <w:jc w:val="right"/>
              <w:ind w:right="180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3rd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2nd Qtr.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Feb.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Micron</w:t>
            </w:r>
          </w:p>
        </w:tc>
        <w:tc>
          <w:tcPr>
            <w:tcW w:w="4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 adjustments: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Flow-through of MMJ inventory step up</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Restructure and asset impairments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other costs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Loss on restructure of debt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gain on acquisition of MMJ</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(Gain) loss from changes in currency exchange rates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Estimated tax effects of above items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Non-cash taxes from MMJ purchase accounting</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non-GAAP adjustments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 net income attributable to Micron</w:t>
            </w:r>
          </w:p>
        </w:tc>
        <w:tc>
          <w:tcPr>
            <w:tcW w:w="4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Effect of capped calls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w:t>
            </w:r>
          </w:p>
        </w:tc>
        <w:tc>
          <w:tcPr>
            <w:tcW w:w="4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w:t>
            </w:r>
          </w:p>
        </w:tc>
        <w:tc>
          <w:tcPr>
            <w:tcW w:w="4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Effects of above</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w:t>
            </w:r>
          </w:p>
        </w:tc>
        <w:tc>
          <w:tcPr>
            <w:tcW w:w="4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20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97" w:lineRule="exact"/>
        <w:rPr>
          <w:sz w:val="20"/>
          <w:szCs w:val="20"/>
          <w:color w:val="auto"/>
        </w:rPr>
      </w:pPr>
    </w:p>
    <w:p>
      <w:pPr>
        <w:ind w:left="480" w:hanging="134"/>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Flow-through of inventory step up values recorded in connection with the company’s acquisition of MMJ;</w:t>
      </w:r>
    </w:p>
    <w:p>
      <w:pPr>
        <w:spacing w:after="0" w:line="23"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ind w:left="660" w:hanging="139"/>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gain on acquisition of MMJ;</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taxes resulting from utilization of deferred tax assets recorded in connection with the company’s acquisition of MMJ.</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2019-12-05T19:40:08Z</dcterms:created>
  <dcterms:modified xsi:type="dcterms:W3CDTF">2019-12-05T19:40:08Z</dcterms:modified>
</cp:coreProperties>
</file>