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Haynesworth Linnie M</w:t>
              </w:r>
            </w:hyperlink>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66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tcBorders>
              <w:top w:val="single" w:sz="8" w:color="EEEEEE"/>
            </w:tcBorders>
            <w:vMerge w:val="restart"/>
          </w:tcPr>
          <w:p>
            <w:pPr>
              <w:ind w:left="2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29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10/13/2022</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10/13/2022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4,739</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10,047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Director Restricted Stock Awards vest at 100% on one-year anniversary date of award. Shares will be delivered to the reporting person either upon vesting, or if reporting person elected to defer receipt, following cessation as a Director.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10/17/2022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919" w:firstLine="624"/>
        <w:spacing w:after="0" w:line="269" w:lineRule="auto"/>
        <w:rPr>
          <w:sz w:val="20"/>
          <w:szCs w:val="20"/>
          <w:color w:val="auto"/>
        </w:rPr>
      </w:pPr>
      <w:r>
        <w:rPr>
          <w:rFonts w:ascii="Courier New" w:cs="Courier New" w:eastAsia="Courier New" w:hAnsi="Courier New"/>
          <w:sz w:val="17"/>
          <w:szCs w:val="17"/>
          <w:color w:val="auto"/>
        </w:rPr>
        <w:t>The undersigned, as a Section 16 reporting person of Micron Technology, Inc. (the "Company"), hereby constitutes and appoints Company employees April Arnzen, Senior Vice President and Chief People Officer; Athar Siddiqee, VP, Global Rewards; Matthew Hendley, Senior Manager, Global Stock; Rob Beard, VP, Legal - Global Ops and Corp; and Mai Lan Bui, Stock Plan Manager, and each of them, the undersigned's true and lawful attorney-in-fact to:</w:t>
      </w:r>
    </w:p>
    <w:p>
      <w:pPr>
        <w:spacing w:after="0" w:line="88" w:lineRule="exact"/>
        <w:rPr>
          <w:sz w:val="20"/>
          <w:szCs w:val="20"/>
          <w:color w:val="auto"/>
        </w:rPr>
      </w:pPr>
    </w:p>
    <w:p>
      <w:pPr>
        <w:ind w:right="313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Forms 3, 4 and 5 and other forms, and all amendments thereto, as such attorney-in-fact shall in</w:t>
      </w:r>
    </w:p>
    <w:p>
      <w:pPr>
        <w:ind w:right="3959"/>
        <w:spacing w:after="0" w:line="26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300" w:lineRule="exact"/>
        <w:rPr>
          <w:rFonts w:ascii="Courier New" w:cs="Courier New" w:eastAsia="Courier New" w:hAnsi="Courier New"/>
          <w:sz w:val="17"/>
          <w:szCs w:val="17"/>
          <w:color w:val="auto"/>
        </w:rPr>
      </w:pPr>
    </w:p>
    <w:p>
      <w:pPr>
        <w:ind w:right="313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with the Securities and Exchange Commission, any securities</w:t>
      </w:r>
    </w:p>
    <w:p>
      <w:pPr>
        <w:ind w:right="405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or national association, the Company and such other person or agency as the attorney-in-fact shall deem appropriate to comply with applicable law.</w:t>
      </w:r>
    </w:p>
    <w:p>
      <w:pPr>
        <w:spacing w:after="0" w:line="67"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2919" w:firstLine="624"/>
        <w:spacing w:after="0" w:line="28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w:t>
      </w:r>
    </w:p>
    <w:p>
      <w:pPr>
        <w:spacing w:after="0" w:line="76" w:lineRule="exact"/>
        <w:rPr>
          <w:sz w:val="20"/>
          <w:szCs w:val="20"/>
          <w:color w:val="auto"/>
        </w:rPr>
      </w:pPr>
    </w:p>
    <w:p>
      <w:pPr>
        <w:ind w:right="3139" w:firstLine="624"/>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15th of February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Signature:/s/ Linnie Haynesworth</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Linnie Haynesworth</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90292"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2022-10-17T08:07:47Z</dcterms:created>
  <dcterms:modified xsi:type="dcterms:W3CDTF">2022-10-17T08:07:47Z</dcterms:modified>
</cp:coreProperties>
</file>