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firstLine="324"/>
        <w:spacing w:after="0" w:line="271" w:lineRule="auto"/>
        <w:rPr>
          <w:sz w:val="20"/>
          <w:szCs w:val="20"/>
          <w:color w:val="auto"/>
        </w:rPr>
      </w:pPr>
      <w:r>
        <w:rPr>
          <w:rFonts w:ascii="Arial" w:cs="Arial" w:eastAsia="Arial" w:hAnsi="Arial"/>
          <w:sz w:val="17"/>
          <w:szCs w:val="17"/>
          <w:color w:val="auto"/>
        </w:rPr>
        <w:t>Micron Technology, Inc. (“Micron”) previously reported that (1) Micron Technology B.V. (“Micron BV”), a wholly-owned subsidiary of Micron, Micron Semiconductor Taiwan Co. Ltd., a wholly-owned subsidiary of Micron BV (“Buyer”), and Inotera Memories, Inc. (“Inotera”) had entered into a Share Swap Agreement, dated February 3, 2016 (the “Share Swap Agreement”), pursuant to which Buyer will implement a 100% share swap pursuant to Article 29 of the Republic of China Mergers and Acquisitions Act and thereby acquire 100% of the issued and outstanding shares of Inotera (such transaction, the “Share Swap”); and (2) Micron and Nanya Technology Corporation (“Nanya”) entered into a Share Purchase Agreement, dated December 14, 2015 (as amended, the “Share Purchase Agreement”), pursuant to which Micron can require, subject to certain conditions, Nanya to purchase from Micron shares of Micron’s common stock in an amount that will result in proceeds to Micron of up to NT$31.5 billion (approximately $1 billion), with such proceeds being used to fund a portion of the consideration payable in the Share Swap.</w:t>
      </w:r>
    </w:p>
    <w:p>
      <w:pPr>
        <w:spacing w:after="0" w:line="1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Inotera is a Taiwan-based company that presently manufactures DRAM products and sells such products exclusively to Micron. Micron, indirectly through two of its wholly-owned subsidiaries, holds 33% of the issued and outstanding Inotera shares, Nanya and certain of its affiliates together hold 32% of the issued and outstanding Inotera shares, and the remaining issued and outstanding Inotera shares are publicly held.</w:t>
      </w:r>
    </w:p>
    <w:p>
      <w:pPr>
        <w:spacing w:after="0" w:line="324"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8.01 below related to the Share Purchase Agreement is hereby incorporated by reference.</w:t>
      </w:r>
    </w:p>
    <w:p>
      <w:pPr>
        <w:spacing w:after="0" w:line="38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November 8, 2016, pursuant to the terms of the Share Purchase Agreement, Micron provided written notice to Nanya of its election to issue to Nanya 57,780,138 shares of Micron’s common stock for an aggregate purchase price of NT$31,457,097,237 (approximately $1 billion) (the “Shares”). The Shares are expected to be issued on December 2, 2016 (such issuance date, the “Closing Date”). Pursuant to the Share Purchase Agreement, the per share purchase price of NT$544.42752 (approximately $17.29) was calculated based on the average of the closing sale price of one share of Micron common stock during the 30 consecutive trading day period ending on and including the 30th calendar day prior to the Share Swap. The Share Swap is expected to occur on December 6, 2016.</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Micron’s offer and sale of the Shares pursuant to the Share Purchase Agreement will be conducted as a private placement pursuant to an exemption from registration provided by Section 4(a)(2) of the Securities Act of 1933, as amended.</w:t>
      </w:r>
    </w:p>
    <w:p>
      <w:pPr>
        <w:spacing w:after="0" w:line="3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This Current Report on Form 8-K contains "forward-looking statements" as defined in the Private Securities Litigation Reform Act of 1995 regarding the issue date of the Shares and the effective date of the Share Swap. Actual events or results could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its forward-looking statements (see Risk Factors). The forward-looking statements are based on information available to Micron as of the date hereof and are based on management's current views and assumptions and should not be relied upon as representing Micron's views as of any subsequent date. Although Micron believes that the expectations reflected in the forward-looking statements are reasonable, it cannot guarantee future results, levels of activity, performance or achievements. Micron does not undertake any obligation to release publicly any revisions to these forward-looking statements to reflect events or circumstances after the date hereof or to reflect the occurrence of unanticipated events, unless the securities laws require Micron to do so.</w:t>
      </w:r>
    </w:p>
    <w:p>
      <w:pPr>
        <w:sectPr>
          <w:pgSz w:w="11900" w:h="16838" w:orient="portrait"/>
          <w:cols w:equalWidth="0" w:num="1">
            <w:col w:w="11380"/>
          </w:cols>
          <w:pgMar w:left="240" w:top="584" w:right="27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92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80"/>
              <w:spacing w:after="0"/>
              <w:rPr>
                <w:sz w:val="20"/>
                <w:szCs w:val="20"/>
                <w:color w:val="auto"/>
              </w:rPr>
            </w:pPr>
            <w:r>
              <w:rPr>
                <w:rFonts w:ascii="Arial" w:cs="Arial" w:eastAsia="Arial" w:hAnsi="Arial"/>
                <w:sz w:val="18"/>
                <w:szCs w:val="18"/>
                <w:color w:val="auto"/>
              </w:rPr>
              <w:t>November 9, 2016</w:t>
            </w:r>
          </w:p>
        </w:tc>
        <w:tc>
          <w:tcPr>
            <w:tcW w:w="2600" w:type="dxa"/>
            <w:vAlign w:val="bottom"/>
          </w:tcPr>
          <w:p>
            <w:pPr>
              <w:ind w:left="172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00" w:type="dxa"/>
            <w:vAlign w:val="bottom"/>
            <w:vMerge w:val="restart"/>
          </w:tcPr>
          <w:p>
            <w:pPr>
              <w:ind w:left="172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0" w:type="dxa"/>
            <w:vAlign w:val="bottom"/>
          </w:tcPr>
          <w:p>
            <w:pPr>
              <w:ind w:left="172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60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2019-12-05T16:23:18Z</dcterms:created>
  <dcterms:modified xsi:type="dcterms:W3CDTF">2019-12-05T16:23:18Z</dcterms:modified>
</cp:coreProperties>
</file>