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27,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12"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On April 27, 2015, Micron Technology, Inc., a Delaware corporation (“Micron” or the “Company”), entered into a purchase agreement (the “Purchase Agreement”) with Morgan Stanley &amp; Co. LLC, Goldman, Sachs &amp; Co. and Credit Suisse Securities (USA) LLC, as representatives (the “Representatives”) of the several initial purchasers named therein (collectively, the “Initial Purchasers”), to issue and sell $550 million aggregate principal amount of 5.250% Senior Notes due 2024 (the “2024 Notes”) and $450 million aggregate principal amount of 5.625% Senior Notes due 2026 (the “2026 Notes” and together with the 2024 Notes, the “Notes”) in the United States to qualified institutional buyers pursuant to Rule 144A under the Securities Act of 1933, as amended (the “Securities Act”), and outside the United States to non-U.S. persons pursuant to Regulation S under the Securities Act. The Company intends to use the net proceeds from this offering to repay, repurchase or make other payments with respect to the extinguishment of its debt, including its convertible notes, and for general corporate purposes. The Purchase Agreement contains customary representations, warranties and covenants by the Company together with customary closing conditions. Under the terms of the Purchase Agreement, the Company has agreed to indemnify the Initial Purchasers against certain liabilities. The Purchase Agreement is filed as Exhibit 10.1 to this Current Report on Form 8-K and is incorporated by reference herein. The summary of the foregoing transaction is qualified in its entirety by reference to the text of the Purchase Agreement.</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Indentures</w:t>
      </w:r>
    </w:p>
    <w:p>
      <w:pPr>
        <w:spacing w:after="0" w:line="212"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The 2024 Notes are governed by an indenture (the “2024 Indenture”), dated as of April 30, 2015, by and between Micron and U.S. Bank National Association, as trustee (the “Trustee”). The 2026 Notes are governed by an indenture (the “2026 Indenture” and together with the 2024 Indenture, the “Indentures”), dated as of April 30, 2015, by and between Micron and the Trustee. The 2024 Notes mature on January 15, 2024, and interest on the 2024 Notes accrues at a rate of 5.250% per annum, payable in cash semi-annually on January 15 and July 15 of each year, commencing on July 15, 2015. The 2026 Notes mature on January 15, 2026, and interest on the 2026 Notes accrues at a rate of 5.625% per annum, payable in cash semi-annually on January 15 and July 15 of each year, commencing on July 15, 2015.</w:t>
      </w:r>
    </w:p>
    <w:p>
      <w:pPr>
        <w:spacing w:after="0" w:line="180"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Prior to May 1, 2018, in the case of the 2024 Notes, and prior to May 1, 2020, in the case of the 2026 Notes, Micron may redeem the Notes of such series, in whole or in part, at a price equal to 100% of the principal amount thereof, plus a “make-whole” premium and accrued and unpaid interest, if any. On or after May 1, 2018, in the case of the 2024 Notes, and on or after May 1, 2020, in the case of the 2026 Notes, Micron may redeem the Notes of such series, in whole or in part, at specified prices that decline over time, plus accrued and unpaid interest, if any. In addition, Micron may use the net cash proceeds of one or more</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60"/>
        <w:spacing w:after="0" w:line="342" w:lineRule="auto"/>
        <w:rPr>
          <w:sz w:val="20"/>
          <w:szCs w:val="20"/>
          <w:color w:val="auto"/>
        </w:rPr>
      </w:pPr>
      <w:r>
        <w:rPr>
          <w:rFonts w:ascii="Arial" w:cs="Arial" w:eastAsia="Arial" w:hAnsi="Arial"/>
          <w:sz w:val="16"/>
          <w:szCs w:val="16"/>
          <w:color w:val="auto"/>
        </w:rPr>
        <w:t>equity offerings to redeem up to 35% of the aggregate principal amount of the 2024 Notes and up to 35% of the aggregate principal amount of the 2026 Notes prior to May 1, 2018 at a price equal to 105.250% and 105.625%, respectively, of the principal amount thereof plus accrued and unpaid interest, if any.</w:t>
      </w:r>
    </w:p>
    <w:p>
      <w:pPr>
        <w:spacing w:after="0" w:line="1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of each series at a price equal to 101% of the principal amount of the Notes repurchased, plus accrued and unpaid interest, if any.</w:t>
      </w:r>
    </w:p>
    <w:p>
      <w:pPr>
        <w:spacing w:after="0" w:line="1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Indenture contains covenants that, among other things, restricts the ability of Micron and/or its domestic restricted subsidiaries (which are generally domestic subsidiaries in which Micron owns at least 80% of the voting stock) to:</w:t>
      </w:r>
    </w:p>
    <w:p>
      <w:pPr>
        <w:spacing w:after="0" w:line="157"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or incur certain liens and enter into sale and lease-back transactions;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assume, incur or guarantee additional indebtedness;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its assets, to another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are subject to a number of limitations and exceptions set forth in each Indenture.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Indenture for each series of Notes:</w:t>
      </w:r>
    </w:p>
    <w:p>
      <w:pPr>
        <w:spacing w:after="0" w:line="212"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principal or premium, if any, on any Note of such series when due at maturity, upon redemption or otherwise;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including any additional interest, on any of the Notes of such series for 30 days after the date when due;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specified change of control triggering events, which failure continues for a period of 30 days;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328"/>
        <w:spacing w:after="0" w:line="256"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by Micron or any of its subsidiaries to comply with any other agreement under the applicable Indenture for a period of 90 days after receiving notice of such failure from the Trustee or holders of at least 25% in aggregate principal amount of the then outstanding Notes of such series as required by such Indenture; and</w:t>
      </w:r>
    </w:p>
    <w:p>
      <w:pPr>
        <w:ind w:left="660" w:right="160" w:hanging="328"/>
        <w:spacing w:after="0" w:line="270"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with respect to Micron or any of its significant subsidiaries (as defined in each Indenture) which specified events shall not include (i) certain events under the laws of jurisdictions other than the laws of the jurisdiction of such person’s incorporation or organization or the jurisdiction of its head office or jurisdictions in which all or substantially all of such person’s assets are located, and (ii) specified events with respect to any such person as a result of bankruptcy, insolvency or reorganization proceedings that were ongoing or in process at the time such person became a subsidiary or any related proceedings (including alternate proceedings) or other such proceedings that are in the nature of either a continuation or extension thereof.</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 event of default described in the last bullet point above occurs and is continuing with respect to Micron, then the entire principal amount plus accrued and unpaid interest of the outstanding Notes of such series will automatically become due and immediately payable without any further action or notice. If any other event of default under the applicable Indenture occurs and is continuing, then either the Trustee or holders of at least 25% in aggregate principal amount of the then outstanding Notes of such series may declare the entire principal amount plus accrued and unpaid interest of the outstanding Notes of such series due and immediately payable.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description of the Notes and the Indentures contained in this Current Report on Form 8-K is qualified in its entirety by reference to the complete text of the 2024 Indenture, the 2026 Indenture and the form of note included in the applicable Indenture, copies of which are filed as Exhibit 4.1, Exhibit 4.2, Exhibit 4.3 and Exhibit 4.4, respectively,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27, 2015, Micron issued a press release with respect to the pricing of its offer and sale of senior notes due 2024 and senior notes due 2026. A copy of this press release is filed as Exhibit 99.1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6"/>
                <w:szCs w:val="16"/>
                <w:color w:val="auto"/>
              </w:rPr>
            </w:pPr>
          </w:p>
        </w:tc>
        <w:tc>
          <w:tcPr>
            <w:tcW w:w="10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Indenture, dated as of April 30, 2015, by and between Micron Technology, Inc. and U.S. Bank National Association, as Trustee.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w w:val="99"/>
              </w:rPr>
              <w:t>Indenture, dated as of April 30, 2015, by and between Micron Technology, Inc. and U.S. Bank National Association, as Trustee.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rPr>
              <w:t>Form of Note (included in Exhibit 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w w:val="96"/>
              </w:rPr>
              <w:t>Purchase Agreement, dated as of April 27, 2015, by and among Micron Technology, Inc. and Morgan Stanley &amp; Co. LLC, Goldman,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rPr>
              <w:t>Sachs &amp; Co. and Credit Suisse Securities (USA) LLC, as representatives of the initial purchasers.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10320" w:type="dxa"/>
            <w:vAlign w:val="bottom"/>
            <w:gridSpan w:val="2"/>
          </w:tcPr>
          <w:p>
            <w:pPr>
              <w:ind w:left="240"/>
              <w:spacing w:after="0"/>
              <w:rPr>
                <w:sz w:val="20"/>
                <w:szCs w:val="20"/>
                <w:color w:val="auto"/>
              </w:rPr>
            </w:pPr>
            <w:r>
              <w:rPr>
                <w:rFonts w:ascii="Arial" w:cs="Arial" w:eastAsia="Arial" w:hAnsi="Arial"/>
                <w:sz w:val="18"/>
                <w:szCs w:val="18"/>
                <w:color w:val="auto"/>
              </w:rPr>
              <w:t>Press Release of Micron Technology, Inc., dated April 27, 2015, announcing pricing of senior notes offering.</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32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60"/>
          </w:cols>
          <w:pgMar w:left="240" w:top="125" w:right="199" w:bottom="23" w:gutter="0" w:footer="0" w:header="0"/>
        </w:sectPr>
      </w:pPr>
    </w:p>
    <w:bookmarkStart w:id="2" w:name="page3"/>
    <w:bookmarkEnd w:id="2"/>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April 30, 2015</w:t>
            </w:r>
          </w:p>
        </w:tc>
        <w:tc>
          <w:tcPr>
            <w:tcW w:w="2980" w:type="dxa"/>
            <w:vAlign w:val="bottom"/>
          </w:tcPr>
          <w:p>
            <w:pPr>
              <w:ind w:left="21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W. Adams</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98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Mark W. Adams</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980" w:type="dxa"/>
            <w:vAlign w:val="bottom"/>
          </w:tcPr>
          <w:p>
            <w:pPr>
              <w:ind w:left="21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60" w:type="dxa"/>
            <w:vAlign w:val="bottom"/>
          </w:tcPr>
          <w:p>
            <w:pPr>
              <w:jc w:val="center"/>
              <w:ind w:right="1272"/>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tcPr>
          <w:p>
            <w:pPr>
              <w:jc w:val="center"/>
              <w:ind w:right="1272"/>
              <w:spacing w:after="0"/>
              <w:rPr>
                <w:sz w:val="20"/>
                <w:szCs w:val="20"/>
                <w:color w:val="auto"/>
              </w:rPr>
            </w:pPr>
            <w:r>
              <w:rPr>
                <w:rFonts w:ascii="Arial" w:cs="Arial" w:eastAsia="Arial" w:hAnsi="Arial"/>
                <w:sz w:val="18"/>
                <w:szCs w:val="18"/>
                <w:b w:val="1"/>
                <w:bCs w:val="1"/>
                <w:color w:val="auto"/>
              </w:rPr>
              <w:t>THE CURRENT REPORT ON FORM 8-K</w:t>
            </w:r>
          </w:p>
        </w:tc>
        <w:tc>
          <w:tcPr>
            <w:tcW w:w="40" w:type="dxa"/>
            <w:vAlign w:val="bottom"/>
          </w:tcPr>
          <w:p>
            <w:pPr>
              <w:spacing w:after="0"/>
              <w:rPr>
                <w:sz w:val="20"/>
                <w:szCs w:val="20"/>
                <w:color w:val="auto"/>
              </w:rPr>
            </w:pPr>
          </w:p>
        </w:tc>
      </w:tr>
      <w:tr>
        <w:trPr>
          <w:trHeight w:val="365"/>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16"/>
                <w:szCs w:val="16"/>
                <w:color w:val="auto"/>
              </w:rPr>
            </w:pPr>
          </w:p>
        </w:tc>
        <w:tc>
          <w:tcPr>
            <w:tcW w:w="10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Indenture, dated as of April 30, 2015, by and between Micron Technology, Inc. and U.S. Bank National Association, as Trustee.</w:t>
            </w:r>
          </w:p>
        </w:tc>
        <w:tc>
          <w:tcPr>
            <w:tcW w:w="40" w:type="dxa"/>
            <w:vAlign w:val="bottom"/>
          </w:tcPr>
          <w:p>
            <w:pPr>
              <w:spacing w:after="0"/>
              <w:rPr>
                <w:sz w:val="16"/>
                <w:szCs w:val="16"/>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9"/>
              </w:rPr>
              <w:t>Indenture, dated as of April 30, 2015, by and between Micron Technology, Inc. and U.S. Bank National Association, as Trustee.</w:t>
            </w:r>
          </w:p>
        </w:tc>
        <w:tc>
          <w:tcPr>
            <w:tcW w:w="40" w:type="dxa"/>
            <w:vAlign w:val="bottom"/>
          </w:tcPr>
          <w:p>
            <w:pPr>
              <w:spacing w:after="0"/>
              <w:rPr>
                <w:sz w:val="18"/>
                <w:szCs w:val="18"/>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26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18"/>
                <w:szCs w:val="18"/>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26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of Note (included in Exhibit 4.2).</w:t>
            </w:r>
          </w:p>
        </w:tc>
        <w:tc>
          <w:tcPr>
            <w:tcW w:w="40" w:type="dxa"/>
            <w:vAlign w:val="bottom"/>
          </w:tcPr>
          <w:p>
            <w:pPr>
              <w:spacing w:after="0"/>
              <w:rPr>
                <w:sz w:val="18"/>
                <w:szCs w:val="18"/>
                <w:color w:val="auto"/>
              </w:rPr>
            </w:pPr>
          </w:p>
        </w:tc>
      </w:tr>
      <w:tr>
        <w:trPr>
          <w:trHeight w:val="216"/>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Purchase Agreement, dated as of April 27, 2015, by and among Micron Technology, Inc. and Morgan Stanley &amp; Co. LLC, Goldman,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Sachs &amp; Co. and Credit Suisse Securities (USA) LLC, as representatives of the initial purchasers.</w:t>
            </w:r>
          </w:p>
        </w:tc>
        <w:tc>
          <w:tcPr>
            <w:tcW w:w="40" w:type="dxa"/>
            <w:vAlign w:val="bottom"/>
          </w:tcPr>
          <w:p>
            <w:pPr>
              <w:spacing w:after="0"/>
              <w:rPr>
                <w:sz w:val="18"/>
                <w:szCs w:val="18"/>
                <w:color w:val="auto"/>
              </w:rPr>
            </w:pPr>
          </w:p>
        </w:tc>
      </w:tr>
      <w:tr>
        <w:trPr>
          <w:trHeight w:val="230"/>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26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Micron Technology, Inc., dated April 27, 2015, announcing pricing of senior notes offering.</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60" w:type="dxa"/>
            <w:vAlign w:val="bottom"/>
          </w:tcPr>
          <w:p>
            <w:pPr>
              <w:jc w:val="center"/>
              <w:ind w:right="1272"/>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30,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9240" w:type="dxa"/>
            <w:vAlign w:val="bottom"/>
            <w:gridSpan w:val="34"/>
          </w:tcPr>
          <w:p>
            <w:pPr>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Other Definitions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1.03</w:t>
            </w:r>
          </w:p>
        </w:tc>
        <w:tc>
          <w:tcPr>
            <w:tcW w:w="15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0"/>
              </w:rPr>
              <w:t>Rules of Construction</w:t>
            </w:r>
          </w:p>
        </w:tc>
        <w:tc>
          <w:tcPr>
            <w:tcW w:w="766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1.04</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Incorporation by Reference of Trust Indenture Act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1.05</w:t>
            </w:r>
          </w:p>
        </w:tc>
        <w:tc>
          <w:tcPr>
            <w:tcW w:w="11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Acts of Holders</w:t>
            </w:r>
          </w:p>
        </w:tc>
        <w:tc>
          <w:tcPr>
            <w:tcW w:w="2480" w:type="dxa"/>
            <w:vAlign w:val="bottom"/>
            <w:tcBorders>
              <w:top w:val="single" w:sz="8" w:color="auto"/>
            </w:tcBorders>
            <w:gridSpan w:val="26"/>
          </w:tcPr>
          <w:p>
            <w:pPr>
              <w:spacing w:after="0"/>
              <w:rPr>
                <w:sz w:val="17"/>
                <w:szCs w:val="17"/>
                <w:color w:val="auto"/>
              </w:rPr>
            </w:pPr>
          </w:p>
        </w:tc>
        <w:tc>
          <w:tcPr>
            <w:tcW w:w="56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2 THE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9240" w:type="dxa"/>
            <w:vAlign w:val="bottom"/>
            <w:gridSpan w:val="34"/>
          </w:tcPr>
          <w:p>
            <w:pPr>
              <w:spacing w:after="0"/>
              <w:rPr>
                <w:sz w:val="20"/>
                <w:szCs w:val="20"/>
                <w:color w:val="auto"/>
              </w:rPr>
            </w:pPr>
            <w:r>
              <w:rPr>
                <w:rFonts w:ascii="Arial" w:cs="Arial" w:eastAsia="Arial" w:hAnsi="Arial"/>
                <w:sz w:val="18"/>
                <w:szCs w:val="18"/>
                <w:color w:val="auto"/>
              </w:rPr>
              <w:t>Form and Dating; Terms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Execution and Authentication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2.03</w:t>
            </w:r>
          </w:p>
        </w:tc>
        <w:tc>
          <w:tcPr>
            <w:tcW w:w="200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9"/>
              </w:rPr>
              <w:t>Registrar and Paying Agent</w:t>
            </w:r>
          </w:p>
        </w:tc>
        <w:tc>
          <w:tcPr>
            <w:tcW w:w="140" w:type="dxa"/>
            <w:vAlign w:val="bottom"/>
            <w:tcBorders>
              <w:top w:val="single" w:sz="8" w:color="auto"/>
            </w:tcBorders>
          </w:tcPr>
          <w:p>
            <w:pPr>
              <w:spacing w:after="0"/>
              <w:rPr>
                <w:sz w:val="17"/>
                <w:szCs w:val="17"/>
                <w:color w:val="auto"/>
              </w:rPr>
            </w:pPr>
          </w:p>
        </w:tc>
        <w:tc>
          <w:tcPr>
            <w:tcW w:w="71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2.04</w:t>
            </w:r>
          </w:p>
        </w:tc>
        <w:tc>
          <w:tcPr>
            <w:tcW w:w="27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2"/>
              </w:rPr>
              <w:t>Paying Agent to Hold Money in Trust</w:t>
            </w:r>
          </w:p>
        </w:tc>
        <w:tc>
          <w:tcPr>
            <w:tcW w:w="650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2.05</w:t>
            </w: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Holder Lists</w:t>
            </w:r>
          </w:p>
        </w:tc>
        <w:tc>
          <w:tcPr>
            <w:tcW w:w="834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2.06</w:t>
            </w:r>
          </w:p>
        </w:tc>
        <w:tc>
          <w:tcPr>
            <w:tcW w:w="16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Transfer and Exchange</w:t>
            </w:r>
          </w:p>
        </w:tc>
        <w:tc>
          <w:tcPr>
            <w:tcW w:w="75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2.07</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Replacement Notes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2.08</w:t>
            </w:r>
          </w:p>
        </w:tc>
        <w:tc>
          <w:tcPr>
            <w:tcW w:w="14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Outstanding Notes</w:t>
            </w:r>
          </w:p>
        </w:tc>
        <w:tc>
          <w:tcPr>
            <w:tcW w:w="784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2.09</w:t>
            </w:r>
          </w:p>
        </w:tc>
        <w:tc>
          <w:tcPr>
            <w:tcW w:w="1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7"/>
              </w:rPr>
              <w:t>Treasury Notes</w:t>
            </w:r>
          </w:p>
        </w:tc>
        <w:tc>
          <w:tcPr>
            <w:tcW w:w="240" w:type="dxa"/>
            <w:vAlign w:val="bottom"/>
            <w:tcBorders>
              <w:top w:val="single" w:sz="8" w:color="auto"/>
            </w:tcBorders>
            <w:gridSpan w:val="4"/>
          </w:tcPr>
          <w:p>
            <w:pPr>
              <w:spacing w:after="0"/>
              <w:rPr>
                <w:sz w:val="17"/>
                <w:szCs w:val="17"/>
                <w:color w:val="auto"/>
              </w:rPr>
            </w:pPr>
          </w:p>
        </w:tc>
        <w:tc>
          <w:tcPr>
            <w:tcW w:w="790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2.10</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Temporary Notes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2.11</w:t>
            </w:r>
          </w:p>
        </w:tc>
        <w:tc>
          <w:tcPr>
            <w:tcW w:w="12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Cancellation</w:t>
            </w:r>
          </w:p>
        </w:tc>
        <w:tc>
          <w:tcPr>
            <w:tcW w:w="798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2.12</w:t>
            </w:r>
          </w:p>
        </w:tc>
        <w:tc>
          <w:tcPr>
            <w:tcW w:w="13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Defaulted Interest</w:t>
            </w:r>
          </w:p>
        </w:tc>
        <w:tc>
          <w:tcPr>
            <w:tcW w:w="79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2.13</w:t>
            </w:r>
          </w:p>
        </w:tc>
        <w:tc>
          <w:tcPr>
            <w:tcW w:w="192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CUSIP and ISIN Numbers</w:t>
            </w:r>
          </w:p>
        </w:tc>
        <w:tc>
          <w:tcPr>
            <w:tcW w:w="732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3 REDEMPTION</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9240" w:type="dxa"/>
            <w:vAlign w:val="bottom"/>
            <w:gridSpan w:val="34"/>
          </w:tcPr>
          <w:p>
            <w:pPr>
              <w:spacing w:after="0"/>
              <w:rPr>
                <w:sz w:val="20"/>
                <w:szCs w:val="20"/>
                <w:color w:val="auto"/>
              </w:rPr>
            </w:pPr>
            <w:r>
              <w:rPr>
                <w:rFonts w:ascii="Arial" w:cs="Arial" w:eastAsia="Arial" w:hAnsi="Arial"/>
                <w:sz w:val="18"/>
                <w:szCs w:val="18"/>
                <w:color w:val="auto"/>
              </w:rPr>
              <w:t>Notices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3.02</w:t>
            </w:r>
          </w:p>
        </w:tc>
        <w:tc>
          <w:tcPr>
            <w:tcW w:w="354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88"/>
              </w:rPr>
              <w:t>Selection of Notes to Be Redeemed or Purchased</w:t>
            </w:r>
          </w:p>
        </w:tc>
        <w:tc>
          <w:tcPr>
            <w:tcW w:w="57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3.03</w:t>
            </w:r>
          </w:p>
        </w:tc>
        <w:tc>
          <w:tcPr>
            <w:tcW w:w="16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Notice of Redemption</w:t>
            </w:r>
          </w:p>
        </w:tc>
        <w:tc>
          <w:tcPr>
            <w:tcW w:w="764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3.04</w:t>
            </w:r>
          </w:p>
        </w:tc>
        <w:tc>
          <w:tcPr>
            <w:tcW w:w="228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Effect of Notice of Redemption</w:t>
            </w:r>
          </w:p>
        </w:tc>
        <w:tc>
          <w:tcPr>
            <w:tcW w:w="696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3.05</w:t>
            </w:r>
          </w:p>
        </w:tc>
        <w:tc>
          <w:tcPr>
            <w:tcW w:w="298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89"/>
              </w:rPr>
              <w:t>Deposit of Redemption or Purchase Price</w:t>
            </w:r>
          </w:p>
        </w:tc>
        <w:tc>
          <w:tcPr>
            <w:tcW w:w="626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3.06</w:t>
            </w:r>
          </w:p>
        </w:tc>
        <w:tc>
          <w:tcPr>
            <w:tcW w:w="27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7"/>
              </w:rPr>
              <w:t>Notes Redeemed or Purchased in Part</w:t>
            </w:r>
          </w:p>
        </w:tc>
        <w:tc>
          <w:tcPr>
            <w:tcW w:w="652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3.07</w:t>
            </w:r>
          </w:p>
        </w:tc>
        <w:tc>
          <w:tcPr>
            <w:tcW w:w="15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Optional Redemption</w:t>
            </w:r>
          </w:p>
        </w:tc>
        <w:tc>
          <w:tcPr>
            <w:tcW w:w="768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3.08</w:t>
            </w: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Sinking Fund</w:t>
            </w:r>
          </w:p>
        </w:tc>
        <w:tc>
          <w:tcPr>
            <w:tcW w:w="8260" w:type="dxa"/>
            <w:vAlign w:val="bottom"/>
            <w:gridSpan w:val="3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4 COVENANTS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4.01</w:t>
            </w:r>
          </w:p>
        </w:tc>
        <w:tc>
          <w:tcPr>
            <w:tcW w:w="286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w w:val="92"/>
              </w:rPr>
              <w:t>Payment of Notes; Additional Amounts</w:t>
            </w:r>
          </w:p>
        </w:tc>
        <w:tc>
          <w:tcPr>
            <w:tcW w:w="638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Maintenance of Office or Agency</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gridSpan w:val="10"/>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4.03</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Provision of Financial Information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4.04</w:t>
            </w:r>
          </w:p>
        </w:tc>
        <w:tc>
          <w:tcPr>
            <w:tcW w:w="250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Compliance Certificate</w:t>
            </w:r>
          </w:p>
        </w:tc>
        <w:tc>
          <w:tcPr>
            <w:tcW w:w="67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4.05</w:t>
            </w:r>
          </w:p>
        </w:tc>
        <w:tc>
          <w:tcPr>
            <w:tcW w:w="166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Reserved</w:t>
            </w:r>
          </w:p>
        </w:tc>
        <w:tc>
          <w:tcPr>
            <w:tcW w:w="75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4.06</w:t>
            </w:r>
          </w:p>
        </w:tc>
        <w:tc>
          <w:tcPr>
            <w:tcW w:w="23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9"/>
              </w:rPr>
              <w:t>Stay, Extension and Usury Laws</w:t>
            </w:r>
          </w:p>
        </w:tc>
        <w:tc>
          <w:tcPr>
            <w:tcW w:w="690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4.07</w:t>
            </w:r>
          </w:p>
        </w:tc>
        <w:tc>
          <w:tcPr>
            <w:tcW w:w="22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3"/>
              </w:rPr>
              <w:t>Limitation on Subsidiary Debt</w:t>
            </w:r>
          </w:p>
        </w:tc>
        <w:tc>
          <w:tcPr>
            <w:tcW w:w="704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4.08</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Limitation on Sale and Lease-back Transactions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4.09</w:t>
            </w:r>
          </w:p>
        </w:tc>
        <w:tc>
          <w:tcPr>
            <w:tcW w:w="346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Limitation on Liens</w:t>
            </w:r>
          </w:p>
        </w:tc>
        <w:tc>
          <w:tcPr>
            <w:tcW w:w="57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660" w:type="dxa"/>
            <w:vAlign w:val="bottom"/>
          </w:tcPr>
          <w:p>
            <w:pPr>
              <w:spacing w:after="0" w:line="20" w:lineRule="exact"/>
              <w:rPr>
                <w:sz w:val="1"/>
                <w:szCs w:val="1"/>
                <w:color w:val="auto"/>
              </w:rPr>
            </w:pPr>
          </w:p>
        </w:tc>
        <w:tc>
          <w:tcPr>
            <w:tcW w:w="1420" w:type="dxa"/>
            <w:vAlign w:val="bottom"/>
            <w:gridSpan w:val="11"/>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1"/>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4.10</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Corporate Existence</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660" w:type="dxa"/>
            <w:vAlign w:val="bottom"/>
          </w:tcPr>
          <w:p>
            <w:pPr>
              <w:spacing w:after="0" w:line="20" w:lineRule="exact"/>
              <w:rPr>
                <w:sz w:val="1"/>
                <w:szCs w:val="1"/>
                <w:color w:val="auto"/>
              </w:rPr>
            </w:pPr>
          </w:p>
        </w:tc>
        <w:tc>
          <w:tcPr>
            <w:tcW w:w="1460" w:type="dxa"/>
            <w:vAlign w:val="bottom"/>
            <w:gridSpan w:val="12"/>
            <w:shd w:val="clear" w:color="auto" w:fill="000000"/>
          </w:tcPr>
          <w:p>
            <w:pPr>
              <w:spacing w:after="0" w:line="20" w:lineRule="exact"/>
              <w:rPr>
                <w:sz w:val="1"/>
                <w:szCs w:val="1"/>
                <w:color w:val="auto"/>
              </w:rPr>
            </w:pPr>
          </w:p>
        </w:tc>
        <w:tc>
          <w:tcPr>
            <w:tcW w:w="3100" w:type="dxa"/>
            <w:vAlign w:val="bottom"/>
            <w:gridSpan w:val="21"/>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4.11</w:t>
            </w:r>
          </w:p>
        </w:tc>
        <w:tc>
          <w:tcPr>
            <w:tcW w:w="456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91"/>
              </w:rPr>
              <w:t>Offer to Repurchase Upon Change of Control Triggering Event</w:t>
            </w:r>
          </w:p>
        </w:tc>
        <w:tc>
          <w:tcPr>
            <w:tcW w:w="46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0" w:gutter="0" w:footer="0" w:header="0"/>
        </w:sectPr>
      </w:pPr>
    </w:p>
    <w:bookmarkStart w:id="4" w:name="page5"/>
    <w:bookmarkEnd w:id="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166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9240" w:type="dxa"/>
            <w:vAlign w:val="bottom"/>
            <w:gridSpan w:val="40"/>
          </w:tcPr>
          <w:p>
            <w:pPr>
              <w:spacing w:after="0"/>
              <w:rPr>
                <w:sz w:val="20"/>
                <w:szCs w:val="20"/>
                <w:color w:val="auto"/>
              </w:rPr>
            </w:pPr>
            <w:r>
              <w:rPr>
                <w:rFonts w:ascii="Arial" w:cs="Arial" w:eastAsia="Arial" w:hAnsi="Arial"/>
                <w:sz w:val="18"/>
                <w:szCs w:val="18"/>
                <w:color w:val="auto"/>
              </w:rPr>
              <w:t>Further Instruments and Acts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4.13</w:t>
            </w:r>
          </w:p>
        </w:tc>
        <w:tc>
          <w:tcPr>
            <w:tcW w:w="188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2"/>
              </w:rPr>
              <w:t>Additional Interest Notice</w:t>
            </w:r>
          </w:p>
        </w:tc>
        <w:tc>
          <w:tcPr>
            <w:tcW w:w="220" w:type="dxa"/>
            <w:vAlign w:val="bottom"/>
            <w:tcBorders>
              <w:top w:val="single" w:sz="8" w:color="auto"/>
            </w:tcBorders>
            <w:gridSpan w:val="4"/>
          </w:tcPr>
          <w:p>
            <w:pPr>
              <w:spacing w:after="0"/>
              <w:rPr>
                <w:sz w:val="17"/>
                <w:szCs w:val="17"/>
                <w:color w:val="auto"/>
              </w:rPr>
            </w:pPr>
          </w:p>
        </w:tc>
        <w:tc>
          <w:tcPr>
            <w:tcW w:w="7140" w:type="dxa"/>
            <w:vAlign w:val="bottom"/>
            <w:gridSpan w:val="20"/>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5 SUCCESSORS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5.01</w:t>
            </w:r>
          </w:p>
        </w:tc>
        <w:tc>
          <w:tcPr>
            <w:tcW w:w="5040" w:type="dxa"/>
            <w:vAlign w:val="bottom"/>
            <w:tcBorders>
              <w:bottom w:val="single" w:sz="8" w:color="auto"/>
            </w:tcBorders>
            <w:gridSpan w:val="38"/>
          </w:tcPr>
          <w:p>
            <w:pPr>
              <w:spacing w:after="0"/>
              <w:rPr>
                <w:sz w:val="20"/>
                <w:szCs w:val="20"/>
                <w:color w:val="auto"/>
              </w:rPr>
            </w:pPr>
            <w:r>
              <w:rPr>
                <w:rFonts w:ascii="Arial" w:cs="Arial" w:eastAsia="Arial" w:hAnsi="Arial"/>
                <w:sz w:val="18"/>
                <w:szCs w:val="18"/>
                <w:color w:val="auto"/>
                <w:w w:val="89"/>
              </w:rPr>
              <w:t>Consolidation, Merger and Conveyance, Transfer and Lease of Assets</w:t>
            </w:r>
          </w:p>
        </w:tc>
        <w:tc>
          <w:tcPr>
            <w:tcW w:w="4200" w:type="dxa"/>
            <w:vAlign w:val="bottom"/>
            <w:gridSpan w:val="2"/>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5.02</w:t>
            </w:r>
          </w:p>
        </w:tc>
        <w:tc>
          <w:tcPr>
            <w:tcW w:w="20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8"/>
              </w:rPr>
              <w:t>Successor Entity Substituted</w:t>
            </w:r>
          </w:p>
        </w:tc>
        <w:tc>
          <w:tcPr>
            <w:tcW w:w="7180" w:type="dxa"/>
            <w:vAlign w:val="bottom"/>
            <w:gridSpan w:val="2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6 DEFAULTS AND REMEDIES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6.01</w:t>
            </w:r>
          </w:p>
        </w:tc>
        <w:tc>
          <w:tcPr>
            <w:tcW w:w="9240" w:type="dxa"/>
            <w:vAlign w:val="bottom"/>
            <w:gridSpan w:val="40"/>
          </w:tcPr>
          <w:p>
            <w:pPr>
              <w:spacing w:after="0"/>
              <w:rPr>
                <w:sz w:val="20"/>
                <w:szCs w:val="20"/>
                <w:color w:val="auto"/>
              </w:rPr>
            </w:pPr>
            <w:r>
              <w:rPr>
                <w:rFonts w:ascii="Arial" w:cs="Arial" w:eastAsia="Arial" w:hAnsi="Arial"/>
                <w:sz w:val="18"/>
                <w:szCs w:val="18"/>
                <w:color w:val="auto"/>
              </w:rPr>
              <w:t>Events of Default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6.02</w:t>
            </w:r>
          </w:p>
        </w:tc>
        <w:tc>
          <w:tcPr>
            <w:tcW w:w="9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Acceleration</w:t>
            </w:r>
          </w:p>
        </w:tc>
        <w:tc>
          <w:tcPr>
            <w:tcW w:w="340" w:type="dxa"/>
            <w:vAlign w:val="bottom"/>
            <w:tcBorders>
              <w:top w:val="single" w:sz="8" w:color="auto"/>
            </w:tcBorders>
            <w:gridSpan w:val="4"/>
          </w:tcPr>
          <w:p>
            <w:pPr>
              <w:spacing w:after="0"/>
              <w:rPr>
                <w:sz w:val="17"/>
                <w:szCs w:val="17"/>
                <w:color w:val="auto"/>
              </w:rPr>
            </w:pPr>
          </w:p>
        </w:tc>
        <w:tc>
          <w:tcPr>
            <w:tcW w:w="7980" w:type="dxa"/>
            <w:vAlign w:val="bottom"/>
            <w:gridSpan w:val="3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6.03</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Other Remedies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Waiver of Past Defaults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6.05</w:t>
            </w:r>
          </w:p>
        </w:tc>
        <w:tc>
          <w:tcPr>
            <w:tcW w:w="17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Control by Majority</w:t>
            </w:r>
          </w:p>
        </w:tc>
        <w:tc>
          <w:tcPr>
            <w:tcW w:w="7540" w:type="dxa"/>
            <w:vAlign w:val="bottom"/>
            <w:gridSpan w:val="2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6.06</w:t>
            </w:r>
          </w:p>
        </w:tc>
        <w:tc>
          <w:tcPr>
            <w:tcW w:w="14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6"/>
              </w:rPr>
              <w:t>Limitation on Suits</w:t>
            </w:r>
          </w:p>
        </w:tc>
        <w:tc>
          <w:tcPr>
            <w:tcW w:w="7800" w:type="dxa"/>
            <w:vAlign w:val="bottom"/>
            <w:gridSpan w:val="30"/>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6.07</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Rights of Holders to Receive Payment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6.08</w:t>
            </w:r>
          </w:p>
        </w:tc>
        <w:tc>
          <w:tcPr>
            <w:tcW w:w="276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Collection Suit by Trustee</w:t>
            </w:r>
          </w:p>
        </w:tc>
        <w:tc>
          <w:tcPr>
            <w:tcW w:w="6480" w:type="dxa"/>
            <w:vAlign w:val="bottom"/>
            <w:gridSpan w:val="1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6.09</w:t>
            </w:r>
          </w:p>
        </w:tc>
        <w:tc>
          <w:tcPr>
            <w:tcW w:w="260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89"/>
              </w:rPr>
              <w:t>Restoration of Rights and Remedies</w:t>
            </w:r>
          </w:p>
        </w:tc>
        <w:tc>
          <w:tcPr>
            <w:tcW w:w="6640" w:type="dxa"/>
            <w:vAlign w:val="bottom"/>
            <w:gridSpan w:val="1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6.10</w:t>
            </w:r>
          </w:p>
        </w:tc>
        <w:tc>
          <w:tcPr>
            <w:tcW w:w="24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9"/>
              </w:rPr>
              <w:t>Rights and Remedies Cumulative</w:t>
            </w:r>
          </w:p>
        </w:tc>
        <w:tc>
          <w:tcPr>
            <w:tcW w:w="6820" w:type="dxa"/>
            <w:vAlign w:val="bottom"/>
            <w:gridSpan w:val="1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6.11</w:t>
            </w:r>
          </w:p>
        </w:tc>
        <w:tc>
          <w:tcPr>
            <w:tcW w:w="22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Delay or Omission Not Waiver</w:t>
            </w:r>
          </w:p>
        </w:tc>
        <w:tc>
          <w:tcPr>
            <w:tcW w:w="7000" w:type="dxa"/>
            <w:vAlign w:val="bottom"/>
            <w:gridSpan w:val="1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6.12</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 May File Proofs of Claim</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6.13</w:t>
            </w:r>
          </w:p>
        </w:tc>
        <w:tc>
          <w:tcPr>
            <w:tcW w:w="6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Priorities</w:t>
            </w:r>
          </w:p>
        </w:tc>
        <w:tc>
          <w:tcPr>
            <w:tcW w:w="1760" w:type="dxa"/>
            <w:vAlign w:val="bottom"/>
            <w:tcBorders>
              <w:top w:val="single" w:sz="8" w:color="auto"/>
            </w:tcBorders>
            <w:gridSpan w:val="23"/>
          </w:tcPr>
          <w:p>
            <w:pPr>
              <w:spacing w:after="0"/>
              <w:rPr>
                <w:sz w:val="17"/>
                <w:szCs w:val="17"/>
                <w:color w:val="auto"/>
              </w:rPr>
            </w:pPr>
          </w:p>
        </w:tc>
        <w:tc>
          <w:tcPr>
            <w:tcW w:w="6820" w:type="dxa"/>
            <w:vAlign w:val="bottom"/>
            <w:gridSpan w:val="1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6.14</w:t>
            </w:r>
          </w:p>
        </w:tc>
        <w:tc>
          <w:tcPr>
            <w:tcW w:w="16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Undertaking for Costs</w:t>
            </w:r>
          </w:p>
        </w:tc>
        <w:tc>
          <w:tcPr>
            <w:tcW w:w="7640" w:type="dxa"/>
            <w:vAlign w:val="bottom"/>
            <w:gridSpan w:val="2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7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7.01</w:t>
            </w:r>
          </w:p>
        </w:tc>
        <w:tc>
          <w:tcPr>
            <w:tcW w:w="12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Duties of Trustee</w:t>
            </w:r>
          </w:p>
        </w:tc>
        <w:tc>
          <w:tcPr>
            <w:tcW w:w="8000" w:type="dxa"/>
            <w:vAlign w:val="bottom"/>
            <w:gridSpan w:val="33"/>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7.02</w:t>
            </w:r>
          </w:p>
        </w:tc>
        <w:tc>
          <w:tcPr>
            <w:tcW w:w="12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8"/>
              </w:rPr>
              <w:t>Rights of Trustee</w:t>
            </w:r>
          </w:p>
        </w:tc>
        <w:tc>
          <w:tcPr>
            <w:tcW w:w="8000" w:type="dxa"/>
            <w:vAlign w:val="bottom"/>
            <w:gridSpan w:val="3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7.03</w:t>
            </w:r>
          </w:p>
        </w:tc>
        <w:tc>
          <w:tcPr>
            <w:tcW w:w="20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2"/>
              </w:rPr>
              <w:t>Individual Rights of Trustee</w:t>
            </w:r>
          </w:p>
        </w:tc>
        <w:tc>
          <w:tcPr>
            <w:tcW w:w="7180" w:type="dxa"/>
            <w:vAlign w:val="bottom"/>
            <w:gridSpan w:val="2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Trustee’s Disclaimer</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7.05</w:t>
            </w:r>
          </w:p>
        </w:tc>
        <w:tc>
          <w:tcPr>
            <w:tcW w:w="14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Notice of Defaults</w:t>
            </w:r>
          </w:p>
        </w:tc>
        <w:tc>
          <w:tcPr>
            <w:tcW w:w="7760" w:type="dxa"/>
            <w:vAlign w:val="bottom"/>
            <w:gridSpan w:val="2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7.06</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Reports by Trustee to Holders of the Notes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7.07</w:t>
            </w:r>
          </w:p>
        </w:tc>
        <w:tc>
          <w:tcPr>
            <w:tcW w:w="308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Compensation and Indemnity</w:t>
            </w:r>
          </w:p>
        </w:tc>
        <w:tc>
          <w:tcPr>
            <w:tcW w:w="6160" w:type="dxa"/>
            <w:vAlign w:val="bottom"/>
            <w:gridSpan w:val="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7.08</w:t>
            </w:r>
          </w:p>
        </w:tc>
        <w:tc>
          <w:tcPr>
            <w:tcW w:w="212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Replacement of Trustee</w:t>
            </w:r>
          </w:p>
        </w:tc>
        <w:tc>
          <w:tcPr>
            <w:tcW w:w="7120" w:type="dxa"/>
            <w:vAlign w:val="bottom"/>
            <w:gridSpan w:val="1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7.09</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Successor Trustee by Merger, etc.</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7.10</w:t>
            </w:r>
          </w:p>
        </w:tc>
        <w:tc>
          <w:tcPr>
            <w:tcW w:w="238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Eligibility; Disqualification</w:t>
            </w:r>
          </w:p>
        </w:tc>
        <w:tc>
          <w:tcPr>
            <w:tcW w:w="6860" w:type="dxa"/>
            <w:vAlign w:val="bottom"/>
            <w:gridSpan w:val="1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7.11</w:t>
            </w:r>
          </w:p>
        </w:tc>
        <w:tc>
          <w:tcPr>
            <w:tcW w:w="4000" w:type="dxa"/>
            <w:vAlign w:val="bottom"/>
            <w:tcBorders>
              <w:bottom w:val="single" w:sz="8" w:color="auto"/>
            </w:tcBorders>
            <w:gridSpan w:val="36"/>
          </w:tcPr>
          <w:p>
            <w:pPr>
              <w:spacing w:after="0" w:line="196" w:lineRule="exact"/>
              <w:rPr>
                <w:sz w:val="20"/>
                <w:szCs w:val="20"/>
                <w:color w:val="auto"/>
              </w:rPr>
            </w:pPr>
            <w:r>
              <w:rPr>
                <w:rFonts w:ascii="Arial" w:cs="Arial" w:eastAsia="Arial" w:hAnsi="Arial"/>
                <w:sz w:val="18"/>
                <w:szCs w:val="18"/>
                <w:color w:val="auto"/>
                <w:w w:val="91"/>
              </w:rPr>
              <w:t>Preferential Collection of Claims Against the Company</w:t>
            </w:r>
          </w:p>
        </w:tc>
        <w:tc>
          <w:tcPr>
            <w:tcW w:w="5240" w:type="dxa"/>
            <w:vAlign w:val="bottom"/>
            <w:gridSpan w:val="4"/>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8 DISCHARGE AND DEFEASANCE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8.01</w:t>
            </w:r>
          </w:p>
        </w:tc>
        <w:tc>
          <w:tcPr>
            <w:tcW w:w="286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0"/>
              </w:rPr>
              <w:t>Satisfaction and Discharge of Indenture</w:t>
            </w:r>
          </w:p>
        </w:tc>
        <w:tc>
          <w:tcPr>
            <w:tcW w:w="6380" w:type="dxa"/>
            <w:vAlign w:val="bottom"/>
            <w:gridSpan w:val="10"/>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8.02</w:t>
            </w:r>
          </w:p>
        </w:tc>
        <w:tc>
          <w:tcPr>
            <w:tcW w:w="13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Legal Defeasance</w:t>
            </w:r>
          </w:p>
        </w:tc>
        <w:tc>
          <w:tcPr>
            <w:tcW w:w="7920" w:type="dxa"/>
            <w:vAlign w:val="bottom"/>
            <w:gridSpan w:val="3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8.03</w:t>
            </w:r>
          </w:p>
        </w:tc>
        <w:tc>
          <w:tcPr>
            <w:tcW w:w="15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6"/>
              </w:rPr>
              <w:t>Covenant Defeasance</w:t>
            </w:r>
          </w:p>
        </w:tc>
        <w:tc>
          <w:tcPr>
            <w:tcW w:w="7680" w:type="dxa"/>
            <w:vAlign w:val="bottom"/>
            <w:gridSpan w:val="2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8.04</w:t>
            </w:r>
          </w:p>
        </w:tc>
        <w:tc>
          <w:tcPr>
            <w:tcW w:w="4700" w:type="dxa"/>
            <w:vAlign w:val="bottom"/>
            <w:tcBorders>
              <w:bottom w:val="single" w:sz="8" w:color="auto"/>
            </w:tcBorders>
            <w:gridSpan w:val="37"/>
          </w:tcPr>
          <w:p>
            <w:pPr>
              <w:spacing w:after="0" w:line="196" w:lineRule="exact"/>
              <w:rPr>
                <w:sz w:val="20"/>
                <w:szCs w:val="20"/>
                <w:color w:val="auto"/>
              </w:rPr>
            </w:pPr>
            <w:r>
              <w:rPr>
                <w:rFonts w:ascii="Arial" w:cs="Arial" w:eastAsia="Arial" w:hAnsi="Arial"/>
                <w:sz w:val="18"/>
                <w:szCs w:val="18"/>
                <w:color w:val="auto"/>
                <w:w w:val="91"/>
              </w:rPr>
              <w:t>Application by Trustee of Funds Deposited for Payment of Notes</w:t>
            </w:r>
          </w:p>
        </w:tc>
        <w:tc>
          <w:tcPr>
            <w:tcW w:w="4540" w:type="dxa"/>
            <w:vAlign w:val="bottom"/>
            <w:gridSpan w:val="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8.05</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Repayment of Moneys Held by Paying Agent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10"/>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8.06</w:t>
            </w:r>
          </w:p>
        </w:tc>
        <w:tc>
          <w:tcPr>
            <w:tcW w:w="5740" w:type="dxa"/>
            <w:vAlign w:val="bottom"/>
            <w:tcBorders>
              <w:bottom w:val="single" w:sz="8" w:color="auto"/>
            </w:tcBorders>
            <w:gridSpan w:val="39"/>
          </w:tcPr>
          <w:p>
            <w:pPr>
              <w:spacing w:after="0" w:line="196" w:lineRule="exact"/>
              <w:rPr>
                <w:sz w:val="20"/>
                <w:szCs w:val="20"/>
                <w:color w:val="auto"/>
              </w:rPr>
            </w:pPr>
            <w:r>
              <w:rPr>
                <w:rFonts w:ascii="Arial" w:cs="Arial" w:eastAsia="Arial" w:hAnsi="Arial"/>
                <w:sz w:val="18"/>
                <w:szCs w:val="18"/>
                <w:color w:val="auto"/>
                <w:w w:val="91"/>
              </w:rPr>
              <w:t>Return of Moneys Held by Trustee and Paying Agent Unclaimed for Two Years</w:t>
            </w:r>
          </w:p>
        </w:tc>
        <w:tc>
          <w:tcPr>
            <w:tcW w:w="350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8.07</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Reinstatement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9 AMENDMENT, SUPPLEMENT AND WAIVER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gridSpan w:val="2"/>
          </w:tcPr>
          <w:p>
            <w:pPr>
              <w:spacing w:after="0"/>
              <w:rPr>
                <w:sz w:val="11"/>
                <w:szCs w:val="11"/>
                <w:color w:val="auto"/>
              </w:rPr>
            </w:pPr>
          </w:p>
        </w:tc>
      </w:tr>
      <w:tr>
        <w:trPr>
          <w:trHeight w:val="713"/>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660" w:type="dxa"/>
            <w:vAlign w:val="bottom"/>
          </w:tcPr>
          <w:p>
            <w:pPr>
              <w:ind w:left="180"/>
              <w:spacing w:after="0"/>
              <w:rPr>
                <w:sz w:val="20"/>
                <w:szCs w:val="20"/>
                <w:color w:val="auto"/>
              </w:rPr>
            </w:pPr>
            <w:r>
              <w:rPr>
                <w:rFonts w:ascii="Arial" w:cs="Arial" w:eastAsia="Arial" w:hAnsi="Arial"/>
                <w:sz w:val="18"/>
                <w:szCs w:val="18"/>
                <w:color w:val="auto"/>
              </w:rPr>
              <w:t>Section 9.01</w:t>
            </w:r>
          </w:p>
        </w:tc>
        <w:tc>
          <w:tcPr>
            <w:tcW w:w="9240" w:type="dxa"/>
            <w:vAlign w:val="bottom"/>
            <w:gridSpan w:val="40"/>
          </w:tcPr>
          <w:p>
            <w:pPr>
              <w:spacing w:after="0"/>
              <w:rPr>
                <w:sz w:val="20"/>
                <w:szCs w:val="20"/>
                <w:color w:val="auto"/>
              </w:rPr>
            </w:pPr>
            <w:r>
              <w:rPr>
                <w:rFonts w:ascii="Arial" w:cs="Arial" w:eastAsia="Arial" w:hAnsi="Arial"/>
                <w:sz w:val="18"/>
                <w:szCs w:val="18"/>
                <w:color w:val="auto"/>
              </w:rPr>
              <w:t>Without Consent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9.02</w:t>
            </w:r>
          </w:p>
        </w:tc>
        <w:tc>
          <w:tcPr>
            <w:tcW w:w="180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With Consent of Holders</w:t>
            </w:r>
          </w:p>
        </w:tc>
        <w:tc>
          <w:tcPr>
            <w:tcW w:w="220" w:type="dxa"/>
            <w:vAlign w:val="bottom"/>
            <w:tcBorders>
              <w:top w:val="single" w:sz="8" w:color="auto"/>
            </w:tcBorders>
            <w:gridSpan w:val="3"/>
          </w:tcPr>
          <w:p>
            <w:pPr>
              <w:spacing w:after="0"/>
              <w:rPr>
                <w:sz w:val="17"/>
                <w:szCs w:val="17"/>
                <w:color w:val="auto"/>
              </w:rPr>
            </w:pPr>
          </w:p>
        </w:tc>
        <w:tc>
          <w:tcPr>
            <w:tcW w:w="7220" w:type="dxa"/>
            <w:vAlign w:val="bottom"/>
            <w:gridSpan w:val="2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9.03</w:t>
            </w:r>
          </w:p>
        </w:tc>
        <w:tc>
          <w:tcPr>
            <w:tcW w:w="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5"/>
              </w:rPr>
              <w:t>Reserved</w:t>
            </w:r>
          </w:p>
        </w:tc>
        <w:tc>
          <w:tcPr>
            <w:tcW w:w="8560" w:type="dxa"/>
            <w:vAlign w:val="bottom"/>
            <w:gridSpan w:val="3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9.04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Revocation and Effect of Consents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9.05</w:t>
            </w:r>
          </w:p>
        </w:tc>
        <w:tc>
          <w:tcPr>
            <w:tcW w:w="246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0"/>
              </w:rPr>
              <w:t>Notation on or Exchange of Notes</w:t>
            </w:r>
          </w:p>
        </w:tc>
        <w:tc>
          <w:tcPr>
            <w:tcW w:w="40" w:type="dxa"/>
            <w:vAlign w:val="bottom"/>
            <w:tcBorders>
              <w:top w:val="single" w:sz="8" w:color="auto"/>
            </w:tcBorders>
          </w:tcPr>
          <w:p>
            <w:pPr>
              <w:spacing w:after="0"/>
              <w:rPr>
                <w:sz w:val="17"/>
                <w:szCs w:val="17"/>
                <w:color w:val="auto"/>
              </w:rPr>
            </w:pPr>
          </w:p>
        </w:tc>
        <w:tc>
          <w:tcPr>
            <w:tcW w:w="6740" w:type="dxa"/>
            <w:vAlign w:val="bottom"/>
            <w:gridSpan w:val="1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9.06</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 to Sign Amendments, etc.</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gridSpan w:val="17"/>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10 MISCELLANEOUS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392"/>
        </w:trPr>
        <w:tc>
          <w:tcPr>
            <w:tcW w:w="1660" w:type="dxa"/>
            <w:vAlign w:val="bottom"/>
          </w:tcPr>
          <w:p>
            <w:pPr>
              <w:ind w:left="180"/>
              <w:spacing w:after="0"/>
              <w:rPr>
                <w:sz w:val="20"/>
                <w:szCs w:val="20"/>
                <w:color w:val="auto"/>
              </w:rPr>
            </w:pPr>
            <w:r>
              <w:rPr>
                <w:rFonts w:ascii="Arial" w:cs="Arial" w:eastAsia="Arial" w:hAnsi="Arial"/>
                <w:sz w:val="18"/>
                <w:szCs w:val="18"/>
                <w:color w:val="auto"/>
              </w:rPr>
              <w:t>Section 10.01</w:t>
            </w:r>
          </w:p>
        </w:tc>
        <w:tc>
          <w:tcPr>
            <w:tcW w:w="9240" w:type="dxa"/>
            <w:vAlign w:val="bottom"/>
            <w:gridSpan w:val="40"/>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10.02</w:t>
            </w:r>
          </w:p>
        </w:tc>
        <w:tc>
          <w:tcPr>
            <w:tcW w:w="6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Notices</w:t>
            </w:r>
          </w:p>
        </w:tc>
        <w:tc>
          <w:tcPr>
            <w:tcW w:w="8580" w:type="dxa"/>
            <w:vAlign w:val="bottom"/>
            <w:gridSpan w:val="3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gridSpan w:val="18"/>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10.03</w:t>
            </w:r>
          </w:p>
        </w:tc>
        <w:tc>
          <w:tcPr>
            <w:tcW w:w="344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2"/>
              </w:rPr>
              <w:t>Communication by Holders with Other Holders</w:t>
            </w:r>
          </w:p>
        </w:tc>
        <w:tc>
          <w:tcPr>
            <w:tcW w:w="5800" w:type="dxa"/>
            <w:vAlign w:val="bottom"/>
            <w:gridSpan w:val="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Certificate and Opinion as to Conditions Precedent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10.05</w:t>
            </w:r>
          </w:p>
        </w:tc>
        <w:tc>
          <w:tcPr>
            <w:tcW w:w="3660" w:type="dxa"/>
            <w:vAlign w:val="bottom"/>
            <w:tcBorders>
              <w:top w:val="single" w:sz="8" w:color="auto"/>
            </w:tcBorders>
            <w:gridSpan w:val="35"/>
          </w:tcPr>
          <w:p>
            <w:pPr>
              <w:spacing w:after="0" w:line="196" w:lineRule="exact"/>
              <w:rPr>
                <w:sz w:val="20"/>
                <w:szCs w:val="20"/>
                <w:color w:val="auto"/>
              </w:rPr>
            </w:pPr>
            <w:r>
              <w:rPr>
                <w:rFonts w:ascii="Arial" w:cs="Arial" w:eastAsia="Arial" w:hAnsi="Arial"/>
                <w:sz w:val="18"/>
                <w:szCs w:val="18"/>
                <w:color w:val="auto"/>
              </w:rPr>
              <w:t>Statements Required in Certificate or Opinion</w:t>
            </w:r>
          </w:p>
        </w:tc>
        <w:tc>
          <w:tcPr>
            <w:tcW w:w="5580" w:type="dxa"/>
            <w:vAlign w:val="bottom"/>
            <w:gridSpan w:val="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ind w:left="180"/>
              <w:spacing w:after="0" w:line="196" w:lineRule="exact"/>
              <w:rPr>
                <w:sz w:val="20"/>
                <w:szCs w:val="20"/>
                <w:color w:val="auto"/>
              </w:rPr>
            </w:pPr>
            <w:r>
              <w:rPr>
                <w:rFonts w:ascii="Arial" w:cs="Arial" w:eastAsia="Arial" w:hAnsi="Arial"/>
                <w:sz w:val="18"/>
                <w:szCs w:val="18"/>
                <w:color w:val="auto"/>
              </w:rPr>
              <w:t>Section 10.06</w:t>
            </w:r>
          </w:p>
        </w:tc>
        <w:tc>
          <w:tcPr>
            <w:tcW w:w="330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rPr>
              <w:t>Rules by Trustee and Agents</w:t>
            </w:r>
          </w:p>
        </w:tc>
        <w:tc>
          <w:tcPr>
            <w:tcW w:w="5940" w:type="dxa"/>
            <w:vAlign w:val="bottom"/>
            <w:gridSpan w:val="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-2668270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-2668270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7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10.07</w:t>
            </w:r>
          </w:p>
        </w:tc>
        <w:tc>
          <w:tcPr>
            <w:tcW w:w="420" w:type="dxa"/>
            <w:vAlign w:val="bottom"/>
          </w:tcPr>
          <w:p>
            <w:pPr>
              <w:spacing w:after="0"/>
              <w:rPr>
                <w:sz w:val="17"/>
                <w:szCs w:val="17"/>
                <w:color w:val="auto"/>
              </w:rPr>
            </w:pPr>
          </w:p>
        </w:tc>
        <w:tc>
          <w:tcPr>
            <w:tcW w:w="50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2"/>
              </w:rPr>
              <w:t>No Personal Liability of Stockholders, Partners, Officers or Directors</w:t>
            </w:r>
          </w:p>
        </w:tc>
        <w:tc>
          <w:tcPr>
            <w:tcW w:w="228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10.08</w:t>
            </w:r>
          </w:p>
        </w:tc>
        <w:tc>
          <w:tcPr>
            <w:tcW w:w="420" w:type="dxa"/>
            <w:vAlign w:val="bottom"/>
          </w:tcPr>
          <w:p>
            <w:pPr>
              <w:spacing w:after="0"/>
              <w:rPr>
                <w:sz w:val="17"/>
                <w:szCs w:val="17"/>
                <w:color w:val="auto"/>
              </w:rPr>
            </w:pPr>
          </w:p>
        </w:tc>
        <w:tc>
          <w:tcPr>
            <w:tcW w:w="11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Governing Law</w:t>
            </w:r>
          </w:p>
        </w:tc>
        <w:tc>
          <w:tcPr>
            <w:tcW w:w="614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10.09</w:t>
            </w:r>
          </w:p>
        </w:tc>
        <w:tc>
          <w:tcPr>
            <w:tcW w:w="42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10.10</w:t>
            </w:r>
          </w:p>
        </w:tc>
        <w:tc>
          <w:tcPr>
            <w:tcW w:w="420" w:type="dxa"/>
            <w:vAlign w:val="bottom"/>
          </w:tcPr>
          <w:p>
            <w:pPr>
              <w:spacing w:after="0"/>
              <w:rPr>
                <w:sz w:val="17"/>
                <w:szCs w:val="17"/>
                <w:color w:val="auto"/>
              </w:rPr>
            </w:pPr>
          </w:p>
        </w:tc>
        <w:tc>
          <w:tcPr>
            <w:tcW w:w="10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Force Majeure</w:t>
            </w:r>
          </w:p>
        </w:tc>
        <w:tc>
          <w:tcPr>
            <w:tcW w:w="380" w:type="dxa"/>
            <w:vAlign w:val="bottom"/>
            <w:tcBorders>
              <w:top w:val="single" w:sz="8" w:color="auto"/>
            </w:tcBorders>
            <w:gridSpan w:val="2"/>
          </w:tcPr>
          <w:p>
            <w:pPr>
              <w:spacing w:after="0"/>
              <w:rPr>
                <w:sz w:val="17"/>
                <w:szCs w:val="17"/>
                <w:color w:val="auto"/>
              </w:rPr>
            </w:pPr>
          </w:p>
        </w:tc>
        <w:tc>
          <w:tcPr>
            <w:tcW w:w="58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10.11</w:t>
            </w:r>
          </w:p>
        </w:tc>
        <w:tc>
          <w:tcPr>
            <w:tcW w:w="42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No Adverse Interpretation of Other Agreements</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10.12</w:t>
            </w:r>
          </w:p>
        </w:tc>
        <w:tc>
          <w:tcPr>
            <w:tcW w:w="420" w:type="dxa"/>
            <w:vAlign w:val="bottom"/>
          </w:tcPr>
          <w:p>
            <w:pPr>
              <w:spacing w:after="0"/>
              <w:rPr>
                <w:sz w:val="17"/>
                <w:szCs w:val="17"/>
                <w:color w:val="auto"/>
              </w:rPr>
            </w:pPr>
          </w:p>
        </w:tc>
        <w:tc>
          <w:tcPr>
            <w:tcW w:w="34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Successors</w:t>
            </w:r>
          </w:p>
        </w:tc>
        <w:tc>
          <w:tcPr>
            <w:tcW w:w="38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10.13</w:t>
            </w:r>
          </w:p>
        </w:tc>
        <w:tc>
          <w:tcPr>
            <w:tcW w:w="42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10.14</w:t>
            </w:r>
          </w:p>
        </w:tc>
        <w:tc>
          <w:tcPr>
            <w:tcW w:w="420" w:type="dxa"/>
            <w:vAlign w:val="bottom"/>
          </w:tcPr>
          <w:p>
            <w:pPr>
              <w:spacing w:after="0"/>
              <w:rPr>
                <w:sz w:val="17"/>
                <w:szCs w:val="17"/>
                <w:color w:val="auto"/>
              </w:rPr>
            </w:pPr>
          </w:p>
        </w:tc>
        <w:tc>
          <w:tcPr>
            <w:tcW w:w="15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Counterpart Originals</w:t>
            </w:r>
          </w:p>
        </w:tc>
        <w:tc>
          <w:tcPr>
            <w:tcW w:w="57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10.15</w:t>
            </w:r>
          </w:p>
        </w:tc>
        <w:tc>
          <w:tcPr>
            <w:tcW w:w="42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Table of Contents, Headings, etc.</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10.16</w:t>
            </w:r>
          </w:p>
        </w:tc>
        <w:tc>
          <w:tcPr>
            <w:tcW w:w="420" w:type="dxa"/>
            <w:vAlign w:val="bottom"/>
          </w:tcPr>
          <w:p>
            <w:pPr>
              <w:spacing w:after="0"/>
              <w:rPr>
                <w:sz w:val="17"/>
                <w:szCs w:val="17"/>
                <w:color w:val="auto"/>
              </w:rPr>
            </w:pPr>
          </w:p>
        </w:tc>
        <w:tc>
          <w:tcPr>
            <w:tcW w:w="23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U.S.A. PATRIOT Act</w:t>
            </w:r>
          </w:p>
        </w:tc>
        <w:tc>
          <w:tcPr>
            <w:tcW w:w="49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10.17</w:t>
            </w:r>
          </w:p>
        </w:tc>
        <w:tc>
          <w:tcPr>
            <w:tcW w:w="420" w:type="dxa"/>
            <w:vAlign w:val="bottom"/>
          </w:tcPr>
          <w:p>
            <w:pPr>
              <w:spacing w:after="0"/>
              <w:rPr>
                <w:sz w:val="17"/>
                <w:szCs w:val="17"/>
                <w:color w:val="auto"/>
              </w:rPr>
            </w:pPr>
          </w:p>
        </w:tc>
        <w:tc>
          <w:tcPr>
            <w:tcW w:w="15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Reserved</w:t>
            </w:r>
          </w:p>
        </w:tc>
        <w:tc>
          <w:tcPr>
            <w:tcW w:w="572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20" w:type="dxa"/>
            <w:vAlign w:val="bottom"/>
            <w:gridSpan w:val="11"/>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53"/>
        </w:trPr>
        <w:tc>
          <w:tcPr>
            <w:tcW w:w="1240" w:type="dxa"/>
            <w:vAlign w:val="bottom"/>
          </w:tcPr>
          <w:p>
            <w:pPr>
              <w:spacing w:after="0"/>
              <w:rPr>
                <w:sz w:val="20"/>
                <w:szCs w:val="20"/>
                <w:color w:val="auto"/>
              </w:rPr>
            </w:pPr>
            <w:r>
              <w:rPr>
                <w:rFonts w:ascii="Arial" w:cs="Arial" w:eastAsia="Arial" w:hAnsi="Arial"/>
                <w:sz w:val="18"/>
                <w:szCs w:val="18"/>
                <w:color w:val="auto"/>
              </w:rPr>
              <w:t>Appendix A</w:t>
            </w:r>
          </w:p>
        </w:tc>
        <w:tc>
          <w:tcPr>
            <w:tcW w:w="7700" w:type="dxa"/>
            <w:vAlign w:val="bottom"/>
            <w:gridSpan w:val="13"/>
          </w:tcPr>
          <w:p>
            <w:pPr>
              <w:ind w:left="80"/>
              <w:spacing w:after="0"/>
              <w:rPr>
                <w:sz w:val="20"/>
                <w:szCs w:val="20"/>
                <w:color w:val="auto"/>
              </w:rPr>
            </w:pPr>
            <w:r>
              <w:rPr>
                <w:rFonts w:ascii="Arial" w:cs="Arial" w:eastAsia="Arial" w:hAnsi="Arial"/>
                <w:sz w:val="18"/>
                <w:szCs w:val="18"/>
                <w:color w:val="auto"/>
              </w:rPr>
              <w:t>Provisions Relating to Initial Notes and Additional Notes</w:t>
            </w:r>
          </w:p>
        </w:tc>
        <w:tc>
          <w:tcPr>
            <w:tcW w:w="2480" w:type="dxa"/>
            <w:vAlign w:val="bottom"/>
          </w:tcPr>
          <w:p>
            <w:pPr>
              <w:spacing w:after="0"/>
              <w:rPr>
                <w:sz w:val="24"/>
                <w:szCs w:val="24"/>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7700" w:type="dxa"/>
            <w:vAlign w:val="bottom"/>
            <w:gridSpan w:val="13"/>
          </w:tcPr>
          <w:p>
            <w:pPr>
              <w:ind w:left="80"/>
              <w:spacing w:after="0"/>
              <w:rPr>
                <w:sz w:val="20"/>
                <w:szCs w:val="20"/>
                <w:color w:val="auto"/>
              </w:rPr>
            </w:pPr>
            <w:r>
              <w:rPr>
                <w:rFonts w:ascii="Arial" w:cs="Arial" w:eastAsia="Arial" w:hAnsi="Arial"/>
                <w:sz w:val="18"/>
                <w:szCs w:val="18"/>
                <w:color w:val="auto"/>
              </w:rPr>
              <w:t>Form of Note</w:t>
            </w:r>
          </w:p>
        </w:tc>
        <w:tc>
          <w:tcPr>
            <w:tcW w:w="248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7700" w:type="dxa"/>
            <w:vAlign w:val="bottom"/>
            <w:gridSpan w:val="13"/>
          </w:tcPr>
          <w:p>
            <w:pPr>
              <w:ind w:left="80"/>
              <w:spacing w:after="0"/>
              <w:rPr>
                <w:sz w:val="20"/>
                <w:szCs w:val="20"/>
                <w:color w:val="auto"/>
              </w:rPr>
            </w:pPr>
            <w:r>
              <w:rPr>
                <w:rFonts w:ascii="Arial" w:cs="Arial" w:eastAsia="Arial" w:hAnsi="Arial"/>
                <w:sz w:val="18"/>
                <w:szCs w:val="18"/>
                <w:color w:val="auto"/>
              </w:rPr>
              <w:t>Form of Supplemental Indenture</w:t>
            </w:r>
          </w:p>
        </w:tc>
        <w:tc>
          <w:tcPr>
            <w:tcW w:w="248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7700" w:type="dxa"/>
            <w:vAlign w:val="bottom"/>
            <w:gridSpan w:val="13"/>
          </w:tcPr>
          <w:p>
            <w:pPr>
              <w:ind w:left="80"/>
              <w:spacing w:after="0"/>
              <w:rPr>
                <w:sz w:val="20"/>
                <w:szCs w:val="20"/>
                <w:color w:val="auto"/>
              </w:rPr>
            </w:pPr>
            <w:r>
              <w:rPr>
                <w:rFonts w:ascii="Arial" w:cs="Arial" w:eastAsia="Arial" w:hAnsi="Arial"/>
                <w:sz w:val="18"/>
                <w:szCs w:val="18"/>
                <w:color w:val="auto"/>
              </w:rPr>
              <w:t>Form of Transferee Letter of Representation</w:t>
            </w:r>
          </w:p>
        </w:tc>
        <w:tc>
          <w:tcPr>
            <w:tcW w:w="24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INDENTURE, dated as of April 30, 2015 between Micron Technology, Inc., a Delaware corporation, and U.S. Bank National Association, a national banking association,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duly authorized the creation of and issuance of $550,000,000 aggregate principal amount of 5.250% Senior Notes due 2024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received good and valuable consideration for the execution and delivery of this Indenture and the Notes;</w:t>
      </w:r>
    </w:p>
    <w:p>
      <w:pPr>
        <w:spacing w:after="0" w:line="24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all necessary acts and things have been done to make: (1) the Notes, when duly issued and executed by the Company and authenticated and delivered hereunder, the legal, valid and binding obligations of the Company and (2) this Indenture a legal, valid and binding agreement of the Company in accordance with the terms of this Indenture;</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the Company and the Trustee agree as follows for the benefit of each other and for the equal and ratable benefit of the Holders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if applicable, all additional interest owing on the Notes pursuant and subject to Section 6.02(c).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Notes</w:t>
      </w:r>
      <w:r>
        <w:rPr>
          <w:rFonts w:ascii="Arial" w:cs="Arial" w:eastAsia="Arial" w:hAnsi="Arial"/>
          <w:sz w:val="17"/>
          <w:szCs w:val="17"/>
          <w:color w:val="auto"/>
        </w:rPr>
        <w:t>” means additional Notes (other than Initial Notes) issued from time to time under this Indenture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2.01.</w:t>
      </w:r>
    </w:p>
    <w:p>
      <w:pPr>
        <w:spacing w:after="0" w:line="211"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that correspond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authenticating agent.</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Debt</w:t>
      </w:r>
      <w:r>
        <w:rPr>
          <w:rFonts w:ascii="Arial" w:cs="Arial" w:eastAsia="Arial" w:hAnsi="Arial"/>
          <w:sz w:val="18"/>
          <w:szCs w:val="18"/>
          <w:color w:val="auto"/>
        </w:rPr>
        <w:t xml:space="preserve">” means the sum of the following as of the date of determination: (1) the then aggregate outstanding amount of the Indebtedness of the Company and its Domestic Restricted Subsidiaries, without duplication, incurred after the Issue Date and secured by Liens not permitted under Section 4.09(a) (determined in accordance with such Section); (2) the then aggregate outstanding amount of all Subsidiary Debt incurred after the Issue Date, without duplication, and not permitted under Section 4.07(a) (including as a result of the exclusions set forth in Section 4.07(b));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Subsidiary Debt will be excluded from this clause (2) to the extent that such Subsidiary Debt (or the related Indebtedness) is included in clause (1) or (3) of this definition; and (3) the then existing Attributable Debt of the Company and its Domestic Restricted Subsidiaries in respect of sale and lease-back transactions, without duplication, entered into after the Issue Date pursuant to Section 4.08(b);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Attributable Debt will be excluded from this clause (3) to the extent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indebtedness relating thereto is included in clause (1) or (2) of this definition, </w:t>
      </w:r>
      <w:r>
        <w:rPr>
          <w:rFonts w:ascii="Arial" w:cs="Arial" w:eastAsia="Arial" w:hAnsi="Arial"/>
          <w:sz w:val="16"/>
          <w:szCs w:val="16"/>
          <w:i w:val="1"/>
          <w:iCs w:val="1"/>
          <w:color w:val="auto"/>
        </w:rPr>
        <w:t>provided further</w:t>
      </w:r>
      <w:r>
        <w:rPr>
          <w:rFonts w:ascii="Arial" w:cs="Arial" w:eastAsia="Arial" w:hAnsi="Arial"/>
          <w:sz w:val="16"/>
          <w:szCs w:val="16"/>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Company and its Domestic Restricted Subsidiaries securing such Indebtedness or one or more Guarantees thereof, the amount of Indebtedness so Guaranteed or secured shall only be included once in the calculation of Aggregate Debt).</w:t>
      </w:r>
    </w:p>
    <w:p>
      <w:pPr>
        <w:sectPr>
          <w:pgSz w:w="11900" w:h="16838" w:orient="portrait"/>
          <w:cols w:equalWidth="0" w:num="1">
            <w:col w:w="11420"/>
          </w:cols>
          <w:pgMar w:left="240" w:top="108" w:right="239" w:bottom="0" w:gutter="0" w:footer="0" w:header="0"/>
        </w:sectPr>
      </w:pPr>
    </w:p>
    <w:bookmarkStart w:id="6" w:name="page7"/>
    <w:bookmarkEnd w:id="6"/>
    <w:p>
      <w:pPr>
        <w:ind w:right="1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codified as Title 11, U.S. Code §101-1330,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 or any committee thereof duly authorized to act on behalf of such board.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right="120" w:firstLine="1305"/>
        <w:spacing w:after="0" w:line="285" w:lineRule="auto"/>
        <w:tabs>
          <w:tab w:leader="none" w:pos="1952" w:val="left"/>
        </w:tabs>
        <w:numPr>
          <w:ilvl w:val="1"/>
          <w:numId w:val="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rFonts w:ascii="Arial" w:cs="Arial" w:eastAsia="Arial" w:hAnsi="Arial"/>
          <w:sz w:val="16"/>
          <w:szCs w:val="16"/>
          <w:color w:val="auto"/>
        </w:rPr>
      </w:pPr>
    </w:p>
    <w:p>
      <w:pPr>
        <w:ind w:firstLine="8"/>
        <w:spacing w:after="0" w:line="288"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7" w:lineRule="auto"/>
        <w:tabs>
          <w:tab w:leader="none" w:pos="155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(1) a Change of Control that is accompanied or followed by a downgrade of the Notes within the Ratings Decline Period for such Change of Control by each of Moody’s and S&amp;P (or, in the event Moody’s or S&amp;P or both shall cease rating the Notes (for reasons outside the control of the Company) and the Company shall select any other nationally recognized rating agency, the equivalent of such ratings by such other nationally recognized rating agency) and (2) the rating of the Notes on any day during such Ratings Decline Period is below the lower of the rating by such nationally recognized rating agency in effect (a) immediately preceding the first public announcement of the Change of Control (or occurrence thereof if such Change of Control occurs prior to public announcement) and (b) on the Issue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and any successor thereto.</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period from the redemption date to May 1, 2018, that would be utilized, at the time of selection and in accordance with customary financial practice, in pricing new issues of corporate debt securities of comparable maturity to the period from the redemption date to May 1, 2018.</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Measurement Period, the sum of, without duplication, the amounts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period, taken as a single accounting period, of (1) Consolidated Net Income; excluding (to the extent deducted or otherwise excluded in calculating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in such Measurement Period), the following amounts (or, to the extent attributable to a non-wholly owned consolidated entity,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following amounts proportionate to the Company’s allocable interest in such entity): (2) Consolidated Non-cash Charges; (3)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(4) Consolidated Income Tax Expense; (5) restructuring expenses and charges; (6) any expenses or charges related to any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Investment, recapitalization or incurrence of Indebtedness not prohibited under this Indenture (whether or not successful) or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and (7) any charges, expenses or costs incurred in connection or associated with mergers, acquisitions or divestitures after the Issue Date.</w:t>
      </w:r>
    </w:p>
    <w:p>
      <w:pPr>
        <w:spacing w:after="0" w:line="234"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 subsequent to the last day of such Measurement Period and on or prior to the date of the transaction in</w:t>
      </w:r>
    </w:p>
    <w:p>
      <w:pPr>
        <w:sectPr>
          <w:pgSz w:w="11900" w:h="16838" w:orient="portrait"/>
          <w:cols w:equalWidth="0" w:num="1">
            <w:col w:w="11380"/>
          </w:cols>
          <w:pgMar w:left="240" w:top="125" w:right="279" w:bottom="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7" w:name="page8"/>
    <w:bookmarkEnd w:id="7"/>
    <w:p>
      <w:pPr>
        <w:spacing w:after="0" w:line="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respect of which Consolidated EBITDA is being determined and (2) that the Company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provided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provided that, the Company shall not be required to give pro forma effect to any transaction that it does not in good faith deem material. Such pro forma calculations shall be made in good faith by a responsible financial or accounting officer of the Company.</w:t>
      </w:r>
    </w:p>
    <w:p>
      <w:pPr>
        <w:spacing w:after="0" w:line="166"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Company’s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 (11) gains or losses resulting from currency fluctuations. In addition, to the extent not already included in Consolidated Net Income of such Person and its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10.02 or such other address as to which the Trustee may give notice to the Holders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or Additional Note (bearing the Restricted Note Legend if the transfer of such Note is restricted by applicable law) that does not include the Global Notes Legend.</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ectPr>
          <w:pgSz w:w="11900" w:h="16877" w:orient="portrait"/>
          <w:cols w:equalWidth="0" w:num="1">
            <w:col w:w="11420"/>
          </w:cols>
          <w:pgMar w:left="240" w:top="584" w:right="239" w:bottom="0" w:gutter="0" w:footer="0" w:header="0"/>
        </w:sectPr>
      </w:pPr>
    </w:p>
    <w:bookmarkStart w:id="8" w:name="page9"/>
    <w:bookmarkEnd w:id="8"/>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thereof or the District of Columbia other than any such Subsidiary that is a direct or indirect Subsidiary of one or more Foreign Subsidiaries of such Person.</w:t>
      </w:r>
    </w:p>
    <w:p>
      <w:pPr>
        <w:spacing w:after="0" w:line="248"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Offering</w:t>
      </w:r>
      <w:r>
        <w:rPr>
          <w:rFonts w:ascii="Arial" w:cs="Arial" w:eastAsia="Arial" w:hAnsi="Arial"/>
          <w:sz w:val="17"/>
          <w:szCs w:val="17"/>
          <w:color w:val="auto"/>
        </w:rPr>
        <w:t>” means a public or private offering for cash by the Company, or any direct or indirect parent of the Company, of its common stock or preferred stock (in the case of an offering by any direct or indirect parent of the Company, to the extent such cash proceeds are contributed to the Company), other than (1) public offerings registered on Form S-4 or S-8 or (2) an issuance to any Subsidiary or other Affiliate.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of the Company that is a bankruptcy remote special purpose vehicle that exists solely to facilitate a Permitted Receivables Transaction.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7"/>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of the United States of 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 in either case, are not callable or redeemable at the option of the issuer thereof.</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Note Register.</w:t>
      </w:r>
    </w:p>
    <w:p>
      <w:pPr>
        <w:spacing w:after="0" w:line="225"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560" w:hanging="255"/>
        <w:spacing w:after="0"/>
        <w:tabs>
          <w:tab w:leader="none" w:pos="15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right="160" w:firstLine="1305"/>
        <w:spacing w:after="0" w:line="264" w:lineRule="auto"/>
        <w:tabs>
          <w:tab w:leader="none" w:pos="1551"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Senior Officer of the Company) of such assets at the date of determination; and (b) the principal amount of the Indebtedness of the other Person;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right="500" w:firstLine="8"/>
        <w:spacing w:after="0" w:line="323"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 For the avoidance of doubt, the inclusion of specific obligations in Section 4.07(b) shall not create any implication that any such obligations constitute Indebtedness.</w:t>
      </w:r>
    </w:p>
    <w:p>
      <w:pPr>
        <w:sectPr>
          <w:pgSz w:w="11900" w:h="16838" w:orient="portrait"/>
          <w:cols w:equalWidth="0" w:num="1">
            <w:col w:w="11360"/>
          </w:cols>
          <w:pgMar w:left="240" w:top="341" w:right="299" w:bottom="0" w:gutter="0" w:footer="0" w:header="0"/>
        </w:sectPr>
      </w:pPr>
    </w:p>
    <w:bookmarkStart w:id="9" w:name="page10"/>
    <w:bookmarkEnd w:id="9"/>
    <w:p>
      <w:pPr>
        <w:spacing w:after="0" w:line="36"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means the initial purchasers listed on Schedule 1 to the purchase agreement entered into in connection with the offer and sale of the Initial Notes and any initial purchasers party to any similar purchase agreement in connection with the issuance of any Additional Notes.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with respect thereto and Additional Interest, if any.</w:t>
      </w:r>
    </w:p>
    <w:p>
      <w:pPr>
        <w:spacing w:after="0" w:line="22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April 30, 2015.</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or the Corporate Trust Office of the Trustee are not required to be open in the State of New York or the place of payment.</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lien, security interest, mortgage, charge or similar encumbrance,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660" w:right="140" w:firstLine="1293"/>
        <w:spacing w:after="0" w:line="264" w:lineRule="auto"/>
        <w:tabs>
          <w:tab w:leader="none" w:pos="2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that would apply if such Note were redeemed on May 1, 2018 plus (ii) all remaining scheduled payments of interest due on such Note to and including May 1, 2018, computed using a discount rate equal to the Treasury Rate as of such Redemption Date plus 50 basis points; over</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sum of accrued and unpaid interest, if any, to, but excluding, the Redemption Date, plus the principal amount of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have no obligation to calculate or verify the calculations of the Make-Whole Premium.</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Company for which financial statements have been filed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in accordance with this Indenture.</w:t>
      </w:r>
    </w:p>
    <w:p>
      <w:pPr>
        <w:spacing w:after="0" w:line="181"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with respect to any Indebtedness, all obligations (whether in existence on the Issue Date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with respect to such Indebtedness, including all interest accrued or accruing after the commencement of any bankruptcy, insolvency or reorganization or similar case or proceeding at the contract rate (including, without limitation, any contract rate applicable upon default) specified in the relevant documentation, whether or not the claim for such interest is allowed as a claim in such case or proceeding.</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dated April 27, 2015, relating to the sale of the Initial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the Company, the Chairman of the Board, the Chief Executive Officer, the President, the Chief Operating Officer, the Chief Financial Officer, any Vice President, the Controller, the Treasurer, any Assistant Treasurer or the Secretary.</w:t>
      </w:r>
    </w:p>
    <w:p>
      <w:pPr>
        <w:spacing w:after="0" w:line="147" w:lineRule="exact"/>
        <w:rPr>
          <w:sz w:val="20"/>
          <w:szCs w:val="20"/>
          <w:color w:val="auto"/>
        </w:rPr>
      </w:pPr>
    </w:p>
    <w:p>
      <w:pPr>
        <w:ind w:right="4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in the name of the Company by (i) the Chairman of the Board, the Chief Executive Officer, the President, the Chief Operating Officer, or any Vice President and (ii) the Chief Financial Officer, the Controller, the Treasurer, any Assistant Treasurer or the Secretary.</w:t>
      </w:r>
    </w:p>
    <w:p>
      <w:pPr>
        <w:spacing w:after="0" w:line="181" w:lineRule="exact"/>
        <w:rPr>
          <w:sz w:val="20"/>
          <w:szCs w:val="20"/>
          <w:color w:val="auto"/>
        </w:rPr>
      </w:pPr>
    </w:p>
    <w:p>
      <w:pPr>
        <w:ind w:right="9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is reasonably acceptable to the Trustee, that meets the requirements of Section 10.05 hereof. The counsel may be an employee of or counsel to the Company or any Subsidiary of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ectPr>
          <w:pgSz w:w="11900" w:h="16874" w:orient="portrait"/>
          <w:cols w:equalWidth="0" w:num="1">
            <w:col w:w="11400"/>
          </w:cols>
          <w:pgMar w:left="240" w:top="125" w:right="259" w:bottom="0" w:gutter="0" w:footer="0" w:header="0"/>
        </w:sectPr>
      </w:pPr>
    </w:p>
    <w:bookmarkStart w:id="10" w:name="page11"/>
    <w:bookmarkEnd w:id="10"/>
    <w:p>
      <w:pPr>
        <w:ind w:left="2000" w:hanging="695"/>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25" w:lineRule="exact"/>
        <w:rPr>
          <w:rFonts w:ascii="Arial" w:cs="Arial" w:eastAsia="Arial" w:hAnsi="Arial"/>
          <w:sz w:val="18"/>
          <w:szCs w:val="18"/>
          <w:color w:val="auto"/>
        </w:rPr>
      </w:pPr>
    </w:p>
    <w:p>
      <w:pPr>
        <w:ind w:right="200" w:firstLine="1305"/>
        <w:spacing w:after="0" w:line="290" w:lineRule="auto"/>
        <w:tabs>
          <w:tab w:leader="none" w:pos="20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 and shall attach solely to the Principal Property acquired, or constructed, altered or repaired and any improvements then or thereafter placed thereon and the capital stock of any Person formed to acquire such Principal Property, and any proceeds thereof, accessions thereto and insurance proceeds thereof;</w:t>
      </w:r>
    </w:p>
    <w:p>
      <w:pPr>
        <w:spacing w:after="0" w:line="166" w:lineRule="exact"/>
        <w:rPr>
          <w:rFonts w:ascii="Arial" w:cs="Arial" w:eastAsia="Arial" w:hAnsi="Arial"/>
          <w:sz w:val="16"/>
          <w:szCs w:val="16"/>
          <w:color w:val="auto"/>
        </w:rPr>
      </w:pPr>
    </w:p>
    <w:p>
      <w:pPr>
        <w:ind w:right="240" w:firstLine="1305"/>
        <w:spacing w:after="0" w:line="255"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assets of a Person and its Subsidiaries prior to the time such Person becomes a Domestic Restricted Subsidiary (or arising thereafter pursuant to contractual commitments entered into prior to acquiring such Principal Property) (including acquisition through merger or consolidation) or at the time of such acquisition (or arising thereafter pursuant to contractual commitments entered into prior to such Person becoming a Domestic Restricted Subsidiary) by the Company or any Subsidiary of the Company; provided that such Liens do not extend to other assets of the Company or its other Domestic Restricted Subsidiaries;</w:t>
      </w:r>
    </w:p>
    <w:p>
      <w:pPr>
        <w:spacing w:after="0" w:line="193" w:lineRule="exact"/>
        <w:rPr>
          <w:rFonts w:ascii="Arial" w:cs="Arial" w:eastAsia="Arial" w:hAnsi="Arial"/>
          <w:sz w:val="18"/>
          <w:szCs w:val="18"/>
          <w:color w:val="auto"/>
        </w:rPr>
      </w:pPr>
    </w:p>
    <w:p>
      <w:pPr>
        <w:ind w:right="140" w:firstLine="1305"/>
        <w:spacing w:after="0" w:line="255"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and its Subsidiaries which, when such Liens arise, concurrently becomes a Domestic Restricted Subsidiary or Liens on all or substantially all of the assets of such Person, including any Joint Venture, and its Subsidiaries arising in connection with the purchase or acquisition thereof or of an interest therein by the Company or a Subsidiary,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Venture of the Company or any of its Subsidiaries, or in any Subsidiary of the Company that owns an Equity Interest in a Joint Venture to secure Indebtedness contributed or advanced solely to that Joint Venture; provided that, in the case of each of the preceding clauses (a) and (b), such Liens do not extend to other assets of the Company or its other Domestic Restricted Subsidiaries;</w:t>
      </w:r>
    </w:p>
    <w:p>
      <w:pPr>
        <w:spacing w:after="0" w:line="181" w:lineRule="exact"/>
        <w:rPr>
          <w:sz w:val="20"/>
          <w:szCs w:val="20"/>
          <w:color w:val="auto"/>
        </w:rPr>
      </w:pPr>
    </w:p>
    <w:p>
      <w:pPr>
        <w:ind w:right="260" w:firstLine="1305"/>
        <w:spacing w:after="0" w:line="264"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favor of the Company or a Domestic Restricted Subsidiary of the Company;</w:t>
      </w:r>
    </w:p>
    <w:p>
      <w:pPr>
        <w:spacing w:after="0" w:line="225" w:lineRule="exact"/>
        <w:rPr>
          <w:rFonts w:ascii="Arial" w:cs="Arial" w:eastAsia="Arial" w:hAnsi="Arial"/>
          <w:sz w:val="18"/>
          <w:szCs w:val="18"/>
          <w:color w:val="auto"/>
        </w:rPr>
      </w:pPr>
    </w:p>
    <w:p>
      <w:pPr>
        <w:ind w:right="120" w:firstLine="1305"/>
        <w:spacing w:after="0" w:line="259"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600" w:firstLine="1305"/>
        <w:spacing w:after="0" w:line="277"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right="40" w:firstLine="1305"/>
        <w:spacing w:after="0" w:line="297" w:lineRule="auto"/>
        <w:tabs>
          <w:tab w:leader="none" w:pos="20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8" w:lineRule="exact"/>
        <w:rPr>
          <w:rFonts w:ascii="Arial" w:cs="Arial" w:eastAsia="Arial" w:hAnsi="Arial"/>
          <w:sz w:val="16"/>
          <w:szCs w:val="16"/>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on Receivables Assets incurred in connection with a Permitted Receivables Transaction;</w:t>
      </w:r>
    </w:p>
    <w:p>
      <w:pPr>
        <w:spacing w:after="0" w:line="225" w:lineRule="exact"/>
        <w:rPr>
          <w:rFonts w:ascii="Arial" w:cs="Arial" w:eastAsia="Arial" w:hAnsi="Arial"/>
          <w:sz w:val="18"/>
          <w:szCs w:val="18"/>
          <w:color w:val="auto"/>
        </w:rPr>
      </w:pPr>
    </w:p>
    <w:p>
      <w:pPr>
        <w:ind w:right="180" w:firstLine="1305"/>
        <w:spacing w:after="0" w:line="286" w:lineRule="auto"/>
        <w:tabs>
          <w:tab w:leader="none" w:pos="20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right="40" w:firstLine="1305"/>
        <w:spacing w:after="0" w:line="264"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firstLine="1305"/>
        <w:spacing w:after="0" w:line="264"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Liens on, and consisting of, deposits made by the Company to discharge or defease the Notes and this Indenture or any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ectPr>
          <w:pgSz w:w="11900" w:h="16838" w:orient="portrait"/>
          <w:cols w:equalWidth="0" w:num="1">
            <w:col w:w="11420"/>
          </w:cols>
          <w:pgMar w:left="240" w:top="341" w:right="239" w:bottom="0" w:gutter="0" w:footer="0" w:header="0"/>
        </w:sectPr>
      </w:pPr>
    </w:p>
    <w:bookmarkStart w:id="11" w:name="page12"/>
    <w:bookmarkEnd w:id="11"/>
    <w:p>
      <w:pPr>
        <w:spacing w:after="0" w:line="12" w:lineRule="exact"/>
        <w:rPr>
          <w:sz w:val="20"/>
          <w:szCs w:val="20"/>
          <w:color w:val="auto"/>
        </w:rPr>
      </w:pPr>
    </w:p>
    <w:p>
      <w:pPr>
        <w:ind w:left="2000" w:hanging="695"/>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incurred in connection with the financing of insurance premiums;</w:t>
      </w:r>
    </w:p>
    <w:p>
      <w:pPr>
        <w:spacing w:after="0" w:line="225" w:lineRule="exact"/>
        <w:rPr>
          <w:rFonts w:ascii="Arial" w:cs="Arial" w:eastAsia="Arial" w:hAnsi="Arial"/>
          <w:sz w:val="18"/>
          <w:szCs w:val="18"/>
          <w:color w:val="auto"/>
        </w:rPr>
      </w:pPr>
    </w:p>
    <w:p>
      <w:pPr>
        <w:ind w:right="280" w:firstLine="1305"/>
        <w:spacing w:after="0" w:line="277" w:lineRule="auto"/>
        <w:tabs>
          <w:tab w:leader="none" w:pos="20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 or</w:t>
      </w:r>
    </w:p>
    <w:p>
      <w:pPr>
        <w:spacing w:after="0" w:line="170" w:lineRule="exact"/>
        <w:rPr>
          <w:rFonts w:ascii="Arial" w:cs="Arial" w:eastAsia="Arial" w:hAnsi="Arial"/>
          <w:sz w:val="18"/>
          <w:szCs w:val="18"/>
          <w:color w:val="auto"/>
        </w:rPr>
      </w:pPr>
    </w:p>
    <w:p>
      <w:pPr>
        <w:ind w:firstLine="1305"/>
        <w:spacing w:after="0" w:line="273" w:lineRule="auto"/>
        <w:tabs>
          <w:tab w:leader="none" w:pos="20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(18) or the preceding clauses (1) through (17).</w:t>
      </w:r>
    </w:p>
    <w:p>
      <w:pPr>
        <w:spacing w:after="0" w:line="178"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Transaction</w:t>
      </w:r>
      <w:r>
        <w:rPr>
          <w:rFonts w:ascii="Arial" w:cs="Arial" w:eastAsia="Arial" w:hAnsi="Arial"/>
          <w:sz w:val="16"/>
          <w:szCs w:val="16"/>
          <w:color w:val="auto"/>
        </w:rPr>
        <w:t>” means any transaction or series of transactions entered into by the Company or any of its Domestic Restricted Subsidiaries in order to monetize or otherwise finance Receivables Assets or other transactions evidenced by revolving credit agreements, receivables purchase agreements, receivables sales agreements, factoring agreements and other similar agreements pursuant to which Receivables Assets are financed or are sold at a discount (in each case whether now existing or arising in the future), and which may include a grant of a security interest in any such Receivables Assets (whether now existing or arising in the future) of the Company or any of its Domestic Restricted Subsidiaries, including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A Permitted Receivables Transaction must either (1) be non-recourse to the Company and its Domestic Restricted Subsidiaries (other than for limited recourse provisions in respect of the applicable Receivables Assets or otherwise that are customary where the primary recourse is the Receivables Assets) or (2) provide for discount and/or advance rates, as applicable, that, taken together, for any transaction or series of related transactions are consistent with customary industry practices or that are not materially more favorable to the Company and its Domestic Restricted Subsidiaries, as applicable, than those that are consistent with non-recourse financing arrangements (other than for limited recourse provisions in respect of the applicable Receivables Assets or otherwise that are customary where the primary recourse is the Receivables Assets) in view of the quality of the underlying Receivables Assets.</w:t>
      </w:r>
    </w:p>
    <w:p>
      <w:pPr>
        <w:spacing w:after="0" w:line="169"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Company and its Consolidated Subsidiaries taken as a whole) not to be material to the business of the Company and its Consolidated Subsidiaries, taken as a whole.</w:t>
      </w:r>
    </w:p>
    <w:p>
      <w:pPr>
        <w:spacing w:after="0" w:line="171"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Ratings Decline Period</w:t>
      </w:r>
      <w:r>
        <w:rPr>
          <w:rFonts w:ascii="Arial" w:cs="Arial" w:eastAsia="Arial" w:hAnsi="Arial"/>
          <w:sz w:val="17"/>
          <w:szCs w:val="17"/>
          <w:color w:val="auto"/>
        </w:rPr>
        <w:t xml:space="preserve">” means, with respect to any Change of Control, the period that (1) begins on the earlier of (a) the date of the first public announcement of the occurrence of such Change of Control or of the intention by the Company or a stockholder of the Company, as applicable, to effect such Change of Control or (b) the occurrence of such Change of Control and (2) ends on the 60th calendar day following consummation of such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period shall be extended for so long as the rating of the Notes, as noted by the applicable rating agency, is under publicly announced consideration for downgrade by the applicable rating agency.</w:t>
      </w:r>
    </w:p>
    <w:p>
      <w:pPr>
        <w:spacing w:after="0" w:line="173"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Assets</w:t>
      </w:r>
      <w:r>
        <w:rPr>
          <w:rFonts w:ascii="Arial" w:cs="Arial" w:eastAsia="Arial" w:hAnsi="Arial"/>
          <w:sz w:val="16"/>
          <w:szCs w:val="16"/>
          <w:color w:val="auto"/>
        </w:rPr>
        <w:t>” means accounts receivable, indebtedness and other obligations owed to or owned by the Company or any Domestic Restricted Subsidiary (whether now existing or arising or acquired in the future) arising in the ordinary course of business from the sale of goods or services (including any indebtedness or other obligation constituting an account, chattel paper, instrument or general intangible), and inventory, together with all related security, collateral, collections, contracts, contract rights, guarantees or other obligations in respect thereof and related deposit accounts, all proceeds and supporting obligations and all other related assets which are of the type customarily transferred in connection with a sale, factoring, financing or securitization transaction involving accounts receivable or inventory. For the avoidance of doubt, Receivables Assets includes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Terms used in the foregoing definition of Receivables Assets or Permitted Receivables Transaction that are defined in Article 9 of the UCC, including the terms accounts, inventory, chattel paper, deposit accounts, general intangibles, proceeds and supporting obligations, have the meaning assigned to them therein.</w:t>
      </w:r>
    </w:p>
    <w:p>
      <w:pPr>
        <w:spacing w:after="0" w:line="169"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or Additional Interest, if any, payable on any applicable Interest Payment Date means January 1 or July 1 (whether or not a Business Day) next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Note to be redeemed, means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two primary U.S. Government securities dealers selected by the Company, which may include any of Morgan Stanley &amp; Co. LLC, Goldman, Sachs &amp; Co. or Credit Suisse Securities (USA) LLC, and each of their respective successors. If any of the foregoing shall cease to be a primary U.S. Government securities dealer, the Company will substitute another nationally recognized investment banking firm that is a primary U.S. Government securities dealer.</w:t>
      </w:r>
    </w:p>
    <w:p>
      <w:pPr>
        <w:spacing w:after="0" w:line="187" w:lineRule="exact"/>
        <w:rPr>
          <w:sz w:val="20"/>
          <w:szCs w:val="20"/>
          <w:color w:val="auto"/>
        </w:rPr>
      </w:pPr>
    </w:p>
    <w:p>
      <w:pPr>
        <w:ind w:right="4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on any redemption date, the arithmetic average, as determined by the Company, of the bid and asked prices for the Comparable Treasury Issue (expressed in each case as a percentage of its principal amount) quoted in writing to the Company by each</w:t>
      </w:r>
    </w:p>
    <w:p>
      <w:pPr>
        <w:sectPr>
          <w:pgSz w:w="11900" w:h="16850" w:orient="portrait"/>
          <w:cols w:equalWidth="0" w:num="1">
            <w:col w:w="11400"/>
          </w:cols>
          <w:pgMar w:left="240" w:top="125" w:right="259" w:bottom="0" w:gutter="0" w:footer="0" w:header="0"/>
        </w:sectPr>
      </w:pPr>
    </w:p>
    <w:bookmarkStart w:id="12" w:name="page13"/>
    <w:bookmarkEnd w:id="12"/>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Reference Treasury Dealer at 3:30 p.m., New York City time, on the third Business Day preceding that redemption date.</w:t>
      </w:r>
    </w:p>
    <w:p>
      <w:pPr>
        <w:spacing w:after="0" w:line="225"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any officer within the corporate trust department of the Trustee who shall have direct responsibility for the administration of this Indenture and also means, with respect to a particular corporate trust matter hereunder, any other officer of the Trustee to whom such matter is referred because of such person’s knowledge of and familiarity with the particular subject.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means the first legend set forth in Section 2.3(e)(i) of Appendix A to this Indenture.</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shall mean each Subsidiary of the Company other than an Excluded Subsidiary, at least 80% of the Voting Stock of which is owned by the Company or one or more Subsidiaries of which at least 80% of the Voting Stock is owned directly or indirectly by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foregoing, any Voting Stock owned by a Subsidiary of the Company that is not a Restricted Subsidiary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clause shall be excluded.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a division of The McGraw-Hill Companies, Inc., and any successor to its rating agency business.</w:t>
      </w:r>
    </w:p>
    <w:p>
      <w:pPr>
        <w:spacing w:after="0" w:line="237"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from time to time constituted, created under the Exchange Act, or, if at any time after the execution of this Indenture such SEC is not existing and performing the duties now assigned to it under the Trust Indenture Act, then the body performing such duties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is a “significant subsidiary” of the Company as defined under clauses (1) or (2) of Rule 1-02(w) of Regulation S-X under the Exchange Act; provided that references to “10 percent” in clauses (1) and (2) of such definition shall be replaced with “20 percent”.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Notes or any installment of interest thereon, the date specified in such Note as the fixed date on which the principal amount of such Note or such installment of interest is due and payable.</w:t>
      </w:r>
    </w:p>
    <w:p>
      <w:pPr>
        <w:spacing w:after="0" w:line="170"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Restricted Notes</w:t>
      </w:r>
      <w:r>
        <w:rPr>
          <w:rFonts w:ascii="Arial" w:cs="Arial" w:eastAsia="Arial" w:hAnsi="Arial"/>
          <w:sz w:val="16"/>
          <w:szCs w:val="16"/>
          <w:color w:val="auto"/>
        </w:rPr>
        <w:t>” means Definitive Notes and any other Notes that bear or are required to bear the Restricted Notes Legend.</w:t>
      </w:r>
    </w:p>
    <w:p>
      <w:pPr>
        <w:spacing w:after="0" w:line="24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 to maturity (computed as of the third Business Day immediately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preceding that redemption date) of the Comparable Treasury Issue, assuming a price for the Comparable Treasury Issue (expressed as a percentage of its principal amount) equal to the Comparable Treasury Price for that redemption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 (15 U.S.C. §§ 77aaa-777bbbb).</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420" w:firstLine="135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Section 1.02</w:t>
            </w:r>
          </w:p>
        </w:tc>
        <w:tc>
          <w:tcPr>
            <w:tcW w:w="5880" w:type="dxa"/>
            <w:vAlign w:val="bottom"/>
            <w:gridSpan w:val="4"/>
          </w:tcPr>
          <w:p>
            <w:pPr>
              <w:ind w:left="140"/>
              <w:spacing w:after="0"/>
              <w:rPr>
                <w:sz w:val="20"/>
                <w:szCs w:val="20"/>
                <w:color w:val="auto"/>
              </w:rPr>
            </w:pPr>
            <w:r>
              <w:rPr>
                <w:rFonts w:ascii="Arial" w:cs="Arial" w:eastAsia="Arial" w:hAnsi="Arial"/>
                <w:sz w:val="18"/>
                <w:szCs w:val="18"/>
                <w:color w:val="auto"/>
              </w:rPr>
              <w:t>Other Definitions.</w:t>
            </w:r>
          </w:p>
        </w:tc>
        <w:tc>
          <w:tcPr>
            <w:tcW w:w="4380" w:type="dxa"/>
            <w:vAlign w:val="bottom"/>
          </w:tcPr>
          <w:p>
            <w:pPr>
              <w:spacing w:after="0"/>
              <w:rPr>
                <w:sz w:val="18"/>
                <w:szCs w:val="18"/>
                <w:color w:val="auto"/>
              </w:rPr>
            </w:pPr>
          </w:p>
        </w:tc>
      </w:tr>
      <w:tr>
        <w:trPr>
          <w:trHeight w:val="38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4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r>
      <w:tr>
        <w:trPr>
          <w:trHeight w:val="210"/>
        </w:trPr>
        <w:tc>
          <w:tcPr>
            <w:tcW w:w="6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Interest Notice”</w:t>
            </w: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4.13</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“Agent Members”</w:t>
            </w: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2.1(c)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“Applicable Procedures”</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“Authentication Order”</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2.02(c)</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“Clearstream”</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“Definitive Notes Legend”</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“DTC”</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2.03(b)</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“Euroclear”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“Event of Default”</w:t>
            </w:r>
          </w:p>
        </w:tc>
        <w:tc>
          <w:tcPr>
            <w:tcW w:w="4380" w:type="dxa"/>
            <w:vAlign w:val="bottom"/>
          </w:tcPr>
          <w:p>
            <w:pPr>
              <w:jc w:val="center"/>
              <w:spacing w:after="0"/>
              <w:rPr>
                <w:sz w:val="20"/>
                <w:szCs w:val="20"/>
                <w:color w:val="auto"/>
              </w:rPr>
            </w:pPr>
            <w:r>
              <w:rPr>
                <w:rFonts w:ascii="Arial" w:cs="Arial" w:eastAsia="Arial" w:hAnsi="Arial"/>
                <w:sz w:val="18"/>
                <w:szCs w:val="18"/>
                <w:color w:val="auto"/>
                <w:w w:val="85"/>
              </w:rPr>
              <w:t>6.01</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1.05(j)</w:t>
            </w:r>
          </w:p>
        </w:tc>
      </w:tr>
    </w:tbl>
    <w:p>
      <w:pPr>
        <w:sectPr>
          <w:pgSz w:w="11900" w:h="16843" w:orient="portrait"/>
          <w:cols w:equalWidth="0" w:num="1">
            <w:col w:w="11420"/>
          </w:cols>
          <w:pgMar w:left="240" w:top="34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“Global Note”</w:t>
            </w: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20"/>
                <w:szCs w:val="20"/>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“IAI”</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Payment Date”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Exhibit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“Note Register”</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“offer”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“Offer Expiration Date”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“Offer to Purchase”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“Paying Agent”</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amount”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8"/>
              </w:rPr>
              <w:t>“purchase date”</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2"/>
              </w:rPr>
              <w:t>“Purchase Price”</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“QIB”</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“Regulation S”</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43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r>
      <w:tr>
        <w:trPr>
          <w:trHeight w:val="21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“Rule 144”</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“Rule 144A”</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“Rule 501”</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“Rule 904”</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“Subsidiary Debt”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4.07(a)</w:t>
            </w:r>
          </w:p>
        </w:tc>
        <w:tc>
          <w:tcPr>
            <w:tcW w:w="40" w:type="dxa"/>
            <w:vAlign w:val="bottom"/>
          </w:tcPr>
          <w:p>
            <w:pPr>
              <w:spacing w:after="0"/>
              <w:rPr>
                <w:sz w:val="18"/>
                <w:szCs w:val="18"/>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“Successor Company”</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5.01(a)</w:t>
            </w:r>
          </w:p>
        </w:tc>
        <w:tc>
          <w:tcPr>
            <w:tcW w:w="40" w:type="dxa"/>
            <w:vAlign w:val="bottom"/>
          </w:tcPr>
          <w:p>
            <w:pPr>
              <w:spacing w:after="0"/>
              <w:rPr>
                <w:sz w:val="20"/>
                <w:szCs w:val="20"/>
                <w:color w:val="auto"/>
              </w:rPr>
            </w:pP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3580" w:type="dxa"/>
            <w:vAlign w:val="bottom"/>
            <w:gridSpan w:val="3"/>
          </w:tcPr>
          <w:p>
            <w:pPr>
              <w:ind w:left="40"/>
              <w:spacing w:after="0"/>
              <w:rPr>
                <w:sz w:val="20"/>
                <w:szCs w:val="20"/>
                <w:color w:val="auto"/>
              </w:rPr>
            </w:pPr>
            <w:r>
              <w:rPr>
                <w:rFonts w:ascii="Arial" w:cs="Arial" w:eastAsia="Arial" w:hAnsi="Arial"/>
                <w:sz w:val="18"/>
                <w:szCs w:val="18"/>
                <w:color w:val="auto"/>
              </w:rPr>
              <w:t>Rules of Construction.</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Unless the context otherwise requires: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32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 and a term used herein that is defined in the Trust Indenture Act, either directly or by reference therein, shall have the meaning assigned to it therein;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right="34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the Exchange Act or the Trust Indenture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rFonts w:ascii="Arial" w:cs="Arial" w:eastAsia="Arial" w:hAnsi="Arial"/>
          <w:sz w:val="18"/>
          <w:szCs w:val="18"/>
          <w:color w:val="auto"/>
        </w:rPr>
      </w:pPr>
    </w:p>
    <w:p>
      <w:pPr>
        <w:ind w:left="660" w:right="52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and states that such provision is applicable to this Indenture, the provision is incorporated by reference in and made a part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w:t>
      </w:r>
    </w:p>
    <w:p>
      <w:pPr>
        <w:sectPr>
          <w:pgSz w:w="11900" w:h="16838" w:orient="portrait"/>
          <w:cols w:equalWidth="0" w:num="1">
            <w:col w:w="11460"/>
          </w:cols>
          <w:pgMar w:left="240" w:top="125" w:right="199" w:bottom="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means the Company and any successor obligor upon the Notes.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3" w:lineRule="auto"/>
        <w:tabs>
          <w:tab w:leader="none" w:pos="1942"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received by the Trustee and, where it is hereby expressly required, to the Company. Proof of execution of any such instrument or of a writing appointing any such agent, or the holding by any Person of a Note, shall be sufficient for any purpose of this Indenture and (subject to Section 7.01) conclusive in favor of the Trustee and the Company, if made in the manner provided in this Section 1.05.</w:t>
      </w:r>
    </w:p>
    <w:p>
      <w:pPr>
        <w:spacing w:after="0" w:line="178" w:lineRule="exact"/>
        <w:rPr>
          <w:rFonts w:ascii="Arial" w:cs="Arial" w:eastAsia="Arial" w:hAnsi="Arial"/>
          <w:sz w:val="17"/>
          <w:szCs w:val="17"/>
          <w:color w:val="auto"/>
        </w:rPr>
      </w:pPr>
    </w:p>
    <w:p>
      <w:pPr>
        <w:ind w:firstLine="1305"/>
        <w:spacing w:after="0" w:line="273" w:lineRule="auto"/>
        <w:tabs>
          <w:tab w:leader="none" w:pos="19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or other manner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ind w:right="180" w:firstLine="1305"/>
        <w:spacing w:after="0" w:line="264"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any action taken, suffered or omitted by the Trustee or the Company in reliance thereon, whether or not notation of such action is made upon such Note.</w:t>
      </w:r>
    </w:p>
    <w:p>
      <w:pPr>
        <w:spacing w:after="0" w:line="248" w:lineRule="exact"/>
        <w:rPr>
          <w:sz w:val="20"/>
          <w:szCs w:val="20"/>
          <w:color w:val="auto"/>
        </w:rPr>
      </w:pPr>
    </w:p>
    <w:p>
      <w:pPr>
        <w:ind w:right="180" w:firstLine="1305"/>
        <w:spacing w:after="0" w:line="286" w:lineRule="auto"/>
        <w:tabs>
          <w:tab w:leader="none" w:pos="1955"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Company may, in the circumstances permitted by the Trust Indenture Act, set a record date for purposes of determining the identity of Holders entitled to make, give or take any request, demand, authorization, direction, notice, consent, waiver or other action provided in this Indenture to be made, or to vote on any action authorized or permitted to be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clause</w:t>
      </w:r>
    </w:p>
    <w:p>
      <w:pPr>
        <w:spacing w:after="0" w:line="1" w:lineRule="exact"/>
        <w:rPr>
          <w:rFonts w:ascii="Arial" w:cs="Arial" w:eastAsia="Arial" w:hAnsi="Arial"/>
          <w:sz w:val="16"/>
          <w:szCs w:val="16"/>
          <w:color w:val="auto"/>
        </w:rPr>
      </w:pPr>
    </w:p>
    <w:p>
      <w:pPr>
        <w:ind w:right="20" w:firstLine="8"/>
        <w:spacing w:after="0" w:line="251" w:lineRule="auto"/>
        <w:tabs>
          <w:tab w:leader="none" w:pos="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below. Unless otherwise specified, if not set by the Company prior to the first solicitation of a Holder made by any Person in respect of any such action, or in the case of any such vote, prior to such vote, any such record date shall be the later of 20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whether or not such Holders remain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Company, at its own expense, shall cause notice of such record date, the proposed action to be taken by Holders and the applicable Expiration Date to be given to the Trustee and to each Holder in the manner set forth in Section 10.02.</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Trustee may set any day as a record date for the purpose of determining the Holders entitled to join in the giving or making of</w:t>
      </w:r>
    </w:p>
    <w:p>
      <w:pPr>
        <w:spacing w:after="0" w:line="46"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(1) any Notice of Default, (2) any declaration of acceleration referred to in Section 6.02, (3) any direction referred to in Section 6.05 or (4) any request to institute proceedings referred to in Section 6.06(a) and shall incur no liability whatsoever for the setting of such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10.02.</w:t>
      </w:r>
    </w:p>
    <w:p>
      <w:pPr>
        <w:spacing w:after="0" w:line="168" w:lineRule="exact"/>
        <w:rPr>
          <w:rFonts w:ascii="Arial" w:cs="Arial" w:eastAsia="Arial" w:hAnsi="Arial"/>
          <w:sz w:val="16"/>
          <w:szCs w:val="16"/>
          <w:color w:val="auto"/>
        </w:rPr>
      </w:pPr>
    </w:p>
    <w:p>
      <w:pPr>
        <w:ind w:firstLine="1305"/>
        <w:spacing w:after="0" w:line="302" w:lineRule="auto"/>
        <w:tabs>
          <w:tab w:leader="none" w:pos="1965"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54" w:lineRule="exact"/>
        <w:rPr>
          <w:rFonts w:ascii="Arial" w:cs="Arial" w:eastAsia="Arial" w:hAnsi="Arial"/>
          <w:sz w:val="16"/>
          <w:szCs w:val="16"/>
          <w:color w:val="auto"/>
        </w:rPr>
      </w:pPr>
    </w:p>
    <w:p>
      <w:pPr>
        <w:ind w:firstLine="1305"/>
        <w:spacing w:after="0" w:line="279" w:lineRule="auto"/>
        <w:tabs>
          <w:tab w:leader="none" w:pos="1952" w:val="left"/>
        </w:tabs>
        <w:numPr>
          <w:ilvl w:val="1"/>
          <w:numId w:val="19"/>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15" w:name="page16"/>
    <w:bookmarkEnd w:id="15"/>
    <w:p>
      <w:pPr>
        <w:ind w:right="160" w:firstLine="1305"/>
        <w:spacing w:after="0" w:line="255" w:lineRule="auto"/>
        <w:tabs>
          <w:tab w:leader="none" w:pos="19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 record date is fixed, only the Holders on such record date or their duly appointed proxy or proxies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effective hereunder unless made, given or taken on or prior to the applicable Expiration Date.</w:t>
      </w:r>
    </w:p>
    <w:p>
      <w:pPr>
        <w:spacing w:after="0" w:line="189" w:lineRule="exact"/>
        <w:rPr>
          <w:rFonts w:ascii="Arial" w:cs="Arial" w:eastAsia="Arial" w:hAnsi="Arial"/>
          <w:sz w:val="18"/>
          <w:szCs w:val="18"/>
          <w:color w:val="auto"/>
        </w:rPr>
      </w:pPr>
    </w:p>
    <w:p>
      <w:pPr>
        <w:ind w:firstLine="1305"/>
        <w:spacing w:after="0" w:line="273" w:lineRule="auto"/>
        <w:tabs>
          <w:tab w:leader="none" w:pos="19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any record date set pursuant to this Section 1.05, the party hereto that sets such record dates may designate any day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and from time to time may change the Expiration Date to any earlier or later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Notes in the manner set forth in Section 10.02, on or prior to the existing Expiration Date. If an Expiration Date is not designated with respect to any record date set pursuant to this Section 1.05, the party hereto which set such record date shall be deemed to have initially designated the 120th day after such record date as the Expiration Date with respect thereto, subject to its right to change the Expiration Date as provided in this clause (j).</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relating to the Initial Notes and Additional Notes are set forth in Appendix A hereto,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is 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minimum denominations of $2,000 and integral multiples of $1,000 in excess thereof.</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25"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The Notes shall be subject to repurchase by the Company at the option of the Holders pursuant to an Offer to Purchase as provided in Section 4.11. The Notes shall not be redeemable, other than as provided in Article 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Additional Notes may be created and issued from time to time by the Company without notice to or consent of the Holders and shall be consolidated with and form a single class with the Initial Notes and shall have the same terms as to ranking, status, redemption or otherwise as the Initial Notes (other than issue price or the payment of interest accruing prior to the issue date of such Additional Notes except for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Notes for U.S. federal income tax purposes, then the Additional Notes will have a separate CUSIP number. Any Additional Notes shall be issued with the benefit of an indenture supplemental to this Indenture.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right="440" w:firstLine="1305"/>
        <w:spacing w:after="0" w:line="277" w:lineRule="auto"/>
        <w:tabs>
          <w:tab w:leader="none" w:pos="19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0" w:lineRule="exact"/>
        <w:rPr>
          <w:rFonts w:ascii="Arial" w:cs="Arial" w:eastAsia="Arial" w:hAnsi="Arial"/>
          <w:sz w:val="18"/>
          <w:szCs w:val="18"/>
          <w:color w:val="auto"/>
        </w:rPr>
      </w:pPr>
    </w:p>
    <w:p>
      <w:pPr>
        <w:ind w:right="560" w:firstLine="1305"/>
        <w:spacing w:after="0" w:line="264"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spacing w:after="0" w:line="181" w:lineRule="exact"/>
        <w:rPr>
          <w:rFonts w:ascii="Arial" w:cs="Arial" w:eastAsia="Arial" w:hAnsi="Arial"/>
          <w:sz w:val="18"/>
          <w:szCs w:val="18"/>
          <w:color w:val="auto"/>
        </w:rPr>
      </w:pPr>
    </w:p>
    <w:p>
      <w:pPr>
        <w:ind w:right="20" w:firstLine="1305"/>
        <w:spacing w:after="0" w:line="259"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the Issue Date, the Trustee shall, upon receipt of a written order of the Company signed by an Officer (an “</w:t>
      </w: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authenticate and deliver Initial Notes bearing the Restricted Notes Legend.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86" w:lineRule="exact"/>
        <w:rPr>
          <w:rFonts w:ascii="Arial" w:cs="Arial" w:eastAsia="Arial" w:hAnsi="Arial"/>
          <w:sz w:val="18"/>
          <w:szCs w:val="18"/>
          <w:color w:val="auto"/>
        </w:rPr>
      </w:pPr>
    </w:p>
    <w:p>
      <w:pPr>
        <w:jc w:val="both"/>
        <w:ind w:right="120" w:firstLine="1305"/>
        <w:spacing w:after="0" w:line="286" w:lineRule="auto"/>
        <w:tabs>
          <w:tab w:leader="none" w:pos="19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and at least one office or agency where Notes may be presented for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Company may appoint one or more co-registrars and one or more additional paying agents. The term “</w:t>
      </w:r>
      <w:r>
        <w:rPr>
          <w:rFonts w:ascii="Arial" w:cs="Arial" w:eastAsia="Arial" w:hAnsi="Arial"/>
          <w:sz w:val="18"/>
          <w:szCs w:val="18"/>
          <w:u w:val="single" w:color="auto"/>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u w:val="single" w:color="auto"/>
          <w:color w:val="auto"/>
        </w:rPr>
        <w:t>Paying Agent</w:t>
      </w:r>
      <w:r>
        <w:rPr>
          <w:rFonts w:ascii="Arial" w:cs="Arial" w:eastAsia="Arial" w:hAnsi="Arial"/>
          <w:sz w:val="18"/>
          <w:szCs w:val="18"/>
          <w:color w:val="auto"/>
        </w:rPr>
        <w:t>” includes any additional paying agent. The Company may rescind or change any Paying Agent or Registrar without prior notice to any Holder. The Company shall notify the Trustee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ectPr>
          <w:pgSz w:w="11900" w:h="16838" w:orient="portrait"/>
          <w:cols w:equalWidth="0" w:num="1">
            <w:col w:w="11380"/>
          </w:cols>
          <w:pgMar w:left="240" w:top="341" w:right="279" w:bottom="0" w:gutter="0" w:footer="0" w:header="0"/>
        </w:sectPr>
      </w:pPr>
    </w:p>
    <w:bookmarkStart w:id="16" w:name="page17"/>
    <w:bookmarkEnd w:id="16"/>
    <w:p>
      <w:pPr>
        <w:spacing w:after="0" w:line="36" w:lineRule="exact"/>
        <w:rPr>
          <w:sz w:val="20"/>
          <w:szCs w:val="20"/>
          <w:color w:val="auto"/>
        </w:rPr>
      </w:pPr>
    </w:p>
    <w:p>
      <w:pPr>
        <w:jc w:val="both"/>
        <w:ind w:right="240" w:firstLine="1305"/>
        <w:spacing w:after="0" w:line="342" w:lineRule="auto"/>
        <w:tabs>
          <w:tab w:leader="none" w:pos="19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The Company initially appoints the Trustee to act as the Paying Agent and Registrar for the Notes and to act as Custodian with respect to the Global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of and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the Paying Agent shall hold in trust for the benefit of Holders or the Trustee all money held by the Paying Agent for the payment of principal of and premium, if any,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and the Company shall otherwise comply with Trust Indenture Act Section 312(a).</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70" w:lineRule="exact"/>
        <w:rPr>
          <w:rFonts w:ascii="Arial" w:cs="Arial" w:eastAsia="Arial" w:hAnsi="Arial"/>
          <w:sz w:val="18"/>
          <w:szCs w:val="18"/>
          <w:color w:val="auto"/>
        </w:rPr>
      </w:pPr>
    </w:p>
    <w:p>
      <w:pPr>
        <w:jc w:val="both"/>
        <w:ind w:right="320" w:firstLine="1305"/>
        <w:spacing w:after="0" w:line="259"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 2.10, 3.06, 4.11 and 9.05).</w:t>
      </w:r>
    </w:p>
    <w:p>
      <w:pPr>
        <w:spacing w:after="0" w:line="186"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jc w:val="both"/>
        <w:ind w:right="300" w:firstLine="1305"/>
        <w:spacing w:after="0" w:line="264"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Company nor the Trustee shall be required (1) to issue, to register the transfer of or to exchange any Notes during a period beginning at the opening of business 15 days before the day of sending of a notice of redemption of Notes for redemption under Section 3.02 or the making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 Offer to Purchase and ending at the close of business on the day of such sending, (2) to register the transfer of or to exchange any Note so selected for redemption or subject to purchase in an Offer to Purchase in whole or in part, except the unredeemed or unpurchased portion of any Note being redeemed or purchased in part or (3) if a redemption or purchase pursuant to an Offer to Purchase is to occur after a Record Date but on or before the corresponding Interest Payment Date, to register the transfer of or exchange any Note on or after the Record Date and before the date of redemption or purchase.</w:t>
      </w:r>
    </w:p>
    <w:p>
      <w:pPr>
        <w:spacing w:after="0" w:line="154" w:lineRule="exact"/>
        <w:rPr>
          <w:sz w:val="20"/>
          <w:szCs w:val="20"/>
          <w:color w:val="auto"/>
        </w:rPr>
      </w:pPr>
    </w:p>
    <w:p>
      <w:pPr>
        <w:ind w:firstLine="1305"/>
        <w:spacing w:after="0" w:line="312" w:lineRule="auto"/>
        <w:tabs>
          <w:tab w:leader="none" w:pos="19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auto"/>
        </w:rPr>
      </w:pPr>
    </w:p>
    <w:p>
      <w:pPr>
        <w:ind w:firstLine="1305"/>
        <w:spacing w:after="0" w:line="264" w:lineRule="auto"/>
        <w:tabs>
          <w:tab w:leader="none" w:pos="19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181"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Section 2.02.</w:t>
      </w:r>
    </w:p>
    <w:p>
      <w:pPr>
        <w:spacing w:after="0" w:line="171" w:lineRule="exact"/>
        <w:rPr>
          <w:rFonts w:ascii="Arial" w:cs="Arial" w:eastAsia="Arial" w:hAnsi="Arial"/>
          <w:sz w:val="17"/>
          <w:szCs w:val="17"/>
          <w:color w:val="auto"/>
        </w:rPr>
      </w:pPr>
    </w:p>
    <w:p>
      <w:pPr>
        <w:ind w:right="160" w:firstLine="1305"/>
        <w:spacing w:after="0" w:line="308" w:lineRule="auto"/>
        <w:tabs>
          <w:tab w:leader="none" w:pos="196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certifications, certificates and Opinions of Counsel required to be submitted to the Registrar pursuant to this Section 2.06 and Appendix A to effect a registration of transfer or exchange may be submitted by mail or by facsimile or electronic transmission.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ectPr>
          <w:pgSz w:w="11900" w:h="16874" w:orient="portrait"/>
          <w:cols w:equalWidth="0" w:num="1">
            <w:col w:w="11420"/>
          </w:cols>
          <w:pgMar w:left="240" w:top="341" w:right="239" w:bottom="0" w:gutter="0" w:footer="0" w:header="0"/>
        </w:sectPr>
      </w:pPr>
    </w:p>
    <w:bookmarkStart w:id="17" w:name="page18"/>
    <w:bookmarkEnd w:id="17"/>
    <w:p>
      <w:pPr>
        <w:spacing w:after="0" w:line="13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met.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8"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 Note is replaced pursuant to Section 2.07, it ceases to be outstanding unless the Trustee receives proof satisfactory to it that the replaced Note is held by a protected purchaser, as such term is defined in Section 8-303 of the UCC in effect in the State of New York.</w:t>
      </w:r>
    </w:p>
    <w:p>
      <w:pPr>
        <w:spacing w:after="0" w:line="146" w:lineRule="exact"/>
        <w:rPr>
          <w:rFonts w:ascii="Arial" w:cs="Arial" w:eastAsia="Arial" w:hAnsi="Arial"/>
          <w:sz w:val="17"/>
          <w:szCs w:val="17"/>
          <w:color w:val="auto"/>
        </w:rPr>
      </w:pPr>
    </w:p>
    <w:p>
      <w:pPr>
        <w:ind w:right="80" w:firstLine="1305"/>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from and after such date it ceases to be outstanding and interest on it ceases to accrue.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Paying Agent (other than the Company, a Subsidiary or an Affiliate of any thereof) holds, on the maturity date, any redemption 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In determining whether the Holders of the requisite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(subject to the record retention requirement of the Exchange Act). The Company may not issue new Notes to replace Notes that it has paid or that have been delivered to the Trustee for cancellation.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342" w:lineRule="auto"/>
        <w:tabs>
          <w:tab w:leader="none" w:pos="19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provided in the Notes and in Section 4.01. The Company shall notify the Trustee in an Officers’ Certificate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Company of such special record date. At least 10 days before the special record date, the Company (or, upon the written request of the Company, the Trustee in the name and at the expense of the Company) shall send, or cause to be sent to each Holder a notice that states the special record date, the related payment date and the amount of such interest to be paid.</w:t>
      </w:r>
    </w:p>
    <w:p>
      <w:pPr>
        <w:spacing w:after="0" w:line="182" w:lineRule="exact"/>
        <w:rPr>
          <w:sz w:val="20"/>
          <w:szCs w:val="20"/>
          <w:color w:val="auto"/>
        </w:rPr>
      </w:pPr>
    </w:p>
    <w:p>
      <w:pPr>
        <w:ind w:right="280" w:firstLine="1305"/>
        <w:spacing w:after="0" w:line="342" w:lineRule="auto"/>
        <w:tabs>
          <w:tab w:leader="none" w:pos="19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w:t>
      </w:r>
    </w:p>
    <w:p>
      <w:pPr>
        <w:sectPr>
          <w:pgSz w:w="11900" w:h="16975" w:orient="portrait"/>
          <w:cols w:equalWidth="0" w:num="1">
            <w:col w:w="11420"/>
          </w:cols>
          <w:pgMar w:left="240" w:top="34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were carried by such other Note.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and ISIN Numbers</w:t>
      </w:r>
      <w:r>
        <w:rPr>
          <w:rFonts w:ascii="Arial" w:cs="Arial" w:eastAsia="Arial" w:hAnsi="Arial"/>
          <w:sz w:val="16"/>
          <w:szCs w:val="16"/>
          <w:color w:val="auto"/>
        </w:rPr>
        <w:t>Section 2.14.</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and/or ISIN numbers (if then generally in use) and, if so, the Trustee shall use CUSIP and/or ISIN numbers in notices of redemption or exchange or in Offers to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of Offer to Purchase shall not be affected by any defect in or omission of such numbers. The Company shall as promptly as practicable notify the Trustee of any change that the Company is aware of in the CUSIP or ISIN numbers.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the Company elects to redeem Notes pursuant to Section 3.07, it shall furnish to the Trustee, at least five Business Days before notice of redemption is required to be sent or caused to be sent to Holders pursuant to Section 3.03 (unless a shorter period shall be agreed to by the Trustee) but not more than 60 days before a redemption date, an Officers’ Certificate setting forth (1) the paragraph or subparagraph of such Note and/or Section of this Indenture pursuant to which the redemption shall occur, (2) the redemption date, (3) the principal amount of the Notes to be redeemed and (4) the Redemption Price.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25" w:lineRule="exact"/>
        <w:rPr>
          <w:sz w:val="20"/>
          <w:szCs w:val="20"/>
          <w:color w:val="auto"/>
        </w:rPr>
      </w:pPr>
    </w:p>
    <w:p>
      <w:pPr>
        <w:jc w:val="both"/>
        <w:ind w:right="260" w:firstLine="1305"/>
        <w:spacing w:after="0" w:line="286" w:lineRule="auto"/>
        <w:tabs>
          <w:tab w:leader="none" w:pos="194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less than all of the Notes are to be so redeemed pursuant to Section 3.07 or purchased in an Offer to Purchase at any time, the Trustee shall select the Notes or portions thereof to be redeemed or purchased (1) if the Notes are listed on any national securities exchange, in compliance with the requirements of the principal national securities exchange on which the Notes are listed or (2) if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shall deem fair and appropriate, subject to The Depository Trust Company, Euroclear and/or Clearstream procedures as applicable. In the event of partial redemption or purchase by lot, the particular Notes to be redeemed or purchased shall be selected, unless otherwise provided herein, not less than 30 nor more than 60 days prior to the redemption date by the Trustee from the then outstanding Notes not previously called for redemption or purchase.</w:t>
      </w:r>
    </w:p>
    <w:p>
      <w:pPr>
        <w:spacing w:after="0" w:line="187" w:lineRule="exact"/>
        <w:rPr>
          <w:sz w:val="20"/>
          <w:szCs w:val="20"/>
          <w:color w:val="auto"/>
        </w:rPr>
      </w:pPr>
    </w:p>
    <w:p>
      <w:pPr>
        <w:ind w:right="80" w:firstLine="1305"/>
        <w:spacing w:after="0" w:line="273" w:lineRule="auto"/>
        <w:tabs>
          <w:tab w:leader="none" w:pos="19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minimum amounts of $2,000 and integral multiples of $1,000 in excess thereof; no Notes of $2,000 or less shall be redeemed in part, except that if all of the Notes of a Holder are to be redeemed or purchased, the entire outstanding amount of Notes held by such Holder, even if not $2,000 or an integral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rFonts w:ascii="Arial" w:cs="Arial" w:eastAsia="Arial" w:hAnsi="Arial"/>
          <w:sz w:val="17"/>
          <w:szCs w:val="17"/>
          <w:color w:val="auto"/>
        </w:rPr>
      </w:pPr>
    </w:p>
    <w:p>
      <w:pPr>
        <w:ind w:right="60" w:firstLine="1305"/>
        <w:spacing w:after="0" w:line="286" w:lineRule="auto"/>
        <w:tabs>
          <w:tab w:leader="none" w:pos="1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After the redemption date, upon surrender of a Note to be redeemed in part only, a new Note or Notes in principal amount equal to the unredeemed portion of the original Note representing the same Indebtedness to the extent not redeemed shall be issued in the name of the Holder of the Notes upon cancellation of the original Note (or appropriate book entries shall be made to reflect such partial redemption).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send, or cause to be sent (or, in the case of Notes held in book-entry form, by electronic transmission) notices of redemption of Notes at least 30 days but not more than 60 days before the redemption date to each Holder whose Notes are to be redeemed pursuant to this Article at such Holder’s registered address or otherwise in accordance with the procedures of the Depositary, except that redemption notices may be sent more than 60 days prior to a redemption date if the notice is issued in connection with Article 8. Except as set forth in Section 3.07(c), notices of redemption may not be conditional.</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notice shall identify the Notes (including CUSIP numbers) to be redeemed and shall state:</w:t>
      </w:r>
    </w:p>
    <w:p>
      <w:pPr>
        <w:spacing w:after="0" w:line="225" w:lineRule="exact"/>
        <w:rPr>
          <w:sz w:val="20"/>
          <w:szCs w:val="20"/>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Price, including the portion thereof representing any accrued and unpaid interest;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of that Note that is to be redeemed;</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360" w:firstLine="645"/>
        <w:spacing w:after="0" w:line="342" w:lineRule="auto"/>
        <w:tabs>
          <w:tab w:leader="none" w:pos="21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9" w:name="page20"/>
    <w:bookmarkEnd w:id="19"/>
    <w:p>
      <w:pPr>
        <w:ind w:left="2140" w:hanging="835"/>
        <w:spacing w:after="0"/>
        <w:tabs>
          <w:tab w:leader="none" w:pos="2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are being redeemed;</w:t>
      </w:r>
    </w:p>
    <w:p>
      <w:pPr>
        <w:spacing w:after="0" w:line="210" w:lineRule="exact"/>
        <w:rPr>
          <w:rFonts w:ascii="Arial" w:cs="Arial" w:eastAsia="Arial" w:hAnsi="Arial"/>
          <w:sz w:val="16"/>
          <w:szCs w:val="16"/>
          <w:color w:val="auto"/>
        </w:rPr>
      </w:pPr>
    </w:p>
    <w:p>
      <w:pPr>
        <w:ind w:left="660" w:right="280" w:firstLine="645"/>
        <w:spacing w:after="0" w:line="277" w:lineRule="auto"/>
        <w:tabs>
          <w:tab w:leader="none" w:pos="2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 if any, listed in such notice or printed on the Notes; and</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80" w:firstLine="1305"/>
        <w:spacing w:after="0" w:line="279" w:lineRule="auto"/>
        <w:tabs>
          <w:tab w:leader="none" w:pos="19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At the Company’s request, the Trustee shall give the notice of redemption in the Company’s name and at the Company’s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shall have delivered to the Trustee, at least five Business Days before notice of redemption is required to be sent or caused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Holders pursuant to this Section 3.03 (unless a shorter period shall be agreed to by the Trustee), an Officers’ Certificate requesting that the Trustee give such notice and setting forth the information to be stated in such notice as provided in the preceding paragraph.</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Once notice of redemption is sent in accordance with Section 3.03, Notes called for redemption become irrevocably due and payable on the redemption date at the Redemption Price (except as provided for in Section 3.07(c)).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2" w:lineRule="auto"/>
        <w:tabs>
          <w:tab w:leader="none" w:pos="19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Prior to 11:00 a.m. (New York City time) on the redemption or purchase date, the Company shall deposit with the Trustee or with the Paying Agent money sufficient to pay the redemption or purchase price of and accrued and unpaid interest on all Notes to be redeemed or purchased on that date. Subject to receipt of funds from the Company or the Trustee (as applicable), the Paying Agent shall promptly send to each Holder whose Notes are (and, in the case of an Offer to Purchase, if applicable, to holders of Indebtedness ranking pari passu with the Notes)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77" w:lineRule="exact"/>
        <w:rPr>
          <w:rFonts w:ascii="Arial" w:cs="Arial" w:eastAsia="Arial" w:hAnsi="Arial"/>
          <w:sz w:val="17"/>
          <w:szCs w:val="17"/>
          <w:color w:val="auto"/>
        </w:rPr>
      </w:pPr>
    </w:p>
    <w:p>
      <w:pPr>
        <w:ind w:firstLine="1305"/>
        <w:spacing w:after="0" w:line="285" w:lineRule="auto"/>
        <w:tabs>
          <w:tab w:leader="none" w:pos="19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Company complies with the provisions of Section 3.05(a), on and after the redemption or purchase date, interest shall cease to accrue on the Notes or the portions of Notes called for redemption or purchase on and after such date. If a Note is redeemed or purchased on or after a Record Date but on or prior to the related Interest Payment Date, then any accrued and unpaid interest, if any, to the redemption or purchase date shall be paid on the relevant Interest Payment Date to the Person in whose name such Note was registered at the close of business on such Record Date. If any Note called for redemption or purchase shall not be so paid upon surrender for redemption or purchase because of the failure of the Company to comply with</w:t>
      </w:r>
    </w:p>
    <w:p>
      <w:pPr>
        <w:spacing w:after="0" w:line="2" w:lineRule="exact"/>
        <w:rPr>
          <w:rFonts w:ascii="Arial" w:cs="Arial" w:eastAsia="Arial" w:hAnsi="Arial"/>
          <w:sz w:val="16"/>
          <w:szCs w:val="16"/>
          <w:color w:val="auto"/>
        </w:rPr>
      </w:pP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jc w:val="both"/>
        <w:ind w:right="40" w:firstLine="1305"/>
        <w:spacing w:after="0" w:line="259"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(1) The Notes may be redeemed, in whole or in part, at any time prior to May 1, 2018, at the option of the Company upon not less than 30 nor more than 60 days’ prior notice sent to each Holder, at a Redemption Price equal to 100% of the principal amount of the Notes redeemed plus the Make-Whole Premium as of, and accrued and unpaid interest, if any, to, the redemption date (subject to the right of Holders of record on the relevant record date to receive interest due on an interest payment date that is on or prior to the redemption date).</w:t>
      </w:r>
    </w:p>
    <w:p>
      <w:pPr>
        <w:spacing w:after="0" w:line="187" w:lineRule="exact"/>
        <w:rPr>
          <w:sz w:val="20"/>
          <w:szCs w:val="20"/>
          <w:color w:val="auto"/>
        </w:rPr>
      </w:pPr>
    </w:p>
    <w:p>
      <w:pPr>
        <w:jc w:val="both"/>
        <w:ind w:left="660" w:firstLine="645"/>
        <w:spacing w:after="0" w:line="279" w:lineRule="auto"/>
        <w:tabs>
          <w:tab w:leader="none" w:pos="19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any time on or after May 1, 2018, at the option of the Company upon not less than 30 nor more than 60 days’ prior notice sent to each Holder, the Company may redeem some or all of the Notes at the Redemption Prices (expressed in percentage of principal amount) set forth below, plus accrued and unpaid interest to, but excluding, the redemption date (subject to the right of Holders of record on the relevant record date to receive interest due on an interest payment date that is on or prior to the redemption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 Beginning May 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103.938%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102.625%</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101.313%</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660" w:right="100" w:firstLine="645"/>
        <w:spacing w:after="0" w:line="257" w:lineRule="auto"/>
        <w:tabs>
          <w:tab w:leader="none" w:pos="1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addition, at any time prior to May 1, 2018, the Company may redeem up to 35% of the principal amount of the outstanding Notes (including Additional Notes, if any) with the net cash proceeds of one or more Equity Offerings at a Redemption Price (expressed as a percentage of principal amount) of 105.250%, plus accrued interest to but excluding the redemption date; provided that (i) at least 65% of the aggregate principal amount of Notes originally issued on the Issue Date remains outstanding after each such redemption, and (ii) notice of any such redemption is mailed within 60 days of the closing of the related Equity Offering.</w:t>
      </w:r>
    </w:p>
    <w:p>
      <w:pPr>
        <w:sectPr>
          <w:pgSz w:w="11900" w:h="16838" w:orient="portrait"/>
          <w:cols w:equalWidth="0" w:num="1">
            <w:col w:w="11380"/>
          </w:cols>
          <w:pgMar w:left="240" w:top="125" w:right="279" w:bottom="0" w:gutter="0" w:footer="0" w:header="0"/>
        </w:sectPr>
      </w:pPr>
    </w:p>
    <w:bookmarkStart w:id="20" w:name="page21"/>
    <w:bookmarkEnd w:id="20"/>
    <w:p>
      <w:pPr>
        <w:spacing w:after="0" w:line="137" w:lineRule="exact"/>
        <w:rPr>
          <w:sz w:val="20"/>
          <w:szCs w:val="20"/>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redemption or notice, may, at the Company’s discretion, be subject to one or more conditions precedent, including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corporate transaction.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Sinking Fund</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sinking fund payments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 Additional Amounts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2" w:lineRule="auto"/>
        <w:tabs>
          <w:tab w:leader="none" w:pos="19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pay or cause to be paid the principal of and premium, if any, and interest (including Additional Interest, if any) on the Notes on the dates and in the manner provided in the Notes. Principal, premium, if any, and interest shall be considered paid on the date due if the Paying Agent, if other than one of the Company or a Subsidiary of the Company, holds as of 11:00 a.m. (New York City time) on the due date money deposited by the Company in immediately available funds and designated for and sufficient to pay all principal, premium, if any, and interest then due.</w:t>
      </w:r>
    </w:p>
    <w:p>
      <w:pPr>
        <w:spacing w:after="0" w:line="154" w:lineRule="exact"/>
        <w:rPr>
          <w:rFonts w:ascii="Arial" w:cs="Arial" w:eastAsia="Arial" w:hAnsi="Arial"/>
          <w:sz w:val="16"/>
          <w:szCs w:val="16"/>
          <w:color w:val="auto"/>
        </w:rPr>
      </w:pPr>
    </w:p>
    <w:p>
      <w:pPr>
        <w:ind w:firstLine="1305"/>
        <w:spacing w:after="0" w:line="257"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principal amount and accrued interest on the Notes shall be payable at the office or agency of the Company maintained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Global Note, the Company will pay interest (i) by check mailed to the address of the Person entitled thereto as such address will appear in the Note Register or (ii) by wire transfer in immediately available funds to each Holder with an aggregate principal amount of Notes of any series in excess of $5,000,000, to the place and account designated in writing at least 15 days prior to the interest payment date by the Person entitled thereto as specified in the Note Register.</w:t>
      </w:r>
    </w:p>
    <w:p>
      <w:pPr>
        <w:spacing w:after="0" w:line="188" w:lineRule="exact"/>
        <w:rPr>
          <w:rFonts w:ascii="Arial" w:cs="Arial" w:eastAsia="Arial" w:hAnsi="Arial"/>
          <w:sz w:val="18"/>
          <w:szCs w:val="18"/>
          <w:color w:val="auto"/>
        </w:rPr>
      </w:pPr>
    </w:p>
    <w:p>
      <w:pPr>
        <w:ind w:right="300" w:firstLine="1305"/>
        <w:spacing w:after="0" w:line="259"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Debtor Relief Law) on overdue principal and premium, if any,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other than an office of the Trustee or an affiliate of the Trustee. If at any time the Company shall fail to maintain any such required office or agency or shall fail to furnish the Trustee with the address thereof, such presentations, surrenders, notices and demands may be made at the Corporate Trust Office of the Trustee.</w:t>
      </w:r>
    </w:p>
    <w:p>
      <w:pPr>
        <w:spacing w:after="0" w:line="193"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81"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Company covenants to file with the Trustee, within 15 days after the Company has filed the same with the SEC, copies of the annual reports and of the information, documents and reports (or copies of such portions of any of the foregoing as the SEC may prescribe) that the Company may be required to file with the SEC pursuant to Section 13 or 15(d) of the Exchange Act (other than confidential filings, documents subject to confidential treatment and correspondence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delivery of materials to the Trustee by electronic means or filing of documents pursuant to the SEC’s “EDGAR” system (or any successor electronic filing system) shall be deemed to be “filed” with the Trustee as of the time such documents are filed via the “EDGAR” system for purposes of this Section 4.03;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no obligation whatsoever to determine whether or not such information, documents or reports have been filed pursuant to the “EDGAR” system (or its successor).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7" w:lineRule="exact"/>
        <w:rPr>
          <w:rFonts w:ascii="Arial" w:cs="Arial" w:eastAsia="Arial" w:hAnsi="Arial"/>
          <w:sz w:val="17"/>
          <w:szCs w:val="17"/>
          <w:color w:val="auto"/>
        </w:rPr>
      </w:pPr>
    </w:p>
    <w:p>
      <w:pPr>
        <w:ind w:right="60" w:firstLine="1305"/>
        <w:spacing w:after="0" w:line="264"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any time when the Notes remain outstanding and constitute “restricted securities” under Rule 144, the Company will furnish to the Holders of the Notes and prospective investors, upon their request, the information required to be delivered pursuant to Rule 144A(d)(4) under the Securities Act.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shall deliver to the Trustee, within 100 days after the end of each fiscal year ending after the Issue Date, a certificate from the principal executive officer, principal financial officer or principal accounting officer stating that a review of the activities of the Company and its</w:t>
      </w:r>
    </w:p>
    <w:p>
      <w:pPr>
        <w:sectPr>
          <w:pgSz w:w="11900" w:h="16975" w:orient="portrait"/>
          <w:cols w:equalWidth="0" w:num="1">
            <w:col w:w="11380"/>
          </w:cols>
          <w:pgMar w:left="240" w:top="125" w:right="279" w:bottom="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t>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158" w:lineRule="exact"/>
        <w:rPr>
          <w:sz w:val="20"/>
          <w:szCs w:val="20"/>
          <w:color w:val="auto"/>
        </w:rPr>
      </w:pPr>
    </w:p>
    <w:p>
      <w:pPr>
        <w:ind w:right="140" w:firstLine="1305"/>
        <w:spacing w:after="0" w:line="286" w:lineRule="auto"/>
        <w:tabs>
          <w:tab w:leader="none" w:pos="19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the Company becoming aware of any Default that has occurred and is continuing under this Indenture, the Company shall promptly (which shall be no more than five Business Days following the date on which the Company becomes aware of such Default) send to the Trustee an Officers’ Certificate specifying such event and what action the Company is taking or proposes to take with respect thereto.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Limitation on Subsidiary Debt</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9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not permit any of its Domestic Restricted Subsidiaries to create, assume, incur, Guarantee or otherwise become liable for any Indebtedness (any such Indebtedness or Guarantee, “</w:t>
      </w:r>
      <w:r>
        <w:rPr>
          <w:rFonts w:ascii="Arial" w:cs="Arial" w:eastAsia="Arial" w:hAnsi="Arial"/>
          <w:sz w:val="18"/>
          <w:szCs w:val="18"/>
          <w:u w:val="single" w:color="auto"/>
          <w:color w:val="auto"/>
        </w:rPr>
        <w:t>Subsidiary Debt</w:t>
      </w:r>
      <w:r>
        <w:rPr>
          <w:rFonts w:ascii="Arial" w:cs="Arial" w:eastAsia="Arial" w:hAnsi="Arial"/>
          <w:sz w:val="18"/>
          <w:szCs w:val="18"/>
          <w:color w:val="auto"/>
        </w:rPr>
        <w:t>”), without causing such Domestic Restricted Subsidiary to Guarantee the payment of the principal of, premium, if any, and interest on the Notes on an unsecured unsubordinated basis until such time as such Indebtedness or Guarantee, as the case may be, is no longer outstanding or in effect.</w:t>
      </w:r>
    </w:p>
    <w:p>
      <w:pPr>
        <w:spacing w:after="0" w:line="186"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4.07(a) shall not apply to, and there shall be excluded from Subsidiary Debt in any computation under such restriction, Subsidiary Debt constituting:</w:t>
      </w:r>
    </w:p>
    <w:p>
      <w:pPr>
        <w:spacing w:after="0" w:line="170" w:lineRule="exact"/>
        <w:rPr>
          <w:sz w:val="20"/>
          <w:szCs w:val="20"/>
          <w:color w:val="auto"/>
        </w:rPr>
      </w:pPr>
    </w:p>
    <w:p>
      <w:pPr>
        <w:ind w:left="660" w:right="100" w:firstLine="645"/>
        <w:spacing w:after="0" w:line="270" w:lineRule="auto"/>
        <w:tabs>
          <w:tab w:leader="none" w:pos="21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Company or any Domestic Restricted Subsidiary of the Company or otherwise becomes a Domestic Restricted Subsidiary of the Company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Company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is not Guaranteed by any other Domestic Restricted Subsidiary of the Company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2140" w:hanging="835"/>
        <w:spacing w:after="0"/>
        <w:tabs>
          <w:tab w:leader="none" w:pos="2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Subsidiary Debt owed to the Company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right="20" w:firstLine="645"/>
        <w:spacing w:after="0" w:line="288" w:lineRule="auto"/>
        <w:tabs>
          <w:tab w:leader="none" w:pos="21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Subsidiary Debt is created, incurred, issued, assumed or Guaranteed within 18 months (or in the case of any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Principal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Subsidiary Debt with respect to a Permitted Receivables Transaction;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(5) or (6)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140" w:firstLine="645"/>
        <w:spacing w:after="0" w:line="291" w:lineRule="auto"/>
        <w:tabs>
          <w:tab w:leader="none" w:pos="21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Subsidiary Debt outstanding on the date of this Indenture and any extension, renewal, substitution, replacement, refinancing or refunding of any Subsidiary Debt existing on the date of this Indenture or referred to in clauses (1), (2), (3). (4) or (5);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(6) or clauses (1), (2), (3), (4) or (5) above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w:t>
      </w:r>
    </w:p>
    <w:p>
      <w:pPr>
        <w:sectPr>
          <w:pgSz w:w="11900" w:h="16838" w:orient="portrait"/>
          <w:cols w:equalWidth="0" w:num="1">
            <w:col w:w="11420"/>
          </w:cols>
          <w:pgMar w:left="240" w:top="125" w:right="239" w:bottom="0" w:gutter="0" w:footer="0" w:header="0"/>
        </w:sectPr>
      </w:pPr>
    </w:p>
    <w:bookmarkStart w:id="22" w:name="page23"/>
    <w:bookmarkEnd w:id="22"/>
    <w:p>
      <w:pPr>
        <w:ind w:left="660" w:right="680"/>
        <w:spacing w:after="0" w:line="277" w:lineRule="auto"/>
        <w:rPr>
          <w:sz w:val="20"/>
          <w:szCs w:val="20"/>
          <w:color w:val="auto"/>
        </w:rPr>
      </w:pPr>
      <w:r>
        <w:rPr>
          <w:rFonts w:ascii="Arial" w:cs="Arial" w:eastAsia="Arial" w:hAnsi="Arial"/>
          <w:sz w:val="18"/>
          <w:szCs w:val="18"/>
          <w:color w:val="auto"/>
        </w:rPr>
        <w:t>amount of fees, expenses and other costs incurred, in connection with any such extension, renewal, substitution, replacement, refinancing or refunding.</w:t>
      </w:r>
    </w:p>
    <w:p>
      <w:pPr>
        <w:spacing w:after="0" w:line="170" w:lineRule="exact"/>
        <w:rPr>
          <w:sz w:val="20"/>
          <w:szCs w:val="20"/>
          <w:color w:val="auto"/>
        </w:rPr>
      </w:pPr>
    </w:p>
    <w:p>
      <w:pPr>
        <w:ind w:firstLine="1305"/>
        <w:spacing w:after="0" w:line="287" w:lineRule="auto"/>
        <w:tabs>
          <w:tab w:leader="none" w:pos="19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Notwithstanding Sections 4.07(a) and (b), any Domestic Restricted Subsidiary of the Company may create, assume, incur, Guarantee or otherwise become liable for Indebtedness that would otherwise be subject to Section 4.07(a), without Guaranteeing the Notes,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Subsidiary Debt. Any Domestic Restricted Subsidiary also may, without Guaranteeing the payment of the principal of, premium, if any, and interest on the Notes, extend, renew, substitute, replace, refinance or refund any Subsidiary Debt permitted pursuant to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68" w:lineRule="exact"/>
        <w:rPr>
          <w:rFonts w:ascii="Arial" w:cs="Arial" w:eastAsia="Arial" w:hAnsi="Arial"/>
          <w:sz w:val="16"/>
          <w:szCs w:val="16"/>
          <w:color w:val="auto"/>
        </w:rPr>
      </w:pPr>
    </w:p>
    <w:p>
      <w:pPr>
        <w:ind w:right="100" w:firstLine="1305"/>
        <w:spacing w:after="0" w:line="254"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Section 4.07, in the event that any Subsidiary Debt meets the criteria of more than one of the types of Subsidiary Debt in such Section, the Company, in its sole discretion, will classify, and may reclassify, such Subsidiary Debt and only be required to include the amount and type of such Subsidiary Debt in one of clauses (1) through (6) of Section 4.07(b) or Section 4.07(c), and Subsidiary Debt may be divided and classified and reclassified into more than one of the types of Subsidiary Debt described above. In addition, for purposes of calculating compliance with this Section 4.07,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4" w:lineRule="auto"/>
        <w:tabs>
          <w:tab w:leader="none" w:pos="1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Subsidiary of the Company required to Guarantee the Notes pursuant to Section 4.07(a) or that chooses to Guarantee the Notes shall (i) execute and deliver to the Trustee a supplemental indenture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in such other form reasonably satisfactory to the Trustee pursuant to which such Subsidiary shall unconditionally Guarantee all of the Company’s obligations under the Notes and this Indenture in respect of the Notes on the terms set forth in this Indenture and (ii) deliver to the Trustee an Opinion of Counsel. The execution by such Subsidiary of a supplemental indenture pursuant to this Section 4.07(e) shall evidence the Guarantee of the Notes by such Subsidiary, whether or not the person signing as an officer of such Subsidiary still holds that office at the time of authentication of any Note. The delivery of any Note by the Trustee after authentication shall constitute due delivery of such Note Guarantee set forth in this Indenture on behalf of such Subsidiary. The Guarantee of the Notes by any Subsidiary will terminate upon:</w:t>
      </w:r>
    </w:p>
    <w:p>
      <w:pPr>
        <w:spacing w:after="0" w:line="192" w:lineRule="exact"/>
        <w:rPr>
          <w:rFonts w:ascii="Arial" w:cs="Arial" w:eastAsia="Arial" w:hAnsi="Arial"/>
          <w:sz w:val="18"/>
          <w:szCs w:val="18"/>
          <w:color w:val="auto"/>
        </w:rPr>
      </w:pPr>
    </w:p>
    <w:p>
      <w:pPr>
        <w:ind w:left="840" w:right="160" w:firstLine="654"/>
        <w:spacing w:after="0" w:line="279" w:lineRule="auto"/>
        <w:tabs>
          <w:tab w:leader="none" w:pos="2144"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release or discharge of the Indebtedness of or Guarantee by such Subsidiary that resulted in the obligation to Guarantee the Notes pursuant to Section 4.07(a) (or would have resulted in the creation of a Guarantee pursuant to Section 4.07(a) had such Guarantee not already been in place) (other than a discharge of (A) a Guarantee as a result of payment under such Guarantee or (B)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left="840" w:right="120" w:firstLine="654"/>
        <w:spacing w:after="0" w:line="277"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Subsidiary such that such Subsidiary is no longer a Subsidiary of the Company;</w:t>
      </w:r>
    </w:p>
    <w:p>
      <w:pPr>
        <w:spacing w:after="0" w:line="170" w:lineRule="exact"/>
        <w:rPr>
          <w:rFonts w:ascii="Arial" w:cs="Arial" w:eastAsia="Arial" w:hAnsi="Arial"/>
          <w:sz w:val="18"/>
          <w:szCs w:val="18"/>
          <w:color w:val="auto"/>
        </w:rPr>
      </w:pPr>
    </w:p>
    <w:p>
      <w:pPr>
        <w:ind w:left="2140" w:hanging="646"/>
        <w:spacing w:after="0"/>
        <w:tabs>
          <w:tab w:leader="none" w:pos="2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defeasance or discharge of the Notes, as provided under Article 8; or</w:t>
      </w:r>
    </w:p>
    <w:p>
      <w:pPr>
        <w:spacing w:after="0" w:line="225" w:lineRule="exact"/>
        <w:rPr>
          <w:rFonts w:ascii="Arial" w:cs="Arial" w:eastAsia="Arial" w:hAnsi="Arial"/>
          <w:sz w:val="18"/>
          <w:szCs w:val="18"/>
          <w:color w:val="auto"/>
        </w:rPr>
      </w:pPr>
    </w:p>
    <w:p>
      <w:pPr>
        <w:ind w:left="840" w:right="20" w:firstLine="654"/>
        <w:spacing w:after="0" w:line="264"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Guarantee the Notes pursuant to Section 4.07(a) but did so at its option, the request by such Subsidiary of release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release the Company would be in compliance with the covenant set forth in this Section 4.07.</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Upon delivery by the Company to the Trustee of an Officers’ Certificate and an Opinion of Counsel, the Trustee will execute any documents reasonably required in order to evidence the release of any Subsidiary from its obligations under its Guarantee of the Notes.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enter into any sale and lease-back transaction with respect to any Principal Property, whether now owned or hereafter acquired, unless:</w:t>
      </w:r>
    </w:p>
    <w:p>
      <w:pPr>
        <w:spacing w:after="0" w:line="170" w:lineRule="exact"/>
        <w:rPr>
          <w:sz w:val="20"/>
          <w:szCs w:val="20"/>
          <w:color w:val="auto"/>
        </w:rPr>
      </w:pPr>
    </w:p>
    <w:p>
      <w:pPr>
        <w:ind w:left="2140" w:hanging="835"/>
        <w:spacing w:after="0"/>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21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Domestic Restricted Subsidiary by the Company or any Subsidiary of any Principal Property;</w:t>
      </w:r>
    </w:p>
    <w:p>
      <w:pPr>
        <w:spacing w:after="0" w:line="170" w:lineRule="exact"/>
        <w:rPr>
          <w:rFonts w:ascii="Arial" w:cs="Arial" w:eastAsia="Arial" w:hAnsi="Arial"/>
          <w:sz w:val="18"/>
          <w:szCs w:val="18"/>
          <w:color w:val="auto"/>
        </w:rPr>
      </w:pPr>
    </w:p>
    <w:p>
      <w:pPr>
        <w:ind w:left="660" w:right="360" w:firstLine="645"/>
        <w:spacing w:after="0" w:line="259" w:lineRule="auto"/>
        <w:tabs>
          <w:tab w:leader="none" w:pos="21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after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 or completion of any such development, operation, construction, alteration, repair or improvement;</w:t>
      </w:r>
    </w:p>
    <w:p>
      <w:pPr>
        <w:sectPr>
          <w:pgSz w:w="11900" w:h="16838" w:orient="portrait"/>
          <w:cols w:equalWidth="0" w:num="1">
            <w:col w:w="11420"/>
          </w:cols>
          <w:pgMar w:left="240" w:top="125" w:right="239" w:bottom="0" w:gutter="0" w:footer="0" w:header="0"/>
        </w:sectPr>
      </w:pPr>
    </w:p>
    <w:bookmarkStart w:id="23" w:name="page24"/>
    <w:bookmarkEnd w:id="23"/>
    <w:p>
      <w:pPr>
        <w:ind w:left="660" w:right="180" w:firstLine="645"/>
        <w:spacing w:after="0" w:line="277" w:lineRule="auto"/>
        <w:tabs>
          <w:tab w:leader="none" w:pos="2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2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the applicable Domestic Restricted Subsidiary would be entitled to incur Indebtedness secured by a Lien on the property to be leased in an amount equal to Attributable Debt with respect to such sale and lease-back transaction without equally and ratably securing the Notes pursuant to Section 4.09(a); or</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21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Company or the applicable Domestic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 to such retirement, repurchase, repayment or prepayment, the Company or any Domestic Restricted Subsidiary may deliver Notes to the trustee for cancellation, such Notes to be credited at the cost thereof to the Company or such Domestic Restricted Subsidiary.</w:t>
      </w:r>
    </w:p>
    <w:p>
      <w:pPr>
        <w:spacing w:after="0" w:line="158" w:lineRule="exact"/>
        <w:rPr>
          <w:sz w:val="20"/>
          <w:szCs w:val="20"/>
          <w:color w:val="auto"/>
        </w:rPr>
      </w:pPr>
    </w:p>
    <w:p>
      <w:pPr>
        <w:ind w:right="20" w:firstLine="1305"/>
        <w:spacing w:after="0" w:line="302" w:lineRule="auto"/>
        <w:tabs>
          <w:tab w:leader="none" w:pos="19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Section 4.08(a), the Company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Company and (3) 1.75 times Consolidated EBITDA of the Company for the Measurement Period immediately preceding the closing date of the sale and lease-back transaction.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create or incur any Lien on any Principal Property, whether now owned or hereafter acquired, in order to secure any Indebtedness, without effectively providing that the Notes shall be equally and ratably secured, until such time as such Indebtedness is no longer secured by such Lien, except Permitted Liens.</w:t>
      </w:r>
    </w:p>
    <w:p>
      <w:pPr>
        <w:spacing w:after="0" w:line="181" w:lineRule="exact"/>
        <w:rPr>
          <w:rFonts w:ascii="Arial" w:cs="Arial" w:eastAsia="Arial" w:hAnsi="Arial"/>
          <w:sz w:val="18"/>
          <w:szCs w:val="18"/>
          <w:color w:val="auto"/>
        </w:rPr>
      </w:pPr>
    </w:p>
    <w:p>
      <w:pPr>
        <w:ind w:right="80" w:firstLine="1305"/>
        <w:spacing w:after="0" w:line="288" w:lineRule="auto"/>
        <w:tabs>
          <w:tab w:leader="none" w:pos="1952"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Notwithstanding Section 4.09(a), the Company or any Domestic Restricted Subsidiary of the Company may, without equally and ratably securing the Notes, create or incur Liens which would otherwise be subject to the restrictions set forth in Section 4.09(a), if after giving effect thereto, Aggregate Debt does not exceed an amount equal to the greatest of (1) $2.50 billion, (2) 15% of Consolidated Net Tangible Assets of the Company and</w:t>
      </w:r>
    </w:p>
    <w:p>
      <w:pPr>
        <w:ind w:firstLine="8"/>
        <w:spacing w:after="0" w:line="288"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1.75 times Consolidated EBITDA of the Company for the Measurement Period immediately preceding the date of the creation or incurrence of the Lien. The Company or any Domestic Restricted Subsidiary of the Company also may, without equally and ratably securing the Notes, create or incur Liens that extend, renew, substitute or replace (including successive extensions, renewals, substitutions or replacements), in whole or in part, any Lien permitted pursuant to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permitted pursuant to this or the preceding sentence.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8" w:lineRule="auto"/>
        <w:tabs>
          <w:tab w:leader="none" w:pos="1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purposes of this Section 4.09, (1) the creation of a Lien to secure Indebtedness which existed prior to the creation of such Lien will be deemed to involve Indebtedness in an amount equal to the lesser of (x) the fair value (as determined in good faith by the Company) of the asset subjected to such Lien and (y) the principal amount secured by such Lien, and (2) in the event that a Lien meets the criteria of more than one of the types of Permitted Liens or Liens permitted by Section 4.09(b), the Company, in its sole discretion, will classify, and may reclassify, such Lien and only be required to include the amount and type of such Lien as a Permitted Lien or a Lien permitted by Section 4.09(b), and a Lien may be divided and classified and reclassified into more than one of such types of Liens. In addition, for purposes of calculating compliance with this Section 4.09,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Corporate Existence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Subject to Article 5, the Company shall do or cause to be done all things necessary to preserve and keep in full force and effect (1) its corporate existence and (2) the rights (charter and statutory), licenses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preserve any such right, license or franchise if the Company in good faith shall determine that the preservation thereof is no longer desirable in the conduct of the business of the Company and its Subsidiaries, taken as a whole.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Offer to Repurchase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Offer to Purchase</w:t>
      </w:r>
      <w:r>
        <w:rPr>
          <w:rFonts w:ascii="Arial" w:cs="Arial" w:eastAsia="Arial" w:hAnsi="Arial"/>
          <w:sz w:val="18"/>
          <w:szCs w:val="18"/>
          <w:color w:val="auto"/>
        </w:rPr>
        <w:t>” means an offer by the Company to purchase Notes as required by this Indenture. An Offer to Purchase must be made by written offer (the “</w:t>
      </w:r>
      <w:r>
        <w:rPr>
          <w:rFonts w:ascii="Arial" w:cs="Arial" w:eastAsia="Arial" w:hAnsi="Arial"/>
          <w:sz w:val="18"/>
          <w:szCs w:val="18"/>
          <w:u w:val="single" w:color="auto"/>
          <w:color w:val="auto"/>
        </w:rPr>
        <w:t>offer</w:t>
      </w:r>
      <w:r>
        <w:rPr>
          <w:rFonts w:ascii="Arial" w:cs="Arial" w:eastAsia="Arial" w:hAnsi="Arial"/>
          <w:sz w:val="18"/>
          <w:szCs w:val="18"/>
          <w:color w:val="auto"/>
        </w:rPr>
        <w:t>”) sent to the Holders. The Company will notify the Trustee at least 5 days (or such shorter period as is acceptable to the Trustee) prior to sending the offer to Holders of its obligation to make an Offer to Purchase, and the offer will be sent by the Company or, at the Company’s written request, by the Trustee in the name and at the expense of the Company.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offer must include or state the following, which shall (where applicable) be the terms of the Offer to Purchase: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provision of this Indenture pursuant to which the Offer to Purchase is being made;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principal amount of the outstanding Notes offered to be purchased by the Company pursuant to the Offer to Purchase (the “</w:t>
      </w:r>
      <w:r>
        <w:rPr>
          <w:rFonts w:ascii="Arial" w:cs="Arial" w:eastAsia="Arial" w:hAnsi="Arial"/>
          <w:sz w:val="18"/>
          <w:szCs w:val="18"/>
          <w:u w:val="single" w:color="auto"/>
          <w:color w:val="auto"/>
        </w:rPr>
        <w:t>purchase amount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purchase price, including the portion thereof representing accrued and unpaid interest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00" w:right="60" w:firstLine="653"/>
        <w:spacing w:after="0" w:line="308" w:lineRule="auto"/>
        <w:tabs>
          <w:tab w:leader="none" w:pos="26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 expiration date (the “</w:t>
      </w:r>
      <w:r>
        <w:rPr>
          <w:rFonts w:ascii="Arial" w:cs="Arial" w:eastAsia="Arial" w:hAnsi="Arial"/>
          <w:sz w:val="17"/>
          <w:szCs w:val="17"/>
          <w:u w:val="single" w:color="auto"/>
          <w:color w:val="auto"/>
        </w:rPr>
        <w:t>Offer Expiration Date</w:t>
      </w:r>
      <w:r>
        <w:rPr>
          <w:rFonts w:ascii="Arial" w:cs="Arial" w:eastAsia="Arial" w:hAnsi="Arial"/>
          <w:sz w:val="17"/>
          <w:szCs w:val="17"/>
          <w:color w:val="auto"/>
        </w:rPr>
        <w:t>”) not less than 30 days or more than 60 days after the date of the offer, and a settlement date for purchase (the “</w:t>
      </w:r>
      <w:r>
        <w:rPr>
          <w:rFonts w:ascii="Arial" w:cs="Arial" w:eastAsia="Arial" w:hAnsi="Arial"/>
          <w:sz w:val="17"/>
          <w:szCs w:val="17"/>
          <w:u w:val="single" w:color="auto"/>
          <w:color w:val="auto"/>
        </w:rPr>
        <w:t>purchase date</w:t>
      </w:r>
      <w:r>
        <w:rPr>
          <w:rFonts w:ascii="Arial" w:cs="Arial" w:eastAsia="Arial" w:hAnsi="Arial"/>
          <w:sz w:val="17"/>
          <w:szCs w:val="17"/>
          <w:color w:val="auto"/>
        </w:rPr>
        <w:t>”) not more than five Business Days after the Offer Expiration Date;</w:t>
      </w:r>
    </w:p>
    <w:p>
      <w:pPr>
        <w:sectPr>
          <w:pgSz w:w="11900" w:h="16838" w:orient="portrait"/>
          <w:cols w:equalWidth="0" w:num="1">
            <w:col w:w="11420"/>
          </w:cols>
          <w:pgMar w:left="240" w:top="125" w:right="239" w:bottom="0" w:gutter="0" w:footer="0" w:header="0"/>
        </w:sectPr>
      </w:pPr>
    </w:p>
    <w:bookmarkStart w:id="24" w:name="page25"/>
    <w:bookmarkEnd w:id="24"/>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200" w:firstLine="653"/>
        <w:spacing w:after="0" w:line="264"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a Holder may tender all or any portion of its Notes pursuant to an Offer to Purchase, subject to the requirement that any portion of a Note tendered must be in minimum denominations of $2,000 principal amount and integral multiples of $1,000 in excess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place or places where Notes are to be surrendered for tender pursuant to the Offer to Purchase;</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each Holder electing to tender a Note pursuant to the offer will be required to surrender such Note at the place or places specified in the offer prior to the close of business on the expiration date (such Note being, if the Company or the Trustee so requires, duly endorsed or accompanied by a duly executed written instrument of transfer);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interest on any Note not tendered, or tendered but not purchased by the Company pursuant to the Offer to Purchase, will continue to accrue;</w:t>
      </w:r>
    </w:p>
    <w:p>
      <w:pPr>
        <w:spacing w:after="0" w:line="170" w:lineRule="exact"/>
        <w:rPr>
          <w:rFonts w:ascii="Arial" w:cs="Arial" w:eastAsia="Arial" w:hAnsi="Arial"/>
          <w:sz w:val="18"/>
          <w:szCs w:val="18"/>
          <w:color w:val="auto"/>
        </w:rPr>
      </w:pPr>
    </w:p>
    <w:p>
      <w:pPr>
        <w:ind w:left="1300" w:right="40" w:firstLine="653"/>
        <w:spacing w:after="0" w:line="308" w:lineRule="auto"/>
        <w:tabs>
          <w:tab w:leader="none" w:pos="26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that on the purchase date the Purchase Price will become due and payable on each Note accepted for purchase pursuant to the Offer to Purchase, and interest on Notes purchased will cease to accrue on and after the purchase date;</w:t>
      </w:r>
    </w:p>
    <w:p>
      <w:pPr>
        <w:spacing w:after="0" w:line="146" w:lineRule="exact"/>
        <w:rPr>
          <w:rFonts w:ascii="Arial" w:cs="Arial" w:eastAsia="Arial" w:hAnsi="Arial"/>
          <w:sz w:val="17"/>
          <w:szCs w:val="17"/>
          <w:color w:val="auto"/>
        </w:rPr>
      </w:pPr>
    </w:p>
    <w:p>
      <w:pPr>
        <w:ind w:left="1300" w:firstLine="653"/>
        <w:spacing w:after="0" w:line="259" w:lineRule="auto"/>
        <w:tabs>
          <w:tab w:leader="none" w:pos="25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Holders are entitled to withdraw Notes tendered by giving notice, which must be received by the Company, as applicable, or the Trustee not later than the close of business on the Offer Expiration Date, setting forth the name of the Holder, the principal amount of the tendered Notes, the certificate number of the tendered Notes and a statement that the Holder is withdrawing all or a portion of the tender;</w:t>
      </w:r>
    </w:p>
    <w:p>
      <w:pPr>
        <w:spacing w:after="0" w:line="186" w:lineRule="exact"/>
        <w:rPr>
          <w:rFonts w:ascii="Arial" w:cs="Arial" w:eastAsia="Arial" w:hAnsi="Arial"/>
          <w:sz w:val="18"/>
          <w:szCs w:val="18"/>
          <w:color w:val="auto"/>
        </w:rPr>
      </w:pPr>
    </w:p>
    <w:p>
      <w:pPr>
        <w:ind w:left="1300" w:right="40" w:firstLine="653"/>
        <w:spacing w:after="0" w:line="277" w:lineRule="auto"/>
        <w:tabs>
          <w:tab w:leader="none" w:pos="25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statement that if Notes in an aggregate principal amount less than or equal to the purchase amount are duly tendered and not withdrawn pursuant to the Offer to Purchase, the Company will purchase all such Notes;</w:t>
      </w:r>
    </w:p>
    <w:p>
      <w:pPr>
        <w:spacing w:after="0" w:line="170" w:lineRule="exact"/>
        <w:rPr>
          <w:rFonts w:ascii="Arial" w:cs="Arial" w:eastAsia="Arial" w:hAnsi="Arial"/>
          <w:sz w:val="18"/>
          <w:szCs w:val="18"/>
          <w:color w:val="auto"/>
        </w:rPr>
      </w:pPr>
    </w:p>
    <w:p>
      <w:pPr>
        <w:ind w:left="1300" w:right="200" w:firstLine="653"/>
        <w:spacing w:after="0" w:line="277" w:lineRule="auto"/>
        <w:tabs>
          <w:tab w:leader="none" w:pos="25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statement that if any Note is purchased in part, new Notes equal in principal amount to the unpurchased portion of the Note will be issued; and</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5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statement that if any Note contains a CUSIP number, no representation is being made as to the correctness of the CUSIP number either as printed on the Notes or as contained in the offer and that the Holder should rely only on the other identification numbers printed on the Notes.</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the purchase date the Company will accept tendered Notes for purchase as required by the Offer to Purchase and deliver to the Trustee all Notes so accepted together with an Officers’ Certificate specifying which Notes have been accepted for purchase. On the purchase date the Purchase Price will become due and payable on each Note accepted for purchase, and interest on Notes purchased will cease to accrue on and after the purchase date. The Trustee will promptly return to Holders any Notes not accepted for purchase and send to Holders new Notes equal in principal amount to any unpurchased portion of any Notes accepted for purchase in part.</w:t>
      </w:r>
    </w:p>
    <w:p>
      <w:pPr>
        <w:spacing w:after="0" w:line="188" w:lineRule="exact"/>
        <w:rPr>
          <w:rFonts w:ascii="Arial" w:cs="Arial" w:eastAsia="Arial" w:hAnsi="Arial"/>
          <w:sz w:val="18"/>
          <w:szCs w:val="18"/>
          <w:color w:val="auto"/>
        </w:rPr>
      </w:pPr>
    </w:p>
    <w:p>
      <w:pPr>
        <w:ind w:firstLine="1305"/>
        <w:spacing w:after="0" w:line="264"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 To the extent that the provisions of any securities laws or regulations conflict with provisions of this Indenture, the Company will comply with the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securities laws and regulations and will be deemed to have complied with its obligations described in this Indenture by virtue of such compliance.</w:t>
      </w:r>
    </w:p>
    <w:p>
      <w:pPr>
        <w:spacing w:after="0" w:line="237" w:lineRule="exact"/>
        <w:rPr>
          <w:sz w:val="20"/>
          <w:szCs w:val="20"/>
          <w:color w:val="auto"/>
        </w:rPr>
      </w:pPr>
    </w:p>
    <w:p>
      <w:pPr>
        <w:ind w:right="60" w:firstLine="1305"/>
        <w:spacing w:after="0" w:line="264"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later than 60 days following Change of Control Triggering Event, unless the Company has exercised its right to redeem all of the Notes pursuant to Section 3.07, the Company will make an Offer to Purchase all of the outstanding Notes at a Purchase Price in cash equal to 101% of the principal amount thereof plus accrued and unpaid interest, if any, to, but excluding, the purchase date.</w:t>
      </w:r>
    </w:p>
    <w:p>
      <w:pPr>
        <w:spacing w:after="0" w:line="181" w:lineRule="exact"/>
        <w:rPr>
          <w:rFonts w:ascii="Arial" w:cs="Arial" w:eastAsia="Arial" w:hAnsi="Arial"/>
          <w:sz w:val="18"/>
          <w:szCs w:val="18"/>
          <w:color w:val="auto"/>
        </w:rPr>
      </w:pPr>
    </w:p>
    <w:p>
      <w:pPr>
        <w:ind w:right="240" w:firstLine="1305"/>
        <w:spacing w:after="0" w:line="259" w:lineRule="auto"/>
        <w:tabs>
          <w:tab w:leader="none" w:pos="19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will not be required to make an Offer to Purchase following a Change of Control Triggering Event if (1) a third party makes the Offer to Purchase in the manner, at the times and otherwise in compliance with the requirements set forth in this Indenture applicable to an Offer to Purchase made by the Company and purchases all Notes validly tendered and not withdrawn under such Offer to Purchase or (2) a notice of redemption has been given pursuant to Section 3.07.</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19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4.11, any purchase pursuant to this Section 4.11 shall be made pursuant to the provisions of Sections 3.02, 3.05 and 3.06.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Further Instruments and Acts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Upon request of the Trustee, the Company will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In the event that the Company is required to or elects to pay Additional Interest to Holders of Notes, the Company will provide written notice (“</w:t>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 to the Trustee of its obligation to pay Additional Interest no later than fifteen days prior to the proposed payment date for</w:t>
      </w:r>
    </w:p>
    <w:p>
      <w:pPr>
        <w:sectPr>
          <w:pgSz w:w="11900" w:h="16975" w:orient="portrait"/>
          <w:cols w:equalWidth="0" w:num="1">
            <w:col w:w="11420"/>
          </w:cols>
          <w:pgMar w:left="240" w:top="125" w:right="239" w:bottom="0" w:gutter="0" w:footer="0" w:header="0"/>
        </w:sectPr>
      </w:pPr>
    </w:p>
    <w:bookmarkStart w:id="25" w:name="page26"/>
    <w:bookmarkEnd w:id="25"/>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Additional Interest, and the Additional Interest Notice shall set forth the amount of Additional Interest to be paid by the Company on such payment date. The Trustee shall not at any time be under any duty or responsibility to any Holder of Notes to determine whether or how much Additional Interest is due, or with respect to the nature, extent, or calculation of the amount of Additional Interest owed, or with respect to the method employed in such calculation of the Additional Interest and the Trustee shall be entitled to conclusively rely on such Additional Interest Notice.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Consolidation, Merger and Conveyance, Transfer and Lease of Assets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in a single transaction or in a series of related transactions, unless: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80" w:firstLine="645"/>
        <w:spacing w:after="0" w:line="259" w:lineRule="auto"/>
        <w:tabs>
          <w:tab w:leader="none" w:pos="2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Company or (ii) the Person (if other than the Company) formed by such consolidation or into which the Company is merged or the Person which acquires by conveyance or transfer, or which leases, all or substantially all of the properties and assets of the Company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360" w:firstLine="645"/>
        <w:spacing w:after="0" w:line="277" w:lineRule="auto"/>
        <w:tabs>
          <w:tab w:leader="none" w:pos="2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Company’s obligations with respect to the Notes and this Indenture pursuant to a supplemental indenture;</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shall have occurred and be continuing;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00" w:firstLine="645"/>
        <w:spacing w:after="0" w:line="277" w:lineRule="auto"/>
        <w:tabs>
          <w:tab w:leader="none" w:pos="2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Company or the Successor Company has delivered to the trustee the certificates and opinions required under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Successor Entity Substituted</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conveyance, transfer or lease of all or substantially all the properties and assets of the Company to a Successor Company in accordance with the conditions described in Section 5.01, the Successor Company shall succeed to and be substituted for, and may exercise every right and power of, the Company under this Indenture with the same effect as if such Successor Company had been named as the Company and thereafter, except in the case of a lease, the predecessor Person shall be relieved of all obligations and covenants under this Indenture and the Notes.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pacing w:after="0" w:line="225" w:lineRule="exact"/>
        <w:rPr>
          <w:sz w:val="20"/>
          <w:szCs w:val="20"/>
          <w:color w:val="auto"/>
        </w:rPr>
      </w:pPr>
    </w:p>
    <w:p>
      <w:pPr>
        <w:ind w:right="340" w:firstLine="1305"/>
        <w:spacing w:after="0" w:line="277" w:lineRule="auto"/>
        <w:tabs>
          <w:tab w:leader="none" w:pos="19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the Company to pay principal or premium, if any, on any Note when due at maturity, upon redemption or otherwise (including the failure to pay the repurchase price for Notes tendered pursuant to an Offer to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failure by the Company to pay any interest (including Additional Interest) on any Note for 30 calendar days after the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becomes due;</w:t>
      </w:r>
    </w:p>
    <w:p>
      <w:pPr>
        <w:spacing w:after="0" w:line="210" w:lineRule="exact"/>
        <w:rPr>
          <w:rFonts w:ascii="Arial" w:cs="Arial" w:eastAsia="Arial" w:hAnsi="Arial"/>
          <w:sz w:val="17"/>
          <w:szCs w:val="17"/>
          <w:color w:val="auto"/>
        </w:rPr>
      </w:pPr>
    </w:p>
    <w:p>
      <w:pPr>
        <w:ind w:right="240" w:firstLine="1305"/>
        <w:spacing w:after="0" w:line="277" w:lineRule="auto"/>
        <w:tabs>
          <w:tab w:leader="none" w:pos="19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the Company to comply with Section 4.11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240" w:firstLine="1305"/>
        <w:spacing w:after="0" w:line="264" w:lineRule="auto"/>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perform, or breach by the Company or any of its Subsidiaries of, any other covenant, agreement or condition in this Indenture for 90 calendar days after either the trustee or holders of at least 25% in principal amount of the outstanding Notes have given the Company written notice of the breach in the manner required by this Indenture;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Debtor Relief Law: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1300" w:right="40" w:firstLine="653"/>
        <w:spacing w:after="0" w:line="342" w:lineRule="auto"/>
        <w:tabs>
          <w:tab w:leader="none" w:pos="2604"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23" w:lineRule="exact"/>
        <w:rPr>
          <w:rFonts w:ascii="Arial" w:cs="Arial" w:eastAsia="Arial" w:hAnsi="Arial"/>
          <w:sz w:val="16"/>
          <w:szCs w:val="16"/>
          <w:color w:val="auto"/>
        </w:rPr>
      </w:pPr>
    </w:p>
    <w:p>
      <w:pPr>
        <w:ind w:left="1300" w:right="820" w:firstLine="653"/>
        <w:spacing w:after="0" w:line="277" w:lineRule="auto"/>
        <w:tabs>
          <w:tab w:leader="none" w:pos="26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ectPr>
          <w:pgSz w:w="11900" w:h="16874" w:orient="portrait"/>
          <w:cols w:equalWidth="0" w:num="1">
            <w:col w:w="11340"/>
          </w:cols>
          <w:pgMar w:left="240" w:top="125" w:right="319" w:bottom="0" w:gutter="0" w:footer="0" w:header="0"/>
        </w:sectPr>
      </w:pPr>
    </w:p>
    <w:bookmarkStart w:id="26" w:name="page27"/>
    <w:bookmarkEnd w:id="26"/>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1300" w:right="100" w:firstLine="653"/>
        <w:spacing w:after="0" w:line="277" w:lineRule="auto"/>
        <w:tabs>
          <w:tab w:leader="none" w:pos="26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 proceeding in which the Company or any Significant Subsidiary is to be adjudicated bankrupt or insolvent;</w:t>
      </w:r>
    </w:p>
    <w:p>
      <w:pPr>
        <w:spacing w:after="0" w:line="170" w:lineRule="exact"/>
        <w:rPr>
          <w:rFonts w:ascii="Arial" w:cs="Arial" w:eastAsia="Arial" w:hAnsi="Arial"/>
          <w:sz w:val="18"/>
          <w:szCs w:val="18"/>
          <w:color w:val="auto"/>
        </w:rPr>
      </w:pPr>
    </w:p>
    <w:p>
      <w:pPr>
        <w:ind w:left="1300" w:right="420" w:firstLine="653"/>
        <w:spacing w:after="0" w:line="264" w:lineRule="auto"/>
        <w:tabs>
          <w:tab w:leader="none" w:pos="26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appoints a receiver, interim receiver, receiver and manager, liquidator, assignee, trustee, sequestrator or other similar official of the Company or any Significant Subsidiary, or for all or substantially all of the property of the Company or any Significant Subsidiary;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Company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in the cases of the foregoing clauses (e) and (f), (i) such event or circumstance is either (x) a voluntary proceeding or results therefrom or (y)</w:t>
      </w:r>
      <w:r>
        <w:rPr>
          <w:rFonts w:ascii="Arial" w:cs="Arial" w:eastAsia="Arial" w:hAnsi="Arial"/>
          <w:sz w:val="17"/>
          <w:szCs w:val="17"/>
          <w:i w:val="1"/>
          <w:iCs w:val="1"/>
          <w:color w:val="auto"/>
        </w:rPr>
        <w:t xml:space="preserve"> </w:t>
      </w: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Company (including any alternate proceedings) or other such proceedings that are in the nature of either a continuation or extension thereof.</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76" w:lineRule="auto"/>
        <w:tabs>
          <w:tab w:leader="none" w:pos="194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If an Event of Default occurs and is continuing (other than an Event of Default specified in Section 6.01(e) or Section 6.01(f) with respect to the Company) occurs and is continuing, then and in every such case the Trustee or the Holders of not less than 25% in aggregate principal amount of the outstanding Notes may declare the principal of the Notes and any accrued interest on the Notes to be due and payable immediately by a notice in writing to the Company (and to the Trustee if given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such acceleration, but before a judgment or decree based on acceleration, the Holders of a majority in aggregate principal amount of the outstanding Notes may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rescind and annul such acceleration if such rescission and annulment would not conflict with any judgment or decree of a court of competent jurisdiction and all Events of Default, other than the nonpayment of accelerated principal of or interest on the Notes, have been cured or waived as provided in this Indenture.</w:t>
      </w:r>
    </w:p>
    <w:p>
      <w:pPr>
        <w:spacing w:after="0" w:line="124" w:lineRule="exact"/>
        <w:rPr>
          <w:sz w:val="20"/>
          <w:szCs w:val="20"/>
          <w:color w:val="auto"/>
        </w:rPr>
      </w:pPr>
    </w:p>
    <w:p>
      <w:pPr>
        <w:ind w:right="260" w:firstLine="1305"/>
        <w:spacing w:after="0" w:line="264" w:lineRule="auto"/>
        <w:tabs>
          <w:tab w:leader="none" w:pos="19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described in Section 6.01(e) or Section 6.01(f) with respect to the Company occurs and is continuing, the principal of, premium, if any, and interest that is both accrued and unpaid on all the Notes will become and be immediately due and payable without any declaration or other act on the part of the Trustee or any Holders.</w:t>
      </w:r>
    </w:p>
    <w:p>
      <w:pPr>
        <w:spacing w:after="0" w:line="181" w:lineRule="exact"/>
        <w:rPr>
          <w:rFonts w:ascii="Arial" w:cs="Arial" w:eastAsia="Arial" w:hAnsi="Arial"/>
          <w:sz w:val="18"/>
          <w:szCs w:val="18"/>
          <w:color w:val="auto"/>
        </w:rPr>
      </w:pPr>
    </w:p>
    <w:p>
      <w:pPr>
        <w:ind w:firstLine="1305"/>
        <w:spacing w:after="0" w:line="270" w:lineRule="auto"/>
        <w:tabs>
          <w:tab w:leader="none" w:pos="19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Notwithstanding the foregoing, if the Company so elects, the sole remedy of the Holders for a failure to comply with any obligations the Company may have or is deemed to have pursuant to Section 314(a)(1) of the Trust Indenture Act or the Company’s failure to comply with Section 4.03 will for the first 180 days after the occurrence of such failure consist exclusively of the right to receive Additional Interest on the Notes at a rate per annum equal to 0.25% for the first 180 days after the occurrence of such failure. The Additional Interest will accrue on all outstanding Notes from and including the date on which such failure first occurs until such violation is cured or waived and shall be payable on each relevant Interest Payment Date to Holders of record on the regular Record Date immediately preceding the Interest Payment Date. On the 181st day after such failure (if such violation is not cured or waived prior to such 181st day), such failure will then constitute an Event of Default without any further notice or lapse of time and the Notes will be subject to acceleration as provided above. If the Company elects to pay Additional Interest pursuant to this clause (c), the Company will notify the Trustee at least three (3) Business Days before the Notes are eligible for acceleration pursuant to Section 6.02(a).</w:t>
      </w:r>
    </w:p>
    <w:p>
      <w:pPr>
        <w:spacing w:after="0" w:line="181" w:lineRule="exact"/>
        <w:rPr>
          <w:rFonts w:ascii="Arial" w:cs="Arial" w:eastAsia="Arial" w:hAnsi="Arial"/>
          <w:sz w:val="17"/>
          <w:szCs w:val="17"/>
          <w:color w:val="auto"/>
        </w:rPr>
      </w:pPr>
    </w:p>
    <w:p>
      <w:pPr>
        <w:ind w:right="40" w:firstLine="1305"/>
        <w:spacing w:after="0" w:line="279" w:lineRule="auto"/>
        <w:tabs>
          <w:tab w:leader="none" w:pos="19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Notes may waive all past defaults (except with respect to nonpayment of principal, premium or interest) and rescind any acceleration with respect to such defaults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19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 Event of Default occurs and is continuing, the Trustee may pursue any available remedy to collect the payment of principal of and premium, if any, and interest on the Notes or to enforce the performance of any provision of the Notes or this Indenture.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Holders of a majority in aggregate principal amount of the then outstanding Notes by written notice to the Trustee may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all of the Notes waive any existing or past Default and its consequences hereunder, except: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premium, if any, or interest on, any Note held by a non-consenting Holder (including any Note which is required to have been purchased pursuant to an Offer to Purchase); and</w:t>
      </w:r>
    </w:p>
    <w:p>
      <w:pPr>
        <w:sectPr>
          <w:pgSz w:w="11900" w:h="16838" w:orient="portrait"/>
          <w:cols w:equalWidth="0" w:num="1">
            <w:col w:w="11400"/>
          </w:cols>
          <w:pgMar w:left="240" w:top="341" w:right="259" w:bottom="0" w:gutter="0" w:footer="0" w:header="0"/>
        </w:sectPr>
      </w:pPr>
    </w:p>
    <w:bookmarkStart w:id="27" w:name="page28"/>
    <w:bookmarkEnd w:id="27"/>
    <w:p>
      <w:pPr>
        <w:spacing w:after="0" w:line="69"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subject to Section 6.02, the Holders of a majority in aggregate principal amount of the then outstanding Notes may rescind an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Holders of a majority in principal amount of the outstanding Notes are given the right to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any other Holder, is otherwise contrary to applicable law, or that would involve the Trustee in personal liability or expense for which the Trustee has not received an indemnity or security against loss, liability or expense satisfactory to it, and the Trustee may take any other action it deems proper which is not inconsistent with any such direction received from the 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1" w:lineRule="auto"/>
        <w:tabs>
          <w:tab w:leader="none" w:pos="19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 Holder of any Note will have any right to institute any proceeding with respect to this Indenture or for any remedy thereunder, unless (1) such Holder shall have previously given to the Trustee written notice of a continuing Event of Default, (2) the Holders of at least 25% in aggregate principal amount of the outstanding Notes shall have made written request to the Trustee, (3) such Holder or Holders offer and, if accepted, provide indemnity or security satisfactory to the Trustee, to institute such proceeding as Trustee, (4) the Trustee has not complied with such request within 60 days after receipt of the request and the offer of indemnity or security and (5) the Trustee shall not have received from the Holders of a majority in aggregate principal amount of the outstanding Notes a direction inconsistent with such request within such 60-day period. Such limitations do not apply to a suit instituted by a Holder of a Note directly (as opposed to through the Trustee) for enforcement of payment of the principal of (and premium, if any) or interest on such Note on or after the respective due dates expressed in such Note.</w:t>
      </w:r>
    </w:p>
    <w:p>
      <w:pPr>
        <w:spacing w:after="0" w:line="178"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Notwithstanding any other provision of this Indenture, the right of any Holder to receive payment of principal of and premium, if any, and interest on its Note, on or after the respective due dates expressed in such Note (including in connection with an Offer to Purchase), or to bring suit for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enforcement of any such payment on or after such respective dates, shall not be impaired or affected without the consent of such Holder.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If an Event of Default specified in Section 6.01(a) or Section 6.01(b) occurs and is continuing, the Trustee may recover judgment in its own name and as trustee of an express trust against the Company for the whole amount of principal of and premium, if any, and interest remaining unpaid to but not including the date of payment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proceedings has been instituted.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342" w:lineRule="auto"/>
        <w:rPr>
          <w:sz w:val="20"/>
          <w:szCs w:val="20"/>
          <w:color w:val="auto"/>
        </w:rPr>
      </w:pPr>
      <w:r>
        <w:rPr>
          <w:rFonts w:ascii="Arial" w:cs="Arial" w:eastAsia="Arial" w:hAnsi="Arial"/>
          <w:sz w:val="16"/>
          <w:szCs w:val="16"/>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w:t>
      </w:r>
    </w:p>
    <w:p>
      <w:pPr>
        <w:sectPr>
          <w:pgSz w:w="11900" w:h="16908" w:orient="portrait"/>
          <w:cols w:equalWidth="0" w:num="1">
            <w:col w:w="11420"/>
          </w:cols>
          <w:pgMar w:left="240" w:top="125" w:right="239" w:bottom="0" w:gutter="0" w:footer="0" w:header="0"/>
        </w:sectPr>
      </w:pPr>
    </w:p>
    <w:bookmarkStart w:id="28" w:name="page29"/>
    <w:bookmarkEnd w:id="28"/>
    <w:p>
      <w:pPr>
        <w:ind w:right="240"/>
        <w:spacing w:after="0" w:line="302" w:lineRule="auto"/>
        <w:rPr>
          <w:sz w:val="20"/>
          <w:szCs w:val="20"/>
          <w:color w:val="auto"/>
        </w:rPr>
      </w:pPr>
      <w:r>
        <w:rPr>
          <w:rFonts w:ascii="Arial" w:cs="Arial" w:eastAsia="Arial" w:hAnsi="Arial"/>
          <w:sz w:val="16"/>
          <w:szCs w:val="16"/>
          <w:color w:val="auto"/>
        </w:rPr>
        <w:t>of the Notes allowed in any judicial proceedings relative to the Company,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reasonable compensation, expenses, disbursements and advances of the Trustee and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right="500" w:firstLine="1305"/>
        <w:spacing w:after="0" w:line="277" w:lineRule="auto"/>
        <w:tabs>
          <w:tab w:leader="none" w:pos="19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first, to the Trustee and its agents and attorneys for amounts due under Section 7.07, including payment of all compensation, expenses and liabilities incurred, and all advances made, by the Trustee and the costs and expenses of collection;</w:t>
      </w:r>
    </w:p>
    <w:p>
      <w:pPr>
        <w:spacing w:after="0" w:line="170" w:lineRule="exact"/>
        <w:rPr>
          <w:rFonts w:ascii="Arial" w:cs="Arial" w:eastAsia="Arial" w:hAnsi="Arial"/>
          <w:sz w:val="18"/>
          <w:szCs w:val="18"/>
          <w:color w:val="auto"/>
        </w:rPr>
      </w:pPr>
    </w:p>
    <w:p>
      <w:pPr>
        <w:ind w:right="20" w:firstLine="1305"/>
        <w:spacing w:after="0" w:line="308" w:lineRule="auto"/>
        <w:tabs>
          <w:tab w:leader="none" w:pos="19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third, to the Company or to such party as a court of competent jurisdiction shall direct, if applicable.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paragraph, the Trustee shall cause notice of such record date and payment date to be given to the Company and to each Holder in the manner set forth in Section 10.02.</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such suit to file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then outstanding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64"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320" w:firstLine="645"/>
        <w:spacing w:after="0" w:line="264" w:lineRule="auto"/>
        <w:tabs>
          <w:tab w:leader="none" w:pos="21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120" w:firstLine="645"/>
        <w:spacing w:after="0" w:line="276" w:lineRule="auto"/>
        <w:tabs>
          <w:tab w:leader="none" w:pos="2153"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1960" w:hanging="655"/>
        <w:spacing w:after="0"/>
        <w:tabs>
          <w:tab w:leader="none" w:pos="1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2140" w:hanging="835"/>
        <w:spacing w:after="0"/>
        <w:tabs>
          <w:tab w:leader="none" w:pos="2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2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ectPr>
          <w:pgSz w:w="11900" w:h="16838" w:orient="portrait"/>
          <w:cols w:equalWidth="0" w:num="1">
            <w:col w:w="11400"/>
          </w:cols>
          <w:pgMar w:left="240" w:top="125" w:right="259" w:bottom="0" w:gutter="0" w:footer="0" w:header="0"/>
        </w:sectPr>
      </w:pPr>
    </w:p>
    <w:bookmarkStart w:id="29" w:name="page30"/>
    <w:bookmarkEnd w:id="29"/>
    <w:p>
      <w:pPr>
        <w:spacing w:after="0" w:line="137" w:lineRule="exact"/>
        <w:rPr>
          <w:sz w:val="20"/>
          <w:szCs w:val="20"/>
          <w:color w:val="auto"/>
        </w:rPr>
      </w:pPr>
    </w:p>
    <w:p>
      <w:pPr>
        <w:ind w:left="660" w:right="320" w:firstLine="645"/>
        <w:spacing w:after="0" w:line="277" w:lineRule="auto"/>
        <w:tabs>
          <w:tab w:leader="none" w:pos="21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right="140" w:firstLine="1305"/>
        <w:spacing w:after="0" w:line="277" w:lineRule="auto"/>
        <w:tabs>
          <w:tab w:leader="none" w:pos="19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 7.01 and Section 7.02.</w:t>
      </w:r>
    </w:p>
    <w:p>
      <w:pPr>
        <w:spacing w:after="0" w:line="170" w:lineRule="exact"/>
        <w:rPr>
          <w:rFonts w:ascii="Arial" w:cs="Arial" w:eastAsia="Arial" w:hAnsi="Arial"/>
          <w:sz w:val="18"/>
          <w:szCs w:val="18"/>
          <w:color w:val="auto"/>
        </w:rPr>
      </w:pPr>
    </w:p>
    <w:p>
      <w:pPr>
        <w:ind w:right="200" w:firstLine="1305"/>
        <w:spacing w:after="0" w:line="308" w:lineRule="auto"/>
        <w:tabs>
          <w:tab w:leader="none" w:pos="19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its rights or powers under this Indenture at the request or direction of any of the Holders unless the Holders have offered to the Trustee indemnity satisfactory to it against any loss, liability or expense.</w:t>
      </w:r>
    </w:p>
    <w:p>
      <w:pPr>
        <w:spacing w:after="0" w:line="146" w:lineRule="exact"/>
        <w:rPr>
          <w:rFonts w:ascii="Arial" w:cs="Arial" w:eastAsia="Arial" w:hAnsi="Arial"/>
          <w:sz w:val="17"/>
          <w:szCs w:val="17"/>
          <w:color w:val="auto"/>
        </w:rPr>
      </w:pPr>
    </w:p>
    <w:p>
      <w:pPr>
        <w:ind w:right="620" w:firstLine="1305"/>
        <w:spacing w:after="0" w:line="308" w:lineRule="auto"/>
        <w:tabs>
          <w:tab w:leader="none" w:pos="19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require an Officers’ Certificate and an Opinion of Counsel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4" w:lineRule="exact"/>
        <w:rPr>
          <w:rFonts w:ascii="Arial" w:cs="Arial" w:eastAsia="Arial" w:hAnsi="Arial"/>
          <w:sz w:val="16"/>
          <w:szCs w:val="16"/>
          <w:color w:val="auto"/>
        </w:rPr>
      </w:pPr>
    </w:p>
    <w:p>
      <w:pPr>
        <w:ind w:right="40" w:firstLine="1305"/>
        <w:spacing w:after="0" w:line="277" w:lineRule="auto"/>
        <w:tabs>
          <w:tab w:leader="none" w:pos="1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right="20" w:firstLine="1305"/>
        <w:spacing w:after="0" w:line="286" w:lineRule="auto"/>
        <w:tabs>
          <w:tab w:leader="none" w:pos="1949"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or security satisfactory to it against such risk or liability is not assured to it.</w:t>
      </w:r>
    </w:p>
    <w:p>
      <w:pPr>
        <w:spacing w:after="0" w:line="165" w:lineRule="exact"/>
        <w:rPr>
          <w:rFonts w:ascii="Arial" w:cs="Arial" w:eastAsia="Arial" w:hAnsi="Arial"/>
          <w:sz w:val="17"/>
          <w:szCs w:val="17"/>
          <w:color w:val="auto"/>
        </w:rPr>
      </w:pPr>
    </w:p>
    <w:p>
      <w:pPr>
        <w:ind w:right="80" w:firstLine="1305"/>
        <w:spacing w:after="0" w:line="264" w:lineRule="auto"/>
        <w:tabs>
          <w:tab w:leader="none" w:pos="19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Notes and this Indenture.</w:t>
      </w:r>
    </w:p>
    <w:p>
      <w:pPr>
        <w:spacing w:after="0" w:line="181" w:lineRule="exact"/>
        <w:rPr>
          <w:rFonts w:ascii="Arial" w:cs="Arial" w:eastAsia="Arial" w:hAnsi="Arial"/>
          <w:sz w:val="18"/>
          <w:szCs w:val="18"/>
          <w:color w:val="auto"/>
        </w:rPr>
      </w:pPr>
    </w:p>
    <w:p>
      <w:pPr>
        <w:jc w:val="both"/>
        <w:ind w:right="340" w:firstLine="1305"/>
        <w:spacing w:after="0" w:line="264"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500" w:firstLine="1305"/>
        <w:spacing w:after="0" w:line="264" w:lineRule="auto"/>
        <w:tabs>
          <w:tab w:leader="none" w:pos="19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jc w:val="both"/>
        <w:ind w:right="260" w:firstLine="1305"/>
        <w:spacing w:after="0" w:line="342" w:lineRule="auto"/>
        <w:tabs>
          <w:tab w:leader="none" w:pos="19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 an Officers’ Certificate, including any Person specified as so authorized in any such certificate previously delivered and not superseded.</w:t>
      </w:r>
    </w:p>
    <w:p>
      <w:pPr>
        <w:spacing w:after="0" w:line="225"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Any Agent may do the same with like rights. However, in the event that the Trustee acquires any conflicting interest it must eliminate such conflict within 90 days, apply to the SEC for permission to continue or resign. Any Agent may do the same with like rights and duties. The Trustee is also subject to Section 7.10 and 7.11.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w:t>
      </w:r>
    </w:p>
    <w:p>
      <w:pPr>
        <w:sectPr>
          <w:pgSz w:w="11900" w:h="16975" w:orient="portrait"/>
          <w:cols w:equalWidth="0" w:num="1">
            <w:col w:w="11400"/>
          </w:cols>
          <w:pgMar w:left="240" w:top="125" w:right="259" w:bottom="0" w:gutter="0" w:footer="0" w:header="0"/>
        </w:sectPr>
      </w:pPr>
    </w:p>
    <w:bookmarkStart w:id="30" w:name="page31"/>
    <w:bookmarkEnd w:id="30"/>
    <w:p>
      <w:pPr>
        <w:jc w:val="both"/>
        <w:ind w:right="320"/>
        <w:spacing w:after="0" w:line="264" w:lineRule="auto"/>
        <w:rPr>
          <w:sz w:val="20"/>
          <w:szCs w:val="20"/>
          <w:color w:val="auto"/>
        </w:rPr>
      </w:pPr>
      <w:r>
        <w:rPr>
          <w:rFonts w:ascii="Arial" w:cs="Arial" w:eastAsia="Arial" w:hAnsi="Arial"/>
          <w:sz w:val="18"/>
          <w:szCs w:val="18"/>
          <w:color w:val="auto"/>
        </w:rPr>
        <w:t>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If a Default occurs and is continuing and if it is known to the Trustee, the Trustee shall send to each Holder a notice of the Default within 90 days after it occurs. Except in the case of an Event of Default specified in Section 6.01(a) or Section 6.01(b), the Trustee may withhold from the Holders notice of any continuing Default if the Trustee determines in good faith that withholding the notice is in the interest of the Holders.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Reports by Trustee to Holders of the Notes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Within 60 days after each December 31, beginning with the December 31 following the Issue Date,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all reports as required by Trust Indenture Act Section 313(c).</w:t>
      </w:r>
    </w:p>
    <w:p>
      <w:pPr>
        <w:spacing w:after="0" w:line="188" w:lineRule="exact"/>
        <w:rPr>
          <w:rFonts w:ascii="Arial" w:cs="Arial" w:eastAsia="Arial" w:hAnsi="Arial"/>
          <w:sz w:val="18"/>
          <w:szCs w:val="18"/>
          <w:color w:val="auto"/>
        </w:rPr>
      </w:pPr>
    </w:p>
    <w:p>
      <w:pPr>
        <w:jc w:val="both"/>
        <w:ind w:right="100" w:firstLine="1305"/>
        <w:spacing w:after="0" w:line="264" w:lineRule="auto"/>
        <w:tabs>
          <w:tab w:leader="none" w:pos="19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copy of each report at the time of its sending to the Holders shall be sent to the Company and filed with each national securities exchange on which the Notes are listed in accordance with Trust Indenture Act Section 313(d). The Company shall promptly notify the Trustee in the event the Notes are listed on any national securities exchange, and of any delisting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158" w:lineRule="exact"/>
        <w:rPr>
          <w:rFonts w:ascii="Arial" w:cs="Arial" w:eastAsia="Arial" w:hAnsi="Arial"/>
          <w:sz w:val="16"/>
          <w:szCs w:val="16"/>
          <w:color w:val="auto"/>
        </w:rPr>
      </w:pPr>
    </w:p>
    <w:p>
      <w:pPr>
        <w:ind w:firstLine="1305"/>
        <w:spacing w:after="0" w:line="270" w:lineRule="auto"/>
        <w:tabs>
          <w:tab w:leader="none" w:pos="19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shall indemnify the Trustee for, and hold each of the Trustee and any predecessor Trustee, its officers, directors, employees and agents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(including this Section 7.07)) or defending itself against any claim whether asserted by any Holder, the Company or any other Person,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or negligence.</w:t>
      </w:r>
    </w:p>
    <w:p>
      <w:pPr>
        <w:spacing w:after="0" w:line="18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7.07 shall survive the satisfaction and discharge of this Indenture or the earlier resignation or removal of the Trustee.</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Sections 6.01(e) or 6.01(f) occurs, the expenses and the compensation for the services (including the fees and expenses of its agents and counsel) are intended to constitute expenses of administration under any Debtor Relief Law.</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7.07, the Trustee shall have a Lien prior to the Notes on all money or property held or collected by the Trustee, except that held in trust to pay principal, premium, if any, and interest on particular Notes. Such Lien shall survive the satisfaction and discharge of this Indenture or the earlier resignation or removal of the Trustee.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7" w:lineRule="auto"/>
        <w:tabs>
          <w:tab w:leader="none" w:pos="19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188" w:lineRule="exact"/>
        <w:rPr>
          <w:sz w:val="20"/>
          <w:szCs w:val="20"/>
          <w:color w:val="auto"/>
        </w:rPr>
      </w:pPr>
    </w:p>
    <w:p>
      <w:pPr>
        <w:ind w:left="2140" w:hanging="835"/>
        <w:spacing w:after="0"/>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Debtor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Relief Law;</w:t>
      </w:r>
    </w:p>
    <w:p>
      <w:pPr>
        <w:spacing w:after="0" w:line="210" w:lineRule="exact"/>
        <w:rPr>
          <w:rFonts w:ascii="Arial" w:cs="Arial" w:eastAsia="Arial" w:hAnsi="Arial"/>
          <w:sz w:val="16"/>
          <w:szCs w:val="16"/>
          <w:color w:val="auto"/>
        </w:rPr>
      </w:pPr>
    </w:p>
    <w:p>
      <w:pPr>
        <w:ind w:left="2140" w:hanging="835"/>
        <w:spacing w:after="0"/>
        <w:tabs>
          <w:tab w:leader="none" w:pos="2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ectPr>
          <w:pgSz w:w="11900" w:h="16838" w:orient="portrait"/>
          <w:cols w:equalWidth="0" w:num="1">
            <w:col w:w="11420"/>
          </w:cols>
          <w:pgMar w:left="240" w:top="125" w:right="239" w:bottom="0" w:gutter="0" w:footer="0" w:header="0"/>
        </w:sectPr>
      </w:pPr>
    </w:p>
    <w:bookmarkStart w:id="31" w:name="page32"/>
    <w:bookmarkEnd w:id="31"/>
    <w:p>
      <w:pPr>
        <w:ind w:left="2140" w:hanging="835"/>
        <w:spacing w:after="0"/>
        <w:tabs>
          <w:tab w:leader="none" w:pos="2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380" w:firstLine="1305"/>
        <w:spacing w:after="0" w:line="286" w:lineRule="auto"/>
        <w:tabs>
          <w:tab w:leader="none" w:pos="19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40" w:firstLine="1305"/>
        <w:spacing w:after="0" w:line="264" w:lineRule="auto"/>
        <w:tabs>
          <w:tab w:leader="none" w:pos="1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1305"/>
        <w:spacing w:after="0" w:line="308" w:lineRule="auto"/>
        <w:tabs>
          <w:tab w:leader="none" w:pos="19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Notwithstanding replacement of the Trustee pursuant to this Section 7.08, the Company’s obligations under Section 7.07 shall continue for the benefit of the retiring Trustee.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used in this Section 7.08, the term “Trustee” shall also include each Agent.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6"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Indenture shall always have a Trustee who satisfies the requirements of Trust Indenture Act Sections 310(a)(1), (2) and (5). The Trustee is subject to Trust Indenture Act Section 310(b).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the Company</w:t>
      </w:r>
      <w:r>
        <w:rPr>
          <w:rFonts w:ascii="Arial" w:cs="Arial" w:eastAsia="Arial" w:hAnsi="Arial"/>
          <w:sz w:val="16"/>
          <w:szCs w:val="16"/>
          <w:color w:val="auto"/>
        </w:rPr>
        <w:t>.</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AND DEFEASANCE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terminate its obligations under this Indenture and the Notes when:</w:t>
      </w:r>
    </w:p>
    <w:p>
      <w:pPr>
        <w:spacing w:after="0" w:line="225" w:lineRule="exact"/>
        <w:rPr>
          <w:sz w:val="20"/>
          <w:szCs w:val="20"/>
          <w:color w:val="auto"/>
        </w:rPr>
      </w:pPr>
    </w:p>
    <w:p>
      <w:pPr>
        <w:ind w:left="1940" w:hanging="635"/>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660" w:right="140" w:firstLine="645"/>
        <w:spacing w:after="0" w:line="308" w:lineRule="auto"/>
        <w:tabs>
          <w:tab w:leader="none" w:pos="1964"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the Notes that have been authenticated and delivered have been accepted by the Trustee for cancellation (other than any Notes which shall have been destroyed, lost or stolen and which shall have been replaced or paid as provided in Section 2.07); or</w:t>
      </w:r>
    </w:p>
    <w:p>
      <w:pPr>
        <w:spacing w:after="0" w:line="146"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(x) all outstanding Notes issued under this Indenture have become due and payable; (y) all outstanding Notes issued under this Indenture have or will become due and payable at the Stated Maturity within one year; or (z) all outstanding Notes issued under this Indenture are subject to redemption within one year (and the Company shall have entered into arrangements reasonably satisfactory to the Trustee for the giving of notice of redemption), and in each case, the Company shall have deposited or caused to be deposited with the Trustee as trust funds for the purpose of making payments to the Holders under this Indenture an amount (which may include Governmental Obligations), dedicated solely to the benefit of the Holders, sufficient to pay and discharge all outstanding Notes issued under this Indenture on the Stated Maturity or the scheduled date of redemption; and</w:t>
      </w:r>
    </w:p>
    <w:p>
      <w:pPr>
        <w:spacing w:after="0" w:line="189"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have paid or caused to be paid all other sums then due and payable under this Indenture;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under this Indenture relating to the satisfaction and discharge of this Indenture have been complied with.</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If the foregoing conditions are met, the Trustee, on demand and at the cost and expense of the Company, shall execute such instruments prepared by the Company acknowledging such satisfaction of and discharging this Indenture and the Notes except as to:</w:t>
      </w:r>
    </w:p>
    <w:p>
      <w:pPr>
        <w:sectPr>
          <w:pgSz w:w="11900" w:h="16838" w:orient="portrait"/>
          <w:cols w:equalWidth="0" w:num="1">
            <w:col w:w="11400"/>
          </w:cols>
          <w:pgMar w:left="240" w:top="125" w:right="259" w:bottom="0" w:gutter="0" w:footer="0" w:header="0"/>
        </w:sectPr>
      </w:pPr>
    </w:p>
    <w:bookmarkStart w:id="32" w:name="page33"/>
    <w:bookmarkEnd w:id="32"/>
    <w:p>
      <w:pPr>
        <w:spacing w:after="0" w:line="36" w:lineRule="exact"/>
        <w:rPr>
          <w:sz w:val="20"/>
          <w:szCs w:val="20"/>
          <w:color w:val="auto"/>
        </w:rPr>
      </w:pPr>
    </w:p>
    <w:p>
      <w:pPr>
        <w:ind w:left="1980" w:hanging="576"/>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Notes;</w:t>
      </w:r>
    </w:p>
    <w:p>
      <w:pPr>
        <w:spacing w:after="0" w:line="225" w:lineRule="exact"/>
        <w:rPr>
          <w:rFonts w:ascii="Arial" w:cs="Arial" w:eastAsia="Arial" w:hAnsi="Arial"/>
          <w:sz w:val="18"/>
          <w:szCs w:val="18"/>
          <w:color w:val="auto"/>
        </w:rPr>
      </w:pPr>
    </w:p>
    <w:p>
      <w:pPr>
        <w:ind w:left="1980" w:hanging="631"/>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right of optional redemption;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Notes;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rights of Holders to receive payment of the principal amount, premium (if any) and interest when due and payable, solely out of the trust created pursuant to this Section 8.01;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11"/>
        <w:spacing w:after="0"/>
        <w:tabs>
          <w:tab w:leader="none" w:pos="1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660" w:right="160" w:firstLine="645"/>
        <w:spacing w:after="0" w:line="277" w:lineRule="auto"/>
        <w:tabs>
          <w:tab w:leader="none" w:pos="19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rights of the Holders as beneficiaries hereof with respect to the property so deposited with the Trustee payable to all or any of them; and the rights of the Company to be repaid any money pursuant to Section 8.05 and Section 8.06.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w:t>
      </w:r>
      <w:r>
        <w:rPr>
          <w:rFonts w:ascii="Arial" w:cs="Arial" w:eastAsia="Arial" w:hAnsi="Arial"/>
          <w:sz w:val="15"/>
          <w:szCs w:val="15"/>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Company will be deemed to have paid and the Company will be discharged from its obligations in respect of the Notes and this Indenture, other than their obligations in Article 2 and Sections 4.01, 4.02, 7.07, 7.08 and as set forth in clauses (i) through (vi) of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right="20" w:firstLine="1305"/>
        <w:spacing w:after="0" w:line="272" w:lineRule="auto"/>
        <w:tabs>
          <w:tab w:leader="none" w:pos="194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as trust funds for the purpose of making the following payments, dedicated solely to the benefit of the holders of the Notes in cash or Governmental Obligations or a combination thereof (other than moneys repaid by the Trustee or any Paying Agent to the Company in accordance with Section 8.06) in each case sufficient without reinvestment, in the written opinion of an internationally recognized firm of independent public accountants to pay and discharge, and which shall be applied by the Trustee to pay and discharge, all of the principal, premium (if any) and interest when the same becomes due and payable at Stated Maturity, upon optional redemption, upon required repurchase or otherwise or if the Company has made irrevocable arrangements satisfactory to the Trustee for the giving of notice of redemption by the Trustee in the Company’s name and at the Company’s expense;</w:t>
      </w:r>
    </w:p>
    <w:p>
      <w:pPr>
        <w:spacing w:after="0" w:line="177" w:lineRule="exact"/>
        <w:rPr>
          <w:rFonts w:ascii="Arial" w:cs="Arial" w:eastAsia="Arial" w:hAnsi="Arial"/>
          <w:sz w:val="17"/>
          <w:szCs w:val="17"/>
          <w:color w:val="auto"/>
        </w:rPr>
      </w:pPr>
    </w:p>
    <w:p>
      <w:pPr>
        <w:ind w:right="120" w:firstLine="1305"/>
        <w:spacing w:after="0" w:line="255"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Trustee, the Company has delivered to the Trustee an Opinion of Counsel stating that, as a result of an IRS ruling or a change in applicable U.S. federal income tax law, the holders of the Notes will not recognize gain or loss for U.S. federal income tax purposes as a result of the deposit, defeasance and discharge to be effected and will be subject to the same federal income tax as would be the case if the deposit, defeasance and discharge did not occur,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Default with respect to the outstanding Notes has occurred and is continuing at the time of such deposit after giving effect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210"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Notes were in default within the meaning of such Act;</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material agreement or material instrument (other than this Indenture and the Notes) to which the Company is a party or by which it is bound; and</w:t>
      </w:r>
    </w:p>
    <w:p>
      <w:pPr>
        <w:spacing w:after="0" w:line="170" w:lineRule="exact"/>
        <w:rPr>
          <w:rFonts w:ascii="Arial" w:cs="Arial" w:eastAsia="Arial" w:hAnsi="Arial"/>
          <w:sz w:val="18"/>
          <w:szCs w:val="18"/>
          <w:color w:val="auto"/>
        </w:rPr>
      </w:pPr>
    </w:p>
    <w:p>
      <w:pPr>
        <w:ind w:right="760" w:firstLine="1305"/>
        <w:spacing w:after="0" w:line="277" w:lineRule="auto"/>
        <w:tabs>
          <w:tab w:leader="none" w:pos="19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Upon and following the satisfaction of the foregoing conditions, the Trustee upon request will acknowledge in writing the discharge of the Company’s obligations under the Notes and this Indenture except for the surviving obligations specified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failure of the Company to perform the obligations set forth in Sections 4.03, 4.07, 4.08, 4.09, 4.11, and the events described in Sections 6.01(c) and 6.01(d) will no longer constitute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left="1940" w:hanging="635"/>
        <w:spacing w:after="0"/>
        <w:tabs>
          <w:tab w:leader="none" w:pos="1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complied with clauses (a), (c), (d), (e), and (f) of Section 8.02; and</w:t>
      </w:r>
    </w:p>
    <w:p>
      <w:pPr>
        <w:spacing w:after="0" w:line="225" w:lineRule="exact"/>
        <w:rPr>
          <w:rFonts w:ascii="Arial" w:cs="Arial" w:eastAsia="Arial" w:hAnsi="Arial"/>
          <w:sz w:val="18"/>
          <w:szCs w:val="18"/>
          <w:color w:val="auto"/>
        </w:rPr>
      </w:pPr>
    </w:p>
    <w:p>
      <w:pPr>
        <w:ind w:right="120" w:firstLine="1305"/>
        <w:spacing w:after="0" w:line="276" w:lineRule="auto"/>
        <w:tabs>
          <w:tab w:leader="none" w:pos="1952" w:val="left"/>
        </w:tabs>
        <w:numPr>
          <w:ilvl w:val="0"/>
          <w:numId w:val="97"/>
        </w:numPr>
        <w:rPr>
          <w:rFonts w:ascii="Arial" w:cs="Arial" w:eastAsia="Arial" w:hAnsi="Arial"/>
          <w:sz w:val="17"/>
          <w:szCs w:val="17"/>
          <w:color w:val="auto"/>
        </w:rPr>
      </w:pPr>
      <w:r>
        <w:rPr>
          <w:rFonts w:ascii="Arial" w:cs="Arial" w:eastAsia="Arial" w:hAnsi="Arial"/>
          <w:sz w:val="17"/>
          <w:szCs w:val="17"/>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Company, the Company has delivered to the Trustee an Opinion of Counsel to the effect that the holders of the Notes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Except as specifically stated above, none of the Company’s obligations under this Indenture and the Notes will be discharged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8.03.</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by Trustee of Funds Deposited for Payment of Notes</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33" w:name="page34"/>
    <w:bookmarkEnd w:id="33"/>
    <w:p>
      <w:pPr>
        <w:jc w:val="both"/>
        <w:ind w:right="60" w:firstLine="1297"/>
        <w:spacing w:after="0" w:line="302" w:lineRule="auto"/>
        <w:rPr>
          <w:sz w:val="20"/>
          <w:szCs w:val="20"/>
          <w:color w:val="auto"/>
        </w:rPr>
      </w:pPr>
      <w:r>
        <w:rPr>
          <w:rFonts w:ascii="Arial" w:cs="Arial" w:eastAsia="Arial" w:hAnsi="Arial"/>
          <w:sz w:val="16"/>
          <w:szCs w:val="16"/>
          <w:color w:val="auto"/>
        </w:rPr>
        <w:t>Subject to Section 8.06, all moneys deposited with the Trustee pursuant to Sections 8.01, 8.02 and 8.03 shall be held in trust and applied by it to the payment, either directly or through any Paying Agent (including the Company acting as its own Paying Agent), to the Holders of the particular Notes for the payment or redemption of which such moneys or Governmental Obligations have been deposited with the Trustee, of all sums due and to become due thereon for principal, premium (if any) and interest. Such money need not be segregated from other funds except to the extent required by law.</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Repayment of Moneys Held by Paying Agent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In connection with the satisfaction and discharge of this Indenture with respect to the Notes, all moneys held by any Paying Agent under the provisions of this Indenture at the time of such satisfaction and discharge shall, upon demand of the Company, be repaid to the Company or paid to the Trustee and thereupon such Paying Agent shall be released from all further liability with respect to such moneys or Governmental Obligations.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Return of Moneys Held by Trustee and Paying Agent Unclaimed for Two Years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Subject to applicable abandoned property law, any moneys or Governmental Obligations deposited with or paid to the Trustee or any Paying Agent for the payment of the principal of or premium (if any) on or interest on any Note and not applied but remaining unclaimed for two years after the date upon which such principal, premium or interest shall have become due and payable, shall, at the Company’s request, be repaid to the Company by the Trustee or such Paying Agent, and the Holder of the Note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If the Trustee or Paying Agent is unable to apply any U.S. dollars or Government Obligations in accordance with Section 8.01, 8.02 or 8.03,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8.01, 8.02 or 8.03 until such time as the Trustee or Paying Agent is permitted to apply all such money in accordance with Section 8.01, 8.02 or 8.03,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Notwithstanding Section 9.02, without the consent of any Holder, the Company and the Trustee at any time and from time to time, may amend this Indenture and/or the Notes to:</w:t>
      </w:r>
    </w:p>
    <w:p>
      <w:pPr>
        <w:spacing w:after="0" w:line="170" w:lineRule="exact"/>
        <w:rPr>
          <w:sz w:val="20"/>
          <w:szCs w:val="20"/>
          <w:color w:val="auto"/>
        </w:rPr>
      </w:pPr>
    </w:p>
    <w:p>
      <w:pPr>
        <w:ind w:right="320" w:firstLine="1305"/>
        <w:spacing w:after="0" w:line="277" w:lineRule="auto"/>
        <w:tabs>
          <w:tab w:leader="none" w:pos="1942"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of the covenants, agreements and obligations of the Company by a successor;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add to the covenants of the Company for the benefit of the Holders of the Notes or to surrender any of its rights or powers;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add Events of Default for the benefit of Holders of the Notes;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add to, change or eliminate any provision of this Indenture applying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deems such action necessary or advisable and that such action does not adversely affect the interests of any Holder of the Notes;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evidence and provide for a successor Trustee or to add to or change any provisions to the extent necessary to appoint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 for the Notes;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cure any ambiguity, defect or inconsistency under this Indenture;</w:t>
      </w:r>
    </w:p>
    <w:p>
      <w:pPr>
        <w:spacing w:after="0" w:line="225" w:lineRule="exact"/>
        <w:rPr>
          <w:rFonts w:ascii="Arial" w:cs="Arial" w:eastAsia="Arial" w:hAnsi="Arial"/>
          <w:sz w:val="18"/>
          <w:szCs w:val="18"/>
          <w:color w:val="auto"/>
        </w:rPr>
      </w:pPr>
    </w:p>
    <w:p>
      <w:pPr>
        <w:ind w:right="40" w:firstLine="1305"/>
        <w:spacing w:after="0" w:line="312" w:lineRule="auto"/>
        <w:tabs>
          <w:tab w:leader="none" w:pos="196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supplement any provisions of this Indenture necessary to defease and discharge the Notes or this Indenture otherwise in accordance with the defeasance or discharge provisions, as the case may be, of this Indenture, or to make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 does not adversely affect the interests of the Holders of any Notes in any material respect;</w:t>
      </w:r>
    </w:p>
    <w:p>
      <w:pPr>
        <w:spacing w:after="0" w:line="146" w:lineRule="exact"/>
        <w:rPr>
          <w:rFonts w:ascii="Arial" w:cs="Arial" w:eastAsia="Arial" w:hAnsi="Arial"/>
          <w:sz w:val="16"/>
          <w:szCs w:val="16"/>
          <w:color w:val="auto"/>
        </w:rPr>
      </w:pPr>
    </w:p>
    <w:p>
      <w:pPr>
        <w:ind w:right="20" w:firstLine="1305"/>
        <w:spacing w:after="0" w:line="342" w:lineRule="auto"/>
        <w:tabs>
          <w:tab w:leader="none" w:pos="19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add to, change or eliminate any provisions of this Indenture to comply with the provisions of the DTC, Euroclear or Clearstream or the Trustee with respect to provisions of this Indenture or the Notes relating to transfers or exchanges of Notes or beneficial interests in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provide collateral security for the Notes or to release collateral in accordance with Section 4.09;</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provide for or release guarantors in accordance with Section 4.07;</w:t>
      </w:r>
    </w:p>
    <w:p>
      <w:pPr>
        <w:spacing w:after="0" w:line="225" w:lineRule="exact"/>
        <w:rPr>
          <w:rFonts w:ascii="Arial" w:cs="Arial" w:eastAsia="Arial" w:hAnsi="Arial"/>
          <w:sz w:val="18"/>
          <w:szCs w:val="18"/>
          <w:color w:val="auto"/>
        </w:rPr>
      </w:pPr>
    </w:p>
    <w:p>
      <w:pPr>
        <w:ind w:right="240" w:firstLine="1305"/>
        <w:spacing w:after="0" w:line="342" w:lineRule="auto"/>
        <w:tabs>
          <w:tab w:leader="none" w:pos="19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provide for the issuance of Additional Notes ranking equally with the Notes in all respects (other than the payment of interest accruing prior to the issue date of such Additional Notes or except for the first payment of interest following the issue date of such Additional Notes); or</w:t>
      </w:r>
    </w:p>
    <w:p>
      <w:pPr>
        <w:sectPr>
          <w:pgSz w:w="11900" w:h="16838" w:orient="portrait"/>
          <w:cols w:equalWidth="0" w:num="1">
            <w:col w:w="11420"/>
          </w:cols>
          <w:pgMar w:left="240" w:top="341" w:right="239" w:bottom="0" w:gutter="0" w:footer="0" w:header="0"/>
        </w:sectPr>
      </w:pPr>
    </w:p>
    <w:bookmarkStart w:id="34" w:name="page35"/>
    <w:bookmarkEnd w:id="34"/>
    <w:p>
      <w:pPr>
        <w:spacing w:after="0" w:line="10" w:lineRule="exact"/>
        <w:rPr>
          <w:sz w:val="20"/>
          <w:szCs w:val="20"/>
          <w:color w:val="auto"/>
        </w:rPr>
      </w:pPr>
    </w:p>
    <w:p>
      <w:pPr>
        <w:ind w:left="1980" w:hanging="67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conform any provision to the “Description of Notes” contained in the Offering Memorandum.</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9.02</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The Company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with the written consent of the Holders of at least a majority in aggregate principal amount of outstanding Notes affected by such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supplemental indenture shall, without the consent of the Holder of each outstanding Note affected thereby,</w:t>
      </w:r>
    </w:p>
    <w:p>
      <w:pPr>
        <w:spacing w:after="0" w:line="154" w:lineRule="exact"/>
        <w:rPr>
          <w:sz w:val="20"/>
          <w:szCs w:val="20"/>
          <w:color w:val="auto"/>
        </w:rPr>
      </w:pPr>
    </w:p>
    <w:p>
      <w:pPr>
        <w:ind w:left="1940" w:hanging="63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rates of or changes the time for payment of interest on any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amount of, or change the Stated Maturity of, any Notes;</w:t>
      </w:r>
    </w:p>
    <w:p>
      <w:pPr>
        <w:spacing w:after="0" w:line="225"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Redemption Price, including upon a Change of Control Triggering Event, of any Notes or amend or modify in any manner adverse to the Holders thereof the Company’s obligation to make such payments;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the currency of payment of principal, premium, if any, or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rFonts w:ascii="Arial" w:cs="Arial" w:eastAsia="Arial" w:hAnsi="Arial"/>
          <w:sz w:val="18"/>
          <w:szCs w:val="18"/>
          <w:color w:val="auto"/>
        </w:rPr>
      </w:pPr>
    </w:p>
    <w:p>
      <w:pPr>
        <w:ind w:right="60" w:firstLine="1305"/>
        <w:spacing w:after="0" w:line="308" w:lineRule="auto"/>
        <w:tabs>
          <w:tab w:leader="none" w:pos="194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the consent of whose Holders is required for modification of this Indenture, for waiver of compliance with certain provisions of this Indenture, for waiver of certain defaults or consent to take any action;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the ranking of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waive any default in the payment of principal, premium, if any, or interest;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waiver, supplement or amendment becomes effective. An amendment, supplement or waiver becomes effective in accordance with its terms and thereafter binds every Holder.</w:t>
      </w:r>
    </w:p>
    <w:p>
      <w:pPr>
        <w:spacing w:after="0" w:line="170" w:lineRule="exact"/>
        <w:rPr>
          <w:sz w:val="20"/>
          <w:szCs w:val="20"/>
          <w:color w:val="auto"/>
        </w:rPr>
      </w:pPr>
    </w:p>
    <w:p>
      <w:pPr>
        <w:ind w:right="340" w:firstLine="1305"/>
        <w:spacing w:after="0" w:line="277" w:lineRule="auto"/>
        <w:tabs>
          <w:tab w:leader="none" w:pos="19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1.05 for the purpose of determining the Holders entitled to consent to any amendment, supplement, or waiver.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64" w:lineRule="auto"/>
        <w:tabs>
          <w:tab w:leader="none" w:pos="19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Failure to make the appropriate notation or issue a new Note shall not affect the validity and effect of such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Trustee to Sign Amendments, etc</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receive and (subject to Section 7.01) shall be fully protected in conclusively relying upon, in addition to the documents required by Section 10.04, an Officers’ Certificate and an Opinion of Counsel (which may contain customary qualifications) stating that the execution of such amended or supplemental indenture complies with the provisions hereof and such amended or supplemental indenture is the legal, valid and binding obligation of the Company or guarantor (as applicable), enforceable against it in accordance with its terms.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MISCELLANEOUS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10.01</w:t>
            </w:r>
          </w:p>
        </w:tc>
        <w:tc>
          <w:tcPr>
            <w:tcW w:w="700" w:type="dxa"/>
            <w:vAlign w:val="bottom"/>
            <w:gridSpan w:val="3"/>
          </w:tcPr>
          <w:p>
            <w:pPr>
              <w:spacing w:after="0"/>
              <w:rPr>
                <w:sz w:val="20"/>
                <w:szCs w:val="20"/>
                <w:color w:val="auto"/>
              </w:rPr>
            </w:pPr>
            <w:r>
              <w:rPr>
                <w:rFonts w:ascii="Arial" w:cs="Arial" w:eastAsia="Arial" w:hAnsi="Arial"/>
                <w:sz w:val="18"/>
                <w:szCs w:val="18"/>
                <w:color w:val="auto"/>
                <w:w w:val="82"/>
              </w:rPr>
              <w:t>Reserved.</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Section 10.02</w:t>
            </w: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Notices.</w:t>
            </w: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940" w:hanging="635"/>
        <w:spacing w:after="0"/>
        <w:tabs>
          <w:tab w:leader="none" w:pos="19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notice or communication by the Company or the Trustee to the others is duly given if in writing and (1) delivered in person,</w:t>
      </w:r>
    </w:p>
    <w:p>
      <w:pPr>
        <w:spacing w:after="0" w:line="46"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mailed by first-class mail (certified or registered, return receipt requested) or overnight air courier guaranteeing next day delivery or (3) sent by facsimile or electronic transmission, to the others’ addresses:</w:t>
      </w:r>
    </w:p>
    <w:p>
      <w:pPr>
        <w:sectPr>
          <w:pgSz w:w="11900" w:h="16848" w:orient="portrait"/>
          <w:cols w:equalWidth="0" w:num="1">
            <w:col w:w="11340"/>
          </w:cols>
          <w:pgMar w:left="240" w:top="125" w:right="319" w:bottom="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 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5.250% Senior Notes due 2024)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the Trustee, by notice to the others,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19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88" w:lineRule="exact"/>
        <w:rPr>
          <w:rFonts w:ascii="Arial" w:cs="Arial" w:eastAsia="Arial" w:hAnsi="Arial"/>
          <w:sz w:val="18"/>
          <w:szCs w:val="18"/>
          <w:color w:val="auto"/>
        </w:rPr>
      </w:pPr>
    </w:p>
    <w:p>
      <w:pPr>
        <w:ind w:right="120" w:firstLine="1305"/>
        <w:spacing w:after="0" w:line="279" w:lineRule="auto"/>
        <w:tabs>
          <w:tab w:leader="none" w:pos="19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Subject to Section 10.02(e), any notice or communication to a Holder shall be mailed by first-class mail (certified or registered, return receipt requested) or by overnight air courier guaranteeing next day delivery to its address shown on the Note Register.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w:t>
      </w:r>
    </w:p>
    <w:p>
      <w:pPr>
        <w:spacing w:after="0" w:line="171" w:lineRule="exact"/>
        <w:rPr>
          <w:rFonts w:ascii="Arial" w:cs="Arial" w:eastAsia="Arial" w:hAnsi="Arial"/>
          <w:sz w:val="17"/>
          <w:szCs w:val="17"/>
          <w:color w:val="auto"/>
        </w:rPr>
      </w:pPr>
    </w:p>
    <w:p>
      <w:pPr>
        <w:ind w:right="300" w:firstLine="1305"/>
        <w:spacing w:after="0" w:line="286" w:lineRule="auto"/>
        <w:tabs>
          <w:tab w:leader="none" w:pos="195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rFonts w:ascii="Arial" w:cs="Arial" w:eastAsia="Arial" w:hAnsi="Arial"/>
          <w:sz w:val="17"/>
          <w:szCs w:val="17"/>
          <w:color w:val="auto"/>
        </w:rPr>
      </w:pPr>
    </w:p>
    <w:p>
      <w:pPr>
        <w:ind w:right="60" w:firstLine="1305"/>
        <w:spacing w:after="0" w:line="342" w:lineRule="auto"/>
        <w:tabs>
          <w:tab w:leader="none" w:pos="19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3" w:lineRule="exact"/>
        <w:rPr>
          <w:rFonts w:ascii="Arial" w:cs="Arial" w:eastAsia="Arial" w:hAnsi="Arial"/>
          <w:sz w:val="16"/>
          <w:szCs w:val="16"/>
          <w:color w:val="auto"/>
        </w:rPr>
      </w:pPr>
    </w:p>
    <w:p>
      <w:pPr>
        <w:ind w:right="40" w:firstLine="1305"/>
        <w:spacing w:after="0" w:line="276" w:lineRule="auto"/>
        <w:tabs>
          <w:tab w:leader="none" w:pos="194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Trustee agrees to accept and act upon notice, instructions or directions pursuant to this Indenture sent by unsecured facsimile or electronic .pdf transmission;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reliance upon and compliance with such notice, instructions or directions notwithstanding such notice, instructions or directions conflict or are inconsistent with a subsequent notice, instructions or directions.</w:t>
      </w:r>
    </w:p>
    <w:p>
      <w:pPr>
        <w:spacing w:after="0" w:line="170" w:lineRule="exact"/>
        <w:rPr>
          <w:sz w:val="20"/>
          <w:szCs w:val="20"/>
          <w:color w:val="auto"/>
        </w:rPr>
      </w:pPr>
    </w:p>
    <w:p>
      <w:pPr>
        <w:ind w:left="1980" w:hanging="675"/>
        <w:spacing w:after="0"/>
        <w:tabs>
          <w:tab w:leader="none" w:pos="1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 notice or communication is sent in the manner provided above within the time prescribed, it is duly given, whether or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addressee receives it.</w:t>
      </w:r>
    </w:p>
    <w:p>
      <w:pPr>
        <w:spacing w:after="0" w:line="210" w:lineRule="exact"/>
        <w:rPr>
          <w:rFonts w:ascii="Arial" w:cs="Arial" w:eastAsia="Arial" w:hAnsi="Arial"/>
          <w:sz w:val="16"/>
          <w:szCs w:val="16"/>
          <w:color w:val="auto"/>
        </w:rPr>
      </w:pPr>
    </w:p>
    <w:p>
      <w:pPr>
        <w:ind w:right="180" w:firstLine="1305"/>
        <w:spacing w:after="0" w:line="501" w:lineRule="auto"/>
        <w:tabs>
          <w:tab w:leader="none" w:pos="19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Company mails a notice or communication to Holders, it shall mail a copy to the Trustee and each Agent at the same time. Section 10.03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ind w:right="640" w:firstLine="1297"/>
        <w:spacing w:after="0" w:line="342" w:lineRule="auto"/>
        <w:rPr>
          <w:sz w:val="20"/>
          <w:szCs w:val="20"/>
          <w:color w:val="auto"/>
        </w:rPr>
      </w:pPr>
      <w:r>
        <w:rPr>
          <w:rFonts w:ascii="Arial" w:cs="Arial" w:eastAsia="Arial" w:hAnsi="Arial"/>
          <w:sz w:val="16"/>
          <w:szCs w:val="16"/>
          <w:color w:val="auto"/>
        </w:rPr>
        <w:t>Holders may communicate pursuant to Trust Indenture Act Section 312(b) with other Holders with respect to their rights under this Indenture or the Notes. The Company, the Trustee, the Registrar and anyone else shall have the protection of Trust Indenture Act Section 312(c).</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ectPr>
          <w:pgSz w:w="11900" w:h="16838" w:orient="portrait"/>
          <w:cols w:equalWidth="0" w:num="1">
            <w:col w:w="11400"/>
          </w:cols>
          <w:pgMar w:left="240" w:top="341" w:right="259" w:bottom="32" w:gutter="0" w:footer="0" w:header="0"/>
        </w:sectPr>
      </w:pPr>
    </w:p>
    <w:bookmarkStart w:id="36" w:name="page37"/>
    <w:bookmarkEnd w:id="36"/>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both"/>
        <w:ind w:left="660" w:firstLine="645"/>
        <w:spacing w:after="0" w:line="259"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Section 10.05) stating that, in the opinion of the signer(s), all conditions precedent and covenants, if any, provided for in this Indenture relating to the proposed action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Officers’ Certificate shall be required in connection with the issuance of Notes on the Issue Date; and</w:t>
      </w:r>
    </w:p>
    <w:p>
      <w:pPr>
        <w:spacing w:after="0" w:line="186" w:lineRule="exact"/>
        <w:rPr>
          <w:rFonts w:ascii="Arial" w:cs="Arial" w:eastAsia="Arial" w:hAnsi="Arial"/>
          <w:sz w:val="18"/>
          <w:szCs w:val="18"/>
          <w:color w:val="auto"/>
        </w:rPr>
      </w:pPr>
    </w:p>
    <w:p>
      <w:pPr>
        <w:ind w:left="660" w:right="40" w:firstLine="645"/>
        <w:spacing w:after="0" w:line="279" w:lineRule="auto"/>
        <w:tabs>
          <w:tab w:leader="none" w:pos="196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an Opinion of Counsel in form and substance reasonably satisfactory to the Trustee (which shall include the statements set forth in Section 10.05 and which may contain customary qualifications) stating that, in the opinion of such counsel, all such conditions precedent and covenants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Opinion of Counsel shall be required in connection with the issuance of Notes on the Issue Date and any Opinion of Counsel may rely as to factual matters on an Officers’ Certificate.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Section 4.04) shall include:</w:t>
      </w:r>
    </w:p>
    <w:p>
      <w:pPr>
        <w:spacing w:after="0" w:line="170"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No Personal Liability of Stockholders, Partners, Officers or Directors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No director, officer, employee, stockholder, general or limited partner or incorporator, past, present or future, of the Company or any of its Subsidiaries, as such or in such capacity, shall have any personal liability for any obligations of the Company under the Notes or this Indenture by reason of his, her or its status as such director, officer, employee, stockholder, general or limited partner or incorporator.</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Holder of Notes by accepting a Note waives and releases all such liability. The waiver and release are part of the consideration for the issuance of the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THIS INDENTURE, THE NOTES AND ANY GUARANTEE WILL BE GOVERNED BY AND CONSTRUED IN ACCORDANCE WITH THE LAWS OF THE STATE OF NEW YORK.</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in this Indenture shall bind its successors.</w:t>
      </w:r>
    </w:p>
    <w:p>
      <w:pPr>
        <w:sectPr>
          <w:pgSz w:w="11900" w:h="16838" w:orient="portrait"/>
          <w:cols w:equalWidth="0" w:num="1">
            <w:col w:w="11400"/>
          </w:cols>
          <w:pgMar w:left="240" w:top="125" w:right="259" w:bottom="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will ask for documentation to verify its formation and existence as a legal entity. The Trustee may also ask to see financial statements, licenses, identification and authorization documents from individuals claiming authority to represent the entity or other relevant documentation. The parties each agree to provide all such information and documentation as to themselves as requested by the Trustee to ensure compliance with federal law.</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W. Adams</w:t>
      </w:r>
    </w:p>
    <w:p>
      <w:pPr>
        <w:spacing w:after="0" w:line="23" w:lineRule="exact"/>
        <w:rPr>
          <w:sz w:val="20"/>
          <w:szCs w:val="20"/>
          <w:color w:val="auto"/>
        </w:rPr>
      </w:pPr>
    </w:p>
    <w:p>
      <w:pPr>
        <w:ind w:left="6220"/>
        <w:spacing w:after="0"/>
        <w:tabs>
          <w:tab w:leader="none" w:pos="6960" w:val="left"/>
        </w:tabs>
        <w:rPr>
          <w:sz w:val="20"/>
          <w:szCs w:val="20"/>
          <w:color w:val="auto"/>
        </w:rPr>
      </w:pPr>
      <w:r>
        <w:rPr>
          <w:rFonts w:ascii="Arial" w:cs="Arial" w:eastAsia="Arial" w:hAnsi="Arial"/>
          <w:sz w:val="18"/>
          <w:szCs w:val="18"/>
          <w:color w:val="auto"/>
        </w:rPr>
        <w:t>Name:</w:t>
        <w:tab/>
        <w:t>Mark W.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2024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Paula Oswald</w:t>
      </w:r>
    </w:p>
    <w:p>
      <w:pPr>
        <w:spacing w:after="0" w:line="23"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2024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PROVISIONS RELATING TO INITIAL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ADDITIONAL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ectPr>
          <w:pgSz w:w="11900" w:h="16838" w:orient="portrait"/>
          <w:cols w:equalWidth="0" w:num="1">
            <w:col w:w="11420"/>
          </w:cols>
          <w:pgMar w:left="240" w:top="125" w:right="239" w:bottom="0" w:gutter="0" w:footer="0" w:header="0"/>
        </w:sectPr>
      </w:pPr>
    </w:p>
    <w:bookmarkStart w:id="38" w:name="page39"/>
    <w:bookmarkEnd w:id="38"/>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with respect to any Note, means the period of 40 consecutive days beginning on and including the later of (a) the day on which such Note is first offered to persons other than distributors (as defined in Regulation S under the Securities Act) in reliance on Regulation S, notice of which day shall be promptly given by the Company to the Trustee, and (b) the date of issuance with respect to such Note or any predecessor of such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Euroclear Clearance System or any successor securities clearing agency.</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 including without limitation, the Rule 144A Global Note and the Regulation S Global Note.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IAI</w:t>
      </w:r>
      <w:r>
        <w:rPr>
          <w:rFonts w:ascii="Arial" w:cs="Arial" w:eastAsia="Arial" w:hAnsi="Arial"/>
          <w:sz w:val="16"/>
          <w:szCs w:val="16"/>
          <w:color w:val="auto"/>
        </w:rPr>
        <w:t>” means an institution that is an “accredited investor” as described in Rule 501(a)(1), (2), (3) or (7) under the Securities Act and is not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QIB.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501</w:t>
      </w:r>
      <w:r>
        <w:rPr>
          <w:rFonts w:ascii="Arial" w:cs="Arial" w:eastAsia="Arial" w:hAnsi="Arial"/>
          <w:sz w:val="18"/>
          <w:szCs w:val="18"/>
          <w:color w:val="auto"/>
        </w:rPr>
        <w:t>” means Rule 501(a)(1), (2), (3) or (7)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w:t>
            </w:r>
          </w:p>
        </w:tc>
        <w:tc>
          <w:tcPr>
            <w:tcW w:w="254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85"/>
        </w:trPr>
        <w:tc>
          <w:tcPr>
            <w:tcW w:w="13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2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“Agent Members”</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2.1(c)</w:t>
            </w:r>
          </w:p>
        </w:tc>
        <w:tc>
          <w:tcPr>
            <w:tcW w:w="26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940" w:type="dxa"/>
            <w:vAlign w:val="bottom"/>
          </w:tcPr>
          <w:p>
            <w:pPr>
              <w:jc w:val="right"/>
              <w:ind w:right="259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2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“Definitive Notes Legend”</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“Global Notes Legend”</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2.1(b)</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2.1(b)</w:t>
            </w:r>
          </w:p>
        </w:tc>
        <w:tc>
          <w:tcPr>
            <w:tcW w:w="260" w:type="dxa"/>
            <w:vAlign w:val="bottom"/>
          </w:tcPr>
          <w:p>
            <w:pPr>
              <w:spacing w:after="0"/>
              <w:rPr>
                <w:sz w:val="18"/>
                <w:szCs w:val="18"/>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3200" w:type="dxa"/>
            <w:vAlign w:val="bottom"/>
            <w:gridSpan w:val="4"/>
          </w:tcPr>
          <w:p>
            <w:pPr>
              <w:spacing w:after="0"/>
              <w:rPr>
                <w:sz w:val="20"/>
                <w:szCs w:val="20"/>
                <w:color w:val="auto"/>
              </w:rPr>
            </w:pPr>
            <w:r>
              <w:rPr>
                <w:rFonts w:ascii="Arial" w:cs="Arial" w:eastAsia="Arial" w:hAnsi="Arial"/>
                <w:sz w:val="18"/>
                <w:szCs w:val="18"/>
                <w:color w:val="auto"/>
              </w:rPr>
              <w:t>Form and Dating.</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-1708150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240" w:firstLine="1305"/>
        <w:spacing w:after="0" w:line="259" w:lineRule="auto"/>
        <w:tabs>
          <w:tab w:leader="none" w:pos="19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Initial Notes issued on the date hereof shall be (i) offered and sold by the Company to the Initial Purchasers and (ii) resold, initially only to (1) QIBs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and (2) Persons other than U.S. Persons (as defined in Regulation 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Such Initial Notes may thereafter be transferred to, among others, QIBs, purchasers in reliance on Regulation S and, except as set forth below, IAIs in accordance with Rule 501.</w:t>
      </w:r>
    </w:p>
    <w:p>
      <w:pPr>
        <w:spacing w:after="0" w:line="186" w:lineRule="exact"/>
        <w:rPr>
          <w:rFonts w:ascii="Arial" w:cs="Arial" w:eastAsia="Arial" w:hAnsi="Arial"/>
          <w:sz w:val="18"/>
          <w:szCs w:val="18"/>
          <w:color w:val="auto"/>
        </w:rPr>
      </w:pPr>
    </w:p>
    <w:p>
      <w:pPr>
        <w:ind w:right="80" w:firstLine="1305"/>
        <w:spacing w:after="0" w:line="287" w:lineRule="auto"/>
        <w:tabs>
          <w:tab w:leader="none" w:pos="19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Beneficial ownership interests in the Regulation S Global Note shall not be exchangeable for interests in the Rule 144A Global Note or any other Note without a Restricted Notes Legend until the expiration of the Distribution Compliance Period.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2.3(c) below.</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Book-Entry Provisions</w:t>
      </w:r>
      <w:r>
        <w:rPr>
          <w:rFonts w:ascii="Arial" w:cs="Arial" w:eastAsia="Arial" w:hAnsi="Arial"/>
          <w:sz w:val="17"/>
          <w:szCs w:val="17"/>
          <w:color w:val="auto"/>
        </w:rPr>
        <w:t>. This Section 2.1(c) shall apply only to a Global Note deposited with or on behalf of the Depositary.</w:t>
      </w:r>
    </w:p>
    <w:p>
      <w:pPr>
        <w:spacing w:after="0" w:line="237"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ectPr>
          <w:pgSz w:w="11900" w:h="16838" w:orient="portrait"/>
          <w:cols w:equalWidth="0" w:num="1">
            <w:col w:w="11460"/>
          </w:cols>
          <w:pgMar w:left="240" w:top="125" w:right="199" w:bottom="0" w:gutter="0" w:footer="0" w:header="0"/>
        </w:sectPr>
      </w:pPr>
    </w:p>
    <w:bookmarkStart w:id="39" w:name="page40"/>
    <w:bookmarkEnd w:id="39"/>
    <w:p>
      <w:pPr>
        <w:spacing w:after="0" w:line="106"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47" w:lineRule="exact"/>
        <w:rPr>
          <w:sz w:val="20"/>
          <w:szCs w:val="20"/>
          <w:color w:val="auto"/>
        </w:rPr>
      </w:pPr>
    </w:p>
    <w:p>
      <w:pPr>
        <w:ind w:right="220" w:firstLine="1305"/>
        <w:spacing w:after="0" w:line="277"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Authentication</w:t>
      </w:r>
      <w:r>
        <w:rPr>
          <w:rFonts w:ascii="Arial" w:cs="Arial" w:eastAsia="Arial" w:hAnsi="Arial"/>
          <w:sz w:val="17"/>
          <w:szCs w:val="17"/>
          <w:color w:val="auto"/>
        </w:rPr>
        <w:t>. The Trustee shall authenticate and make available for delivery upon a written order of the Company signed by one Officer of the Company (a) Initial Notes for original issue on the date hereof in an aggregate principal amount of $550,000,000 and, (b) subject to the terms of the Indenture, Additional Notes. Such order shall specify the amount of the Notes to be authenticated, the date on which the original issue of Notes is to be authenticated and whether the Notes are to be Initial Notes or Additional Notes.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Definitive Notes for Definitive Notes</w:t>
      </w:r>
      <w:r>
        <w:rPr>
          <w:rFonts w:ascii="Arial" w:cs="Arial" w:eastAsia="Arial" w:hAnsi="Arial"/>
          <w:sz w:val="17"/>
          <w:szCs w:val="17"/>
          <w:color w:val="auto"/>
        </w:rPr>
        <w:t>. When Definitive Notes are presented to the Registrar with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1980" w:hanging="675"/>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100" w:firstLine="645"/>
        <w:spacing w:after="0" w:line="277"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case of Transfer Restricted Notes, are accompanied by the following additional information and documents, as applicable:</w:t>
      </w:r>
    </w:p>
    <w:p>
      <w:pPr>
        <w:spacing w:after="0" w:line="248" w:lineRule="exact"/>
        <w:rPr>
          <w:rFonts w:ascii="Arial" w:cs="Arial" w:eastAsia="Arial" w:hAnsi="Arial"/>
          <w:sz w:val="16"/>
          <w:szCs w:val="16"/>
          <w:color w:val="auto"/>
        </w:rPr>
      </w:pPr>
    </w:p>
    <w:p>
      <w:pPr>
        <w:ind w:left="1300" w:right="440" w:firstLine="653"/>
        <w:spacing w:after="0" w:line="342" w:lineRule="auto"/>
        <w:tabs>
          <w:tab w:leader="none" w:pos="261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such Definitive Notes are being delivered to the Registrar by a Holder for registration in the name of such Holder, without transfer, a certification from such Holder to that effect (in the form set forth on the reverse side of the Initial Note); or</w:t>
      </w:r>
    </w:p>
    <w:p>
      <w:pPr>
        <w:spacing w:after="0" w:line="123" w:lineRule="exact"/>
        <w:rPr>
          <w:rFonts w:ascii="Arial" w:cs="Arial" w:eastAsia="Arial" w:hAnsi="Arial"/>
          <w:sz w:val="16"/>
          <w:szCs w:val="16"/>
          <w:color w:val="auto"/>
        </w:rPr>
      </w:pPr>
    </w:p>
    <w:p>
      <w:pPr>
        <w:ind w:left="1300" w:right="300" w:firstLine="653"/>
        <w:spacing w:after="0" w:line="277" w:lineRule="auto"/>
        <w:tabs>
          <w:tab w:leader="none" w:pos="260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 or</w:t>
      </w:r>
    </w:p>
    <w:p>
      <w:pPr>
        <w:spacing w:after="0" w:line="170" w:lineRule="exact"/>
        <w:rPr>
          <w:rFonts w:ascii="Arial" w:cs="Arial" w:eastAsia="Arial" w:hAnsi="Arial"/>
          <w:sz w:val="18"/>
          <w:szCs w:val="18"/>
          <w:color w:val="auto"/>
        </w:rPr>
      </w:pPr>
    </w:p>
    <w:p>
      <w:pPr>
        <w:ind w:left="1300" w:right="40" w:firstLine="653"/>
        <w:spacing w:after="0" w:line="286" w:lineRule="auto"/>
        <w:tabs>
          <w:tab w:leader="none" w:pos="260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such Definitive Notes are being transferred pursuant to an exemption from registration in accordance with Rule 144 under the Securities Act or in reliance upon another exemption from the registration requirements of the Securities Act, (x) a certification to that effect (in the form set forth on the reverse side of the Initial Note) and (y) if the Company so requests, an opinion of counsel or other evidence reasonably satisfactory to them as to the compliance with the restrictions set forth in the applicable legends set forth in</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Section 2.3(e)(i).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1305"/>
        <w:spacing w:after="0" w:line="312" w:lineRule="auto"/>
        <w:tabs>
          <w:tab w:leader="none" w:pos="19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 Definitive Note for a Beneficial Interest in a Global Note</w:t>
      </w:r>
      <w:r>
        <w:rPr>
          <w:rFonts w:ascii="Arial" w:cs="Arial" w:eastAsia="Arial" w:hAnsi="Arial"/>
          <w:sz w:val="16"/>
          <w:szCs w:val="16"/>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7" w:lineRule="exact"/>
        <w:rPr>
          <w:sz w:val="20"/>
          <w:szCs w:val="20"/>
          <w:color w:val="auto"/>
        </w:rPr>
      </w:pPr>
    </w:p>
    <w:p>
      <w:pPr>
        <w:jc w:val="both"/>
        <w:ind w:left="660" w:right="60" w:firstLine="645"/>
        <w:spacing w:after="0" w:line="279" w:lineRule="auto"/>
        <w:tabs>
          <w:tab w:leader="none" w:pos="197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 certification (in the form set forth on the reverse side of the Initial Note) that such Definitive Note is being transferred (1) to a QIB in accordance with Rule 144A, (2) to an IAI that has furnished to the Trustee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(3) outside the United States of America in an offshore transaction within the meaning of Regulation S and in compliance with Rule 904 under the Securities Act; or (B) such other certification and Opinion of Counsel as the Trustee shall require; and</w:t>
      </w:r>
    </w:p>
    <w:p>
      <w:pPr>
        <w:spacing w:after="0" w:line="171" w:lineRule="exact"/>
        <w:rPr>
          <w:rFonts w:ascii="Arial" w:cs="Arial" w:eastAsia="Arial" w:hAnsi="Arial"/>
          <w:sz w:val="17"/>
          <w:szCs w:val="17"/>
          <w:color w:val="auto"/>
        </w:rPr>
      </w:pPr>
    </w:p>
    <w:p>
      <w:pPr>
        <w:ind w:left="660" w:right="20" w:firstLine="645"/>
        <w:spacing w:after="0" w:line="289" w:lineRule="auto"/>
        <w:tabs>
          <w:tab w:leader="none" w:pos="19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then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2.4, the Company shall issue and the Trustee shall authenticate, upon written order of the Company in the form of an Officers’ Certificate, a new Global Note in the appropriate principal amount.</w:t>
      </w:r>
    </w:p>
    <w:p>
      <w:pPr>
        <w:spacing w:after="0" w:line="167" w:lineRule="exact"/>
        <w:rPr>
          <w:sz w:val="20"/>
          <w:szCs w:val="20"/>
          <w:color w:val="auto"/>
        </w:rPr>
      </w:pPr>
    </w:p>
    <w:p>
      <w:pPr>
        <w:ind w:right="100" w:firstLine="1305"/>
        <w:spacing w:after="0" w:line="302" w:lineRule="auto"/>
        <w:tabs>
          <w:tab w:leader="none" w:pos="195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(i) 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w:t>
      </w:r>
    </w:p>
    <w:p>
      <w:pPr>
        <w:sectPr>
          <w:pgSz w:w="11900" w:h="16945" w:orient="portrait"/>
          <w:cols w:equalWidth="0" w:num="1">
            <w:col w:w="11420"/>
          </w:cols>
          <w:pgMar w:left="240" w:top="125" w:right="239" w:bottom="0" w:gutter="0" w:footer="0" w:header="0"/>
        </w:sectPr>
      </w:pPr>
    </w:p>
    <w:bookmarkStart w:id="40" w:name="page41"/>
    <w:bookmarkEnd w:id="40"/>
    <w:p>
      <w:pPr>
        <w:ind w:right="160"/>
        <w:spacing w:after="0" w:line="272" w:lineRule="auto"/>
        <w:rPr>
          <w:sz w:val="20"/>
          <w:szCs w:val="20"/>
          <w:color w:val="auto"/>
        </w:rPr>
      </w:pPr>
      <w:r>
        <w:rPr>
          <w:rFonts w:ascii="Arial" w:cs="Arial" w:eastAsia="Arial" w:hAnsi="Arial"/>
          <w:sz w:val="17"/>
          <w:szCs w:val="17"/>
          <w:color w:val="auto"/>
        </w:rPr>
        <w:t>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Distribution Compliance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Distribution Compliance Period, the interest transferred shall be held immediately thereafter through Euroclear or Clearstream.</w:t>
      </w:r>
    </w:p>
    <w:p>
      <w:pPr>
        <w:spacing w:after="0" w:line="178" w:lineRule="exact"/>
        <w:rPr>
          <w:sz w:val="20"/>
          <w:szCs w:val="20"/>
          <w:color w:val="auto"/>
        </w:rPr>
      </w:pPr>
    </w:p>
    <w:p>
      <w:pPr>
        <w:ind w:left="660" w:right="120" w:firstLine="645"/>
        <w:spacing w:after="0" w:line="302" w:lineRule="auto"/>
        <w:tabs>
          <w:tab w:leader="none" w:pos="198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Global Note from which such interest is being transferred.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312" w:lineRule="auto"/>
        <w:tabs>
          <w:tab w:leader="none" w:pos="199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A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6" w:lineRule="exact"/>
        <w:rPr>
          <w:rFonts w:ascii="Arial" w:cs="Arial" w:eastAsia="Arial" w:hAnsi="Arial"/>
          <w:sz w:val="16"/>
          <w:szCs w:val="16"/>
          <w:color w:val="auto"/>
        </w:rPr>
      </w:pPr>
    </w:p>
    <w:p>
      <w:pPr>
        <w:ind w:left="660" w:right="220" w:firstLine="645"/>
        <w:spacing w:after="0" w:line="257" w:lineRule="auto"/>
        <w:tabs>
          <w:tab w:leader="none" w:pos="197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that a Global Note is exchanged for Definitive Notes pursuant to Section 2.4,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Regulation S or such other applicable exemption from registration under the Securities Act, as the case may be) and such other procedures as may from time to time be adopted by the Company.</w:t>
      </w:r>
    </w:p>
    <w:p>
      <w:pPr>
        <w:spacing w:after="0" w:line="188" w:lineRule="exact"/>
        <w:rPr>
          <w:sz w:val="20"/>
          <w:szCs w:val="20"/>
          <w:color w:val="auto"/>
        </w:rPr>
      </w:pPr>
    </w:p>
    <w:p>
      <w:pPr>
        <w:ind w:firstLine="1305"/>
        <w:spacing w:after="0" w:line="286" w:lineRule="auto"/>
        <w:tabs>
          <w:tab w:leader="none" w:pos="195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Regulation S Global Note</w:t>
      </w:r>
      <w:r>
        <w:rPr>
          <w:rFonts w:ascii="Arial" w:cs="Arial" w:eastAsia="Arial" w:hAnsi="Arial"/>
          <w:sz w:val="16"/>
          <w:szCs w:val="16"/>
          <w:color w:val="auto"/>
        </w:rPr>
        <w:t xml:space="preserve">. (i) Prior to the expiration of the Distribution Compliance Period, interests in the Regulation S Global Note may only be held through Euroclear or Clearstream. During the Distribution Compliance Period, beneficial ownership interests in the Regulation S Global Note may only be sold, pledged or transferred through Euroclear or Clearstream in accordance with the Applicable Procedures and only (1) to the Company or any of its Subsidiaries, (2)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(3) in an offshore transaction in accordance with Regulation S, (4) pursuant to an exemption from registration under the Securities Act provided by Rule 144 (if applicable) under the Securities Act or another available exemption, (5) to an IAI purchasing for its own account, or for the account of such an IAI, in a minimum principal amount of Notes of $250,000 or (6) pursuant to an effective registration statement under the Securities Act, in each case in accordance with any applicable securities laws of any state of the United States of America. Prior to the expiration of the Distribution Compliance Period, transfers by an owner of a beneficial interest in the Regulation S Global Note to a transferee who takes delivery of such interest through the Rule 144A Global Note shall be made only in accordance with Applicable Procedures and upon receipt by the Trustee of a written certification from the transferor of the beneficial interest in the form provided on the reverse of the Initial Note to the effect that such transfer is being made to (1) a QIB within the meaning of Rule 144A in a transaction meeting the requirements of Rule 144A or (2) an IAI purchasing for its own account, or for the account of such an IAI, in a minimum principal amount of the Notes of $250,000 (in which case the transferee must furnish a signed letter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Trustee). Such written certification shall no longer be required after the expiration of the Distribution Compliance Period.</w:t>
      </w:r>
    </w:p>
    <w:p>
      <w:pPr>
        <w:spacing w:after="0" w:line="169" w:lineRule="exact"/>
        <w:rPr>
          <w:sz w:val="20"/>
          <w:szCs w:val="20"/>
          <w:color w:val="auto"/>
        </w:rPr>
      </w:pPr>
    </w:p>
    <w:p>
      <w:pPr>
        <w:ind w:left="660" w:right="200" w:firstLine="645"/>
        <w:spacing w:after="0" w:line="277" w:lineRule="auto"/>
        <w:tabs>
          <w:tab w:leader="none" w:pos="19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the expiration of the Distribution Compliance Period, beneficial ownership interests in the Regulation S Global Note shall be transferable in accordance with applicable law and the other terms of the Indenture.</w:t>
      </w:r>
    </w:p>
    <w:p>
      <w:pPr>
        <w:spacing w:after="0" w:line="170" w:lineRule="exact"/>
        <w:rPr>
          <w:sz w:val="20"/>
          <w:szCs w:val="20"/>
          <w:color w:val="auto"/>
        </w:rPr>
      </w:pPr>
    </w:p>
    <w:p>
      <w:pPr>
        <w:ind w:left="1960" w:hanging="655"/>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sz w:val="20"/>
          <w:szCs w:val="20"/>
          <w:color w:val="auto"/>
        </w:rPr>
      </w:pPr>
    </w:p>
    <w:p>
      <w:pPr>
        <w:ind w:left="660" w:right="140" w:firstLine="645"/>
        <w:spacing w:after="0" w:line="264" w:lineRule="auto"/>
        <w:tabs>
          <w:tab w:leader="none" w:pos="19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permitted by this Section 2.3(e),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w:t>
      </w:r>
    </w:p>
    <w:p>
      <w:pPr>
        <w:spacing w:after="0" w:line="18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OFFERING AND SALE OF THIS NOTE (OR ITS PREDECESSOR) HAVE NOT BEEN REGISTERED UNDER THE U.S. SECURITIES ACT OF 1933,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66" w:lineRule="exact"/>
        <w:rPr>
          <w:sz w:val="20"/>
          <w:szCs w:val="20"/>
          <w:color w:val="auto"/>
        </w:rPr>
      </w:pPr>
    </w:p>
    <w:p>
      <w:pPr>
        <w:ind w:left="660" w:right="80" w:hanging="4"/>
        <w:spacing w:after="0" w:line="259" w:lineRule="auto"/>
        <w:tabs>
          <w:tab w:leader="none" w:pos="13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THAT IT IS NOT AN “AFFILIATE” (AS DEFINED IN RULE 144 UNDER THE SECURITIES ACT) OF MICRON TECHNOLOGY, INC. AND (A) IT IS A “QUALIFIED INSTITUTIONAL BUYER” (AS DEFINED IN RULE 144A UNDER THE SECURITIES ACT) (A “QIB”), OR (B) IT HAS ACQUIRED THIS NOTE IN AN OFFSHORE TRANSACTION IN COMPLIANCE WITH REGULATION S UNDER THE SECURITIES ACT;</w:t>
      </w:r>
    </w:p>
    <w:p>
      <w:pPr>
        <w:spacing w:after="0" w:line="186" w:lineRule="exact"/>
        <w:rPr>
          <w:rFonts w:ascii="Arial" w:cs="Arial" w:eastAsia="Arial" w:hAnsi="Arial"/>
          <w:sz w:val="18"/>
          <w:szCs w:val="18"/>
          <w:color w:val="auto"/>
        </w:rPr>
      </w:pPr>
    </w:p>
    <w:p>
      <w:pPr>
        <w:ind w:left="660" w:right="120" w:hanging="4"/>
        <w:spacing w:after="0" w:line="272" w:lineRule="auto"/>
        <w:tabs>
          <w:tab w:leader="none" w:pos="13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NOTE OR ANY BENEFICIAL INTEREST HEREIN EXCEPT (A) TO MICRON TECHNOLOGY, INC. OR ANY OF ITS SUBSIDIARIES, (B) TO A PERSON WHOM THE SELLER REASONABLY BELIEVES IS A QIB PURCHASING FOR ITS OWN ACCOUNT OR FOR THE ACCOUNT OF A QIB IN A TRANSACTION MEETING THE REQUIREMENTS OF RULE 144A, (C)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ACCEPTABLE TO THE ISSUER AND THE TRUSTEE) OR</w:t>
      </w:r>
    </w:p>
    <w:p>
      <w:pPr>
        <w:sectPr>
          <w:pgSz w:w="11900" w:h="16838" w:orient="portrait"/>
          <w:cols w:equalWidth="0" w:num="1">
            <w:col w:w="11420"/>
          </w:cols>
          <w:pgMar w:left="240" w:top="125" w:right="239" w:bottom="0" w:gutter="0" w:footer="0" w:header="0"/>
        </w:sectPr>
      </w:pPr>
    </w:p>
    <w:bookmarkStart w:id="41" w:name="page42"/>
    <w:bookmarkEnd w:id="41"/>
    <w:p>
      <w:pPr>
        <w:ind w:left="660" w:right="180" w:hanging="4"/>
        <w:spacing w:after="0" w:line="308" w:lineRule="auto"/>
        <w:tabs>
          <w:tab w:leader="none" w:pos="92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PURSUANT TO AN EFFECTIVE REGISTRATION STATEMENT AND, IN EACH CASE, IN ACCORDANCE WITH THE APPLICABLE SECURITIES LAWS OF ANY STATE OF THE UNITED STATES OR ANY OTHER APPLICABLE JURISDICTION; AND</w:t>
      </w:r>
    </w:p>
    <w:p>
      <w:pPr>
        <w:spacing w:after="0" w:line="147" w:lineRule="exact"/>
        <w:rPr>
          <w:sz w:val="20"/>
          <w:szCs w:val="20"/>
          <w:color w:val="auto"/>
        </w:rPr>
      </w:pPr>
    </w:p>
    <w:p>
      <w:pPr>
        <w:ind w:left="660" w:right="40" w:hanging="4"/>
        <w:spacing w:after="0" w:line="277" w:lineRule="auto"/>
        <w:tabs>
          <w:tab w:leader="none" w:pos="13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THIS NOTE OR AN INTEREST HEREIN IS TRANSFERRED A NOTICE SUBSTANTIALLY TO THE EFFECT OF THIS LEGEND.</w:t>
      </w:r>
    </w:p>
    <w:p>
      <w:pPr>
        <w:spacing w:after="0" w:line="17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Definitive Note shall bear the following additional legend (“</w:t>
      </w:r>
      <w:r>
        <w:rPr>
          <w:rFonts w:ascii="Arial" w:cs="Arial" w:eastAsia="Arial" w:hAnsi="Arial"/>
          <w:sz w:val="18"/>
          <w:szCs w:val="18"/>
          <w:u w:val="single" w:color="auto"/>
          <w:color w:val="auto"/>
        </w:rPr>
        <w:t>Definitive Notes Legend</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u w:val="single" w:color="auto"/>
          <w:color w:val="auto"/>
        </w:rPr>
        <w:t>Global Notes Legend</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7" w:lineRule="exact"/>
        <w:rPr>
          <w:sz w:val="20"/>
          <w:szCs w:val="20"/>
          <w:color w:val="auto"/>
        </w:rPr>
      </w:pPr>
    </w:p>
    <w:p>
      <w:pPr>
        <w:ind w:left="660" w:right="20" w:firstLine="645"/>
        <w:spacing w:after="0" w:line="288" w:lineRule="auto"/>
        <w:tabs>
          <w:tab w:leader="none" w:pos="198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160" w:firstLine="645"/>
        <w:spacing w:after="0" w:line="286" w:lineRule="auto"/>
        <w:tabs>
          <w:tab w:leader="none" w:pos="196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Upon a sale or transfer after the expiration of the Distribution Compliance Period of any Initial Note or Additional Note acquired pursuant to Regulation S, all requirements that such Initial Note or Additional Note bear the Restricted Notes Legend shall cease to apply and the requirements requiring any such Initial Note or Additional Note be issued in global form shall continue to apply.</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25" w:lineRule="exact"/>
        <w:rPr>
          <w:rFonts w:ascii="Arial" w:cs="Arial" w:eastAsia="Arial" w:hAnsi="Arial"/>
          <w:sz w:val="18"/>
          <w:szCs w:val="18"/>
          <w:color w:val="auto"/>
        </w:rPr>
      </w:pPr>
    </w:p>
    <w:p>
      <w:pPr>
        <w:ind w:left="660" w:right="40" w:firstLine="645"/>
        <w:spacing w:after="0" w:line="290" w:lineRule="auto"/>
        <w:tabs>
          <w:tab w:leader="none" w:pos="19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extent that any Notes are represented by one or more Global Notes held by or on behalf of the Depositary, the Company may, but is not obligated to, cause the Restrictive Notes Legend on any such Global Notes to be removed (or deemed removed) and cause such Global Notes to be identified by an unrestricted CUSIP at any time on or after the one year anniversary of the later of (x) the Issue Date and (y) the date on which Additional Notes were last issued (it being understood that, if Additional Notes bear a different CUSIP, the date after which the Company may cause the Restrictive Notes Legend to be removed (1) with respect to the Initial Notes, shall be the one year anniversary of the issuance of the Initial Notes, and (2) with respect to such Additional Notes, shall be the one year anniversary of the date of issuance of such Additional Notes), without delivering an Opinion of Counsel, by delivering to the Trustee a written notice (x) certifying that all Notes represented by such Global Notes would be freely tradable under Rule 144 by a person who is not an affiliate of the Company (within the meaning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of Rule 144) and has not been an affiliate of the Company (within the meaning of Rule 144) during the immediately preceding three months, (y) instructing the Trustee to take any actions as may be necessary so that the Restricted Notes Legend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Notes Legend will be deemed removed from each of the Global Notes specified in such notice and the restricted CUSIP number will be deemed removed from each of such Global Notes and deemed replaced with an unrestricted CUSIP number. If the Company executed and the Trustee authenticated Global Notes without the Restricted Notes Legend on the Issue Date, then upon receipt of the notice set forth in this Section 2.3(e)(vii), the Trustee shall increase the principal amount of the Global Notes without the Restricted Notes Legend to the aggregate outstanding principal amount of Restricted Global Notes and decrease the principal amount of and cancel the Restricted Global Notes without an Authentication Order.</w:t>
      </w:r>
    </w:p>
    <w:p>
      <w:pPr>
        <w:spacing w:after="0" w:line="169" w:lineRule="exact"/>
        <w:rPr>
          <w:sz w:val="20"/>
          <w:szCs w:val="20"/>
          <w:color w:val="auto"/>
        </w:rPr>
      </w:pPr>
    </w:p>
    <w:p>
      <w:pPr>
        <w:ind w:left="1980" w:hanging="675"/>
        <w:spacing w:after="0"/>
        <w:tabs>
          <w:tab w:leader="none" w:pos="19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From and after the one year anniversary of the issue date of any Transfer Restricted Note, upon written direction of the Company:</w:t>
      </w:r>
    </w:p>
    <w:p>
      <w:pPr>
        <w:sectPr>
          <w:pgSz w:w="11900" w:h="16838" w:orient="portrait"/>
          <w:cols w:equalWidth="0" w:num="1">
            <w:col w:w="11420"/>
          </w:cols>
          <w:pgMar w:left="240" w:top="125" w:right="239" w:bottom="0" w:gutter="0" w:footer="0" w:header="0"/>
        </w:sectPr>
      </w:pPr>
    </w:p>
    <w:bookmarkStart w:id="42" w:name="page43"/>
    <w:bookmarkEnd w:id="42"/>
    <w:p>
      <w:pPr>
        <w:spacing w:after="0" w:line="106" w:lineRule="exact"/>
        <w:rPr>
          <w:sz w:val="20"/>
          <w:szCs w:val="20"/>
          <w:color w:val="auto"/>
        </w:rPr>
      </w:pPr>
    </w:p>
    <w:p>
      <w:pPr>
        <w:ind w:left="660" w:right="360" w:firstLine="1293"/>
        <w:spacing w:after="0" w:line="302" w:lineRule="auto"/>
        <w:tabs>
          <w:tab w:leader="none" w:pos="262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Registrar shall permit the Holder thereof to exchange any Transfer Restricted Note that is a Definitive Note for a Definitive Note that does not bear the legends set forth above and rescind any restriction on the transfer of such Transfer Restricted Note if the Holder certifies in writing to the Registrar and the Company that its request for such exchange was made in reliance on Rule 144 and that such Holder is not (and has not been during the preceding three months) an affiliate (as defined under Rule 144) of the Company; and</w:t>
      </w:r>
    </w:p>
    <w:p>
      <w:pPr>
        <w:spacing w:after="0" w:line="154" w:lineRule="exact"/>
        <w:rPr>
          <w:rFonts w:ascii="Arial" w:cs="Arial" w:eastAsia="Arial" w:hAnsi="Arial"/>
          <w:sz w:val="16"/>
          <w:szCs w:val="16"/>
          <w:color w:val="auto"/>
        </w:rPr>
      </w:pPr>
    </w:p>
    <w:p>
      <w:pPr>
        <w:ind w:left="660" w:firstLine="1293"/>
        <w:spacing w:after="0" w:line="259" w:lineRule="auto"/>
        <w:tabs>
          <w:tab w:leader="none" w:pos="261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Beneficial interests in a Transfer Restricted Note that is a Global Note may be exchanged for beneficial interests in Global Note that does not bear the Restricted Notes Legend if the Holder certifies in writing to the Registrar and the Company that its request for such exchange was made in reliance on Rule 144 and that such Holder is not (and has not been during the preceding three months) an “affiliate” of the Company within the meaning of Rule 144.</w:t>
      </w:r>
    </w:p>
    <w:p>
      <w:pPr>
        <w:spacing w:after="0" w:line="186" w:lineRule="exact"/>
        <w:rPr>
          <w:rFonts w:ascii="Arial" w:cs="Arial" w:eastAsia="Arial" w:hAnsi="Arial"/>
          <w:sz w:val="18"/>
          <w:szCs w:val="18"/>
          <w:color w:val="auto"/>
        </w:rPr>
      </w:pPr>
    </w:p>
    <w:p>
      <w:pPr>
        <w:ind w:left="660" w:right="120" w:firstLine="645"/>
        <w:spacing w:after="0" w:line="293" w:lineRule="auto"/>
        <w:tabs>
          <w:tab w:leader="none" w:pos="1961"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Cancellation or Adjustment of Global Note</w:t>
      </w:r>
      <w:r>
        <w:rPr>
          <w:rFonts w:ascii="Arial" w:cs="Arial" w:eastAsia="Arial" w:hAnsi="Arial"/>
          <w:sz w:val="16"/>
          <w:szCs w:val="16"/>
          <w:color w:val="auto"/>
        </w:rPr>
        <w:t>. At such time as all beneficial interests in a Global Note have either been exchanged for Definitive Notes, transferred,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w:t>
      </w:r>
    </w:p>
    <w:p>
      <w:pPr>
        <w:spacing w:after="0" w:line="164" w:lineRule="exact"/>
        <w:rPr>
          <w:rFonts w:ascii="Arial" w:cs="Arial" w:eastAsia="Arial" w:hAnsi="Arial"/>
          <w:sz w:val="16"/>
          <w:szCs w:val="16"/>
          <w:color w:val="auto"/>
        </w:rPr>
      </w:pPr>
    </w:p>
    <w:p>
      <w:pPr>
        <w:ind w:left="1980" w:hanging="675"/>
        <w:spacing w:after="0"/>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77" w:lineRule="auto"/>
        <w:tabs>
          <w:tab w:leader="none" w:pos="196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1305"/>
        <w:spacing w:after="0" w:line="312" w:lineRule="auto"/>
        <w:tabs>
          <w:tab w:leader="none" w:pos="197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2.07, 2.10, 3.06, 4.11 and 9.05 of the Indenture).</w:t>
      </w:r>
    </w:p>
    <w:p>
      <w:pPr>
        <w:spacing w:after="0" w:line="146" w:lineRule="exact"/>
        <w:rPr>
          <w:rFonts w:ascii="Arial" w:cs="Arial" w:eastAsia="Arial" w:hAnsi="Arial"/>
          <w:sz w:val="16"/>
          <w:szCs w:val="16"/>
          <w:color w:val="auto"/>
        </w:rPr>
      </w:pPr>
    </w:p>
    <w:p>
      <w:pPr>
        <w:ind w:right="140" w:firstLine="1305"/>
        <w:spacing w:after="0" w:line="259" w:lineRule="auto"/>
        <w:tabs>
          <w:tab w:leader="none" w:pos="19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of and interest on such Note and for all other purposes whatsoever, whether or not such Note is overdue, and none of the Company, the Trustee, the Paying Agent or the Registrar shall be affected by notice to the contrary.</w:t>
      </w:r>
    </w:p>
    <w:p>
      <w:pPr>
        <w:spacing w:after="0" w:line="186" w:lineRule="exact"/>
        <w:rPr>
          <w:rFonts w:ascii="Arial" w:cs="Arial" w:eastAsia="Arial" w:hAnsi="Arial"/>
          <w:sz w:val="18"/>
          <w:szCs w:val="18"/>
          <w:color w:val="auto"/>
        </w:rPr>
      </w:pPr>
    </w:p>
    <w:p>
      <w:pPr>
        <w:ind w:right="280" w:firstLine="1305"/>
        <w:spacing w:after="0" w:line="277" w:lineRule="auto"/>
        <w:tabs>
          <w:tab w:leader="none" w:pos="196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sz w:val="20"/>
          <w:szCs w:val="20"/>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80" w:firstLine="645"/>
        <w:spacing w:after="0" w:line="270" w:lineRule="auto"/>
        <w:tabs>
          <w:tab w:leader="none" w:pos="197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2" w:lineRule="exact"/>
        <w:rPr>
          <w:sz w:val="20"/>
          <w:szCs w:val="20"/>
          <w:color w:val="auto"/>
        </w:rPr>
      </w:pPr>
    </w:p>
    <w:p>
      <w:pPr>
        <w:ind w:left="660" w:right="200" w:firstLine="645"/>
        <w:spacing w:after="0" w:line="276" w:lineRule="auto"/>
        <w:tabs>
          <w:tab w:leader="none" w:pos="198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60" w:firstLine="645"/>
        <w:spacing w:after="0" w:line="276" w:lineRule="auto"/>
        <w:tabs>
          <w:tab w:leader="none" w:pos="197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connection with any exchange of beneficial interests in a Global Note that bears a Restricted Notes Legend for any Global Note that does not bear a Restricted Notes Legend in accordance with Section 2.3(e), if a Global Note that does not bear a Restricted Notes Legend is not then outstanding (or an insufficient principal amount of such Global Notes are outstanding to permit such exchange) and the Global Notes have not been previously exchanged for certificated securities pursuant to Section 2.4, the Company shall issue and the Trustee shall authenticate, upon written order of the Company in the form of an Officers’ Certificate, one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more new Global Note without the Restricted Notes Legend in the appropriate principal amounts.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302" w:lineRule="auto"/>
        <w:tabs>
          <w:tab w:leader="none" w:pos="194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Global Note deposited with the Depositary or with the Trustee as Custodian pursuant to Section 2.1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each case, a</w:t>
      </w:r>
    </w:p>
    <w:p>
      <w:pPr>
        <w:sectPr>
          <w:pgSz w:w="11900" w:h="16945" w:orient="portrait"/>
          <w:cols w:equalWidth="0" w:num="1">
            <w:col w:w="11420"/>
          </w:cols>
          <w:pgMar w:left="240" w:top="125" w:right="239" w:bottom="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auto"/>
        </w:rPr>
        <w:t>successor depositary is not appointed by the Company within 90 days of such notice or after the Company becomes aware of such cessation, or (ii) an Event of Default has occurred and is continuing and the Registrar has received a request from the Depository or (iii) the Company, in its sole discretion and subject to the procedures of the Depository, notifies the Trustee in writing that it elects to cause the issuance of certificated Notes under the Indenture.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78" w:lineRule="exact"/>
        <w:rPr>
          <w:sz w:val="20"/>
          <w:szCs w:val="20"/>
          <w:color w:val="auto"/>
        </w:rPr>
      </w:pPr>
    </w:p>
    <w:p>
      <w:pPr>
        <w:ind w:right="60" w:firstLine="1305"/>
        <w:spacing w:after="0" w:line="255"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shall be executed, authenticated and delivered only in minimum denominations of $2,000 and integral multiples of $1,000 in excess thereof and registered in such names as the Depositary shall direct. Any certificated Initial Note or Additional Note in the form of a Definitive Note delivered in exchange for an interest in the Global Note shall, except as otherwise provided by Section 2.3(f), bear the Restricted Notes Legend.</w:t>
      </w:r>
    </w:p>
    <w:p>
      <w:pPr>
        <w:spacing w:after="0" w:line="189"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1"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1300" w:right="3360"/>
        <w:spacing w:after="0" w:line="563" w:lineRule="auto"/>
        <w:rPr>
          <w:sz w:val="20"/>
          <w:szCs w:val="20"/>
          <w:color w:val="auto"/>
        </w:rPr>
      </w:pPr>
      <w:r>
        <w:rPr>
          <w:rFonts w:ascii="Arial" w:cs="Arial" w:eastAsia="Arial" w:hAnsi="Arial"/>
          <w:sz w:val="16"/>
          <w:szCs w:val="16"/>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CUSIP [</w:t>
      </w:r>
    </w:p>
    <w:p>
      <w:pPr>
        <w:spacing w:after="0" w:line="35"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11" w:lineRule="exact"/>
        <w:rPr>
          <w:sz w:val="20"/>
          <w:szCs w:val="20"/>
          <w:color w:val="auto"/>
        </w:rPr>
      </w:pPr>
    </w:p>
    <w:p>
      <w:pPr>
        <w:sectPr>
          <w:pgSz w:w="11900" w:h="16838" w:orient="portrait"/>
          <w:cols w:equalWidth="0" w:num="2">
            <w:col w:w="10440" w:space="720"/>
            <w:col w:w="260"/>
          </w:cols>
          <w:pgMar w:left="240" w:top="125" w:right="239" w:bottom="179"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144A][REGULATION S][GLOBAL] NOTE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 due 2024</w:t>
      </w:r>
    </w:p>
    <w:p>
      <w:pPr>
        <w:sectPr>
          <w:pgSz w:w="11900" w:h="16838" w:orient="portrait"/>
          <w:cols w:equalWidth="0" w:num="1">
            <w:col w:w="11420"/>
          </w:cols>
          <w:pgMar w:left="240" w:top="125" w:right="239" w:bottom="179"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8700" w:space="720"/>
            <w:col w:w="1220" w:space="720"/>
            <w:col w:w="60"/>
          </w:cols>
          <w:pgMar w:left="240" w:top="125" w:right="239" w:bottom="179"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U.S. Dollars] on January 15, 2024.</w:t>
      </w:r>
    </w:p>
    <w:p>
      <w:pPr>
        <w:sectPr>
          <w:pgSz w:w="11900" w:h="16838" w:orient="portrait"/>
          <w:cols w:equalWidth="0" w:num="1">
            <w:col w:w="11420"/>
          </w:cols>
          <w:pgMar w:left="240" w:top="125" w:right="239" w:bottom="179"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Rule 144A Note CUSIP: 595112 BF9</w:t>
      </w:r>
    </w:p>
    <w:p>
      <w:pPr>
        <w:spacing w:after="0" w:line="23" w:lineRule="exact"/>
        <w:rPr>
          <w:rFonts w:ascii="Arial" w:cs="Arial" w:eastAsia="Arial" w:hAnsi="Arial"/>
          <w:sz w:val="18"/>
          <w:szCs w:val="18"/>
          <w:color w:val="auto"/>
        </w:rPr>
      </w:pPr>
    </w:p>
    <w:p>
      <w:pPr>
        <w:ind w:left="400" w:right="7940"/>
        <w:spacing w:after="0" w:line="302" w:lineRule="auto"/>
        <w:rPr>
          <w:rFonts w:ascii="Arial" w:cs="Arial" w:eastAsia="Arial" w:hAnsi="Arial"/>
          <w:sz w:val="18"/>
          <w:szCs w:val="18"/>
          <w:color w:val="auto"/>
        </w:rPr>
      </w:pPr>
      <w:r>
        <w:rPr>
          <w:rFonts w:ascii="Arial" w:cs="Arial" w:eastAsia="Arial" w:hAnsi="Arial"/>
          <w:sz w:val="16"/>
          <w:szCs w:val="16"/>
          <w:color w:val="auto"/>
        </w:rPr>
        <w:t>Rule 144A Note ISIN: US595112BF97 Regulation S Note CUSIP:U5933L AD3 Regulation S Note ISIN: USU5933LAD39</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HEREOF, the Company has caused this instrument to be duly executed.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Dated: [</w:t>
            </w:r>
          </w:p>
        </w:tc>
        <w:tc>
          <w:tcPr>
            <w:tcW w:w="142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20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MICRON TECHNOLOGY, INC.</w:t>
      </w:r>
    </w:p>
    <w:p>
      <w:pPr>
        <w:sectPr>
          <w:pgSz w:w="11900" w:h="16838" w:orient="portrait"/>
          <w:cols w:equalWidth="0" w:num="1">
            <w:col w:w="11420"/>
          </w:cols>
          <w:pgMar w:left="240" w:top="125" w:right="239" w:bottom="179" w:gutter="0" w:footer="0" w:header="0"/>
          <w:type w:val="continuous"/>
        </w:sectPr>
      </w:pPr>
    </w:p>
    <w:bookmarkStart w:id="44" w:name="page45"/>
    <w:bookmarkEnd w:id="44"/>
    <w:p>
      <w:pPr>
        <w:jc w:val="cente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2907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5.250% Senior Notes due 2024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right="20" w:firstLine="1305"/>
        <w:spacing w:after="0" w:line="287" w:lineRule="auto"/>
        <w:tabs>
          <w:tab w:leader="none" w:pos="194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INTEREST.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promises to pay interest on the principal amount of this Note at 5.250% per annum from and including April 30, 2015(2) until but excluding maturity and shall pay Additional Interest, if any. The Company shall pay interest semi-annually in arrears on January 15 and July 15 of each year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If any Interest Payment Date, redemption date or maturity date is not a Business Day, then payment of interest or principal (and premium, if any) shall be made on the next succeeding Business Day with the same force and effect as if made on the date such payment was due, and no interest shall accrue on such payment for the period after such payment was due to such next succeeding Business Day. Interest on the Notes shall accrue from and including the most recent date to which interest has been paid or, if no interest has been paid, from and including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 July 15, 2015. The Company shall pay interest (including post-petition interest in any proceeding under any Debtor Relief Law) on overdue principal and premium, if any, from time to time on demand at the interest rate on the Notes; it shall pay interest (including post-petition interest in any proceeding under any Debtor Relief Law) on overdue installments of interest, including Additional Interest, if any, (without regard to any applicable grace periods) from time to time on demand at the interest rate on the Notes. Interest shall be computed on the basis of a 360-day year comprised of twelve 30-day months.</w:t>
      </w:r>
    </w:p>
    <w:p>
      <w:pPr>
        <w:spacing w:after="0" w:line="172" w:lineRule="exact"/>
        <w:rPr>
          <w:rFonts w:ascii="Arial" w:cs="Arial" w:eastAsia="Arial" w:hAnsi="Arial"/>
          <w:sz w:val="16"/>
          <w:szCs w:val="16"/>
          <w:color w:val="auto"/>
        </w:rPr>
      </w:pPr>
    </w:p>
    <w:p>
      <w:pPr>
        <w:ind w:right="40" w:firstLine="1305"/>
        <w:spacing w:after="0" w:line="270" w:lineRule="auto"/>
        <w:tabs>
          <w:tab w:leader="none" w:pos="194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METHOD OF PAYMENT. The Company shall pay interest, including Additional Interest, if any, on the Notes to the Persons who are registered holders of Notes at the close of business on January 1 or July 1 (whether or not a Business Day), as the case may be, next preceding the Interest Payment Date, even if such Notes are canceled after such record date and on or before such Interest Payment Date, except as provided in Section 2.12 of the Indenture with respect to defaulted interest. Principal of and premium, if any, and interest, including Additional Interest, if any, on the Notes shall be payable at the office or agency of the Company maintained for such purpose or, at the option of the Company, payment of interest, including Additional Interest, if any, may be made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including Additional Interest, if any, and premium, if any, on, all Global Notes and all other Notes the Holders of which hold in excess of $5,000,000 in aggregate principal amount and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177" w:lineRule="exact"/>
        <w:rPr>
          <w:rFonts w:ascii="Arial" w:cs="Arial" w:eastAsia="Arial" w:hAnsi="Arial"/>
          <w:sz w:val="17"/>
          <w:szCs w:val="17"/>
          <w:color w:val="auto"/>
        </w:rPr>
      </w:pPr>
    </w:p>
    <w:p>
      <w:pPr>
        <w:ind w:firstLine="1305"/>
        <w:spacing w:after="0" w:line="286" w:lineRule="auto"/>
        <w:tabs>
          <w:tab w:leader="none" w:pos="194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PAYING AGENT AND REGISTRAR. Initially, U.S. Bank National Association, the Trustee under the Indenture, shall act as Paying Agent and Registrar. The Company may change any Paying Agent or Registrar without notice to the Holders. The Company is required to maintain a Paying Agent in each place of payment for the Notes at all times. The Company or any of its Subsidiaries may act in any such capacity.</w:t>
      </w:r>
    </w:p>
    <w:p>
      <w:pPr>
        <w:spacing w:after="0" w:line="395" w:lineRule="exact"/>
        <w:rPr>
          <w:rFonts w:ascii="Arial" w:cs="Arial" w:eastAsia="Arial" w:hAnsi="Arial"/>
          <w:sz w:val="17"/>
          <w:szCs w:val="17"/>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the Initial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3" w:lineRule="auto"/>
        <w:tabs>
          <w:tab w:leader="none" w:pos="194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INDENTURE. The Company issued the Notes under an Indenture, dated as of April 30, 2015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 This Note is one of a duly authorized issue of notes of the Company designated as its 5.250% Senior Notes due 2024. The Company shall be entitled to issue Additional Notes pursuant to Section 2.01 of the Indenture. The terms of the Notes include those stated in the Indenture and those made part of the Indenture by specific incorporation from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REDEMPTION AND REPURCHASE; SATISFACTION, DISCHARGE AND DEFEASANCE.</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Notes are subject to optional redemption, and may be subject of an Offer to Purchase, as further described in the Indenture. The Company shall not be required to make any mandatory redemption or mandatory sinking fund payments with respect to the Notes. The Notes are subject to satisfaction, discharge and defeasance as further described in the Indenture.</w:t>
      </w:r>
    </w:p>
    <w:p>
      <w:pPr>
        <w:sectPr>
          <w:pgSz w:w="11900" w:h="16838" w:orient="portrait"/>
          <w:cols w:equalWidth="0" w:num="1">
            <w:col w:w="11400"/>
          </w:cols>
          <w:pgMar w:left="240" w:top="125" w:right="259" w:bottom="0" w:gutter="0" w:footer="0" w:header="0"/>
        </w:sectPr>
      </w:pPr>
    </w:p>
    <w:bookmarkStart w:id="45" w:name="page46"/>
    <w:bookmarkEnd w:id="45"/>
    <w:p>
      <w:pPr>
        <w:ind w:right="20" w:firstLine="1305"/>
        <w:spacing w:after="0" w:line="293" w:lineRule="auto"/>
        <w:tabs>
          <w:tab w:leader="none" w:pos="19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sending of a notice of redemption of Notes to be redeemed.</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AMENDMENT, SUPPLEMENT AND WAIVER. The Indenture or the Notes may be amended or supplemented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Indenture.</w:t>
      </w:r>
    </w:p>
    <w:p>
      <w:pPr>
        <w:spacing w:after="0" w:line="210" w:lineRule="exact"/>
        <w:rPr>
          <w:rFonts w:ascii="Arial" w:cs="Arial" w:eastAsia="Arial" w:hAnsi="Arial"/>
          <w:sz w:val="17"/>
          <w:szCs w:val="17"/>
          <w:color w:val="auto"/>
        </w:rPr>
      </w:pPr>
    </w:p>
    <w:p>
      <w:pPr>
        <w:ind w:right="240" w:firstLine="1305"/>
        <w:spacing w:after="0" w:line="342" w:lineRule="auto"/>
        <w:tabs>
          <w:tab w:leader="none" w:pos="19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Upon the occurrence of an Event of Default, the rights and obligations of the Company, the Trustee and the Holders shall be as set forth in the Indenture.</w:t>
      </w:r>
    </w:p>
    <w:p>
      <w:pPr>
        <w:spacing w:after="0" w:line="123" w:lineRule="exact"/>
        <w:rPr>
          <w:rFonts w:ascii="Arial" w:cs="Arial" w:eastAsia="Arial" w:hAnsi="Arial"/>
          <w:sz w:val="16"/>
          <w:szCs w:val="16"/>
          <w:color w:val="auto"/>
        </w:rPr>
      </w:pPr>
    </w:p>
    <w:p>
      <w:pPr>
        <w:ind w:right="140" w:firstLine="1305"/>
        <w:spacing w:after="0" w:line="277" w:lineRule="auto"/>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20" w:firstLine="1305"/>
        <w:spacing w:after="0" w:line="277" w:lineRule="auto"/>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AND THE GUARANTEES.</w:t>
      </w:r>
    </w:p>
    <w:p>
      <w:pPr>
        <w:spacing w:after="0" w:line="170" w:lineRule="exact"/>
        <w:rPr>
          <w:rFonts w:ascii="Arial" w:cs="Arial" w:eastAsia="Arial" w:hAnsi="Arial"/>
          <w:sz w:val="18"/>
          <w:szCs w:val="18"/>
          <w:color w:val="auto"/>
        </w:rPr>
      </w:pPr>
    </w:p>
    <w:p>
      <w:pPr>
        <w:ind w:right="40" w:firstLine="1305"/>
        <w:spacing w:after="0" w:line="342" w:lineRule="auto"/>
        <w:tabs>
          <w:tab w:leader="none" w:pos="19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shall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at the following 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-130810</wp:posOffset>
            </wp:positionV>
            <wp:extent cx="48279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60" w:type="dxa"/>
            <w:vAlign w:val="bottom"/>
            <w:tcBorders>
              <w:top w:val="single" w:sz="8" w:color="auto"/>
            </w:tcBorders>
          </w:tcPr>
          <w:p>
            <w:pPr>
              <w:spacing w:after="0"/>
              <w:rPr>
                <w:sz w:val="21"/>
                <w:szCs w:val="21"/>
                <w:color w:val="auto"/>
              </w:rPr>
            </w:pPr>
          </w:p>
        </w:tc>
        <w:tc>
          <w:tcPr>
            <w:tcW w:w="9660" w:type="dxa"/>
            <w:vAlign w:val="bottom"/>
            <w:tcBorders>
              <w:top w:val="single" w:sz="8" w:color="auto"/>
            </w:tcBorders>
            <w:gridSpan w:val="2"/>
          </w:tcPr>
          <w:p>
            <w:pPr>
              <w:ind w:left="2040"/>
              <w:spacing w:after="0"/>
              <w:rPr>
                <w:sz w:val="20"/>
                <w:szCs w:val="20"/>
                <w:color w:val="auto"/>
              </w:rPr>
            </w:pPr>
            <w:r>
              <w:rPr>
                <w:rFonts w:ascii="Arial" w:cs="Arial" w:eastAsia="Arial" w:hAnsi="Arial"/>
                <w:sz w:val="18"/>
                <w:szCs w:val="18"/>
                <w:color w:val="auto"/>
              </w:rPr>
              <w:t>(Print or type assignee’s name, address and zip code)</w:t>
            </w:r>
          </w:p>
        </w:tc>
      </w:tr>
      <w:tr>
        <w:trPr>
          <w:trHeight w:val="377"/>
        </w:trPr>
        <w:tc>
          <w:tcPr>
            <w:tcW w:w="1760" w:type="dxa"/>
            <w:vAlign w:val="bottom"/>
          </w:tcPr>
          <w:p>
            <w:pPr>
              <w:spacing w:after="0"/>
              <w:rPr>
                <w:sz w:val="20"/>
                <w:szCs w:val="20"/>
                <w:color w:val="auto"/>
              </w:rPr>
            </w:pPr>
            <w:r>
              <w:rPr>
                <w:rFonts w:ascii="Arial" w:cs="Arial" w:eastAsia="Arial" w:hAnsi="Arial"/>
                <w:sz w:val="18"/>
                <w:szCs w:val="18"/>
                <w:color w:val="auto"/>
                <w:w w:val="93"/>
              </w:rPr>
              <w:t>and irrevocably appoint</w:t>
            </w:r>
          </w:p>
        </w:tc>
        <w:tc>
          <w:tcPr>
            <w:tcW w:w="6120" w:type="dxa"/>
            <w:vAlign w:val="bottom"/>
            <w:tcBorders>
              <w:bottom w:val="single" w:sz="8" w:color="auto"/>
            </w:tcBorders>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to transfer this Note on the books of the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30702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2178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ectPr>
          <w:pgSz w:w="11900" w:h="16838" w:orient="portrait"/>
          <w:cols w:equalWidth="0" w:num="1">
            <w:col w:w="11420"/>
          </w:cols>
          <w:pgMar w:left="240" w:top="125" w:right="239" w:bottom="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certificate relates to $ undersigned.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REGISTRATION OF TRANSFER RESTRICTED NOTES</w:t>
      </w:r>
    </w:p>
    <w:p>
      <w:pPr>
        <w:spacing w:after="0" w:line="211" w:lineRule="exact"/>
        <w:rPr>
          <w:sz w:val="20"/>
          <w:szCs w:val="20"/>
          <w:color w:val="auto"/>
        </w:rPr>
      </w:pPr>
    </w:p>
    <w:p>
      <w:pPr>
        <w:spacing w:after="0"/>
        <w:tabs>
          <w:tab w:leader="none" w:pos="4680" w:val="left"/>
          <w:tab w:leader="none" w:pos="6200" w:val="left"/>
        </w:tabs>
        <w:rPr>
          <w:sz w:val="20"/>
          <w:szCs w:val="20"/>
          <w:color w:val="auto"/>
        </w:rPr>
      </w:pPr>
      <w:r>
        <w:rPr>
          <w:rFonts w:ascii="Arial" w:cs="Arial" w:eastAsia="Arial" w:hAnsi="Arial"/>
          <w:sz w:val="18"/>
          <w:szCs w:val="18"/>
          <w:color w:val="auto"/>
        </w:rPr>
        <w:t>principal amount of Notes held in (check applicable space)</w:t>
      </w:r>
      <w:r>
        <w:rPr>
          <w:sz w:val="20"/>
          <w:szCs w:val="20"/>
          <w:color w:val="auto"/>
        </w:rPr>
        <w:tab/>
      </w:r>
      <w:r>
        <w:rPr>
          <w:rFonts w:ascii="Arial" w:cs="Arial" w:eastAsia="Arial" w:hAnsi="Arial"/>
          <w:sz w:val="18"/>
          <w:szCs w:val="18"/>
          <w:color w:val="auto"/>
        </w:rPr>
        <w:t>book-entry or</w:t>
      </w:r>
      <w:r>
        <w:rPr>
          <w:sz w:val="20"/>
          <w:szCs w:val="20"/>
          <w:color w:val="auto"/>
        </w:rPr>
        <w:tab/>
      </w:r>
      <w:r>
        <w:rPr>
          <w:rFonts w:ascii="Arial" w:cs="Arial" w:eastAsia="Arial" w:hAnsi="Arial"/>
          <w:sz w:val="16"/>
          <w:szCs w:val="16"/>
          <w:color w:val="auto"/>
        </w:rPr>
        <w:t>definitive form by the</w:t>
      </w:r>
    </w:p>
    <w:p>
      <w:pPr>
        <w:spacing w:after="0" w:line="440" w:lineRule="exact"/>
        <w:rPr>
          <w:sz w:val="20"/>
          <w:szCs w:val="20"/>
          <w:color w:val="auto"/>
        </w:rPr>
      </w:pPr>
    </w:p>
    <w:p>
      <w:pPr>
        <w:sectPr>
          <w:pgSz w:w="11900" w:h="16838" w:orient="portrait"/>
          <w:cols w:equalWidth="0" w:num="2">
            <w:col w:w="2060" w:space="720"/>
            <w:col w:w="8640"/>
          </w:cols>
          <w:pgMar w:left="240" w:top="125" w:right="23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ind w:left="660" w:right="140" w:hanging="652"/>
        <w:spacing w:after="0" w:line="264" w:lineRule="auto"/>
        <w:tabs>
          <w:tab w:leader="none" w:pos="5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holding period referred to in Rule 144 under the Securities Act, the undersigned confirms that such Notes are being transferred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ind w:left="1240" w:hanging="584"/>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Company or subsidiary thereof;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25" w:lineRule="exact"/>
        <w:rPr>
          <w:rFonts w:ascii="Arial" w:cs="Arial" w:eastAsia="Arial" w:hAnsi="Arial"/>
          <w:sz w:val="18"/>
          <w:szCs w:val="18"/>
          <w:color w:val="auto"/>
        </w:rPr>
      </w:pPr>
    </w:p>
    <w:p>
      <w:pPr>
        <w:ind w:left="1300" w:hanging="644"/>
        <w:spacing w:after="0" w:line="286" w:lineRule="auto"/>
        <w:tabs>
          <w:tab w:leader="none" w:pos="122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inside the United States of America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5" w:lineRule="exact"/>
        <w:rPr>
          <w:rFonts w:ascii="Arial" w:cs="Arial" w:eastAsia="Arial" w:hAnsi="Arial"/>
          <w:sz w:val="17"/>
          <w:szCs w:val="17"/>
          <w:color w:val="auto"/>
        </w:rPr>
      </w:pPr>
    </w:p>
    <w:p>
      <w:pPr>
        <w:ind w:left="1300" w:right="200" w:hanging="644"/>
        <w:spacing w:after="0" w:line="277" w:lineRule="auto"/>
        <w:tabs>
          <w:tab w:leader="none" w:pos="12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outside the United States of America in an offshore transaction within the meaning of Regulation S under the Securities Act in compliance with Rule 904 under the Securities Act of 1933; or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2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 institutional “accredited investor” (as defined in Rule 501(a)(1), (2), (3) or (7) under the Securities Act of 1933) that has furnished to the Trustee a signed letter containing certain representations and agreements; or</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another available exemption from registration under the Securities Act of 1933.</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(4), (5), (6) or (7) is checked,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of 1933.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ectPr>
          <w:pgSz w:w="11900" w:h="16838" w:orient="portrait"/>
          <w:cols w:equalWidth="0" w:num="1">
            <w:col w:w="11420"/>
          </w:cols>
          <w:pgMar w:left="240" w:top="125" w:right="2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Signature must be guaranteed by a participant in a recognized signature guaranty medallion program or other signature guarantor acceptable to the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Signature of Signature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-123190</wp:posOffset>
            </wp:positionV>
            <wp:extent cx="68433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TO BE COMPLETED BY PURCHASER IF (4) ABOVE IS CHECKED.</w:t>
      </w:r>
    </w:p>
    <w:p>
      <w:pPr>
        <w:spacing w:after="0" w:line="200" w:lineRule="exact"/>
        <w:rPr>
          <w:sz w:val="20"/>
          <w:szCs w:val="20"/>
          <w:color w:val="auto"/>
        </w:rPr>
      </w:pPr>
    </w:p>
    <w:p>
      <w:pPr>
        <w:sectPr>
          <w:pgSz w:w="11900" w:h="16838" w:orient="portrait"/>
          <w:cols w:equalWidth="0" w:num="2">
            <w:col w:w="2340" w:space="720"/>
            <w:col w:w="8360"/>
          </w:cols>
          <w:pgMar w:left="240" w:top="125" w:right="239" w:bottom="0" w:gutter="0" w:footer="0" w:header="0"/>
          <w:type w:val="continuous"/>
        </w:sectPr>
      </w:pPr>
    </w:p>
    <w:p>
      <w:pPr>
        <w:spacing w:after="0" w:line="37"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NOTICE: To be executed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-130810</wp:posOffset>
            </wp:positionV>
            <wp:extent cx="68433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 executive officer</w:t>
      </w:r>
    </w:p>
    <w:p>
      <w:pPr>
        <w:sectPr>
          <w:pgSz w:w="11900" w:h="16838" w:orient="portrait"/>
          <w:cols w:equalWidth="0" w:num="1">
            <w:col w:w="11420"/>
          </w:cols>
          <w:pgMar w:left="240" w:top="125" w:right="239" w:bottom="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want to elect to have all of this Note purchased by the Company pursuant to Section 4.11 of the Indenture, check the box below:</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only part of this Note purchased by the Company pursuant to Section 4.11, state the amount you elect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purchased:</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31388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on the face of this Note)</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3053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right="2340" w:hanging="5512"/>
        <w:spacing w:after="0" w:line="528" w:lineRule="auto"/>
        <w:tabs>
          <w:tab w:leader="none" w:pos="13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 of increase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w:t>
            </w:r>
          </w:p>
        </w:tc>
        <w:tc>
          <w:tcPr>
            <w:tcW w:w="2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decrease</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in Principal</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9"/>
        </w:trPr>
        <w:tc>
          <w:tcPr>
            <w:tcW w:w="3620" w:type="dxa"/>
            <w:vAlign w:val="bottom"/>
            <w:gridSpan w:val="3"/>
            <w:vMerge w:val="continue"/>
          </w:tcPr>
          <w:p>
            <w:pPr>
              <w:spacing w:after="0"/>
              <w:rPr>
                <w:sz w:val="12"/>
                <w:szCs w:val="12"/>
                <w:color w:val="auto"/>
              </w:rPr>
            </w:pPr>
          </w:p>
        </w:tc>
        <w:tc>
          <w:tcPr>
            <w:tcW w:w="2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0" w:type="dxa"/>
            <w:vAlign w:val="bottom"/>
          </w:tcPr>
          <w:p>
            <w:pPr>
              <w:spacing w:after="0"/>
              <w:rPr>
                <w:sz w:val="1"/>
                <w:szCs w:val="1"/>
                <w:color w:val="auto"/>
              </w:rPr>
            </w:pPr>
          </w:p>
        </w:tc>
      </w:t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Exchange</w:t>
            </w: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Global Note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67" w:gutter="0" w:footer="0" w:header="0"/>
        </w:sectPr>
      </w:pPr>
    </w:p>
    <w:bookmarkStart w:id="48" w:name="page49"/>
    <w:bookmarkEnd w:id="48"/>
    <w:p>
      <w:pPr>
        <w:ind w:right="20" w:firstLine="648"/>
        <w:spacing w:after="0" w:line="264"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entered into as of [·], among Micron Technology, Inc., a Delaware corporation (the “Company”), [insert each Guarantor executing this Supplemental Indenture and its jurisdiction of incorporation or organization] (collectively “Undersigned”) and U.S. Bank National Association, as trustee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WHEREAS, the Company and the Trustee entered into the Indenture, dated as of April 30, 2015 (the “Indenture”), relating to the Company’s 5.250% Senior Notes due 2024 (the “Notes”);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shall execute and deliver to the Trustee a supplemental indenture pursuant to which the Subsidiary shall unconditionally Guarantee all of the Company’s obligations under the Notes and the Indenture on the terms and conditions set forth herein; and</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Undersigned, the Company and the Trustee mutually covenant and agree for the equal and ratable benefit of Holders as follows:</w:t>
      </w:r>
    </w:p>
    <w:p>
      <w:pPr>
        <w:spacing w:after="0" w:line="147"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Undersigned hereby agrees to become a party to the Indenture as a Guarantor as follows:</w:t>
      </w:r>
    </w:p>
    <w:p>
      <w:pPr>
        <w:spacing w:after="0" w:line="225" w:lineRule="exact"/>
        <w:rPr>
          <w:rFonts w:ascii="Arial" w:cs="Arial" w:eastAsia="Arial" w:hAnsi="Arial"/>
          <w:sz w:val="18"/>
          <w:szCs w:val="18"/>
          <w:color w:val="auto"/>
        </w:rPr>
      </w:pPr>
    </w:p>
    <w:p>
      <w:pPr>
        <w:ind w:left="1620" w:right="140" w:hanging="315"/>
        <w:spacing w:after="0" w:line="273" w:lineRule="auto"/>
        <w:tabs>
          <w:tab w:leader="none" w:pos="161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Subject to the provisions of this Supplemental Indenture, the Undersigned hereby irrevocably and unconditionally Guarantees on an unsecured unsubordinated basis, the full and punctual payment (whether at stated maturity, upon redemption, purchase pursuant to an offer to purchase or acceleration, or otherwise) of the principal of, interest on and all other amounts payable under, each Note, and the full and punctual payment of all other amounts payable by the Company under the Indenture in respect of the Notes. Upon failure by the Company to pay punctually any such amount, each Guarantor shall forthwith on demand pay the amount not so paid at the place and in the manner specified in the Indenture.</w:t>
      </w:r>
    </w:p>
    <w:p>
      <w:pPr>
        <w:spacing w:after="0" w:line="178" w:lineRule="exact"/>
        <w:rPr>
          <w:rFonts w:ascii="Arial" w:cs="Arial" w:eastAsia="Arial" w:hAnsi="Arial"/>
          <w:sz w:val="17"/>
          <w:szCs w:val="17"/>
          <w:color w:val="auto"/>
        </w:rPr>
      </w:pPr>
    </w:p>
    <w:p>
      <w:pPr>
        <w:ind w:left="1620" w:right="40" w:hanging="315"/>
        <w:spacing w:after="0" w:line="277" w:lineRule="auto"/>
        <w:tabs>
          <w:tab w:leader="none" w:pos="16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obligations of the Undersigned hereunder are unconditional and absolute and, without limiting the generality of the foregoing, will not be released, discharged or otherwise affected by:</w:t>
      </w:r>
    </w:p>
    <w:p>
      <w:pPr>
        <w:spacing w:after="0" w:line="170" w:lineRule="exact"/>
        <w:rPr>
          <w:rFonts w:ascii="Arial" w:cs="Arial" w:eastAsia="Arial" w:hAnsi="Arial"/>
          <w:sz w:val="18"/>
          <w:szCs w:val="18"/>
          <w:color w:val="auto"/>
        </w:rPr>
      </w:pPr>
    </w:p>
    <w:p>
      <w:pPr>
        <w:ind w:left="2640" w:hanging="519"/>
        <w:spacing w:after="0" w:line="277" w:lineRule="auto"/>
        <w:tabs>
          <w:tab w:leader="none" w:pos="267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Note, by operation of law or otherwise;</w:t>
      </w:r>
    </w:p>
    <w:p>
      <w:pPr>
        <w:spacing w:after="0" w:line="170" w:lineRule="exact"/>
        <w:rPr>
          <w:rFonts w:ascii="Arial" w:cs="Arial" w:eastAsia="Arial" w:hAnsi="Arial"/>
          <w:sz w:val="18"/>
          <w:szCs w:val="18"/>
          <w:color w:val="auto"/>
        </w:rPr>
      </w:pPr>
    </w:p>
    <w:p>
      <w:pPr>
        <w:ind w:left="2680" w:hanging="559"/>
        <w:spacing w:after="0"/>
        <w:tabs>
          <w:tab w:leader="none" w:pos="268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right="20" w:hanging="519"/>
        <w:spacing w:after="0" w:line="264" w:lineRule="auto"/>
        <w:tabs>
          <w:tab w:leader="none" w:pos="26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Note;</w:t>
      </w:r>
    </w:p>
    <w:p>
      <w:pPr>
        <w:spacing w:after="0" w:line="181" w:lineRule="exact"/>
        <w:rPr>
          <w:rFonts w:ascii="Arial" w:cs="Arial" w:eastAsia="Arial" w:hAnsi="Arial"/>
          <w:sz w:val="18"/>
          <w:szCs w:val="18"/>
          <w:color w:val="auto"/>
        </w:rPr>
      </w:pPr>
    </w:p>
    <w:p>
      <w:pPr>
        <w:ind w:left="2640" w:right="80" w:hanging="519"/>
        <w:spacing w:after="0" w:line="286" w:lineRule="auto"/>
        <w:tabs>
          <w:tab w:leader="none" w:pos="2665"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the existence of any claim, set-off or other rights which the Undersigned may have at any time against the Company, the Trustee or any other Person, whether in connection with the Indenture or any unrelated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prevents the assertion of any such claim by separate suit or compulsory counterclaim;</w:t>
      </w:r>
    </w:p>
    <w:p>
      <w:pPr>
        <w:spacing w:after="0" w:line="165" w:lineRule="exact"/>
        <w:rPr>
          <w:rFonts w:ascii="Arial" w:cs="Arial" w:eastAsia="Arial" w:hAnsi="Arial"/>
          <w:sz w:val="17"/>
          <w:szCs w:val="17"/>
          <w:color w:val="auto"/>
        </w:rPr>
      </w:pPr>
    </w:p>
    <w:p>
      <w:pPr>
        <w:ind w:left="2640" w:right="80" w:hanging="519"/>
        <w:spacing w:after="0" w:line="264" w:lineRule="auto"/>
        <w:tabs>
          <w:tab w:leader="none" w:pos="265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Indenture or any Note, or any provision of applicable law or regulation purporting to prohibit the payment by the Company of the principal of or interest on any Note or any other amount payable by the Company under the Indenture; or</w:t>
      </w:r>
    </w:p>
    <w:p>
      <w:pPr>
        <w:spacing w:after="0" w:line="181" w:lineRule="exact"/>
        <w:rPr>
          <w:rFonts w:ascii="Arial" w:cs="Arial" w:eastAsia="Arial" w:hAnsi="Arial"/>
          <w:sz w:val="18"/>
          <w:szCs w:val="18"/>
          <w:color w:val="auto"/>
        </w:rPr>
      </w:pPr>
    </w:p>
    <w:p>
      <w:pPr>
        <w:ind w:left="2640" w:right="160" w:hanging="519"/>
        <w:spacing w:after="0" w:line="264" w:lineRule="auto"/>
        <w:tabs>
          <w:tab w:leader="none" w:pos="266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Undersigned’s obligations hereunder.</w:t>
      </w:r>
    </w:p>
    <w:p>
      <w:pPr>
        <w:spacing w:after="0" w:line="181" w:lineRule="exact"/>
        <w:rPr>
          <w:rFonts w:ascii="Arial" w:cs="Arial" w:eastAsia="Arial" w:hAnsi="Arial"/>
          <w:sz w:val="18"/>
          <w:szCs w:val="18"/>
          <w:color w:val="auto"/>
        </w:rPr>
      </w:pPr>
    </w:p>
    <w:p>
      <w:pPr>
        <w:ind w:left="1620" w:right="100" w:hanging="315"/>
        <w:spacing w:after="0" w:line="255" w:lineRule="auto"/>
        <w:tabs>
          <w:tab w:leader="none" w:pos="163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Undersigned’s obligations hereunder will remain in full force and effect until the principal of and interest on the Notes and all other amounts payable by the Company under the Indenture have been paid in full. If at any time any payment of the principal of or interest on any Note or any other amount payable by the Company under the Indenture is rescinded or must be otherwise restored or returned upon the insolvency, bankruptcy or reorganization of the Company or otherwise, the Undersigned’s obligations hereunder with respect to such payment will be reinstated as though such payment had been due but not made at such time.</w:t>
      </w:r>
    </w:p>
    <w:p>
      <w:pPr>
        <w:spacing w:after="0" w:line="193" w:lineRule="exact"/>
        <w:rPr>
          <w:rFonts w:ascii="Arial" w:cs="Arial" w:eastAsia="Arial" w:hAnsi="Arial"/>
          <w:sz w:val="18"/>
          <w:szCs w:val="18"/>
          <w:color w:val="auto"/>
        </w:rPr>
      </w:pPr>
    </w:p>
    <w:p>
      <w:pPr>
        <w:ind w:left="1620" w:right="160" w:hanging="315"/>
        <w:spacing w:after="0" w:line="308" w:lineRule="auto"/>
        <w:tabs>
          <w:tab w:leader="none" w:pos="162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Undersigned irrevocably waives acceptance hereof, presentment, demand, protest and any notice not provided for herein, as well as any requirement that at any time any action be taken by any Person against the Company or any other Person.</w:t>
      </w:r>
    </w:p>
    <w:p>
      <w:pPr>
        <w:spacing w:after="0" w:line="146" w:lineRule="exact"/>
        <w:rPr>
          <w:rFonts w:ascii="Arial" w:cs="Arial" w:eastAsia="Arial" w:hAnsi="Arial"/>
          <w:sz w:val="17"/>
          <w:szCs w:val="17"/>
          <w:color w:val="auto"/>
        </w:rPr>
      </w:pPr>
    </w:p>
    <w:p>
      <w:pPr>
        <w:ind w:left="1620" w:hanging="315"/>
        <w:spacing w:after="0" w:line="302" w:lineRule="auto"/>
        <w:tabs>
          <w:tab w:leader="none" w:pos="163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Upon making any payment with respect to any obligation of the Company under this Article, the Undersigned will be subrogated to the rights of the payee against the Company with respect to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Undersigned may not enforce either any right of subrogation, or any right to receive payment in the nature of contribution, or otherwise, from any other Guarantor, with respect to such payment so long as any amount payable by the Company hereunder or under the Notes remains unpaid.</w:t>
      </w:r>
    </w:p>
    <w:p>
      <w:pPr>
        <w:sectPr>
          <w:pgSz w:w="11900" w:h="16838" w:orient="portrait"/>
          <w:cols w:equalWidth="0" w:num="1">
            <w:col w:w="11400"/>
          </w:cols>
          <w:pgMar w:left="240" w:top="341" w:right="259" w:bottom="0" w:gutter="0" w:footer="0" w:header="0"/>
        </w:sectPr>
      </w:pPr>
    </w:p>
    <w:bookmarkStart w:id="49" w:name="page50"/>
    <w:bookmarkEnd w:id="49"/>
    <w:p>
      <w:pPr>
        <w:ind w:left="1620" w:right="360" w:hanging="315"/>
        <w:spacing w:after="0" w:line="308" w:lineRule="auto"/>
        <w:tabs>
          <w:tab w:leader="none" w:pos="162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acceleration of the time for payment of any amount payable by the Company under the Indenture or the Notes is stayed upon the insolvency, bankruptcy or reorganization of the Company, all such amounts otherwise subject to acceleration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420"/>
        <w:spacing w:after="0" w:line="277" w:lineRule="auto"/>
        <w:rPr>
          <w:sz w:val="20"/>
          <w:szCs w:val="20"/>
          <w:color w:val="auto"/>
        </w:rPr>
      </w:pPr>
      <w:r>
        <w:rPr>
          <w:rFonts w:ascii="Arial" w:cs="Arial" w:eastAsia="Arial" w:hAnsi="Arial"/>
          <w:sz w:val="18"/>
          <w:szCs w:val="18"/>
          <w:color w:val="auto"/>
        </w:rPr>
        <w:t>under the terms of the Indenture are nonetheless payable by the Undersigned hereunder forthwith on demand by the Trustee or the Holders.</w:t>
      </w:r>
    </w:p>
    <w:p>
      <w:pPr>
        <w:spacing w:after="0" w:line="170" w:lineRule="exact"/>
        <w:rPr>
          <w:sz w:val="20"/>
          <w:szCs w:val="20"/>
          <w:color w:val="auto"/>
        </w:rPr>
      </w:pPr>
    </w:p>
    <w:p>
      <w:pPr>
        <w:ind w:left="1620" w:right="60" w:hanging="315"/>
        <w:spacing w:after="0" w:line="293" w:lineRule="auto"/>
        <w:tabs>
          <w:tab w:leader="none" w:pos="164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Supplemental Indenture, the Undersigned, and by its acceptance of Notes, each Holder, confirms that it is the intention of all such parties that the Guarantee of the Undersigned not constitute a fraudulent conveyance under applicable fraudulent conveyance provisions of the United States Bankruptcy Code or any comparable provision of state law. To effectuate that intention, the Trustee, the Holders and the Undersigned irrevocably agree that the obligations of the Undersigned under its Guarantee are limited to the maximum amount that would not render the Undersigned’s obligations subject to avoidance under applicable fraudulent conveyance provisions of the United States Bankruptcy Code or any comparable provision of state law.</w:t>
      </w:r>
    </w:p>
    <w:p>
      <w:pPr>
        <w:spacing w:after="0" w:line="164" w:lineRule="exact"/>
        <w:rPr>
          <w:rFonts w:ascii="Arial" w:cs="Arial" w:eastAsia="Arial" w:hAnsi="Arial"/>
          <w:sz w:val="16"/>
          <w:szCs w:val="16"/>
          <w:color w:val="auto"/>
        </w:rPr>
      </w:pPr>
    </w:p>
    <w:p>
      <w:pPr>
        <w:ind w:right="680" w:firstLine="656"/>
        <w:spacing w:after="0" w:line="277"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of this Supplemental Indenture shall constitute a legal, valid and binding obligation of the Company, enforceable against it in accordance with its terms.</w:t>
      </w:r>
    </w:p>
    <w:p>
      <w:pPr>
        <w:spacing w:after="0" w:line="170" w:lineRule="exact"/>
        <w:rPr>
          <w:rFonts w:ascii="Arial" w:cs="Arial" w:eastAsia="Arial" w:hAnsi="Arial"/>
          <w:sz w:val="18"/>
          <w:szCs w:val="18"/>
          <w:color w:val="auto"/>
        </w:rPr>
      </w:pPr>
    </w:p>
    <w:p>
      <w:pPr>
        <w:ind w:right="40" w:firstLine="656"/>
        <w:spacing w:after="0" w:line="277"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the Undersigned shall be required to make a notation on the Notes to reflect the Guarantee or any release, termination or discharge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this Supplemental Indenture.</w:t>
      </w:r>
    </w:p>
    <w:p>
      <w:pPr>
        <w:spacing w:after="0" w:line="225"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Undersigned and the Company.</w:t>
      </w:r>
    </w:p>
    <w:p>
      <w:pPr>
        <w:spacing w:after="0" w:line="123" w:lineRule="exact"/>
        <w:rPr>
          <w:rFonts w:ascii="Arial" w:cs="Arial" w:eastAsia="Arial" w:hAnsi="Arial"/>
          <w:sz w:val="16"/>
          <w:szCs w:val="16"/>
          <w:color w:val="auto"/>
        </w:rPr>
      </w:pPr>
    </w:p>
    <w:p>
      <w:pPr>
        <w:ind w:right="240" w:firstLine="656"/>
        <w:spacing w:after="0" w:line="277"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Undersigned in the Indenture, this Supplemental Indenture and the Guarantee shall bind its successors. All agreements of the Trustee in this Supplemental Indenture shall bind its successors.</w:t>
      </w:r>
    </w:p>
    <w:p>
      <w:pPr>
        <w:spacing w:after="0" w:line="170" w:lineRule="exact"/>
        <w:rPr>
          <w:rFonts w:ascii="Arial" w:cs="Arial" w:eastAsia="Arial" w:hAnsi="Arial"/>
          <w:sz w:val="18"/>
          <w:szCs w:val="18"/>
          <w:color w:val="auto"/>
        </w:rPr>
      </w:pPr>
    </w:p>
    <w:p>
      <w:pPr>
        <w:ind w:firstLine="656"/>
        <w:spacing w:after="0" w:line="279" w:lineRule="auto"/>
        <w:tabs>
          <w:tab w:leader="none" w:pos="1292"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Supplemental Indenture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Supplemental Indenture at law, in equity, by statute or otherwise.</w:t>
      </w:r>
    </w:p>
    <w:p>
      <w:pPr>
        <w:spacing w:after="0" w:line="171" w:lineRule="exact"/>
        <w:rPr>
          <w:rFonts w:ascii="Arial" w:cs="Arial" w:eastAsia="Arial" w:hAnsi="Arial"/>
          <w:sz w:val="17"/>
          <w:szCs w:val="17"/>
          <w:color w:val="auto"/>
        </w:rPr>
      </w:pPr>
    </w:p>
    <w:p>
      <w:pPr>
        <w:ind w:right="20" w:firstLine="656"/>
        <w:spacing w:after="0" w:line="259" w:lineRule="auto"/>
        <w:tabs>
          <w:tab w:leader="none" w:pos="128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modification, amendment or waiver of any provision of this Supplemental Indenture, nor the consent to any departure by the Undersigned therefrom, shall in any event be effective unless the same shall be in writing and signed by the Trustee, and then such waiver or consent shall be effective only in the specific instance and for the purpose for which given. No notice to or demand on the Undersigned in any case shall entitle the Undersigned to any other or further notice or demand in the same, similar or other circumstance.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56"/>
        <w:spacing w:after="0" w:line="277" w:lineRule="auto"/>
        <w:tabs>
          <w:tab w:leader="none" w:pos="129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Except as supplemented and amended hereby, all provisions of the Indenture shall remain in full force and effect, and the Indenture is hereby affirmed and ratified.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 as Company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5.250% Senior Notes due 2024 (the “</w:t>
      </w:r>
      <w:r>
        <w:rPr>
          <w:rFonts w:ascii="Arial" w:cs="Arial" w:eastAsia="Arial" w:hAnsi="Arial"/>
          <w:sz w:val="18"/>
          <w:szCs w:val="18"/>
          <w:u w:val="single" w:color="auto"/>
          <w:color w:val="auto"/>
        </w:rPr>
        <w:t>Notes</w:t>
      </w:r>
      <w:r>
        <w:rPr>
          <w:rFonts w:ascii="Arial" w:cs="Arial" w:eastAsia="Arial" w:hAnsi="Arial"/>
          <w:sz w:val="18"/>
          <w:szCs w:val="18"/>
          <w:color w:val="auto"/>
        </w:rPr>
        <w:t>”) of Micron 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180" w:firstLine="1305"/>
        <w:spacing w:after="0" w:line="255" w:lineRule="auto"/>
        <w:tabs>
          <w:tab w:leader="none" w:pos="194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93" w:lineRule="exact"/>
        <w:rPr>
          <w:rFonts w:ascii="Arial" w:cs="Arial" w:eastAsia="Arial" w:hAnsi="Arial"/>
          <w:sz w:val="18"/>
          <w:szCs w:val="18"/>
          <w:color w:val="auto"/>
        </w:rPr>
      </w:pPr>
    </w:p>
    <w:p>
      <w:pPr>
        <w:ind w:right="20" w:firstLine="1305"/>
        <w:spacing w:after="0" w:line="286" w:lineRule="auto"/>
        <w:tabs>
          <w:tab w:leader="none" w:pos="194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w:t>
      </w:r>
      <w:r>
        <w:rPr>
          <w:rFonts w:ascii="Arial" w:cs="Arial" w:eastAsia="Arial" w:hAnsi="Arial"/>
          <w:sz w:val="16"/>
          <w:szCs w:val="16"/>
          <w:u w:val="single" w:color="auto"/>
          <w:color w:val="auto"/>
        </w:rPr>
        <w:t>Resale Restriction Termination Date</w:t>
      </w:r>
      <w:r>
        <w:rPr>
          <w:rFonts w:ascii="Arial" w:cs="Arial" w:eastAsia="Arial" w:hAnsi="Arial"/>
          <w:sz w:val="16"/>
          <w:szCs w:val="16"/>
          <w:color w:val="auto"/>
        </w:rPr>
        <w:t>”) only (a) to the Company,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pursuant to a registration statement that has been declared effective under the Securities Act, (c) in a transaction complying with the requirements of</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to a person we reasonably believe is a qualified institutional buyer under Rule 144A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that occur outside the United States of America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Notes of $250,000, or (f) pursuant to any other available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(c), (d), (e) or (f) above to require the delivery of an opinion of counsel, certifications or other information satisfactory to the Company and the Trustee.</w:t>
      </w:r>
    </w:p>
    <w:p>
      <w:pPr>
        <w:spacing w:after="0" w:line="182" w:lineRule="exact"/>
        <w:rPr>
          <w:sz w:val="20"/>
          <w:szCs w:val="20"/>
          <w:color w:val="auto"/>
        </w:rPr>
      </w:pPr>
    </w:p>
    <w:p>
      <w:pPr>
        <w:ind w:left="5720"/>
        <w:spacing w:after="0"/>
        <w:tabs>
          <w:tab w:leader="none" w:pos="842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30,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5.625%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1.01</w:t>
            </w:r>
          </w:p>
        </w:tc>
        <w:tc>
          <w:tcPr>
            <w:tcW w:w="9240" w:type="dxa"/>
            <w:vAlign w:val="bottom"/>
            <w:gridSpan w:val="34"/>
          </w:tcPr>
          <w:p>
            <w:pPr>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Other Definitions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1.03</w:t>
            </w:r>
          </w:p>
        </w:tc>
        <w:tc>
          <w:tcPr>
            <w:tcW w:w="15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0"/>
              </w:rPr>
              <w:t>Rules of Construction</w:t>
            </w:r>
          </w:p>
        </w:tc>
        <w:tc>
          <w:tcPr>
            <w:tcW w:w="766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1.04</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Incorporation by Reference of Trust Indenture Act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1.05</w:t>
            </w:r>
          </w:p>
        </w:tc>
        <w:tc>
          <w:tcPr>
            <w:tcW w:w="11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Acts of Holders</w:t>
            </w:r>
          </w:p>
        </w:tc>
        <w:tc>
          <w:tcPr>
            <w:tcW w:w="2480" w:type="dxa"/>
            <w:vAlign w:val="bottom"/>
            <w:tcBorders>
              <w:top w:val="single" w:sz="8" w:color="auto"/>
            </w:tcBorders>
            <w:gridSpan w:val="26"/>
          </w:tcPr>
          <w:p>
            <w:pPr>
              <w:spacing w:after="0"/>
              <w:rPr>
                <w:sz w:val="17"/>
                <w:szCs w:val="17"/>
                <w:color w:val="auto"/>
              </w:rPr>
            </w:pPr>
          </w:p>
        </w:tc>
        <w:tc>
          <w:tcPr>
            <w:tcW w:w="56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2 THE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2.01</w:t>
            </w:r>
          </w:p>
        </w:tc>
        <w:tc>
          <w:tcPr>
            <w:tcW w:w="9240" w:type="dxa"/>
            <w:vAlign w:val="bottom"/>
            <w:gridSpan w:val="34"/>
          </w:tcPr>
          <w:p>
            <w:pPr>
              <w:spacing w:after="0"/>
              <w:rPr>
                <w:sz w:val="20"/>
                <w:szCs w:val="20"/>
                <w:color w:val="auto"/>
              </w:rPr>
            </w:pPr>
            <w:r>
              <w:rPr>
                <w:rFonts w:ascii="Arial" w:cs="Arial" w:eastAsia="Arial" w:hAnsi="Arial"/>
                <w:sz w:val="18"/>
                <w:szCs w:val="18"/>
                <w:color w:val="auto"/>
              </w:rPr>
              <w:t>Form and Dating; Terms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Execution and Authentication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200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9"/>
              </w:rPr>
              <w:t>Registrar and Paying Agent</w:t>
            </w:r>
          </w:p>
        </w:tc>
        <w:tc>
          <w:tcPr>
            <w:tcW w:w="140" w:type="dxa"/>
            <w:vAlign w:val="bottom"/>
            <w:tcBorders>
              <w:top w:val="single" w:sz="8" w:color="auto"/>
            </w:tcBorders>
          </w:tcPr>
          <w:p>
            <w:pPr>
              <w:spacing w:after="0"/>
              <w:rPr>
                <w:sz w:val="17"/>
                <w:szCs w:val="17"/>
                <w:color w:val="auto"/>
              </w:rPr>
            </w:pPr>
          </w:p>
        </w:tc>
        <w:tc>
          <w:tcPr>
            <w:tcW w:w="71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2.04</w:t>
            </w:r>
          </w:p>
        </w:tc>
        <w:tc>
          <w:tcPr>
            <w:tcW w:w="27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2"/>
              </w:rPr>
              <w:t>Paying Agent to Hold Money in Trust</w:t>
            </w:r>
          </w:p>
        </w:tc>
        <w:tc>
          <w:tcPr>
            <w:tcW w:w="650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2.05</w:t>
            </w: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Holder Lists</w:t>
            </w:r>
          </w:p>
        </w:tc>
        <w:tc>
          <w:tcPr>
            <w:tcW w:w="834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2.06</w:t>
            </w:r>
          </w:p>
        </w:tc>
        <w:tc>
          <w:tcPr>
            <w:tcW w:w="16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Transfer and Exchange</w:t>
            </w:r>
          </w:p>
        </w:tc>
        <w:tc>
          <w:tcPr>
            <w:tcW w:w="75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2.07</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Replacement Notes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2.08</w:t>
            </w:r>
          </w:p>
        </w:tc>
        <w:tc>
          <w:tcPr>
            <w:tcW w:w="14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Outstanding Notes</w:t>
            </w:r>
          </w:p>
        </w:tc>
        <w:tc>
          <w:tcPr>
            <w:tcW w:w="784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2.09</w:t>
            </w:r>
          </w:p>
        </w:tc>
        <w:tc>
          <w:tcPr>
            <w:tcW w:w="1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7"/>
              </w:rPr>
              <w:t>Treasury Notes</w:t>
            </w:r>
          </w:p>
        </w:tc>
        <w:tc>
          <w:tcPr>
            <w:tcW w:w="240" w:type="dxa"/>
            <w:vAlign w:val="bottom"/>
            <w:tcBorders>
              <w:top w:val="single" w:sz="8" w:color="auto"/>
            </w:tcBorders>
            <w:gridSpan w:val="4"/>
          </w:tcPr>
          <w:p>
            <w:pPr>
              <w:spacing w:after="0"/>
              <w:rPr>
                <w:sz w:val="17"/>
                <w:szCs w:val="17"/>
                <w:color w:val="auto"/>
              </w:rPr>
            </w:pPr>
          </w:p>
        </w:tc>
        <w:tc>
          <w:tcPr>
            <w:tcW w:w="790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2.10</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Temporary Notes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2.11</w:t>
            </w:r>
          </w:p>
        </w:tc>
        <w:tc>
          <w:tcPr>
            <w:tcW w:w="12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Cancellation</w:t>
            </w:r>
          </w:p>
        </w:tc>
        <w:tc>
          <w:tcPr>
            <w:tcW w:w="798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2.12</w:t>
            </w:r>
          </w:p>
        </w:tc>
        <w:tc>
          <w:tcPr>
            <w:tcW w:w="13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Defaulted Interest</w:t>
            </w:r>
          </w:p>
        </w:tc>
        <w:tc>
          <w:tcPr>
            <w:tcW w:w="79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2.13</w:t>
            </w:r>
          </w:p>
        </w:tc>
        <w:tc>
          <w:tcPr>
            <w:tcW w:w="192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CUSIP and ISIN Numbers</w:t>
            </w:r>
          </w:p>
        </w:tc>
        <w:tc>
          <w:tcPr>
            <w:tcW w:w="732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3 REDEMPTION</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3.01</w:t>
            </w:r>
          </w:p>
        </w:tc>
        <w:tc>
          <w:tcPr>
            <w:tcW w:w="9240" w:type="dxa"/>
            <w:vAlign w:val="bottom"/>
            <w:gridSpan w:val="34"/>
          </w:tcPr>
          <w:p>
            <w:pPr>
              <w:spacing w:after="0"/>
              <w:rPr>
                <w:sz w:val="20"/>
                <w:szCs w:val="20"/>
                <w:color w:val="auto"/>
              </w:rPr>
            </w:pPr>
            <w:r>
              <w:rPr>
                <w:rFonts w:ascii="Arial" w:cs="Arial" w:eastAsia="Arial" w:hAnsi="Arial"/>
                <w:sz w:val="18"/>
                <w:szCs w:val="18"/>
                <w:color w:val="auto"/>
              </w:rPr>
              <w:t>Notices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3.02</w:t>
            </w:r>
          </w:p>
        </w:tc>
        <w:tc>
          <w:tcPr>
            <w:tcW w:w="354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88"/>
              </w:rPr>
              <w:t>Selection of Notes to Be Redeemed or Purchased</w:t>
            </w:r>
          </w:p>
        </w:tc>
        <w:tc>
          <w:tcPr>
            <w:tcW w:w="57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3.03</w:t>
            </w:r>
          </w:p>
        </w:tc>
        <w:tc>
          <w:tcPr>
            <w:tcW w:w="16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Notice of Redemption</w:t>
            </w:r>
          </w:p>
        </w:tc>
        <w:tc>
          <w:tcPr>
            <w:tcW w:w="764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3.04</w:t>
            </w:r>
          </w:p>
        </w:tc>
        <w:tc>
          <w:tcPr>
            <w:tcW w:w="228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Effect of Notice of Redemption</w:t>
            </w:r>
          </w:p>
        </w:tc>
        <w:tc>
          <w:tcPr>
            <w:tcW w:w="696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3.05</w:t>
            </w:r>
          </w:p>
        </w:tc>
        <w:tc>
          <w:tcPr>
            <w:tcW w:w="298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89"/>
              </w:rPr>
              <w:t>Deposit of Redemption or Purchase Price</w:t>
            </w:r>
          </w:p>
        </w:tc>
        <w:tc>
          <w:tcPr>
            <w:tcW w:w="626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3.06</w:t>
            </w:r>
          </w:p>
        </w:tc>
        <w:tc>
          <w:tcPr>
            <w:tcW w:w="27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7"/>
              </w:rPr>
              <w:t>Notes Redeemed or Purchased in Part</w:t>
            </w:r>
          </w:p>
        </w:tc>
        <w:tc>
          <w:tcPr>
            <w:tcW w:w="652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3.07</w:t>
            </w:r>
          </w:p>
        </w:tc>
        <w:tc>
          <w:tcPr>
            <w:tcW w:w="15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Optional Redemption</w:t>
            </w:r>
          </w:p>
        </w:tc>
        <w:tc>
          <w:tcPr>
            <w:tcW w:w="768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3.08</w:t>
            </w: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Sinking Fund</w:t>
            </w:r>
          </w:p>
        </w:tc>
        <w:tc>
          <w:tcPr>
            <w:tcW w:w="8260" w:type="dxa"/>
            <w:vAlign w:val="bottom"/>
            <w:gridSpan w:val="3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53"/>
        </w:trPr>
        <w:tc>
          <w:tcPr>
            <w:tcW w:w="10900" w:type="dxa"/>
            <w:vAlign w:val="bottom"/>
            <w:gridSpan w:val="35"/>
          </w:tcPr>
          <w:p>
            <w:pPr>
              <w:spacing w:after="0"/>
              <w:rPr>
                <w:sz w:val="20"/>
                <w:szCs w:val="20"/>
                <w:color w:val="auto"/>
              </w:rPr>
            </w:pPr>
            <w:r>
              <w:rPr>
                <w:rFonts w:ascii="Arial" w:cs="Arial" w:eastAsia="Arial" w:hAnsi="Arial"/>
                <w:sz w:val="18"/>
                <w:szCs w:val="18"/>
                <w:color w:val="auto"/>
              </w:rPr>
              <w:t>ARTICLE 4 COVENANTS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4.01</w:t>
            </w:r>
          </w:p>
        </w:tc>
        <w:tc>
          <w:tcPr>
            <w:tcW w:w="286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w w:val="92"/>
              </w:rPr>
              <w:t>Payment of Notes; Additional Amounts</w:t>
            </w:r>
          </w:p>
        </w:tc>
        <w:tc>
          <w:tcPr>
            <w:tcW w:w="638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4.02</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Maintenance of Office or Agency</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gridSpan w:val="10"/>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4.03</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Provision of Financial Information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4.04</w:t>
            </w:r>
          </w:p>
        </w:tc>
        <w:tc>
          <w:tcPr>
            <w:tcW w:w="250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Compliance Certificate</w:t>
            </w:r>
          </w:p>
        </w:tc>
        <w:tc>
          <w:tcPr>
            <w:tcW w:w="67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4.05</w:t>
            </w:r>
          </w:p>
        </w:tc>
        <w:tc>
          <w:tcPr>
            <w:tcW w:w="166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Reserved</w:t>
            </w:r>
          </w:p>
        </w:tc>
        <w:tc>
          <w:tcPr>
            <w:tcW w:w="75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4.06</w:t>
            </w:r>
          </w:p>
        </w:tc>
        <w:tc>
          <w:tcPr>
            <w:tcW w:w="23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9"/>
              </w:rPr>
              <w:t>Stay, Extension and Usury Laws</w:t>
            </w:r>
          </w:p>
        </w:tc>
        <w:tc>
          <w:tcPr>
            <w:tcW w:w="690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4.07</w:t>
            </w:r>
          </w:p>
        </w:tc>
        <w:tc>
          <w:tcPr>
            <w:tcW w:w="22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3"/>
              </w:rPr>
              <w:t>Limitation on Subsidiary Debt</w:t>
            </w:r>
          </w:p>
        </w:tc>
        <w:tc>
          <w:tcPr>
            <w:tcW w:w="704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4.08</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Limitation on Sale and Lease-back Transactions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4.09</w:t>
            </w:r>
          </w:p>
        </w:tc>
        <w:tc>
          <w:tcPr>
            <w:tcW w:w="346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Limitation on Liens</w:t>
            </w:r>
          </w:p>
        </w:tc>
        <w:tc>
          <w:tcPr>
            <w:tcW w:w="57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660" w:type="dxa"/>
            <w:vAlign w:val="bottom"/>
          </w:tcPr>
          <w:p>
            <w:pPr>
              <w:spacing w:after="0" w:line="20" w:lineRule="exact"/>
              <w:rPr>
                <w:sz w:val="1"/>
                <w:szCs w:val="1"/>
                <w:color w:val="auto"/>
              </w:rPr>
            </w:pPr>
          </w:p>
        </w:tc>
        <w:tc>
          <w:tcPr>
            <w:tcW w:w="1420" w:type="dxa"/>
            <w:vAlign w:val="bottom"/>
            <w:gridSpan w:val="11"/>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1"/>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4.10</w:t>
            </w:r>
          </w:p>
        </w:tc>
        <w:tc>
          <w:tcPr>
            <w:tcW w:w="9240" w:type="dxa"/>
            <w:vAlign w:val="bottom"/>
            <w:gridSpan w:val="34"/>
          </w:tcPr>
          <w:p>
            <w:pPr>
              <w:spacing w:after="0" w:line="196" w:lineRule="exact"/>
              <w:rPr>
                <w:sz w:val="20"/>
                <w:szCs w:val="20"/>
                <w:color w:val="auto"/>
              </w:rPr>
            </w:pPr>
            <w:r>
              <w:rPr>
                <w:rFonts w:ascii="Arial" w:cs="Arial" w:eastAsia="Arial" w:hAnsi="Arial"/>
                <w:sz w:val="18"/>
                <w:szCs w:val="18"/>
                <w:color w:val="auto"/>
              </w:rPr>
              <w:t>Corporate Existence</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660" w:type="dxa"/>
            <w:vAlign w:val="bottom"/>
          </w:tcPr>
          <w:p>
            <w:pPr>
              <w:spacing w:after="0" w:line="20" w:lineRule="exact"/>
              <w:rPr>
                <w:sz w:val="1"/>
                <w:szCs w:val="1"/>
                <w:color w:val="auto"/>
              </w:rPr>
            </w:pPr>
          </w:p>
        </w:tc>
        <w:tc>
          <w:tcPr>
            <w:tcW w:w="1460" w:type="dxa"/>
            <w:vAlign w:val="bottom"/>
            <w:gridSpan w:val="12"/>
            <w:shd w:val="clear" w:color="auto" w:fill="000000"/>
          </w:tcPr>
          <w:p>
            <w:pPr>
              <w:spacing w:after="0" w:line="20" w:lineRule="exact"/>
              <w:rPr>
                <w:sz w:val="1"/>
                <w:szCs w:val="1"/>
                <w:color w:val="auto"/>
              </w:rPr>
            </w:pPr>
          </w:p>
        </w:tc>
        <w:tc>
          <w:tcPr>
            <w:tcW w:w="3100" w:type="dxa"/>
            <w:vAlign w:val="bottom"/>
            <w:gridSpan w:val="21"/>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4.11</w:t>
            </w:r>
          </w:p>
        </w:tc>
        <w:tc>
          <w:tcPr>
            <w:tcW w:w="456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91"/>
              </w:rPr>
              <w:t>Offer to Repurchase Upon Change of Control Triggering Event</w:t>
            </w:r>
          </w:p>
        </w:tc>
        <w:tc>
          <w:tcPr>
            <w:tcW w:w="46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0" w:gutter="0" w:footer="0" w:header="0"/>
        </w:sectPr>
      </w:pPr>
    </w:p>
    <w:bookmarkStart w:id="52" w:name="page53"/>
    <w:bookmarkEnd w:id="5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Section 4.12</w:t>
            </w:r>
          </w:p>
        </w:tc>
        <w:tc>
          <w:tcPr>
            <w:tcW w:w="9240" w:type="dxa"/>
            <w:vAlign w:val="bottom"/>
            <w:gridSpan w:val="40"/>
          </w:tcPr>
          <w:p>
            <w:pPr>
              <w:spacing w:after="0"/>
              <w:rPr>
                <w:sz w:val="20"/>
                <w:szCs w:val="20"/>
                <w:color w:val="auto"/>
              </w:rPr>
            </w:pPr>
            <w:r>
              <w:rPr>
                <w:rFonts w:ascii="Arial" w:cs="Arial" w:eastAsia="Arial" w:hAnsi="Arial"/>
                <w:sz w:val="18"/>
                <w:szCs w:val="18"/>
                <w:color w:val="auto"/>
              </w:rPr>
              <w:t>Further Instruments and Acts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4.13</w:t>
            </w:r>
          </w:p>
        </w:tc>
        <w:tc>
          <w:tcPr>
            <w:tcW w:w="188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2"/>
              </w:rPr>
              <w:t>Additional Interest Notice</w:t>
            </w:r>
          </w:p>
        </w:tc>
        <w:tc>
          <w:tcPr>
            <w:tcW w:w="220" w:type="dxa"/>
            <w:vAlign w:val="bottom"/>
            <w:tcBorders>
              <w:top w:val="single" w:sz="8" w:color="auto"/>
            </w:tcBorders>
            <w:gridSpan w:val="4"/>
          </w:tcPr>
          <w:p>
            <w:pPr>
              <w:spacing w:after="0"/>
              <w:rPr>
                <w:sz w:val="17"/>
                <w:szCs w:val="17"/>
                <w:color w:val="auto"/>
              </w:rPr>
            </w:pPr>
          </w:p>
        </w:tc>
        <w:tc>
          <w:tcPr>
            <w:tcW w:w="7140" w:type="dxa"/>
            <w:vAlign w:val="bottom"/>
            <w:gridSpan w:val="20"/>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5 SUCCESSORS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5.01</w:t>
            </w:r>
          </w:p>
        </w:tc>
        <w:tc>
          <w:tcPr>
            <w:tcW w:w="5040" w:type="dxa"/>
            <w:vAlign w:val="bottom"/>
            <w:tcBorders>
              <w:bottom w:val="single" w:sz="8" w:color="auto"/>
            </w:tcBorders>
            <w:gridSpan w:val="38"/>
          </w:tcPr>
          <w:p>
            <w:pPr>
              <w:spacing w:after="0"/>
              <w:rPr>
                <w:sz w:val="20"/>
                <w:szCs w:val="20"/>
                <w:color w:val="auto"/>
              </w:rPr>
            </w:pPr>
            <w:r>
              <w:rPr>
                <w:rFonts w:ascii="Arial" w:cs="Arial" w:eastAsia="Arial" w:hAnsi="Arial"/>
                <w:sz w:val="18"/>
                <w:szCs w:val="18"/>
                <w:color w:val="auto"/>
                <w:w w:val="89"/>
              </w:rPr>
              <w:t>Consolidation, Merger and Conveyance, Transfer and Lease of Assets</w:t>
            </w:r>
          </w:p>
        </w:tc>
        <w:tc>
          <w:tcPr>
            <w:tcW w:w="4200" w:type="dxa"/>
            <w:vAlign w:val="bottom"/>
            <w:gridSpan w:val="2"/>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5.02</w:t>
            </w:r>
          </w:p>
        </w:tc>
        <w:tc>
          <w:tcPr>
            <w:tcW w:w="20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8"/>
              </w:rPr>
              <w:t>Successor Entity Substituted</w:t>
            </w:r>
          </w:p>
        </w:tc>
        <w:tc>
          <w:tcPr>
            <w:tcW w:w="7180" w:type="dxa"/>
            <w:vAlign w:val="bottom"/>
            <w:gridSpan w:val="2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6 DEFAULTS AND REMEDIES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6.01</w:t>
            </w:r>
          </w:p>
        </w:tc>
        <w:tc>
          <w:tcPr>
            <w:tcW w:w="9240" w:type="dxa"/>
            <w:vAlign w:val="bottom"/>
            <w:gridSpan w:val="40"/>
          </w:tcPr>
          <w:p>
            <w:pPr>
              <w:spacing w:after="0"/>
              <w:rPr>
                <w:sz w:val="20"/>
                <w:szCs w:val="20"/>
                <w:color w:val="auto"/>
              </w:rPr>
            </w:pPr>
            <w:r>
              <w:rPr>
                <w:rFonts w:ascii="Arial" w:cs="Arial" w:eastAsia="Arial" w:hAnsi="Arial"/>
                <w:sz w:val="18"/>
                <w:szCs w:val="18"/>
                <w:color w:val="auto"/>
              </w:rPr>
              <w:t>Events of Default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9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Acceleration</w:t>
            </w:r>
          </w:p>
        </w:tc>
        <w:tc>
          <w:tcPr>
            <w:tcW w:w="340" w:type="dxa"/>
            <w:vAlign w:val="bottom"/>
            <w:tcBorders>
              <w:top w:val="single" w:sz="8" w:color="auto"/>
            </w:tcBorders>
            <w:gridSpan w:val="4"/>
          </w:tcPr>
          <w:p>
            <w:pPr>
              <w:spacing w:after="0"/>
              <w:rPr>
                <w:sz w:val="17"/>
                <w:szCs w:val="17"/>
                <w:color w:val="auto"/>
              </w:rPr>
            </w:pPr>
          </w:p>
        </w:tc>
        <w:tc>
          <w:tcPr>
            <w:tcW w:w="7980" w:type="dxa"/>
            <w:vAlign w:val="bottom"/>
            <w:gridSpan w:val="3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6.03</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Other Remedies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Waiver of Past Defaults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17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Control by Majority</w:t>
            </w:r>
          </w:p>
        </w:tc>
        <w:tc>
          <w:tcPr>
            <w:tcW w:w="7540" w:type="dxa"/>
            <w:vAlign w:val="bottom"/>
            <w:gridSpan w:val="2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14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6"/>
              </w:rPr>
              <w:t>Limitation on Suits</w:t>
            </w:r>
          </w:p>
        </w:tc>
        <w:tc>
          <w:tcPr>
            <w:tcW w:w="7800" w:type="dxa"/>
            <w:vAlign w:val="bottom"/>
            <w:gridSpan w:val="30"/>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Rights of Holders to Receive Payment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6.08</w:t>
            </w:r>
          </w:p>
        </w:tc>
        <w:tc>
          <w:tcPr>
            <w:tcW w:w="276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Collection Suit by Trustee</w:t>
            </w:r>
          </w:p>
        </w:tc>
        <w:tc>
          <w:tcPr>
            <w:tcW w:w="6480" w:type="dxa"/>
            <w:vAlign w:val="bottom"/>
            <w:gridSpan w:val="1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260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89"/>
              </w:rPr>
              <w:t>Restoration of Rights and Remedies</w:t>
            </w:r>
          </w:p>
        </w:tc>
        <w:tc>
          <w:tcPr>
            <w:tcW w:w="6640" w:type="dxa"/>
            <w:vAlign w:val="bottom"/>
            <w:gridSpan w:val="1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24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9"/>
              </w:rPr>
              <w:t>Rights and Remedies Cumulative</w:t>
            </w:r>
          </w:p>
        </w:tc>
        <w:tc>
          <w:tcPr>
            <w:tcW w:w="6820" w:type="dxa"/>
            <w:vAlign w:val="bottom"/>
            <w:gridSpan w:val="1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6.11</w:t>
            </w:r>
          </w:p>
        </w:tc>
        <w:tc>
          <w:tcPr>
            <w:tcW w:w="22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Delay or Omission Not Waiver</w:t>
            </w:r>
          </w:p>
        </w:tc>
        <w:tc>
          <w:tcPr>
            <w:tcW w:w="7000" w:type="dxa"/>
            <w:vAlign w:val="bottom"/>
            <w:gridSpan w:val="1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6.12</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 May File Proofs of Claim</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6.13</w:t>
            </w:r>
          </w:p>
        </w:tc>
        <w:tc>
          <w:tcPr>
            <w:tcW w:w="6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Priorities</w:t>
            </w:r>
          </w:p>
        </w:tc>
        <w:tc>
          <w:tcPr>
            <w:tcW w:w="1760" w:type="dxa"/>
            <w:vAlign w:val="bottom"/>
            <w:tcBorders>
              <w:top w:val="single" w:sz="8" w:color="auto"/>
            </w:tcBorders>
            <w:gridSpan w:val="23"/>
          </w:tcPr>
          <w:p>
            <w:pPr>
              <w:spacing w:after="0"/>
              <w:rPr>
                <w:sz w:val="17"/>
                <w:szCs w:val="17"/>
                <w:color w:val="auto"/>
              </w:rPr>
            </w:pPr>
          </w:p>
        </w:tc>
        <w:tc>
          <w:tcPr>
            <w:tcW w:w="6820" w:type="dxa"/>
            <w:vAlign w:val="bottom"/>
            <w:gridSpan w:val="1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6.14</w:t>
            </w:r>
          </w:p>
        </w:tc>
        <w:tc>
          <w:tcPr>
            <w:tcW w:w="16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Undertaking for Costs</w:t>
            </w:r>
          </w:p>
        </w:tc>
        <w:tc>
          <w:tcPr>
            <w:tcW w:w="7640" w:type="dxa"/>
            <w:vAlign w:val="bottom"/>
            <w:gridSpan w:val="2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7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7.01</w:t>
            </w:r>
          </w:p>
        </w:tc>
        <w:tc>
          <w:tcPr>
            <w:tcW w:w="12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Duties of Trustee</w:t>
            </w:r>
          </w:p>
        </w:tc>
        <w:tc>
          <w:tcPr>
            <w:tcW w:w="8000" w:type="dxa"/>
            <w:vAlign w:val="bottom"/>
            <w:gridSpan w:val="33"/>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7.02</w:t>
            </w:r>
          </w:p>
        </w:tc>
        <w:tc>
          <w:tcPr>
            <w:tcW w:w="12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8"/>
              </w:rPr>
              <w:t>Rights of Trustee</w:t>
            </w:r>
          </w:p>
        </w:tc>
        <w:tc>
          <w:tcPr>
            <w:tcW w:w="8000" w:type="dxa"/>
            <w:vAlign w:val="bottom"/>
            <w:gridSpan w:val="3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7.03</w:t>
            </w:r>
          </w:p>
        </w:tc>
        <w:tc>
          <w:tcPr>
            <w:tcW w:w="20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2"/>
              </w:rPr>
              <w:t>Individual Rights of Trustee</w:t>
            </w:r>
          </w:p>
        </w:tc>
        <w:tc>
          <w:tcPr>
            <w:tcW w:w="7180" w:type="dxa"/>
            <w:vAlign w:val="bottom"/>
            <w:gridSpan w:val="2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Trustee’s Disclaimer</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7.05</w:t>
            </w:r>
          </w:p>
        </w:tc>
        <w:tc>
          <w:tcPr>
            <w:tcW w:w="14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Notice of Defaults</w:t>
            </w:r>
          </w:p>
        </w:tc>
        <w:tc>
          <w:tcPr>
            <w:tcW w:w="7760" w:type="dxa"/>
            <w:vAlign w:val="bottom"/>
            <w:gridSpan w:val="2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7.06</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Reports by Trustee to Holders of the Notes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7.07</w:t>
            </w:r>
          </w:p>
        </w:tc>
        <w:tc>
          <w:tcPr>
            <w:tcW w:w="308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Compensation and Indemnity</w:t>
            </w:r>
          </w:p>
        </w:tc>
        <w:tc>
          <w:tcPr>
            <w:tcW w:w="6160" w:type="dxa"/>
            <w:vAlign w:val="bottom"/>
            <w:gridSpan w:val="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7.08</w:t>
            </w:r>
          </w:p>
        </w:tc>
        <w:tc>
          <w:tcPr>
            <w:tcW w:w="212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Replacement of Trustee</w:t>
            </w:r>
          </w:p>
        </w:tc>
        <w:tc>
          <w:tcPr>
            <w:tcW w:w="7120" w:type="dxa"/>
            <w:vAlign w:val="bottom"/>
            <w:gridSpan w:val="19"/>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7.09</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Successor Trustee by Merger, etc.</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7.10</w:t>
            </w:r>
          </w:p>
        </w:tc>
        <w:tc>
          <w:tcPr>
            <w:tcW w:w="238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Eligibility; Disqualification</w:t>
            </w:r>
          </w:p>
        </w:tc>
        <w:tc>
          <w:tcPr>
            <w:tcW w:w="6860" w:type="dxa"/>
            <w:vAlign w:val="bottom"/>
            <w:gridSpan w:val="1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7.11</w:t>
            </w:r>
          </w:p>
        </w:tc>
        <w:tc>
          <w:tcPr>
            <w:tcW w:w="4000" w:type="dxa"/>
            <w:vAlign w:val="bottom"/>
            <w:tcBorders>
              <w:bottom w:val="single" w:sz="8" w:color="auto"/>
            </w:tcBorders>
            <w:gridSpan w:val="36"/>
          </w:tcPr>
          <w:p>
            <w:pPr>
              <w:spacing w:after="0" w:line="196" w:lineRule="exact"/>
              <w:rPr>
                <w:sz w:val="20"/>
                <w:szCs w:val="20"/>
                <w:color w:val="auto"/>
              </w:rPr>
            </w:pPr>
            <w:r>
              <w:rPr>
                <w:rFonts w:ascii="Arial" w:cs="Arial" w:eastAsia="Arial" w:hAnsi="Arial"/>
                <w:sz w:val="18"/>
                <w:szCs w:val="18"/>
                <w:color w:val="auto"/>
                <w:w w:val="91"/>
              </w:rPr>
              <w:t>Preferential Collection of Claims Against the Company</w:t>
            </w:r>
          </w:p>
        </w:tc>
        <w:tc>
          <w:tcPr>
            <w:tcW w:w="5240" w:type="dxa"/>
            <w:vAlign w:val="bottom"/>
            <w:gridSpan w:val="4"/>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8 DISCHARGE AND DEFEASANCE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8.01</w:t>
            </w:r>
          </w:p>
        </w:tc>
        <w:tc>
          <w:tcPr>
            <w:tcW w:w="286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0"/>
              </w:rPr>
              <w:t>Satisfaction and Discharge of Indenture</w:t>
            </w:r>
          </w:p>
        </w:tc>
        <w:tc>
          <w:tcPr>
            <w:tcW w:w="6380" w:type="dxa"/>
            <w:vAlign w:val="bottom"/>
            <w:gridSpan w:val="10"/>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8.02</w:t>
            </w:r>
          </w:p>
        </w:tc>
        <w:tc>
          <w:tcPr>
            <w:tcW w:w="13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Legal Defeasance</w:t>
            </w:r>
          </w:p>
        </w:tc>
        <w:tc>
          <w:tcPr>
            <w:tcW w:w="7920" w:type="dxa"/>
            <w:vAlign w:val="bottom"/>
            <w:gridSpan w:val="31"/>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8.03</w:t>
            </w:r>
          </w:p>
        </w:tc>
        <w:tc>
          <w:tcPr>
            <w:tcW w:w="15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6"/>
              </w:rPr>
              <w:t>Covenant Defeasance</w:t>
            </w:r>
          </w:p>
        </w:tc>
        <w:tc>
          <w:tcPr>
            <w:tcW w:w="7680" w:type="dxa"/>
            <w:vAlign w:val="bottom"/>
            <w:gridSpan w:val="2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8.04</w:t>
            </w:r>
          </w:p>
        </w:tc>
        <w:tc>
          <w:tcPr>
            <w:tcW w:w="4700" w:type="dxa"/>
            <w:vAlign w:val="bottom"/>
            <w:tcBorders>
              <w:bottom w:val="single" w:sz="8" w:color="auto"/>
            </w:tcBorders>
            <w:gridSpan w:val="37"/>
          </w:tcPr>
          <w:p>
            <w:pPr>
              <w:spacing w:after="0" w:line="196" w:lineRule="exact"/>
              <w:rPr>
                <w:sz w:val="20"/>
                <w:szCs w:val="20"/>
                <w:color w:val="auto"/>
              </w:rPr>
            </w:pPr>
            <w:r>
              <w:rPr>
                <w:rFonts w:ascii="Arial" w:cs="Arial" w:eastAsia="Arial" w:hAnsi="Arial"/>
                <w:sz w:val="18"/>
                <w:szCs w:val="18"/>
                <w:color w:val="auto"/>
                <w:w w:val="91"/>
              </w:rPr>
              <w:t>Application by Trustee of Funds Deposited for Payment of Notes</w:t>
            </w:r>
          </w:p>
        </w:tc>
        <w:tc>
          <w:tcPr>
            <w:tcW w:w="4540" w:type="dxa"/>
            <w:vAlign w:val="bottom"/>
            <w:gridSpan w:val="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8.05</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Repayment of Moneys Held by Paying Agent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10"/>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8.06</w:t>
            </w:r>
          </w:p>
        </w:tc>
        <w:tc>
          <w:tcPr>
            <w:tcW w:w="5740" w:type="dxa"/>
            <w:vAlign w:val="bottom"/>
            <w:tcBorders>
              <w:bottom w:val="single" w:sz="8" w:color="auto"/>
            </w:tcBorders>
            <w:gridSpan w:val="39"/>
          </w:tcPr>
          <w:p>
            <w:pPr>
              <w:spacing w:after="0" w:line="196" w:lineRule="exact"/>
              <w:rPr>
                <w:sz w:val="20"/>
                <w:szCs w:val="20"/>
                <w:color w:val="auto"/>
              </w:rPr>
            </w:pPr>
            <w:r>
              <w:rPr>
                <w:rFonts w:ascii="Arial" w:cs="Arial" w:eastAsia="Arial" w:hAnsi="Arial"/>
                <w:sz w:val="18"/>
                <w:szCs w:val="18"/>
                <w:color w:val="auto"/>
                <w:w w:val="91"/>
              </w:rPr>
              <w:t>Return of Moneys Held by Trustee and Paying Agent Unclaimed for Two Years</w:t>
            </w:r>
          </w:p>
        </w:tc>
        <w:tc>
          <w:tcPr>
            <w:tcW w:w="350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8.07</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Reinstatement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9 AMENDMENT, SUPPLEMENT AND WAIVER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gridSpan w:val="2"/>
          </w:tcPr>
          <w:p>
            <w:pPr>
              <w:spacing w:after="0"/>
              <w:rPr>
                <w:sz w:val="11"/>
                <w:szCs w:val="11"/>
                <w:color w:val="auto"/>
              </w:rPr>
            </w:pPr>
          </w:p>
        </w:tc>
      </w:tr>
      <w:tr>
        <w:trPr>
          <w:trHeight w:val="713"/>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Section 9.01</w:t>
            </w:r>
          </w:p>
        </w:tc>
        <w:tc>
          <w:tcPr>
            <w:tcW w:w="9240" w:type="dxa"/>
            <w:vAlign w:val="bottom"/>
            <w:gridSpan w:val="40"/>
          </w:tcPr>
          <w:p>
            <w:pPr>
              <w:spacing w:after="0"/>
              <w:rPr>
                <w:sz w:val="20"/>
                <w:szCs w:val="20"/>
                <w:color w:val="auto"/>
              </w:rPr>
            </w:pPr>
            <w:r>
              <w:rPr>
                <w:rFonts w:ascii="Arial" w:cs="Arial" w:eastAsia="Arial" w:hAnsi="Arial"/>
                <w:sz w:val="18"/>
                <w:szCs w:val="18"/>
                <w:color w:val="auto"/>
              </w:rPr>
              <w:t>Without Consent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9.02</w:t>
            </w:r>
          </w:p>
        </w:tc>
        <w:tc>
          <w:tcPr>
            <w:tcW w:w="180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With Consent of Holders</w:t>
            </w:r>
          </w:p>
        </w:tc>
        <w:tc>
          <w:tcPr>
            <w:tcW w:w="220" w:type="dxa"/>
            <w:vAlign w:val="bottom"/>
            <w:tcBorders>
              <w:top w:val="single" w:sz="8" w:color="auto"/>
            </w:tcBorders>
            <w:gridSpan w:val="3"/>
          </w:tcPr>
          <w:p>
            <w:pPr>
              <w:spacing w:after="0"/>
              <w:rPr>
                <w:sz w:val="17"/>
                <w:szCs w:val="17"/>
                <w:color w:val="auto"/>
              </w:rPr>
            </w:pPr>
          </w:p>
        </w:tc>
        <w:tc>
          <w:tcPr>
            <w:tcW w:w="7220" w:type="dxa"/>
            <w:vAlign w:val="bottom"/>
            <w:gridSpan w:val="22"/>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9.03</w:t>
            </w:r>
          </w:p>
        </w:tc>
        <w:tc>
          <w:tcPr>
            <w:tcW w:w="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5"/>
              </w:rPr>
              <w:t>Reserved</w:t>
            </w:r>
          </w:p>
        </w:tc>
        <w:tc>
          <w:tcPr>
            <w:tcW w:w="8560" w:type="dxa"/>
            <w:vAlign w:val="bottom"/>
            <w:gridSpan w:val="3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9.04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Revocation and Effect of Consents</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9.05</w:t>
            </w:r>
          </w:p>
        </w:tc>
        <w:tc>
          <w:tcPr>
            <w:tcW w:w="246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0"/>
              </w:rPr>
              <w:t>Notation on or Exchange of Notes</w:t>
            </w:r>
          </w:p>
        </w:tc>
        <w:tc>
          <w:tcPr>
            <w:tcW w:w="40" w:type="dxa"/>
            <w:vAlign w:val="bottom"/>
            <w:tcBorders>
              <w:top w:val="single" w:sz="8" w:color="auto"/>
            </w:tcBorders>
          </w:tcPr>
          <w:p>
            <w:pPr>
              <w:spacing w:after="0"/>
              <w:rPr>
                <w:sz w:val="17"/>
                <w:szCs w:val="17"/>
                <w:color w:val="auto"/>
              </w:rPr>
            </w:pPr>
          </w:p>
        </w:tc>
        <w:tc>
          <w:tcPr>
            <w:tcW w:w="6740" w:type="dxa"/>
            <w:vAlign w:val="bottom"/>
            <w:gridSpan w:val="1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9.06</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Trustee to Sign Amendments, etc.</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gridSpan w:val="17"/>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53"/>
        </w:trPr>
        <w:tc>
          <w:tcPr>
            <w:tcW w:w="10900" w:type="dxa"/>
            <w:vAlign w:val="bottom"/>
            <w:gridSpan w:val="41"/>
          </w:tcPr>
          <w:p>
            <w:pPr>
              <w:spacing w:after="0"/>
              <w:rPr>
                <w:sz w:val="20"/>
                <w:szCs w:val="20"/>
                <w:color w:val="auto"/>
              </w:rPr>
            </w:pPr>
            <w:r>
              <w:rPr>
                <w:rFonts w:ascii="Arial" w:cs="Arial" w:eastAsia="Arial" w:hAnsi="Arial"/>
                <w:sz w:val="18"/>
                <w:szCs w:val="18"/>
                <w:color w:val="auto"/>
              </w:rPr>
              <w:t>ARTICLE 10 MISCELLANEOUS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Section 10.01</w:t>
            </w:r>
          </w:p>
        </w:tc>
        <w:tc>
          <w:tcPr>
            <w:tcW w:w="9240" w:type="dxa"/>
            <w:vAlign w:val="bottom"/>
            <w:gridSpan w:val="40"/>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10.02</w:t>
            </w:r>
          </w:p>
        </w:tc>
        <w:tc>
          <w:tcPr>
            <w:tcW w:w="6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Notices</w:t>
            </w:r>
          </w:p>
        </w:tc>
        <w:tc>
          <w:tcPr>
            <w:tcW w:w="8580" w:type="dxa"/>
            <w:vAlign w:val="bottom"/>
            <w:gridSpan w:val="38"/>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gridSpan w:val="18"/>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10.03</w:t>
            </w:r>
          </w:p>
        </w:tc>
        <w:tc>
          <w:tcPr>
            <w:tcW w:w="344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2"/>
              </w:rPr>
              <w:t>Communication by Holders with Other Holders</w:t>
            </w:r>
          </w:p>
        </w:tc>
        <w:tc>
          <w:tcPr>
            <w:tcW w:w="5800" w:type="dxa"/>
            <w:vAlign w:val="bottom"/>
            <w:gridSpan w:val="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10.04</w:t>
            </w:r>
          </w:p>
        </w:tc>
        <w:tc>
          <w:tcPr>
            <w:tcW w:w="9240" w:type="dxa"/>
            <w:vAlign w:val="bottom"/>
            <w:gridSpan w:val="40"/>
          </w:tcPr>
          <w:p>
            <w:pPr>
              <w:spacing w:after="0" w:line="196" w:lineRule="exact"/>
              <w:rPr>
                <w:sz w:val="20"/>
                <w:szCs w:val="20"/>
                <w:color w:val="auto"/>
              </w:rPr>
            </w:pPr>
            <w:r>
              <w:rPr>
                <w:rFonts w:ascii="Arial" w:cs="Arial" w:eastAsia="Arial" w:hAnsi="Arial"/>
                <w:sz w:val="18"/>
                <w:szCs w:val="18"/>
                <w:color w:val="auto"/>
              </w:rPr>
              <w:t>Certificate and Opinion as to Conditions Precedent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10.05</w:t>
            </w:r>
          </w:p>
        </w:tc>
        <w:tc>
          <w:tcPr>
            <w:tcW w:w="3660" w:type="dxa"/>
            <w:vAlign w:val="bottom"/>
            <w:tcBorders>
              <w:top w:val="single" w:sz="8" w:color="auto"/>
            </w:tcBorders>
            <w:gridSpan w:val="35"/>
          </w:tcPr>
          <w:p>
            <w:pPr>
              <w:spacing w:after="0" w:line="196" w:lineRule="exact"/>
              <w:rPr>
                <w:sz w:val="20"/>
                <w:szCs w:val="20"/>
                <w:color w:val="auto"/>
              </w:rPr>
            </w:pPr>
            <w:r>
              <w:rPr>
                <w:rFonts w:ascii="Arial" w:cs="Arial" w:eastAsia="Arial" w:hAnsi="Arial"/>
                <w:sz w:val="18"/>
                <w:szCs w:val="18"/>
                <w:color w:val="auto"/>
              </w:rPr>
              <w:t>Statements Required in Certificate or Opinion</w:t>
            </w:r>
          </w:p>
        </w:tc>
        <w:tc>
          <w:tcPr>
            <w:tcW w:w="5580" w:type="dxa"/>
            <w:vAlign w:val="bottom"/>
            <w:gridSpan w:val="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60" w:type="dxa"/>
            <w:vAlign w:val="bottom"/>
          </w:tcPr>
          <w:p>
            <w:pPr>
              <w:spacing w:after="0" w:line="196" w:lineRule="exact"/>
              <w:rPr>
                <w:sz w:val="20"/>
                <w:szCs w:val="20"/>
                <w:color w:val="auto"/>
              </w:rPr>
            </w:pPr>
            <w:r>
              <w:rPr>
                <w:rFonts w:ascii="Arial" w:cs="Arial" w:eastAsia="Arial" w:hAnsi="Arial"/>
                <w:sz w:val="18"/>
                <w:szCs w:val="18"/>
                <w:color w:val="auto"/>
              </w:rPr>
              <w:t>Section 10.06</w:t>
            </w:r>
          </w:p>
        </w:tc>
        <w:tc>
          <w:tcPr>
            <w:tcW w:w="330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rPr>
              <w:t>Rules by Trustee and Agents</w:t>
            </w:r>
          </w:p>
        </w:tc>
        <w:tc>
          <w:tcPr>
            <w:tcW w:w="5940" w:type="dxa"/>
            <w:vAlign w:val="bottom"/>
            <w:gridSpan w:val="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20"/>
        </w:trPr>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-2668270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-2668270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725" w:right="19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Section 10.07</w:t>
            </w:r>
          </w:p>
        </w:tc>
        <w:tc>
          <w:tcPr>
            <w:tcW w:w="500" w:type="dxa"/>
            <w:vAlign w:val="bottom"/>
          </w:tcPr>
          <w:p>
            <w:pPr>
              <w:spacing w:after="0"/>
              <w:rPr>
                <w:sz w:val="17"/>
                <w:szCs w:val="17"/>
                <w:color w:val="auto"/>
              </w:rPr>
            </w:pPr>
          </w:p>
        </w:tc>
        <w:tc>
          <w:tcPr>
            <w:tcW w:w="50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2"/>
              </w:rPr>
              <w:t>No Personal Liability of Stockholders, Partners, Officers or Directors</w:t>
            </w:r>
          </w:p>
        </w:tc>
        <w:tc>
          <w:tcPr>
            <w:tcW w:w="228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10.08</w:t>
            </w:r>
          </w:p>
        </w:tc>
        <w:tc>
          <w:tcPr>
            <w:tcW w:w="500" w:type="dxa"/>
            <w:vAlign w:val="bottom"/>
          </w:tcPr>
          <w:p>
            <w:pPr>
              <w:spacing w:after="0"/>
              <w:rPr>
                <w:sz w:val="17"/>
                <w:szCs w:val="17"/>
                <w:color w:val="auto"/>
              </w:rPr>
            </w:pPr>
          </w:p>
        </w:tc>
        <w:tc>
          <w:tcPr>
            <w:tcW w:w="11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Governing Law</w:t>
            </w:r>
          </w:p>
        </w:tc>
        <w:tc>
          <w:tcPr>
            <w:tcW w:w="614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10.09</w:t>
            </w:r>
          </w:p>
        </w:tc>
        <w:tc>
          <w:tcPr>
            <w:tcW w:w="50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10.10</w:t>
            </w:r>
          </w:p>
        </w:tc>
        <w:tc>
          <w:tcPr>
            <w:tcW w:w="500" w:type="dxa"/>
            <w:vAlign w:val="bottom"/>
          </w:tcPr>
          <w:p>
            <w:pPr>
              <w:spacing w:after="0"/>
              <w:rPr>
                <w:sz w:val="17"/>
                <w:szCs w:val="17"/>
                <w:color w:val="auto"/>
              </w:rPr>
            </w:pPr>
          </w:p>
        </w:tc>
        <w:tc>
          <w:tcPr>
            <w:tcW w:w="10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Force Majeure</w:t>
            </w:r>
          </w:p>
        </w:tc>
        <w:tc>
          <w:tcPr>
            <w:tcW w:w="380" w:type="dxa"/>
            <w:vAlign w:val="bottom"/>
            <w:tcBorders>
              <w:top w:val="single" w:sz="8" w:color="auto"/>
            </w:tcBorders>
            <w:gridSpan w:val="2"/>
          </w:tcPr>
          <w:p>
            <w:pPr>
              <w:spacing w:after="0"/>
              <w:rPr>
                <w:sz w:val="17"/>
                <w:szCs w:val="17"/>
                <w:color w:val="auto"/>
              </w:rPr>
            </w:pPr>
          </w:p>
        </w:tc>
        <w:tc>
          <w:tcPr>
            <w:tcW w:w="58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10.11</w:t>
            </w:r>
          </w:p>
        </w:tc>
        <w:tc>
          <w:tcPr>
            <w:tcW w:w="50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No Adverse Interpretation of Other Agreements</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10.12</w:t>
            </w:r>
          </w:p>
        </w:tc>
        <w:tc>
          <w:tcPr>
            <w:tcW w:w="500" w:type="dxa"/>
            <w:vAlign w:val="bottom"/>
          </w:tcPr>
          <w:p>
            <w:pPr>
              <w:spacing w:after="0"/>
              <w:rPr>
                <w:sz w:val="17"/>
                <w:szCs w:val="17"/>
                <w:color w:val="auto"/>
              </w:rPr>
            </w:pPr>
          </w:p>
        </w:tc>
        <w:tc>
          <w:tcPr>
            <w:tcW w:w="34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Successors</w:t>
            </w:r>
          </w:p>
        </w:tc>
        <w:tc>
          <w:tcPr>
            <w:tcW w:w="38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10.13</w:t>
            </w:r>
          </w:p>
        </w:tc>
        <w:tc>
          <w:tcPr>
            <w:tcW w:w="50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10.14</w:t>
            </w:r>
          </w:p>
        </w:tc>
        <w:tc>
          <w:tcPr>
            <w:tcW w:w="500" w:type="dxa"/>
            <w:vAlign w:val="bottom"/>
          </w:tcPr>
          <w:p>
            <w:pPr>
              <w:spacing w:after="0"/>
              <w:rPr>
                <w:sz w:val="17"/>
                <w:szCs w:val="17"/>
                <w:color w:val="auto"/>
              </w:rPr>
            </w:pPr>
          </w:p>
        </w:tc>
        <w:tc>
          <w:tcPr>
            <w:tcW w:w="15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Counterpart Originals</w:t>
            </w:r>
          </w:p>
        </w:tc>
        <w:tc>
          <w:tcPr>
            <w:tcW w:w="57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10.15</w:t>
            </w:r>
          </w:p>
        </w:tc>
        <w:tc>
          <w:tcPr>
            <w:tcW w:w="500" w:type="dxa"/>
            <w:vAlign w:val="bottom"/>
          </w:tcPr>
          <w:p>
            <w:pPr>
              <w:spacing w:after="0"/>
              <w:rPr>
                <w:sz w:val="17"/>
                <w:szCs w:val="17"/>
                <w:color w:val="auto"/>
              </w:rPr>
            </w:pPr>
          </w:p>
        </w:tc>
        <w:tc>
          <w:tcPr>
            <w:tcW w:w="7280" w:type="dxa"/>
            <w:vAlign w:val="bottom"/>
            <w:gridSpan w:val="12"/>
          </w:tcPr>
          <w:p>
            <w:pPr>
              <w:spacing w:after="0" w:line="196" w:lineRule="exact"/>
              <w:rPr>
                <w:sz w:val="20"/>
                <w:szCs w:val="20"/>
                <w:color w:val="auto"/>
              </w:rPr>
            </w:pPr>
            <w:r>
              <w:rPr>
                <w:rFonts w:ascii="Arial" w:cs="Arial" w:eastAsia="Arial" w:hAnsi="Arial"/>
                <w:sz w:val="18"/>
                <w:szCs w:val="18"/>
                <w:color w:val="auto"/>
              </w:rPr>
              <w:t>Table of Contents, Headings, etc.</w:t>
            </w: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10.16</w:t>
            </w:r>
          </w:p>
        </w:tc>
        <w:tc>
          <w:tcPr>
            <w:tcW w:w="500" w:type="dxa"/>
            <w:vAlign w:val="bottom"/>
          </w:tcPr>
          <w:p>
            <w:pPr>
              <w:spacing w:after="0"/>
              <w:rPr>
                <w:sz w:val="17"/>
                <w:szCs w:val="17"/>
                <w:color w:val="auto"/>
              </w:rPr>
            </w:pPr>
          </w:p>
        </w:tc>
        <w:tc>
          <w:tcPr>
            <w:tcW w:w="23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U.S.A. PATRIOT Act</w:t>
            </w:r>
          </w:p>
        </w:tc>
        <w:tc>
          <w:tcPr>
            <w:tcW w:w="49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Section 10.17</w:t>
            </w:r>
          </w:p>
        </w:tc>
        <w:tc>
          <w:tcPr>
            <w:tcW w:w="500" w:type="dxa"/>
            <w:vAlign w:val="bottom"/>
          </w:tcPr>
          <w:p>
            <w:pPr>
              <w:spacing w:after="0"/>
              <w:rPr>
                <w:sz w:val="17"/>
                <w:szCs w:val="17"/>
                <w:color w:val="auto"/>
              </w:rPr>
            </w:pPr>
          </w:p>
        </w:tc>
        <w:tc>
          <w:tcPr>
            <w:tcW w:w="15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Reserved</w:t>
            </w:r>
          </w:p>
        </w:tc>
        <w:tc>
          <w:tcPr>
            <w:tcW w:w="572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20" w:type="dxa"/>
            <w:vAlign w:val="bottom"/>
            <w:gridSpan w:val="11"/>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Appendix A</w:t>
            </w:r>
          </w:p>
        </w:tc>
        <w:tc>
          <w:tcPr>
            <w:tcW w:w="7780" w:type="dxa"/>
            <w:vAlign w:val="bottom"/>
            <w:gridSpan w:val="13"/>
          </w:tcPr>
          <w:p>
            <w:pPr>
              <w:ind w:left="180"/>
              <w:spacing w:after="0"/>
              <w:rPr>
                <w:sz w:val="20"/>
                <w:szCs w:val="20"/>
                <w:color w:val="auto"/>
              </w:rPr>
            </w:pPr>
            <w:r>
              <w:rPr>
                <w:rFonts w:ascii="Arial" w:cs="Arial" w:eastAsia="Arial" w:hAnsi="Arial"/>
                <w:sz w:val="18"/>
                <w:szCs w:val="18"/>
                <w:color w:val="auto"/>
              </w:rPr>
              <w:t>Provisions Relating to Initial Notes and Additional Notes</w:t>
            </w:r>
          </w:p>
        </w:tc>
        <w:tc>
          <w:tcPr>
            <w:tcW w:w="24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7780" w:type="dxa"/>
            <w:vAlign w:val="bottom"/>
            <w:gridSpan w:val="13"/>
          </w:tcPr>
          <w:p>
            <w:pPr>
              <w:ind w:left="200"/>
              <w:spacing w:after="0"/>
              <w:rPr>
                <w:sz w:val="20"/>
                <w:szCs w:val="20"/>
                <w:color w:val="auto"/>
              </w:rPr>
            </w:pPr>
            <w:r>
              <w:rPr>
                <w:rFonts w:ascii="Arial" w:cs="Arial" w:eastAsia="Arial" w:hAnsi="Arial"/>
                <w:sz w:val="18"/>
                <w:szCs w:val="18"/>
                <w:color w:val="auto"/>
              </w:rPr>
              <w:t>Form of Note</w:t>
            </w:r>
          </w:p>
        </w:tc>
        <w:tc>
          <w:tcPr>
            <w:tcW w:w="24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w:t>
            </w:r>
          </w:p>
        </w:tc>
        <w:tc>
          <w:tcPr>
            <w:tcW w:w="7780" w:type="dxa"/>
            <w:vAlign w:val="bottom"/>
            <w:gridSpan w:val="13"/>
          </w:tcPr>
          <w:p>
            <w:pPr>
              <w:ind w:left="220"/>
              <w:spacing w:after="0"/>
              <w:rPr>
                <w:sz w:val="20"/>
                <w:szCs w:val="20"/>
                <w:color w:val="auto"/>
              </w:rPr>
            </w:pPr>
            <w:r>
              <w:rPr>
                <w:rFonts w:ascii="Arial" w:cs="Arial" w:eastAsia="Arial" w:hAnsi="Arial"/>
                <w:sz w:val="18"/>
                <w:szCs w:val="18"/>
                <w:color w:val="auto"/>
              </w:rPr>
              <w:t>Form of Supplemental Indenture</w:t>
            </w:r>
          </w:p>
        </w:tc>
        <w:tc>
          <w:tcPr>
            <w:tcW w:w="24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7780" w:type="dxa"/>
            <w:vAlign w:val="bottom"/>
            <w:gridSpan w:val="13"/>
          </w:tcPr>
          <w:p>
            <w:pPr>
              <w:ind w:left="220"/>
              <w:spacing w:after="0"/>
              <w:rPr>
                <w:sz w:val="20"/>
                <w:szCs w:val="20"/>
                <w:color w:val="auto"/>
              </w:rPr>
            </w:pPr>
            <w:r>
              <w:rPr>
                <w:rFonts w:ascii="Arial" w:cs="Arial" w:eastAsia="Arial" w:hAnsi="Arial"/>
                <w:sz w:val="18"/>
                <w:szCs w:val="18"/>
                <w:color w:val="auto"/>
              </w:rPr>
              <w:t>Form of Transferee Letter of Representation</w:t>
            </w:r>
          </w:p>
        </w:tc>
        <w:tc>
          <w:tcPr>
            <w:tcW w:w="24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INDENTURE, dated as of April 30, 2015 between Micron Technology, Inc., a Delaware corporation, and U.S. Bank National Association, a national banking association,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duly authorized the creation of and issuance of $450,000,000 aggregate principal amount of 5.625% Senior Notes due 2026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received good and valuable consideration for the execution and delivery of this Indenture and the Notes;</w:t>
      </w:r>
    </w:p>
    <w:p>
      <w:pPr>
        <w:spacing w:after="0" w:line="24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all necessary acts and things have been done to make: (1) the Notes, when duly issued and executed by the Company and authenticated and delivered hereunder, the legal, valid and binding obligations of the Company and (2) this Indenture a legal, valid and binding agreement of the Company in accordance with the terms of this Indenture;</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the Company and the Trustee agree as follows for the benefit of each other and for the equal and ratable benefit of the Holders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if applicable, all additional interest owing on the Notes pursuant and subject to Section 6.02(c).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Notes</w:t>
      </w:r>
      <w:r>
        <w:rPr>
          <w:rFonts w:ascii="Arial" w:cs="Arial" w:eastAsia="Arial" w:hAnsi="Arial"/>
          <w:sz w:val="17"/>
          <w:szCs w:val="17"/>
          <w:color w:val="auto"/>
        </w:rPr>
        <w:t>” means additional Notes (other than Initial Notes) issued from time to time under this Indenture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2.01.</w:t>
      </w:r>
    </w:p>
    <w:p>
      <w:pPr>
        <w:spacing w:after="0" w:line="211"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that correspond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authenticating agent.</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Debt</w:t>
      </w:r>
      <w:r>
        <w:rPr>
          <w:rFonts w:ascii="Arial" w:cs="Arial" w:eastAsia="Arial" w:hAnsi="Arial"/>
          <w:sz w:val="18"/>
          <w:szCs w:val="18"/>
          <w:color w:val="auto"/>
        </w:rPr>
        <w:t xml:space="preserve">” means the sum of the following as of the date of determination: (1) the then aggregate outstanding amount of the Indebtedness of the Company and its Domestic Restricted Subsidiaries, without duplication, incurred after the Issue Date and secured by Liens not permitted under Section 4.09(a) (determined in accordance with such Section); (2) the then aggregate outstanding amount of all Subsidiary Debt incurred after the Issue Date, without duplication, and not permitted under Section 4.07(a) (including as a result of the exclusions set forth in Section 4.07(b));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Subsidiary Debt will be excluded from this clause (2) to the extent that such Subsidiary Debt (or the related Indebtedness) is included in clause (1) or (3) of this definition; and (3) the then existing Attributable Debt of the Company and its Domestic Restricted Subsidiaries in respect of sale and lease-back transactions, without duplication, entered into after the Issue Date pursuant to Section 4.08(b);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Attributable Debt will be excluded from this clause (3) to the extent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indebtedness relating thereto is included in clause (1) or (2) of this definition, </w:t>
      </w:r>
      <w:r>
        <w:rPr>
          <w:rFonts w:ascii="Arial" w:cs="Arial" w:eastAsia="Arial" w:hAnsi="Arial"/>
          <w:sz w:val="16"/>
          <w:szCs w:val="16"/>
          <w:i w:val="1"/>
          <w:iCs w:val="1"/>
          <w:color w:val="auto"/>
        </w:rPr>
        <w:t>provided further</w:t>
      </w:r>
      <w:r>
        <w:rPr>
          <w:rFonts w:ascii="Arial" w:cs="Arial" w:eastAsia="Arial" w:hAnsi="Arial"/>
          <w:sz w:val="16"/>
          <w:szCs w:val="16"/>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Company and its Domestic Restricted Subsidiaries securing such Indebtedness or one or more Guarantees thereof, the amount of Indebtedness so Guaranteed or secured shall only be included once in the calculation of Aggregate Debt).</w:t>
      </w:r>
    </w:p>
    <w:p>
      <w:pPr>
        <w:sectPr>
          <w:pgSz w:w="11900" w:h="16838" w:orient="portrait"/>
          <w:cols w:equalWidth="0" w:num="1">
            <w:col w:w="11420"/>
          </w:cols>
          <w:pgMar w:left="240" w:top="108" w:right="239" w:bottom="0" w:gutter="0" w:footer="0" w:header="0"/>
        </w:sectPr>
      </w:pPr>
    </w:p>
    <w:bookmarkStart w:id="54" w:name="page55"/>
    <w:bookmarkEnd w:id="54"/>
    <w:p>
      <w:pPr>
        <w:ind w:right="1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codified as Title 11, U.S. Code §101-1330,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 or any committee thereof duly authorized to act on behalf of such board.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right="120" w:firstLine="1305"/>
        <w:spacing w:after="0" w:line="285" w:lineRule="auto"/>
        <w:tabs>
          <w:tab w:leader="none" w:pos="1952"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rFonts w:ascii="Arial" w:cs="Arial" w:eastAsia="Arial" w:hAnsi="Arial"/>
          <w:sz w:val="16"/>
          <w:szCs w:val="16"/>
          <w:color w:val="auto"/>
        </w:rPr>
      </w:pPr>
    </w:p>
    <w:p>
      <w:pPr>
        <w:ind w:firstLine="8"/>
        <w:spacing w:after="0" w:line="288" w:lineRule="auto"/>
        <w:tabs>
          <w:tab w:leader="none" w:pos="2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7" w:lineRule="auto"/>
        <w:tabs>
          <w:tab w:leader="none" w:pos="15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(1) a Change of Control that is accompanied or followed by a downgrade of the Notes within the Ratings Decline Period for such Change of Control by each of Moody’s and S&amp;P (or, in the event Moody’s or S&amp;P or both shall cease rating the Notes (for reasons outside the control of the Company) and the Company shall select any other nationally recognized rating agency, the equivalent of such ratings by such other nationally recognized rating agency) and (2) the rating of the Notes on any day during such Ratings Decline Period is below the lower of the rating by such nationally recognized rating agency in effect (a) immediately preceding the first public announcement of the Change of Control (or occurrence thereof if such Change of Control occurs prior to public announcement) and (b) on the Issue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and any successor thereto.</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period from the redemption date to May 1, 2020, that would be utilized, at the time of selection and in accordance with customary financial practice, in pricing new issues of corporate debt securities of comparable maturity to the period from the redemption date to May 1, 2020.</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Measurement Period, the sum of, without duplication, the amounts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period, taken as a single accounting period, of (1) Consolidated Net Income; excluding (to the extent deducted or otherwise excluded in calculating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in such Measurement Period), the following amounts (or, to the extent attributable to a non-wholly owned consolidated entity,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following amounts proportionate to the Company’s allocable interest in such entity): (2) Consolidated Non-cash Charges; (3)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(4) Consolidated Income Tax Expense; (5) restructuring expenses and charges; (6) any expenses or charges related to any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Investment, recapitalization or incurrence of Indebtedness not prohibited under this Indenture (whether or not successful) or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and (7) any charges, expenses or costs incurred in connection or associated with mergers, acquisitions or divestitures after the Issue Date.</w:t>
      </w:r>
    </w:p>
    <w:p>
      <w:pPr>
        <w:spacing w:after="0" w:line="234"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 subsequent to the last day of such Measurement Period and on or prior to the date of the transaction in</w:t>
      </w:r>
    </w:p>
    <w:p>
      <w:pPr>
        <w:sectPr>
          <w:pgSz w:w="11900" w:h="16838" w:orient="portrait"/>
          <w:cols w:equalWidth="0" w:num="1">
            <w:col w:w="11380"/>
          </w:cols>
          <w:pgMar w:left="240" w:top="125" w:right="279" w:bottom="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55" w:name="page56"/>
    <w:bookmarkEnd w:id="55"/>
    <w:p>
      <w:pPr>
        <w:spacing w:after="0" w:line="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respect of which Consolidated EBITDA is being determined and (2) that the Company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provided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provided that, the Company shall not be required to give pro forma effect to any transaction that it does not in good faith deem material. Such pro forma calculations shall be made in good faith by a responsible financial or accounting officer of the Company.</w:t>
      </w:r>
    </w:p>
    <w:p>
      <w:pPr>
        <w:spacing w:after="0" w:line="166"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Company’s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 (11) gains or losses resulting from currency fluctuations. In addition, to the extent not already included in Consolidated Net Income of such Person and its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10.02 or such other address as to which the Trustee may give notice to the Holders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or Additional Note (bearing the Restricted Note Legend if the transfer of such Note is restricted by applicable law) that does not include the Global Notes Legend.</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ectPr>
          <w:pgSz w:w="11900" w:h="16877" w:orient="portrait"/>
          <w:cols w:equalWidth="0" w:num="1">
            <w:col w:w="11420"/>
          </w:cols>
          <w:pgMar w:left="240" w:top="584" w:right="239" w:bottom="0" w:gutter="0" w:footer="0" w:header="0"/>
        </w:sectPr>
      </w:pPr>
    </w:p>
    <w:bookmarkStart w:id="56" w:name="page57"/>
    <w:bookmarkEnd w:id="56"/>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thereof or the District of Columbia other than any such Subsidiary that is a direct or indirect Subsidiary of one or more Foreign Subsidiaries of such Person.</w:t>
      </w:r>
    </w:p>
    <w:p>
      <w:pPr>
        <w:spacing w:after="0" w:line="248"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Offering</w:t>
      </w:r>
      <w:r>
        <w:rPr>
          <w:rFonts w:ascii="Arial" w:cs="Arial" w:eastAsia="Arial" w:hAnsi="Arial"/>
          <w:sz w:val="17"/>
          <w:szCs w:val="17"/>
          <w:color w:val="auto"/>
        </w:rPr>
        <w:t>” means a public or private offering for cash by the Company, or any direct or indirect parent of the Company, of its common stock or preferred stock (in the case of an offering by any direct or indirect parent of the Company, to the extent such cash proceeds are contributed to the Company), other than (1) public offerings registered on Form S-4 or S-8 or (2) an issuance to any Subsidiary or other Affiliate.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of the Company that is a bankruptcy remote special purpose vehicle that exists solely to facilitate a Permitted Receivables Transaction.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1960" w:hanging="655"/>
        <w:spacing w:after="0"/>
        <w:tabs>
          <w:tab w:leader="none" w:pos="1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of the United States of 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 in either case, are not callable or redeemable at the option of the issuer thereof.</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Note Register.</w:t>
      </w:r>
    </w:p>
    <w:p>
      <w:pPr>
        <w:spacing w:after="0" w:line="225"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560" w:hanging="255"/>
        <w:spacing w:after="0"/>
        <w:tabs>
          <w:tab w:leader="none" w:pos="15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right="160" w:firstLine="1305"/>
        <w:spacing w:after="0" w:line="264" w:lineRule="auto"/>
        <w:tabs>
          <w:tab w:leader="none" w:pos="155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Senior Officer of the Company) of such assets at the date of determination; and (b) the principal amount of the Indebtedness of the other Person;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right="500" w:firstLine="8"/>
        <w:spacing w:after="0" w:line="323" w:lineRule="auto"/>
        <w:tabs>
          <w:tab w:leader="none" w:pos="24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 For the avoidance of doubt, the inclusion of specific obligations in Section 4.07(b) shall not create any implication that any such obligations constitute Indebtedness.</w:t>
      </w:r>
    </w:p>
    <w:p>
      <w:pPr>
        <w:sectPr>
          <w:pgSz w:w="11900" w:h="16838" w:orient="portrait"/>
          <w:cols w:equalWidth="0" w:num="1">
            <w:col w:w="11360"/>
          </w:cols>
          <w:pgMar w:left="240" w:top="341" w:right="299" w:bottom="0" w:gutter="0" w:footer="0" w:header="0"/>
        </w:sectPr>
      </w:pPr>
    </w:p>
    <w:bookmarkStart w:id="57" w:name="page58"/>
    <w:bookmarkEnd w:id="57"/>
    <w:p>
      <w:pPr>
        <w:spacing w:after="0" w:line="36"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means the initial purchasers listed on Schedule 1 to the purchase agreement entered into in connection with the offer and sale of the Initial Notes and any initial purchasers party to any similar purchase agreement in connection with the issuance of any Additional Notes.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with respect thereto and Additional Interest, if any.</w:t>
      </w:r>
    </w:p>
    <w:p>
      <w:pPr>
        <w:spacing w:after="0" w:line="22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April 30, 2015.</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or the Corporate Trust Office of the Trustee are not required to be open in the State of New York or the place of payment.</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lien, security interest, mortgage, charge or similar encumbrance,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1960" w:hanging="655"/>
        <w:spacing w:after="0"/>
        <w:tabs>
          <w:tab w:leader="none" w:pos="1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660" w:right="140" w:firstLine="1293"/>
        <w:spacing w:after="0" w:line="264" w:lineRule="auto"/>
        <w:tabs>
          <w:tab w:leader="none" w:pos="260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that would apply if such Note were redeemed on May 1, 2020 plus (ii) all remaining scheduled payments of interest due on such Note to and including May 1, 2020, computed using a discount rate equal to the Treasury Rate as of such Redemption Date plus 50 basis points; over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sum of accrued and unpaid interest, if any, to, but excluding, the Redemption Date, plus the principal amount of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have no obligation to calculate or verify the calculations of the Make-Whole Premium.</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Company for which financial statements have been filed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in accordance with this Indenture.</w:t>
      </w:r>
    </w:p>
    <w:p>
      <w:pPr>
        <w:spacing w:after="0" w:line="181"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with respect to any Indebtedness, all obligations (whether in existence on the Issue Date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with respect to such Indebtedness, including all interest accrued or accruing after the commencement of any bankruptcy, insolvency or reorganization or similar case or proceeding at the contract rate (including, without limitation, any contract rate applicable upon default) specified in the relevant documentation, whether or not the claim for such interest is allowed as a claim in such case or proceeding.</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dated April 27, 2015, relating to the sale of the Initial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the Company, the Chairman of the Board, the Chief Executive Officer, the President, the Chief Operating Officer, the Chief Financial Officer, any Vice President, the Controller, the Treasurer, any Assistant Treasurer or the Secretary.</w:t>
      </w:r>
    </w:p>
    <w:p>
      <w:pPr>
        <w:spacing w:after="0" w:line="147" w:lineRule="exact"/>
        <w:rPr>
          <w:sz w:val="20"/>
          <w:szCs w:val="20"/>
          <w:color w:val="auto"/>
        </w:rPr>
      </w:pPr>
    </w:p>
    <w:p>
      <w:pPr>
        <w:ind w:right="4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in the name of the Company by (i) the Chairman of the Board, the Chief Executive Officer, the President, the Chief Operating Officer, or any Vice President and (ii) the Chief Financial Officer, the Controller, the Treasurer, any Assistant Treasurer or the Secretary.</w:t>
      </w:r>
    </w:p>
    <w:p>
      <w:pPr>
        <w:spacing w:after="0" w:line="181" w:lineRule="exact"/>
        <w:rPr>
          <w:sz w:val="20"/>
          <w:szCs w:val="20"/>
          <w:color w:val="auto"/>
        </w:rPr>
      </w:pPr>
    </w:p>
    <w:p>
      <w:pPr>
        <w:ind w:right="9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is reasonably acceptable to the Trustee, that meets the requirements of Section 10.05 hereof. The counsel may be an employee of or counsel to the Company or any Subsidiary of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960" w:hanging="655"/>
        <w:spacing w:after="0"/>
        <w:tabs>
          <w:tab w:leader="none" w:pos="1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ectPr>
          <w:pgSz w:w="11900" w:h="16874" w:orient="portrait"/>
          <w:cols w:equalWidth="0" w:num="1">
            <w:col w:w="11400"/>
          </w:cols>
          <w:pgMar w:left="240" w:top="125" w:right="259" w:bottom="0" w:gutter="0" w:footer="0" w:header="0"/>
        </w:sectPr>
      </w:pPr>
    </w:p>
    <w:bookmarkStart w:id="58" w:name="page59"/>
    <w:bookmarkEnd w:id="58"/>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25" w:lineRule="exact"/>
        <w:rPr>
          <w:rFonts w:ascii="Arial" w:cs="Arial" w:eastAsia="Arial" w:hAnsi="Arial"/>
          <w:sz w:val="18"/>
          <w:szCs w:val="18"/>
          <w:color w:val="auto"/>
        </w:rPr>
      </w:pPr>
    </w:p>
    <w:p>
      <w:pPr>
        <w:ind w:right="200" w:firstLine="1305"/>
        <w:spacing w:after="0" w:line="290" w:lineRule="auto"/>
        <w:tabs>
          <w:tab w:leader="none" w:pos="19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 and shall attach solely to the Principal Property acquired, or constructed, altered or repaired and any improvements then or thereafter placed thereon and the capital stock of any Person formed to acquire such Principal Property, and any proceeds thereof, accessions thereto and insurance proceeds thereof;</w:t>
      </w:r>
    </w:p>
    <w:p>
      <w:pPr>
        <w:spacing w:after="0" w:line="166" w:lineRule="exact"/>
        <w:rPr>
          <w:rFonts w:ascii="Arial" w:cs="Arial" w:eastAsia="Arial" w:hAnsi="Arial"/>
          <w:sz w:val="16"/>
          <w:szCs w:val="16"/>
          <w:color w:val="auto"/>
        </w:rPr>
      </w:pPr>
    </w:p>
    <w:p>
      <w:pPr>
        <w:ind w:right="240" w:firstLine="1305"/>
        <w:spacing w:after="0" w:line="255" w:lineRule="auto"/>
        <w:tabs>
          <w:tab w:leader="none" w:pos="19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assets of a Person and its Subsidiaries prior to the time such Person becomes a Domestic Restricted Subsidiary (or arising thereafter pursuant to contractual commitments entered into prior to acquiring such Principal Property) (including acquisition through merger or consolidation) or at the time of such acquisition (or arising thereafter pursuant to contractual commitments entered into prior to such Person becoming a Domestic Restricted Subsidiary) by the Company or any Subsidiary of the Company; provided that such Liens do not extend to other assets of the Company or its other Domestic Restricted Subsidiaries;</w:t>
      </w:r>
    </w:p>
    <w:p>
      <w:pPr>
        <w:spacing w:after="0" w:line="193" w:lineRule="exact"/>
        <w:rPr>
          <w:rFonts w:ascii="Arial" w:cs="Arial" w:eastAsia="Arial" w:hAnsi="Arial"/>
          <w:sz w:val="18"/>
          <w:szCs w:val="18"/>
          <w:color w:val="auto"/>
        </w:rPr>
      </w:pPr>
    </w:p>
    <w:p>
      <w:pPr>
        <w:ind w:right="140" w:firstLine="1305"/>
        <w:spacing w:after="0" w:line="255" w:lineRule="auto"/>
        <w:tabs>
          <w:tab w:leader="none" w:pos="19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and its Subsidiaries which, when such Liens arise, concurrently becomes a Domestic Restricted Subsidiary or Liens on all or substantially all of the assets of such Person, including any Joint Venture, and its Subsidiaries arising in connection with the purchase or acquisition thereof or of an interest therein by the Company or a Subsidiary,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Venture of the Company or any of its Subsidiaries, or in any Subsidiary of the Company that owns an Equity Interest in a Joint Venture to secure Indebtedness contributed or advanced solely to that Joint Venture; provided that, in the case of each of the preceding clauses (a) and (b), such Liens do not extend to other assets of the Company or its other Domestic Restricted Subsidiaries;</w:t>
      </w:r>
    </w:p>
    <w:p>
      <w:pPr>
        <w:spacing w:after="0" w:line="181" w:lineRule="exact"/>
        <w:rPr>
          <w:sz w:val="20"/>
          <w:szCs w:val="20"/>
          <w:color w:val="auto"/>
        </w:rPr>
      </w:pPr>
    </w:p>
    <w:p>
      <w:pPr>
        <w:ind w:firstLine="1305"/>
        <w:spacing w:after="0" w:line="264" w:lineRule="auto"/>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in favor of the Company or a Domestic Restricted Subsidiary of the Company;</w:t>
      </w:r>
    </w:p>
    <w:p>
      <w:pPr>
        <w:spacing w:after="0" w:line="225"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640" w:firstLine="1305"/>
        <w:spacing w:after="0" w:line="277" w:lineRule="auto"/>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right="40" w:firstLine="1305"/>
        <w:spacing w:after="0" w:line="297" w:lineRule="auto"/>
        <w:tabs>
          <w:tab w:leader="none" w:pos="194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8" w:lineRule="exact"/>
        <w:rPr>
          <w:rFonts w:ascii="Arial" w:cs="Arial" w:eastAsia="Arial" w:hAnsi="Arial"/>
          <w:sz w:val="16"/>
          <w:szCs w:val="16"/>
          <w:color w:val="auto"/>
        </w:rPr>
      </w:pPr>
    </w:p>
    <w:p>
      <w:pPr>
        <w:ind w:left="1940" w:hanging="635"/>
        <w:spacing w:after="0"/>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on Receivables Assets incurred in connection with a Permitted Receivables Transaction;</w:t>
      </w:r>
    </w:p>
    <w:p>
      <w:pPr>
        <w:spacing w:after="0" w:line="225" w:lineRule="exact"/>
        <w:rPr>
          <w:rFonts w:ascii="Arial" w:cs="Arial" w:eastAsia="Arial" w:hAnsi="Arial"/>
          <w:sz w:val="18"/>
          <w:szCs w:val="18"/>
          <w:color w:val="auto"/>
        </w:rPr>
      </w:pPr>
    </w:p>
    <w:p>
      <w:pPr>
        <w:ind w:right="240" w:firstLine="1305"/>
        <w:spacing w:after="0" w:line="286" w:lineRule="auto"/>
        <w:tabs>
          <w:tab w:leader="none" w:pos="194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right="40" w:firstLine="1305"/>
        <w:spacing w:after="0" w:line="264" w:lineRule="auto"/>
        <w:tabs>
          <w:tab w:leader="none" w:pos="19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right="60" w:firstLine="1305"/>
        <w:spacing w:after="0" w:line="264" w:lineRule="auto"/>
        <w:tabs>
          <w:tab w:leader="none" w:pos="19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Liens on, and consisting of, deposits made by the Company to discharge or defease the Notes and this Indenture or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ectPr>
          <w:pgSz w:w="11900" w:h="16838" w:orient="portrait"/>
          <w:cols w:equalWidth="0" w:num="1">
            <w:col w:w="11420"/>
          </w:cols>
          <w:pgMar w:left="240" w:top="341" w:right="239" w:bottom="0" w:gutter="0" w:footer="0" w:header="0"/>
        </w:sectPr>
      </w:pPr>
    </w:p>
    <w:bookmarkStart w:id="59" w:name="page60"/>
    <w:bookmarkEnd w:id="59"/>
    <w:p>
      <w:pPr>
        <w:spacing w:after="0" w:line="12" w:lineRule="exact"/>
        <w:rPr>
          <w:sz w:val="20"/>
          <w:szCs w:val="20"/>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incurred in connection with the financing of insurance premiums;</w:t>
      </w:r>
    </w:p>
    <w:p>
      <w:pPr>
        <w:spacing w:after="0" w:line="225" w:lineRule="exact"/>
        <w:rPr>
          <w:rFonts w:ascii="Arial" w:cs="Arial" w:eastAsia="Arial" w:hAnsi="Arial"/>
          <w:sz w:val="18"/>
          <w:szCs w:val="18"/>
          <w:color w:val="auto"/>
        </w:rPr>
      </w:pPr>
    </w:p>
    <w:p>
      <w:pPr>
        <w:ind w:right="360" w:firstLine="1305"/>
        <w:spacing w:after="0" w:line="277" w:lineRule="auto"/>
        <w:tabs>
          <w:tab w:leader="none" w:pos="194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 or</w:t>
      </w:r>
    </w:p>
    <w:p>
      <w:pPr>
        <w:spacing w:after="0" w:line="170" w:lineRule="exact"/>
        <w:rPr>
          <w:rFonts w:ascii="Arial" w:cs="Arial" w:eastAsia="Arial" w:hAnsi="Arial"/>
          <w:sz w:val="18"/>
          <w:szCs w:val="18"/>
          <w:color w:val="auto"/>
        </w:rPr>
      </w:pPr>
    </w:p>
    <w:p>
      <w:pPr>
        <w:ind w:firstLine="1305"/>
        <w:spacing w:after="0" w:line="273" w:lineRule="auto"/>
        <w:tabs>
          <w:tab w:leader="none" w:pos="194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(18) or the preceding clauses (1) through (17).</w:t>
      </w:r>
    </w:p>
    <w:p>
      <w:pPr>
        <w:spacing w:after="0" w:line="17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8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Transaction</w:t>
      </w:r>
      <w:r>
        <w:rPr>
          <w:rFonts w:ascii="Arial" w:cs="Arial" w:eastAsia="Arial" w:hAnsi="Arial"/>
          <w:sz w:val="16"/>
          <w:szCs w:val="16"/>
          <w:color w:val="auto"/>
        </w:rPr>
        <w:t>” means any transaction or series of transactions entered into by the Company or any of its Domestic Restricted Subsidiaries in order to monetize or otherwise finance Receivables Assets or other transactions evidenced by revolving credit agreements, receivables purchase agreements, receivables sales agreements, factoring agreements and other similar agreements pursuant to which Receivables Assets are financed or are sold at a discount (in each case whether now existing or arising in the future), and which may include a grant of a security interest in any such Receivables Assets (whether now existing or arising in the future) of the Company or any of its Domestic Restricted Subsidiaries, including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A Permitted Receivables Transaction must either (1) be non-recourse to the Company and its Domestic Restricted Subsidiaries (other than for limited recourse provisions in respect of the applicable Receivables Assets or otherwise that are customary where the primary recourse is the Receivables Assets) or (2) provide for discount and/or advance rates, as applicable, that, taken together, for any transaction or series of related transactions are consistent with customary industry practices or that are not materially more favorable to the Company and its Domestic Restricted Subsidiaries, as applicable, than those that are consistent with non-recourse financing arrangements (other than for limited recourse provisions in respect of the applicable Receivables Assets or otherwise that are customary where the primary recourse is the Receivables Assets) in view of the quality of the underlying Receivables Assets.</w:t>
      </w:r>
    </w:p>
    <w:p>
      <w:pPr>
        <w:spacing w:after="0" w:line="169"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Company and its Consolidated Subsidiaries taken as a whole) not to be material to the business of the Company and its Consolidated Subsidiaries, taken as a whole.</w:t>
      </w:r>
    </w:p>
    <w:p>
      <w:pPr>
        <w:spacing w:after="0" w:line="171"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Ratings Decline Period</w:t>
      </w:r>
      <w:r>
        <w:rPr>
          <w:rFonts w:ascii="Arial" w:cs="Arial" w:eastAsia="Arial" w:hAnsi="Arial"/>
          <w:sz w:val="17"/>
          <w:szCs w:val="17"/>
          <w:color w:val="auto"/>
        </w:rPr>
        <w:t xml:space="preserve">” means, with respect to any Change of Control, the period that (1) begins on the earlier of (a) the date of the first public announcement of the occurrence of such Change of Control or of the intention by the Company or a stockholder of the Company, as applicable, to effect such Change of Control or (b) the occurrence of such Change of Control and (2) ends on the 60th calendar day following consummation of such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period shall be extended for so long as the rating of the Notes, as noted by the applicable rating agency, is under publicly announced consideration for downgrade by the applicable rating agency.</w:t>
      </w:r>
    </w:p>
    <w:p>
      <w:pPr>
        <w:spacing w:after="0" w:line="173" w:lineRule="exact"/>
        <w:rPr>
          <w:sz w:val="20"/>
          <w:szCs w:val="20"/>
          <w:color w:val="auto"/>
        </w:rPr>
      </w:pPr>
    </w:p>
    <w:p>
      <w:pPr>
        <w:ind w:right="16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Assets</w:t>
      </w:r>
      <w:r>
        <w:rPr>
          <w:rFonts w:ascii="Arial" w:cs="Arial" w:eastAsia="Arial" w:hAnsi="Arial"/>
          <w:sz w:val="16"/>
          <w:szCs w:val="16"/>
          <w:color w:val="auto"/>
        </w:rPr>
        <w:t>” means accounts receivable, indebtedness and other obligations owed to or owned by the Company or any Domestic Restricted Subsidiary (whether now existing or arising or acquired in the future) arising in the ordinary course of business from the sale of goods or services (including any indebtedness or other obligation constituting an account, chattel paper, instrument or general intangible), and inventory, together with all related security, collateral, collections, contracts, contract rights, guarantees or other obligations in respect thereof and related deposit accounts, all proceeds and supporting obligations and all other related assets which are of the type customarily transferred in connection with a sale, factoring, financing or securitization transaction involving accounts receivable or inventory. For the avoidance of doubt, Receivables Assets includes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Terms used in the foregoing definition of Receivables Assets or Permitted Receivables Transaction that are defined in Article 9 of the UCC, including the terms accounts, inventory, chattel paper, deposit accounts, general intangibles, proceeds and supporting obligations, have the meaning assigned to them therein.</w:t>
      </w:r>
    </w:p>
    <w:p>
      <w:pPr>
        <w:spacing w:after="0" w:line="169"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or Additional Interest, if any, payable on any applicable Interest Payment Date means January 1 or July 1 (whether or not a Business Day) next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Note to be redeemed, means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two primary U.S. Government securities dealers selected by the Company, which may include any of Morgan Stanley &amp; Co. LLC, Goldman, Sachs &amp; Co. or Credit Suisse Securities (USA) LLC, and each of their respective successors. If any of the foregoing shall cease to be a primary U.S. Government securities dealer, the Company will substitute another nationally recognized investment banking firm that is a primary U.S. Government securities dealer.</w:t>
      </w:r>
    </w:p>
    <w:p>
      <w:pPr>
        <w:spacing w:after="0" w:line="187" w:lineRule="exact"/>
        <w:rPr>
          <w:sz w:val="20"/>
          <w:szCs w:val="20"/>
          <w:color w:val="auto"/>
        </w:rPr>
      </w:pPr>
    </w:p>
    <w:p>
      <w:pPr>
        <w:ind w:right="6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on any redemption date, the arithmetic average, as determined by the Company, of the bid and asked prices for the Comparable Treasury Issue (expressed in each case as a percentage of its principal amount) quoted in writing to the Company by each</w:t>
      </w:r>
    </w:p>
    <w:p>
      <w:pPr>
        <w:sectPr>
          <w:pgSz w:w="11900" w:h="16850" w:orient="portrait"/>
          <w:cols w:equalWidth="0" w:num="1">
            <w:col w:w="11420"/>
          </w:cols>
          <w:pgMar w:left="240" w:top="125" w:right="239" w:bottom="0" w:gutter="0" w:footer="0" w:header="0"/>
        </w:sectPr>
      </w:pPr>
    </w:p>
    <w:bookmarkStart w:id="60" w:name="page61"/>
    <w:bookmarkEnd w:id="6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Reference Treasury Dealer at 3:30 p.m., New York City time, on the third Business Day preceding that redemption date.</w:t>
      </w:r>
    </w:p>
    <w:p>
      <w:pPr>
        <w:spacing w:after="0" w:line="225"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any officer within the corporate trust department of the Trustee who shall have direct responsibility for the administration of this Indenture and also means, with respect to a particular corporate trust matter hereunder, any other officer of the Trustee to whom such matter is referred because of such person’s knowledge of and familiarity with the particular subject.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means the first legend set forth in Section 2.3(e)(i) of Appendix A to this Indenture.</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shall mean each Subsidiary of the Company other than an Excluded Subsidiary, at least 80% of the Voting Stock of which is owned by the Company or one or more Subsidiaries of which at least 80% of the Voting Stock is owned directly or indirectly by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foregoing, any Voting Stock owned by a Subsidiary of the Company that is not a Restricted Subsidiary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clause shall be excluded.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a division of The McGraw-Hill Companies, Inc., and any successor to its rating agency business.</w:t>
      </w:r>
    </w:p>
    <w:p>
      <w:pPr>
        <w:spacing w:after="0" w:line="237"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from time to time constituted, created under the Exchange Act, or, if at any time after the execution of this Indenture such SEC is not existing and performing the duties now assigned to it under the Trust Indenture Act, then the body performing such duties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is a “significant subsidiary” of the Company as defined under clauses (1) or (2) of Rule 1-02(w) of Regulation S-X under the Exchange Act; provided that references to “10 percent” in clauses (1) and (2) of such definition shall be replaced with “20 percent”.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Notes or any installment of interest thereon, the date specified in such Note as the fixed date on which the principal amount of such Note or such installment of interest is due and payable.</w:t>
      </w:r>
    </w:p>
    <w:p>
      <w:pPr>
        <w:spacing w:after="0" w:line="170"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Restricted Notes</w:t>
      </w:r>
      <w:r>
        <w:rPr>
          <w:rFonts w:ascii="Arial" w:cs="Arial" w:eastAsia="Arial" w:hAnsi="Arial"/>
          <w:sz w:val="16"/>
          <w:szCs w:val="16"/>
          <w:color w:val="auto"/>
        </w:rPr>
        <w:t>” means Definitive Notes and any other Notes that bear or are required to bear the Restricted Notes Legend.</w:t>
      </w:r>
    </w:p>
    <w:p>
      <w:pPr>
        <w:spacing w:after="0" w:line="24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 to maturity (computed as of the third Business Day immediately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preceding that redemption date) of the Comparable Treasury Issue, assuming a price for the Comparable Treasury Issue (expressed as a percentage of its principal amount) equal to the Comparable Treasury Price for that redemption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 (15 U.S.C. §§ 77aaa-777bbbb).</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420" w:firstLine="135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1.02</w:t>
            </w:r>
          </w:p>
        </w:tc>
        <w:tc>
          <w:tcPr>
            <w:tcW w:w="5880" w:type="dxa"/>
            <w:vAlign w:val="bottom"/>
            <w:gridSpan w:val="4"/>
          </w:tcPr>
          <w:p>
            <w:pPr>
              <w:ind w:left="140"/>
              <w:spacing w:after="0"/>
              <w:rPr>
                <w:sz w:val="20"/>
                <w:szCs w:val="20"/>
                <w:color w:val="auto"/>
              </w:rPr>
            </w:pPr>
            <w:r>
              <w:rPr>
                <w:rFonts w:ascii="Arial" w:cs="Arial" w:eastAsia="Arial" w:hAnsi="Arial"/>
                <w:sz w:val="18"/>
                <w:szCs w:val="18"/>
                <w:color w:val="auto"/>
              </w:rPr>
              <w:t>Other Definitions.</w:t>
            </w: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“Additional Interest Notice”</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“Agent Members”</w:t>
            </w: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2.1(c)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“Applicable Procedures”</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“Authentication Order”</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2.02(c)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“Clearstream”</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“Definitive Notes Legend”</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“DTC”</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2.03(b)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“Euroclear”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70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“Event of Default”</w:t>
            </w:r>
          </w:p>
        </w:tc>
        <w:tc>
          <w:tcPr>
            <w:tcW w:w="4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5"/>
              </w:rPr>
              <w:t>6.01</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1.05(j)</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“Global Note”</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“IAI”</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Payment Date”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Exhibit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9"/>
              </w:rPr>
              <w:t>“Note Register”</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“offer”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“Offer Expiration Date”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“Offer to Purchase”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“Paying Agent”</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amount”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“purchase date”</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“Purchase Price”</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“QIB”</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“Regulation S”</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“Rule 144”</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“Rule 144A”</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“Rule 501”</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“Rule 904”</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“Subsidiary Debt”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4.07(a)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“Successor Company”</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5.01(a)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3580" w:type="dxa"/>
            <w:vAlign w:val="bottom"/>
            <w:gridSpan w:val="3"/>
          </w:tcPr>
          <w:p>
            <w:pPr>
              <w:ind w:left="40"/>
              <w:spacing w:after="0"/>
              <w:rPr>
                <w:sz w:val="20"/>
                <w:szCs w:val="20"/>
                <w:color w:val="auto"/>
              </w:rPr>
            </w:pPr>
            <w:r>
              <w:rPr>
                <w:rFonts w:ascii="Arial" w:cs="Arial" w:eastAsia="Arial" w:hAnsi="Arial"/>
                <w:sz w:val="18"/>
                <w:szCs w:val="18"/>
                <w:color w:val="auto"/>
              </w:rPr>
              <w:t>Rules of Construction.</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Unless the context otherwise requires: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360" w:firstLine="645"/>
        <w:spacing w:after="0" w:line="277" w:lineRule="auto"/>
        <w:tabs>
          <w:tab w:leader="none" w:pos="19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 and a term used herein that is defined in the Trust Indenture Act, either directly or by reference therein, shall have the meaning assigned to it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the Exchange Act or the Trust Indenture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rFonts w:ascii="Arial" w:cs="Arial" w:eastAsia="Arial" w:hAnsi="Arial"/>
          <w:sz w:val="18"/>
          <w:szCs w:val="18"/>
          <w:color w:val="auto"/>
        </w:rPr>
      </w:pPr>
    </w:p>
    <w:p>
      <w:pPr>
        <w:ind w:left="660" w:right="580" w:firstLine="645"/>
        <w:spacing w:after="0" w:line="277" w:lineRule="auto"/>
        <w:tabs>
          <w:tab w:leader="none" w:pos="19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and states that such provision is applicable to this Indenture, the provision is incorporated by reference in and made a part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ectPr>
          <w:pgSz w:w="11900" w:h="16838" w:orient="portrait"/>
          <w:cols w:equalWidth="0" w:num="1">
            <w:col w:w="11460"/>
          </w:cols>
          <w:pgMar w:left="240" w:top="140" w:right="199" w:bottom="0" w:gutter="0" w:footer="0" w:header="0"/>
        </w:sectPr>
      </w:pPr>
    </w:p>
    <w:bookmarkStart w:id="62" w:name="page63"/>
    <w:bookmarkEnd w:id="6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means the Company and any successor obligor upon the Notes.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3" w:lineRule="auto"/>
        <w:tabs>
          <w:tab w:leader="none" w:pos="194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received by the Trustee and, where it is hereby expressly required, to the Company. Proof of execution of any such instrument or of a writing appointing any such agent, or the holding by any Person of a Note, shall be sufficient for any purpose of this Indenture and (subject to Section 7.01) conclusive in favor of the Trustee and the Company, if made in the manner provided in this Section 1.05.</w:t>
      </w:r>
    </w:p>
    <w:p>
      <w:pPr>
        <w:spacing w:after="0" w:line="178" w:lineRule="exact"/>
        <w:rPr>
          <w:rFonts w:ascii="Arial" w:cs="Arial" w:eastAsia="Arial" w:hAnsi="Arial"/>
          <w:sz w:val="17"/>
          <w:szCs w:val="17"/>
          <w:color w:val="auto"/>
        </w:rPr>
      </w:pPr>
    </w:p>
    <w:p>
      <w:pPr>
        <w:ind w:firstLine="1305"/>
        <w:spacing w:after="0" w:line="273" w:lineRule="auto"/>
        <w:tabs>
          <w:tab w:leader="none" w:pos="195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or other manner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ind w:right="180" w:firstLine="1305"/>
        <w:spacing w:after="0" w:line="264" w:lineRule="auto"/>
        <w:tabs>
          <w:tab w:leader="none" w:pos="19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any action taken, suffered or omitted by the Trustee or the Company in reliance thereon, whether or not notation of such action is made upon such Note.</w:t>
      </w:r>
    </w:p>
    <w:p>
      <w:pPr>
        <w:spacing w:after="0" w:line="248" w:lineRule="exact"/>
        <w:rPr>
          <w:sz w:val="20"/>
          <w:szCs w:val="20"/>
          <w:color w:val="auto"/>
        </w:rPr>
      </w:pPr>
    </w:p>
    <w:p>
      <w:pPr>
        <w:ind w:right="180" w:firstLine="1305"/>
        <w:spacing w:after="0" w:line="286" w:lineRule="auto"/>
        <w:tabs>
          <w:tab w:leader="none" w:pos="195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The Company may, in the circumstances permitted by the Trust Indenture Act, set a record date for purposes of determining the identity of Holders entitled to make, give or take any request, demand, authorization, direction, notice, consent, waiver or other action provided in this Indenture to be made, or to vote on any action authorized or permitted to be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clause</w:t>
      </w:r>
    </w:p>
    <w:p>
      <w:pPr>
        <w:spacing w:after="0" w:line="1" w:lineRule="exact"/>
        <w:rPr>
          <w:rFonts w:ascii="Arial" w:cs="Arial" w:eastAsia="Arial" w:hAnsi="Arial"/>
          <w:sz w:val="16"/>
          <w:szCs w:val="16"/>
          <w:color w:val="auto"/>
        </w:rPr>
      </w:pPr>
    </w:p>
    <w:p>
      <w:pPr>
        <w:ind w:right="20" w:firstLine="8"/>
        <w:spacing w:after="0" w:line="251" w:lineRule="auto"/>
        <w:tabs>
          <w:tab w:leader="none" w:pos="2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below. Unless otherwise specified, if not set by the Company prior to the first solicitation of a Holder made by any Person in respect of any such action, or in the case of any such vote, prior to such vote, any such record date shall be the later of 20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whether or not such Holders remain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Company, at its own expense, shall cause notice of such record date, the proposed action to be taken by Holders and the applicable Expiration Date to be given to the Trustee and to each Holder in the manner set forth in Section 10.02.</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Trustee may set any day as a record date for the purpose of determining the Holders entitled to join in the giving or making of</w:t>
      </w:r>
    </w:p>
    <w:p>
      <w:pPr>
        <w:spacing w:after="0" w:line="46"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(1) any Notice of Default, (2) any declaration of acceleration referred to in Section 6.02, (3) any direction referred to in Section 6.05 or (4) any request to institute proceedings referred to in Section 6.06(a) and shall incur no liability whatsoever for the setting of such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10.02.</w:t>
      </w:r>
    </w:p>
    <w:p>
      <w:pPr>
        <w:spacing w:after="0" w:line="168" w:lineRule="exact"/>
        <w:rPr>
          <w:rFonts w:ascii="Arial" w:cs="Arial" w:eastAsia="Arial" w:hAnsi="Arial"/>
          <w:sz w:val="16"/>
          <w:szCs w:val="16"/>
          <w:color w:val="auto"/>
        </w:rPr>
      </w:pPr>
    </w:p>
    <w:p>
      <w:pPr>
        <w:ind w:firstLine="1305"/>
        <w:spacing w:after="0" w:line="302" w:lineRule="auto"/>
        <w:tabs>
          <w:tab w:leader="none" w:pos="196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54" w:lineRule="exact"/>
        <w:rPr>
          <w:rFonts w:ascii="Arial" w:cs="Arial" w:eastAsia="Arial" w:hAnsi="Arial"/>
          <w:sz w:val="16"/>
          <w:szCs w:val="16"/>
          <w:color w:val="auto"/>
        </w:rPr>
      </w:pPr>
    </w:p>
    <w:p>
      <w:pPr>
        <w:ind w:firstLine="1305"/>
        <w:spacing w:after="0" w:line="279" w:lineRule="auto"/>
        <w:tabs>
          <w:tab w:leader="none" w:pos="1952"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0" w:gutter="0" w:footer="0" w:header="0"/>
        </w:sectPr>
      </w:pPr>
    </w:p>
    <w:bookmarkStart w:id="63" w:name="page64"/>
    <w:bookmarkEnd w:id="63"/>
    <w:p>
      <w:pPr>
        <w:ind w:right="160" w:firstLine="1305"/>
        <w:spacing w:after="0" w:line="255" w:lineRule="auto"/>
        <w:tabs>
          <w:tab w:leader="none" w:pos="1966"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 record date is fixed, only the Holders on such record date or their duly appointed proxy or proxies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effective hereunder unless made, given or taken on or prior to the applicable Expiration Date.</w:t>
      </w:r>
    </w:p>
    <w:p>
      <w:pPr>
        <w:spacing w:after="0" w:line="189" w:lineRule="exact"/>
        <w:rPr>
          <w:rFonts w:ascii="Arial" w:cs="Arial" w:eastAsia="Arial" w:hAnsi="Arial"/>
          <w:sz w:val="18"/>
          <w:szCs w:val="18"/>
          <w:color w:val="auto"/>
        </w:rPr>
      </w:pPr>
    </w:p>
    <w:p>
      <w:pPr>
        <w:ind w:firstLine="1305"/>
        <w:spacing w:after="0" w:line="273" w:lineRule="auto"/>
        <w:tabs>
          <w:tab w:leader="none" w:pos="195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With respect to any record date set pursuant to this Section 1.05, the party hereto that sets such record dates may designate any day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and from time to time may change the Expiration Date to any earlier or later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Notes in the manner set forth in Section 10.02, on or prior to the existing Expiration Date. If an Expiration Date is not designated with respect to any record date set pursuant to this Section 1.05, the party hereto which set such record date shall be deemed to have initially designated the 120th day after such record date as the Expiration Date with respect thereto, subject to its right to change the Expiration Date as provided in this clause (j).</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Provisions relating to the Initial Notes and Additional Notes are set forth in Appendix A hereto,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is 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minimum denominations of $2,000 and integral multiples of $1,000 in excess thereof.</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25"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The Notes shall be subject to repurchase by the Company at the option of the Holders pursuant to an Offer to Purchase as provided in Section 4.11. The Notes shall not be redeemable, other than as provided in Article 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Additional Notes may be created and issued from time to time by the Company without notice to or consent of the Holders and shall be consolidated with and form a single class with the Initial Notes and shall have the same terms as to ranking, status, redemption or otherwise as the Initial Notes (other than issue price or the payment of interest accruing prior to the issue date of such Additional Notes except for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Notes for U.S. federal income tax purposes, then the Additional Notes will have a separate CUSIP number. Any Additional Notes shall be issued with the benefit of an indenture supplemental to this Indenture.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right="440" w:firstLine="1305"/>
        <w:spacing w:after="0" w:line="277" w:lineRule="auto"/>
        <w:tabs>
          <w:tab w:leader="none" w:pos="194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0" w:lineRule="exact"/>
        <w:rPr>
          <w:rFonts w:ascii="Arial" w:cs="Arial" w:eastAsia="Arial" w:hAnsi="Arial"/>
          <w:sz w:val="18"/>
          <w:szCs w:val="18"/>
          <w:color w:val="auto"/>
        </w:rPr>
      </w:pPr>
    </w:p>
    <w:p>
      <w:pPr>
        <w:ind w:right="560" w:firstLine="1305"/>
        <w:spacing w:after="0" w:line="264"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spacing w:after="0" w:line="181" w:lineRule="exact"/>
        <w:rPr>
          <w:rFonts w:ascii="Arial" w:cs="Arial" w:eastAsia="Arial" w:hAnsi="Arial"/>
          <w:sz w:val="18"/>
          <w:szCs w:val="18"/>
          <w:color w:val="auto"/>
        </w:rPr>
      </w:pPr>
    </w:p>
    <w:p>
      <w:pPr>
        <w:ind w:right="20" w:firstLine="1305"/>
        <w:spacing w:after="0" w:line="259"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the Issue Date, the Trustee shall, upon receipt of a written order of the Company signed by an Officer (an “</w:t>
      </w: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authenticate and deliver Initial Notes bearing the Restricted Notes Legend.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86" w:lineRule="exact"/>
        <w:rPr>
          <w:rFonts w:ascii="Arial" w:cs="Arial" w:eastAsia="Arial" w:hAnsi="Arial"/>
          <w:sz w:val="18"/>
          <w:szCs w:val="18"/>
          <w:color w:val="auto"/>
        </w:rPr>
      </w:pPr>
    </w:p>
    <w:p>
      <w:pPr>
        <w:jc w:val="both"/>
        <w:ind w:right="120" w:firstLine="1305"/>
        <w:spacing w:after="0" w:line="286" w:lineRule="auto"/>
        <w:tabs>
          <w:tab w:leader="none" w:pos="195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Registrar</w:t>
      </w:r>
      <w:r>
        <w:rPr>
          <w:rFonts w:ascii="Arial" w:cs="Arial" w:eastAsia="Arial" w:hAnsi="Arial"/>
          <w:sz w:val="16"/>
          <w:szCs w:val="16"/>
          <w:color w:val="auto"/>
        </w:rPr>
        <w:t>”) and at least one office or agency where Notes may be presented for payment (“</w:t>
      </w:r>
      <w:r>
        <w:rPr>
          <w:rFonts w:ascii="Arial" w:cs="Arial" w:eastAsia="Arial" w:hAnsi="Arial"/>
          <w:sz w:val="16"/>
          <w:szCs w:val="16"/>
          <w:u w:val="single" w:color="auto"/>
          <w:color w:val="auto"/>
        </w:rPr>
        <w:t>Paying Agent</w:t>
      </w:r>
      <w:r>
        <w:rPr>
          <w:rFonts w:ascii="Arial" w:cs="Arial" w:eastAsia="Arial" w:hAnsi="Arial"/>
          <w:sz w:val="16"/>
          <w:szCs w:val="16"/>
          <w:color w:val="auto"/>
        </w:rPr>
        <w:t>”). The Registrar shall keep a register of the Notes (“</w:t>
      </w:r>
      <w:r>
        <w:rPr>
          <w:rFonts w:ascii="Arial" w:cs="Arial" w:eastAsia="Arial" w:hAnsi="Arial"/>
          <w:sz w:val="16"/>
          <w:szCs w:val="16"/>
          <w:u w:val="single" w:color="auto"/>
          <w:color w:val="auto"/>
        </w:rPr>
        <w:t>Note Register</w:t>
      </w:r>
      <w:r>
        <w:rPr>
          <w:rFonts w:ascii="Arial" w:cs="Arial" w:eastAsia="Arial" w:hAnsi="Arial"/>
          <w:sz w:val="16"/>
          <w:szCs w:val="16"/>
          <w:color w:val="auto"/>
        </w:rPr>
        <w:t>”) and of their transfer and exchange. The Company may appoint one or more co-registrars and one or more additional paying agents. The term “</w:t>
      </w:r>
      <w:r>
        <w:rPr>
          <w:rFonts w:ascii="Arial" w:cs="Arial" w:eastAsia="Arial" w:hAnsi="Arial"/>
          <w:sz w:val="16"/>
          <w:szCs w:val="16"/>
          <w:u w:val="single" w:color="auto"/>
          <w:color w:val="auto"/>
        </w:rPr>
        <w:t>Registrar</w:t>
      </w:r>
      <w:r>
        <w:rPr>
          <w:rFonts w:ascii="Arial" w:cs="Arial" w:eastAsia="Arial" w:hAnsi="Arial"/>
          <w:sz w:val="16"/>
          <w:szCs w:val="16"/>
          <w:color w:val="auto"/>
        </w:rPr>
        <w:t>” includes any co-registrar, and the term “</w:t>
      </w:r>
      <w:r>
        <w:rPr>
          <w:rFonts w:ascii="Arial" w:cs="Arial" w:eastAsia="Arial" w:hAnsi="Arial"/>
          <w:sz w:val="16"/>
          <w:szCs w:val="16"/>
          <w:u w:val="single" w:color="auto"/>
          <w:color w:val="auto"/>
        </w:rPr>
        <w:t>Paying Agent</w:t>
      </w:r>
      <w:r>
        <w:rPr>
          <w:rFonts w:ascii="Arial" w:cs="Arial" w:eastAsia="Arial" w:hAnsi="Arial"/>
          <w:sz w:val="16"/>
          <w:szCs w:val="16"/>
          <w:color w:val="auto"/>
        </w:rPr>
        <w:t>” includes any additional paying agent. The Company may rescind or change any Paying Agent or Registrar without prior notice to any Holder. The Company shall notify the Trustee of the name and address of any Agent not a party to this</w:t>
      </w:r>
    </w:p>
    <w:p>
      <w:pPr>
        <w:sectPr>
          <w:pgSz w:w="11900" w:h="16838" w:orient="portrait"/>
          <w:cols w:equalWidth="0" w:num="1">
            <w:col w:w="11380"/>
          </w:cols>
          <w:pgMar w:left="240" w:top="733" w:right="279" w:bottom="0" w:gutter="0" w:footer="0" w:header="0"/>
        </w:sectPr>
      </w:pPr>
    </w:p>
    <w:bookmarkStart w:id="64" w:name="page65"/>
    <w:bookmarkEnd w:id="64"/>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Indenture. If the Company fails to appoint or maintain another entity as Registrar or Paying Agent, the Trustee shall act as such. The Company or any of its Subsidiaries may act as Paying Agent or Registrar.</w:t>
      </w:r>
    </w:p>
    <w:p>
      <w:pPr>
        <w:spacing w:after="0" w:line="170" w:lineRule="exact"/>
        <w:rPr>
          <w:sz w:val="20"/>
          <w:szCs w:val="20"/>
          <w:color w:val="auto"/>
        </w:rPr>
      </w:pPr>
    </w:p>
    <w:p>
      <w:pPr>
        <w:jc w:val="both"/>
        <w:ind w:right="240" w:firstLine="1305"/>
        <w:spacing w:after="0" w:line="342" w:lineRule="auto"/>
        <w:tabs>
          <w:tab w:leader="none" w:pos="19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The Company initially appoints the Trustee to act as the Paying Agent and Registrar for the Notes and to act as Custodian with respect to the Global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of and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the Paying Agent shall hold in trust for the benefit of Holders or the Trustee all money held by the Paying Agent for the payment of principal of and premium, if any,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and the Company shall otherwise comply with Trust Indenture Act Section 312(a).</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70" w:lineRule="exact"/>
        <w:rPr>
          <w:rFonts w:ascii="Arial" w:cs="Arial" w:eastAsia="Arial" w:hAnsi="Arial"/>
          <w:sz w:val="18"/>
          <w:szCs w:val="18"/>
          <w:color w:val="auto"/>
        </w:rPr>
      </w:pPr>
    </w:p>
    <w:p>
      <w:pPr>
        <w:jc w:val="both"/>
        <w:ind w:right="320" w:firstLine="1305"/>
        <w:spacing w:after="0" w:line="259" w:lineRule="auto"/>
        <w:tabs>
          <w:tab w:leader="none" w:pos="19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 2.10, 3.06, 4.11 and 9.05).</w:t>
      </w:r>
    </w:p>
    <w:p>
      <w:pPr>
        <w:spacing w:after="0" w:line="186"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jc w:val="both"/>
        <w:ind w:right="300" w:firstLine="1305"/>
        <w:spacing w:after="0" w:line="264" w:lineRule="auto"/>
        <w:tabs>
          <w:tab w:leader="none" w:pos="19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Neither the Company nor the Trustee shall be required (1) to issue, to register the transfer of or to exchange any Notes during a period beginning at the opening of business 15 days before the day of sending of a notice of redemption of Notes for redemption under Section 3.02 or the making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 Offer to Purchase and ending at the close of business on the day of such sending, (2) to register the transfer of or to exchange any Note so selected for redemption or subject to purchase in an Offer to Purchase in whole or in part, except the unredeemed or unpurchased portion of any Note being redeemed or purchased in part or (3) if a redemption or purchase pursuant to an Offer to Purchase is to occur after a Record Date but on or before the corresponding Interest Payment Date, to register the transfer of or exchange any Note on or after the Record Date and before the date of redemption or purchase.</w:t>
      </w:r>
    </w:p>
    <w:p>
      <w:pPr>
        <w:spacing w:after="0" w:line="154" w:lineRule="exact"/>
        <w:rPr>
          <w:sz w:val="20"/>
          <w:szCs w:val="20"/>
          <w:color w:val="auto"/>
        </w:rPr>
      </w:pPr>
    </w:p>
    <w:p>
      <w:pPr>
        <w:ind w:firstLine="1305"/>
        <w:spacing w:after="0" w:line="312" w:lineRule="auto"/>
        <w:tabs>
          <w:tab w:leader="none" w:pos="201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auto"/>
        </w:rPr>
      </w:pPr>
    </w:p>
    <w:p>
      <w:pPr>
        <w:ind w:firstLine="1305"/>
        <w:spacing w:after="0" w:line="264" w:lineRule="auto"/>
        <w:tabs>
          <w:tab w:leader="none" w:pos="196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181"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Section 2.02.</w:t>
      </w:r>
    </w:p>
    <w:p>
      <w:pPr>
        <w:spacing w:after="0" w:line="171" w:lineRule="exact"/>
        <w:rPr>
          <w:rFonts w:ascii="Arial" w:cs="Arial" w:eastAsia="Arial" w:hAnsi="Arial"/>
          <w:sz w:val="17"/>
          <w:szCs w:val="17"/>
          <w:color w:val="auto"/>
        </w:rPr>
      </w:pPr>
    </w:p>
    <w:p>
      <w:pPr>
        <w:ind w:right="160" w:firstLine="1305"/>
        <w:spacing w:after="0" w:line="308" w:lineRule="auto"/>
        <w:tabs>
          <w:tab w:leader="none" w:pos="196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All certifications, certificates and Opinions of Counsel required to be submitted to the Registrar pursuant to this Section 2.06 and Appendix A to effect a registration of transfer or exchange may be submitted by mail or by facsimile or electronic transmission.</w:t>
      </w:r>
    </w:p>
    <w:p>
      <w:pPr>
        <w:sectPr>
          <w:pgSz w:w="11900" w:h="16953" w:orient="portrait"/>
          <w:cols w:equalWidth="0" w:num="1">
            <w:col w:w="11420"/>
          </w:cols>
          <w:pgMar w:left="240" w:top="125" w:right="239" w:bottom="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met.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8" w:lineRule="auto"/>
        <w:tabs>
          <w:tab w:leader="none" w:pos="195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a Note is replaced pursuant to Section 2.07, it ceases to be outstanding unless the Trustee receives proof satisfactory to it that the replaced Note is held by a protected purchaser, as such term is defined in Section 8-303 of the UCC in effect in the State of New York.</w:t>
      </w:r>
    </w:p>
    <w:p>
      <w:pPr>
        <w:spacing w:after="0" w:line="146" w:lineRule="exact"/>
        <w:rPr>
          <w:rFonts w:ascii="Arial" w:cs="Arial" w:eastAsia="Arial" w:hAnsi="Arial"/>
          <w:sz w:val="17"/>
          <w:szCs w:val="17"/>
          <w:color w:val="auto"/>
        </w:rPr>
      </w:pPr>
    </w:p>
    <w:p>
      <w:pPr>
        <w:ind w:right="80" w:firstLine="1305"/>
        <w:spacing w:after="0" w:line="277" w:lineRule="auto"/>
        <w:tabs>
          <w:tab w:leader="none" w:pos="19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from and after such date it ceases to be outstanding and interest on it ceases to accrue.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the Paying Agent (other than the Company, a Subsidiary or an Affiliate of any thereof) holds, on the maturity date, any redemption 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In determining whether the Holders of the requisite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(subject to the record retention requirement of the Exchange Act). The Company may not issue new Notes to replace Notes that it has paid or that have been delivered to the Trustee for cancellation.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342" w:lineRule="auto"/>
        <w:tabs>
          <w:tab w:leader="none" w:pos="194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provided in the Notes and in Section 4.01. The Company shall notify the Trustee in an Officers’ Certificate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Company of such special record date. At least 10 days before the special record date, the Company (or, upon the written request of the Company, the Trustee in the name and at the expense of the Company) shall send, or cause to be sent to each Holder a notice that states the special record date, the related payment date and the amount of such interest to be paid.</w:t>
      </w:r>
    </w:p>
    <w:p>
      <w:pPr>
        <w:sectPr>
          <w:pgSz w:w="11900" w:h="16838" w:orient="portrait"/>
          <w:cols w:equalWidth="0" w:num="1">
            <w:col w:w="11420"/>
          </w:cols>
          <w:pgMar w:left="240" w:top="341" w:right="239" w:bottom="0" w:gutter="0" w:footer="0" w:header="0"/>
        </w:sectPr>
      </w:pPr>
    </w:p>
    <w:bookmarkStart w:id="66" w:name="page67"/>
    <w:bookmarkEnd w:id="66"/>
    <w:p>
      <w:pPr>
        <w:ind w:right="280" w:firstLine="1305"/>
        <w:spacing w:after="0" w:line="264" w:lineRule="auto"/>
        <w:tabs>
          <w:tab w:leader="none" w:pos="19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and ISIN Numbers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and/or ISIN numbers (if then generally in use) and, if so, the Trustee shall use CUSIP and/or ISIN numbers in notices of redemption or exchange or in Offers to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of Offer to Purchase shall not be affected by any defect in or omission of such numbers. The Company shall as promptly as practicable notify the Trustee of any change that the Company is aware of in the CUSIP or ISIN numbers.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the Company elects to redeem Notes pursuant to Section 3.07, it shall furnish to the Trustee, at least five Business Days before notice of redemption is required to be sent or caused to be sent to Holders pursuant to Section 3.03 (unless a shorter period shall be agreed to by the Trustee) but not more than 60 days before a redemption date, an Officers’ Certificate setting forth (1) the paragraph or subparagraph of such Note and/or Section of this Indenture pursuant to which the redemption shall occur, (2) the redemption date, (3) the principal amount of the Notes to be redeemed and (4) the Redemption Price.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25" w:lineRule="exact"/>
        <w:rPr>
          <w:sz w:val="20"/>
          <w:szCs w:val="20"/>
          <w:color w:val="auto"/>
        </w:rPr>
      </w:pPr>
    </w:p>
    <w:p>
      <w:pPr>
        <w:jc w:val="both"/>
        <w:ind w:right="260" w:firstLine="1305"/>
        <w:spacing w:after="0" w:line="286" w:lineRule="auto"/>
        <w:tabs>
          <w:tab w:leader="none" w:pos="194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less than all of the Notes are to be so redeemed pursuant to Section 3.07 or purchased in an Offer to Purchase at any time, the Trustee shall select the Notes or portions thereof to be redeemed or purchased (1) if the Notes are listed on any national securities exchange, in compliance with the requirements of the principal national securities exchange on which the Notes are listed or (2) if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shall deem fair and appropriate, subject to The Depository Trust Company, Euroclear and/or Clearstream procedures as applicable. In the event of partial redemption or purchase by lot, the particular Notes to be redeemed or purchased shall be selected, unless otherwise provided herein, not less than 30 nor more than 60 days prior to the redemption date by the Trustee from the then outstanding Notes not previously called for redemption or purchase.</w:t>
      </w:r>
    </w:p>
    <w:p>
      <w:pPr>
        <w:spacing w:after="0" w:line="187" w:lineRule="exact"/>
        <w:rPr>
          <w:sz w:val="20"/>
          <w:szCs w:val="20"/>
          <w:color w:val="auto"/>
        </w:rPr>
      </w:pPr>
    </w:p>
    <w:p>
      <w:pPr>
        <w:ind w:right="80" w:firstLine="1305"/>
        <w:spacing w:after="0" w:line="273" w:lineRule="auto"/>
        <w:tabs>
          <w:tab w:leader="none" w:pos="19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minimum amounts of $2,000 and integral multiples of $1,000 in excess thereof; no Notes of $2,000 or less shall be redeemed in part, except that if all of the Notes of a Holder are to be redeemed or purchased, the entire outstanding amount of Notes held by such Holder, even if not $2,000 or an integral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rFonts w:ascii="Arial" w:cs="Arial" w:eastAsia="Arial" w:hAnsi="Arial"/>
          <w:sz w:val="17"/>
          <w:szCs w:val="17"/>
          <w:color w:val="auto"/>
        </w:rPr>
      </w:pPr>
    </w:p>
    <w:p>
      <w:pPr>
        <w:ind w:right="60" w:firstLine="1305"/>
        <w:spacing w:after="0" w:line="286" w:lineRule="auto"/>
        <w:tabs>
          <w:tab w:leader="none" w:pos="19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After the redemption date, upon surrender of a Note to be redeemed in part only, a new Note or Notes in principal amount equal to the unredeemed portion of the original Note representing the same Indebtedness to the extent not redeemed shall be issued in the name of the Holder of the Notes upon cancellation of the original Note (or appropriate book entries shall be made to reflect such partial redemption).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send, or cause to be sent (or, in the case of Notes held in book-entry form, by electronic transmission) notices of redemption of Notes at least 30 days but not more than 60 days before the redemption date to each Holder whose Notes are to be redeemed pursuant to this Article at such Holder’s registered address or otherwise in accordance with the procedures of the Depositary, except that redemption notices may be sent more than 60 days prior to a redemption date if the notice is issued in connection with Article 8. Except as set forth in Section 3.07(c), notices of redemption may not be conditional.</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notice shall identify the Notes (including CUSIP numbers) to be redeemed and shall state:</w:t>
      </w:r>
    </w:p>
    <w:p>
      <w:pPr>
        <w:spacing w:after="0" w:line="225" w:lineRule="exact"/>
        <w:rPr>
          <w:sz w:val="20"/>
          <w:szCs w:val="20"/>
          <w:color w:val="auto"/>
        </w:rPr>
      </w:pPr>
    </w:p>
    <w:p>
      <w:pPr>
        <w:ind w:left="2140" w:hanging="835"/>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Redemption Price, including the portion thereof representing any accrued and unpaid interest;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of that Note that is to be redeemed;</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360" w:firstLine="645"/>
        <w:spacing w:after="0" w:line="342" w:lineRule="auto"/>
        <w:tabs>
          <w:tab w:leader="none" w:pos="215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7" w:name="page68"/>
    <w:bookmarkEnd w:id="67"/>
    <w:p>
      <w:pPr>
        <w:ind w:left="2140" w:hanging="835"/>
        <w:spacing w:after="0"/>
        <w:tabs>
          <w:tab w:leader="none" w:pos="21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are being redeemed;</w:t>
      </w:r>
    </w:p>
    <w:p>
      <w:pPr>
        <w:spacing w:after="0" w:line="210" w:lineRule="exact"/>
        <w:rPr>
          <w:rFonts w:ascii="Arial" w:cs="Arial" w:eastAsia="Arial" w:hAnsi="Arial"/>
          <w:sz w:val="16"/>
          <w:szCs w:val="16"/>
          <w:color w:val="auto"/>
        </w:rPr>
      </w:pPr>
    </w:p>
    <w:p>
      <w:pPr>
        <w:ind w:left="660" w:right="280" w:firstLine="645"/>
        <w:spacing w:after="0" w:line="277" w:lineRule="auto"/>
        <w:tabs>
          <w:tab w:leader="none" w:pos="21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 if any, listed in such notice or printed on the Notes; and</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80" w:firstLine="1305"/>
        <w:spacing w:after="0" w:line="279" w:lineRule="auto"/>
        <w:tabs>
          <w:tab w:leader="none" w:pos="195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At the Company’s request, the Trustee shall give the notice of redemption in the Company’s name and at the Company’s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shall have delivered to the Trustee, at least five Business Days before notice of redemption is required to be sent or caused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Holders pursuant to this Section 3.03 (unless a shorter period shall be agreed to by the Trustee), an Officers’ Certificate requesting that the Trustee give such notice and setting forth the information to be stated in such notice as provided in the preceding paragraph.</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Once notice of redemption is sent in accordance with Section 3.03, Notes called for redemption become irrevocably due and payable on the redemption date at the Redemption Price (except as provided for in Section 3.07(c)).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2" w:lineRule="auto"/>
        <w:tabs>
          <w:tab w:leader="none" w:pos="194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Prior to 11:00 a.m. (New York City time) on the redemption or purchase date, the Company shall deposit with the Trustee or with the Paying Agent money sufficient to pay the redemption or purchase price of and accrued and unpaid interest on all Notes to be redeemed or purchased on that date. Subject to receipt of funds from the Company or the Trustee (as applicable), the Paying Agent shall promptly send to each Holder whose Notes are (and, in the case of an Offer to Purchase, if applicable, to holders of Indebtedness ranking pari passu with the Notes)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77" w:lineRule="exact"/>
        <w:rPr>
          <w:rFonts w:ascii="Arial" w:cs="Arial" w:eastAsia="Arial" w:hAnsi="Arial"/>
          <w:sz w:val="17"/>
          <w:szCs w:val="17"/>
          <w:color w:val="auto"/>
        </w:rPr>
      </w:pPr>
    </w:p>
    <w:p>
      <w:pPr>
        <w:ind w:firstLine="1305"/>
        <w:spacing w:after="0" w:line="285" w:lineRule="auto"/>
        <w:tabs>
          <w:tab w:leader="none" w:pos="19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Company complies with the provisions of Section 3.05(a), on and after the redemption or purchase date, interest shall cease to accrue on the Notes or the portions of Notes called for redemption or purchase on and after such date. If a Note is redeemed or purchased on or after a Record Date but on or prior to the related Interest Payment Date, then any accrued and unpaid interest, if any, to the redemption or purchase date shall be paid on the relevant Interest Payment Date to the Person in whose name such Note was registered at the close of business on such Record Date. If any Note called for redemption or purchase shall not be so paid upon surrender for redemption or purchase because of the failure of the Company to comply with</w:t>
      </w:r>
    </w:p>
    <w:p>
      <w:pPr>
        <w:spacing w:after="0" w:line="2" w:lineRule="exact"/>
        <w:rPr>
          <w:rFonts w:ascii="Arial" w:cs="Arial" w:eastAsia="Arial" w:hAnsi="Arial"/>
          <w:sz w:val="16"/>
          <w:szCs w:val="16"/>
          <w:color w:val="auto"/>
        </w:rPr>
      </w:pP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jc w:val="both"/>
        <w:ind w:right="40" w:firstLine="1305"/>
        <w:spacing w:after="0" w:line="259" w:lineRule="auto"/>
        <w:tabs>
          <w:tab w:leader="none" w:pos="19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(1) The Notes may be redeemed, in whole or in part, at any time prior to May 1, 2020, at the option of the Company upon not less than 30 nor more than 60 days’ prior notice sent to each Holder, at a Redemption Price equal to 100% of the principal amount of the Notes redeemed plus the Make-Whole Premium as of, and accrued and unpaid interest, if any, to, the redemption date (subject to the right of Holders of record on the relevant record date to receive interest due on an interest payment date that is on or prior to the redemption date).</w:t>
      </w:r>
    </w:p>
    <w:p>
      <w:pPr>
        <w:spacing w:after="0" w:line="187" w:lineRule="exact"/>
        <w:rPr>
          <w:sz w:val="20"/>
          <w:szCs w:val="20"/>
          <w:color w:val="auto"/>
        </w:rPr>
      </w:pPr>
    </w:p>
    <w:p>
      <w:pPr>
        <w:jc w:val="both"/>
        <w:ind w:left="660" w:firstLine="645"/>
        <w:spacing w:after="0" w:line="279" w:lineRule="auto"/>
        <w:tabs>
          <w:tab w:leader="none" w:pos="196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At any time on or after May 1, 2020, at the option of the Company upon not less than 30 nor more than 60 days’ prior notice sent to each Holder, the Company may redeem some or all of the Notes at the Redemption Prices (expressed in percentage of principal amount) set forth below, plus accrued and unpaid interest to, but excluding, the redemption date (subject to the right of Holders of record on the relevant record date to receive interest due on an interest payment date that is on or prior to the redemption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 Beginning May 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4"/>
                <w:szCs w:val="1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102.813%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101.875%</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100.938%</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660" w:right="360" w:firstLine="645"/>
        <w:spacing w:after="0" w:line="312" w:lineRule="auto"/>
        <w:tabs>
          <w:tab w:leader="none" w:pos="196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addition, at any time prior to May 1, 2018, the Company may redeem up to 35% of the principal amount of the outstanding Notes (including Additional Notes, if any) with the net cash proceeds of one or more Equity Offerings at a Redemption Price (expressed as a percentage of principal amount) of 105.625%, plus accrued interest to but excluding the redemption date; provided that (i) at least 65% of the</w:t>
      </w:r>
    </w:p>
    <w:p>
      <w:pPr>
        <w:sectPr>
          <w:pgSz w:w="11900" w:h="16838" w:orient="portrait"/>
          <w:cols w:equalWidth="0" w:num="1">
            <w:col w:w="11380"/>
          </w:cols>
          <w:pgMar w:left="240" w:top="584" w:right="279" w:bottom="0" w:gutter="0" w:footer="0" w:header="0"/>
        </w:sectPr>
      </w:pPr>
    </w:p>
    <w:bookmarkStart w:id="68" w:name="page69"/>
    <w:bookmarkEnd w:id="68"/>
    <w:p>
      <w:pPr>
        <w:spacing w:after="0" w:line="3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aggregate principal amount of Notes originally issued on the Issue Date remains outstanding after each such redemption, and (ii) notice of any such redemption is mailed within 60 days of the closing of the related Equity Offering.</w:t>
      </w:r>
    </w:p>
    <w:p>
      <w:pPr>
        <w:spacing w:after="0" w:line="170" w:lineRule="exact"/>
        <w:rPr>
          <w:sz w:val="20"/>
          <w:szCs w:val="20"/>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Any redemption or notice, may, at the Company’s discretion, be subject to one or more conditions precedent, including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corporate transaction.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Sinking Fund</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sinking fund payments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 Additional Amounts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2" w:lineRule="auto"/>
        <w:tabs>
          <w:tab w:leader="none" w:pos="194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shall pay or cause to be paid the principal of and premium, if any, and interest (including Additional Interest, if any) on the Notes on the dates and in the manner provided in the Notes. Principal, premium, if any, and interest shall be considered paid on the date due if the Paying Agent, if other than one of the Company or a Subsidiary of the Company, holds as of 11:00 a.m. (New York City time) on the due date money deposited by the Company in immediately available funds and designated for and sufficient to pay all principal, premium, if any, and interest then due.</w:t>
      </w:r>
    </w:p>
    <w:p>
      <w:pPr>
        <w:spacing w:after="0" w:line="154" w:lineRule="exact"/>
        <w:rPr>
          <w:rFonts w:ascii="Arial" w:cs="Arial" w:eastAsia="Arial" w:hAnsi="Arial"/>
          <w:sz w:val="16"/>
          <w:szCs w:val="16"/>
          <w:color w:val="auto"/>
        </w:rPr>
      </w:pPr>
    </w:p>
    <w:p>
      <w:pPr>
        <w:ind w:firstLine="1305"/>
        <w:spacing w:after="0" w:line="257" w:lineRule="auto"/>
        <w:tabs>
          <w:tab w:leader="none" w:pos="195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principal amount and accrued interest on the Notes shall be payable at the office or agency of the Company maintained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Global Note, the Company will pay interest (i) by check mailed to the address of the Person entitled thereto as such address will appear in the Note Register or (ii) by wire transfer in immediately available funds to each Holder with an aggregate principal amount of Notes of any series in excess of $5,000,000, to the place and account designated in writing at least 15 days prior to the interest payment date by the Person entitled thereto as specified in the Note Register.</w:t>
      </w:r>
    </w:p>
    <w:p>
      <w:pPr>
        <w:spacing w:after="0" w:line="188" w:lineRule="exact"/>
        <w:rPr>
          <w:rFonts w:ascii="Arial" w:cs="Arial" w:eastAsia="Arial" w:hAnsi="Arial"/>
          <w:sz w:val="18"/>
          <w:szCs w:val="18"/>
          <w:color w:val="auto"/>
        </w:rPr>
      </w:pPr>
    </w:p>
    <w:p>
      <w:pPr>
        <w:ind w:right="300" w:firstLine="1305"/>
        <w:spacing w:after="0" w:line="259" w:lineRule="auto"/>
        <w:tabs>
          <w:tab w:leader="none" w:pos="19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Debtor Relief Law) on overdue principal and premium, if any,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spacing w:after="0" w:line="187"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other than an office of the Trustee or an affiliate of the Trustee. If at any time the Company shall fail to maintain any such required office or agency or shall fail to furnish the Trustee with the address thereof, such presentations, surrenders, notices and demands may be made at the Corporate Trust Office of the Trustee.</w:t>
      </w:r>
    </w:p>
    <w:p>
      <w:pPr>
        <w:spacing w:after="0" w:line="193"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81"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Company covenants to file with the Trustee, within 15 days after the Company has filed the same with the SEC, copies of the annual reports and of the information, documents and reports (or copies of such portions of any of the foregoing as the SEC may prescribe) that the Company may be required to file with the SEC pursuant to Section 13 or 15(d) of the Exchange Act (other than confidential filings, documents subject to confidential treatment and correspondence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delivery of materials to the Trustee by electronic means or filing of documents pursuant to the SEC’s “EDGAR” system (or any successor electronic filing system) shall be deemed to be “filed” with the Trustee as of the time such documents are filed via the “EDGAR” system for purposes of this Section 4.03;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no obligation whatsoever to determine whether or not such information, documents or reports have been filed pursuant to the “EDGAR” system (or its successor).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7" w:lineRule="exact"/>
        <w:rPr>
          <w:rFonts w:ascii="Arial" w:cs="Arial" w:eastAsia="Arial" w:hAnsi="Arial"/>
          <w:sz w:val="17"/>
          <w:szCs w:val="17"/>
          <w:color w:val="auto"/>
        </w:rPr>
      </w:pPr>
    </w:p>
    <w:p>
      <w:pPr>
        <w:ind w:right="60" w:firstLine="1305"/>
        <w:spacing w:after="0" w:line="264" w:lineRule="auto"/>
        <w:tabs>
          <w:tab w:leader="none" w:pos="19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time when the Notes remain outstanding and constitute “restricted securities” under Rule 144, the Company will furnish to the Holders of the Notes and prospective investors, upon their request, the information required to be delivered pursuant to Rule 144A(d)(4) under the Securities Act.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ectPr>
          <w:pgSz w:w="11900" w:h="16874" w:orient="portrait"/>
          <w:cols w:equalWidth="0" w:num="1">
            <w:col w:w="11380"/>
          </w:cols>
          <w:pgMar w:left="240" w:top="125" w:right="279" w:bottom="0" w:gutter="0" w:footer="0" w:header="0"/>
        </w:sectPr>
      </w:pPr>
    </w:p>
    <w:bookmarkStart w:id="69" w:name="page70"/>
    <w:bookmarkEnd w:id="69"/>
    <w:p>
      <w:pPr>
        <w:spacing w:after="0" w:line="103" w:lineRule="exact"/>
        <w:rPr>
          <w:sz w:val="20"/>
          <w:szCs w:val="20"/>
          <w:color w:val="auto"/>
        </w:rPr>
      </w:pPr>
    </w:p>
    <w:p>
      <w:pPr>
        <w:ind w:firstLine="1305"/>
        <w:spacing w:after="0" w:line="291" w:lineRule="auto"/>
        <w:tabs>
          <w:tab w:leader="none" w:pos="194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shall deliver to the Trustee, within 100 days after the end of each fiscal year ending after the Issue Date, a certificate from the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167" w:lineRule="exact"/>
        <w:rPr>
          <w:rFonts w:ascii="Arial" w:cs="Arial" w:eastAsia="Arial" w:hAnsi="Arial"/>
          <w:sz w:val="16"/>
          <w:szCs w:val="16"/>
          <w:color w:val="auto"/>
        </w:rPr>
      </w:pPr>
    </w:p>
    <w:p>
      <w:pPr>
        <w:ind w:right="140" w:firstLine="1305"/>
        <w:spacing w:after="0" w:line="286" w:lineRule="auto"/>
        <w:tabs>
          <w:tab w:leader="none" w:pos="195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Upon the Company becoming aware of any Default that has occurred and is continuing under this Indenture, the Company shall promptly (which shall be no more than five Business Days following the date on which the Company becomes aware of such Default) send to the Trustee an Officers’ Certificate specifying such event and what action the Company is taking or proposes to take with respect thereto.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Limitation on Subsidiary Debt</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94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Company will not permit any of its Domestic Restricted Subsidiaries to create, assume, incur, Guarantee or otherwise become liable for any Indebtedness (any such Indebtedness or Guarantee, “</w:t>
      </w:r>
      <w:r>
        <w:rPr>
          <w:rFonts w:ascii="Arial" w:cs="Arial" w:eastAsia="Arial" w:hAnsi="Arial"/>
          <w:sz w:val="18"/>
          <w:szCs w:val="18"/>
          <w:u w:val="single" w:color="auto"/>
          <w:color w:val="auto"/>
        </w:rPr>
        <w:t>Subsidiary Debt</w:t>
      </w:r>
      <w:r>
        <w:rPr>
          <w:rFonts w:ascii="Arial" w:cs="Arial" w:eastAsia="Arial" w:hAnsi="Arial"/>
          <w:sz w:val="18"/>
          <w:szCs w:val="18"/>
          <w:color w:val="auto"/>
        </w:rPr>
        <w:t>”), without causing such Domestic Restricted Subsidiary to Guarantee the payment of the principal of, premium, if any, and interest on the Notes on an unsecured unsubordinated basis until such time as such Indebtedness or Guarantee, as the case may be, is no longer outstanding or in effect.</w:t>
      </w:r>
    </w:p>
    <w:p>
      <w:pPr>
        <w:spacing w:after="0" w:line="186"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Section 4.07(a) shall not apply to, and there shall be excluded from Subsidiary Debt in any computation under such restriction, Subsidiary Debt constituting:</w:t>
      </w:r>
    </w:p>
    <w:p>
      <w:pPr>
        <w:spacing w:after="0" w:line="170" w:lineRule="exact"/>
        <w:rPr>
          <w:sz w:val="20"/>
          <w:szCs w:val="20"/>
          <w:color w:val="auto"/>
        </w:rPr>
      </w:pPr>
    </w:p>
    <w:p>
      <w:pPr>
        <w:ind w:left="660" w:right="100" w:firstLine="645"/>
        <w:spacing w:after="0" w:line="270" w:lineRule="auto"/>
        <w:tabs>
          <w:tab w:leader="none" w:pos="215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Company or any Domestic Restricted Subsidiary of the Company or otherwise becomes a Domestic Restricted Subsidiary of the Company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Company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is not Guaranteed by any other Domestic Restricted Subsidiary of the Company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2140" w:hanging="835"/>
        <w:spacing w:after="0"/>
        <w:tabs>
          <w:tab w:leader="none" w:pos="21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Subsidiary Debt owed to the Company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right="20" w:firstLine="645"/>
        <w:spacing w:after="0" w:line="288" w:lineRule="auto"/>
        <w:tabs>
          <w:tab w:leader="none" w:pos="21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Subsidiary Debt is created, incurred, issued, assumed or Guaranteed within 18 months (or in the case of any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Principal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Subsidiary Debt with respect to a Permitted Receivables Transaction;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15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(5) or (6)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140" w:firstLine="645"/>
        <w:spacing w:after="0" w:line="297" w:lineRule="auto"/>
        <w:tabs>
          <w:tab w:leader="none" w:pos="215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Subsidiary Debt outstanding on the date of this Indenture and any extension, renewal, substitution, replacement, refinancing or refunding of any Subsidiary Debt existing on the date of this Indenture or referred to in clauses (1), (2), (3). (4) or (5);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(6) or clauses (1), (2), (3), (4) or (5) above and the outstanding amount of the Subsidiary Debt incurred to</w:t>
      </w:r>
    </w:p>
    <w:p>
      <w:pPr>
        <w:sectPr>
          <w:pgSz w:w="11900" w:h="16941" w:orient="portrait"/>
          <w:cols w:equalWidth="0" w:num="1">
            <w:col w:w="11420"/>
          </w:cols>
          <w:pgMar w:left="240" w:top="341" w:right="239" w:bottom="0" w:gutter="0" w:footer="0" w:header="0"/>
        </w:sectPr>
      </w:pPr>
    </w:p>
    <w:bookmarkStart w:id="70" w:name="page71"/>
    <w:bookmarkEnd w:id="70"/>
    <w:p>
      <w:pPr>
        <w:ind w:left="660" w:right="160"/>
        <w:spacing w:after="0" w:line="259" w:lineRule="auto"/>
        <w:rPr>
          <w:sz w:val="20"/>
          <w:szCs w:val="20"/>
          <w:color w:val="auto"/>
        </w:rPr>
      </w:pPr>
      <w:r>
        <w:rPr>
          <w:rFonts w:ascii="Arial" w:cs="Arial" w:eastAsia="Arial" w:hAnsi="Arial"/>
          <w:sz w:val="18"/>
          <w:szCs w:val="18"/>
          <w:color w:val="auto"/>
        </w:rPr>
        <w:t>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87" w:lineRule="exact"/>
        <w:rPr>
          <w:sz w:val="20"/>
          <w:szCs w:val="20"/>
          <w:color w:val="auto"/>
        </w:rPr>
      </w:pPr>
    </w:p>
    <w:p>
      <w:pPr>
        <w:ind w:firstLine="1305"/>
        <w:spacing w:after="0" w:line="287" w:lineRule="auto"/>
        <w:tabs>
          <w:tab w:leader="none" w:pos="195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Notwithstanding Sections 4.07(a) and (b), any Domestic Restricted Subsidiary of the Company may create, assume, incur, Guarantee or otherwise become liable for Indebtedness that would otherwise be subject to Section 4.07(a), without Guaranteeing the Notes,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Subsidiary Debt. Any Domestic Restricted Subsidiary also may, without Guaranteeing the payment of the principal of, premium, if any, and interest on the Notes, extend, renew, substitute, replace, refinance or refund any Subsidiary Debt permitted pursuant to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68" w:lineRule="exact"/>
        <w:rPr>
          <w:rFonts w:ascii="Arial" w:cs="Arial" w:eastAsia="Arial" w:hAnsi="Arial"/>
          <w:sz w:val="16"/>
          <w:szCs w:val="16"/>
          <w:color w:val="auto"/>
        </w:rPr>
      </w:pPr>
    </w:p>
    <w:p>
      <w:pPr>
        <w:ind w:right="100" w:firstLine="1305"/>
        <w:spacing w:after="0" w:line="254" w:lineRule="auto"/>
        <w:tabs>
          <w:tab w:leader="none" w:pos="195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purposes of this Section 4.07, in the event that any Subsidiary Debt meets the criteria of more than one of the types of Subsidiary Debt in such Section, the Company, in its sole discretion, will classify, and may reclassify, such Subsidiary Debt and only be required to include the amount and type of such Subsidiary Debt in one of clauses (1) through (6) of Section 4.07(b) or Section 4.07(c), and Subsidiary Debt may be divided and classified and reclassified into more than one of the types of Subsidiary Debt described above. In addition, for purposes of calculating compliance with this Section 4.07,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4" w:lineRule="auto"/>
        <w:tabs>
          <w:tab w:leader="none" w:pos="19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Any Subsidiary of the Company required to Guarantee the Notes pursuant to Section 4.07(a) or that chooses to Guarantee the Notes shall (i) execute and deliver to the Trustee a supplemental indenture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in such other form reasonably satisfactory to the Trustee pursuant to which such Subsidiary shall unconditionally Guarantee all of the Company’s obligations under the Notes and this Indenture in respect of the Notes on the terms set forth in this Indenture and (ii) deliver to the Trustee an Opinion of Counsel. The execution by such Subsidiary of a supplemental indenture pursuant to this Section 4.07(e) shall evidence the Guarantee of the Notes by such Subsidiary, whether or not the person signing as an officer of such Subsidiary still holds that office at the time of authentication of any Note. The delivery of any Note by the Trustee after authentication shall constitute due delivery of such Note Guarantee set forth in this Indenture on behalf of such Subsidiary. The Guarantee of the Notes by any Subsidiary will terminate upon:</w:t>
      </w:r>
    </w:p>
    <w:p>
      <w:pPr>
        <w:spacing w:after="0" w:line="192" w:lineRule="exact"/>
        <w:rPr>
          <w:rFonts w:ascii="Arial" w:cs="Arial" w:eastAsia="Arial" w:hAnsi="Arial"/>
          <w:sz w:val="18"/>
          <w:szCs w:val="18"/>
          <w:color w:val="auto"/>
        </w:rPr>
      </w:pPr>
    </w:p>
    <w:p>
      <w:pPr>
        <w:ind w:left="840" w:right="160" w:firstLine="654"/>
        <w:spacing w:after="0" w:line="279" w:lineRule="auto"/>
        <w:tabs>
          <w:tab w:leader="none" w:pos="214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release or discharge of the Indebtedness of or Guarantee by such Subsidiary that resulted in the obligation to Guarantee the Notes pursuant to Section 4.07(a) (or would have resulted in the creation of a Guarantee pursuant to Section 4.07(a) had such Guarantee not already been in place) (other than a discharge of (A) a Guarantee as a result of payment under such Guarantee or (B)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left="840" w:right="120" w:firstLine="654"/>
        <w:spacing w:after="0" w:line="277" w:lineRule="auto"/>
        <w:tabs>
          <w:tab w:leader="none" w:pos="214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Subsidiary such that such Subsidiary is no longer a Subsidiary of the Company;</w:t>
      </w:r>
    </w:p>
    <w:p>
      <w:pPr>
        <w:spacing w:after="0" w:line="170" w:lineRule="exact"/>
        <w:rPr>
          <w:rFonts w:ascii="Arial" w:cs="Arial" w:eastAsia="Arial" w:hAnsi="Arial"/>
          <w:sz w:val="18"/>
          <w:szCs w:val="18"/>
          <w:color w:val="auto"/>
        </w:rPr>
      </w:pPr>
    </w:p>
    <w:p>
      <w:pPr>
        <w:ind w:left="2140" w:hanging="646"/>
        <w:spacing w:after="0"/>
        <w:tabs>
          <w:tab w:leader="none" w:pos="21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defeasance or discharge of the Notes, as provided under Article 8; or</w:t>
      </w:r>
    </w:p>
    <w:p>
      <w:pPr>
        <w:spacing w:after="0" w:line="225" w:lineRule="exact"/>
        <w:rPr>
          <w:rFonts w:ascii="Arial" w:cs="Arial" w:eastAsia="Arial" w:hAnsi="Arial"/>
          <w:sz w:val="18"/>
          <w:szCs w:val="18"/>
          <w:color w:val="auto"/>
        </w:rPr>
      </w:pPr>
    </w:p>
    <w:p>
      <w:pPr>
        <w:ind w:left="840" w:right="20" w:firstLine="654"/>
        <w:spacing w:after="0" w:line="264" w:lineRule="auto"/>
        <w:tabs>
          <w:tab w:leader="none" w:pos="214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Guarantee the Notes pursuant to Section 4.07(a) but did so at its option, the request by such Subsidiary of release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release the Company would be in compliance with the covenant set forth in this Section 4.07.</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Upon delivery by the Company to the Trustee of an Officers’ Certificate and an Opinion of Counsel, the Trustee will execute any documents reasonably required in order to evidence the release of any Subsidiary from its obligations under its Guarantee of the Notes.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4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enter into any sale and lease-back transaction with respect to any Principal Property, whether now owned or hereafter acquired, unless:</w:t>
      </w:r>
    </w:p>
    <w:p>
      <w:pPr>
        <w:spacing w:after="0" w:line="170" w:lineRule="exact"/>
        <w:rPr>
          <w:sz w:val="20"/>
          <w:szCs w:val="20"/>
          <w:color w:val="auto"/>
        </w:rPr>
      </w:pPr>
    </w:p>
    <w:p>
      <w:pPr>
        <w:ind w:left="2140" w:hanging="835"/>
        <w:spacing w:after="0"/>
        <w:tabs>
          <w:tab w:leader="none" w:pos="2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21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Domestic Restricted Subsidiary by the Company or any Subsidiary of any Principal Property;</w:t>
      </w:r>
    </w:p>
    <w:p>
      <w:pPr>
        <w:spacing w:after="0" w:line="170" w:lineRule="exact"/>
        <w:rPr>
          <w:rFonts w:ascii="Arial" w:cs="Arial" w:eastAsia="Arial" w:hAnsi="Arial"/>
          <w:sz w:val="18"/>
          <w:szCs w:val="18"/>
          <w:color w:val="auto"/>
        </w:rPr>
      </w:pPr>
    </w:p>
    <w:p>
      <w:pPr>
        <w:ind w:left="660" w:right="360" w:firstLine="645"/>
        <w:spacing w:after="0" w:line="259" w:lineRule="auto"/>
        <w:tabs>
          <w:tab w:leader="none" w:pos="21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after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acquisition or completion of any such development, operation, construction, alteration, repair or improvement;</w:t>
      </w:r>
    </w:p>
    <w:p>
      <w:pPr>
        <w:spacing w:after="0" w:line="225" w:lineRule="exact"/>
        <w:rPr>
          <w:sz w:val="20"/>
          <w:szCs w:val="20"/>
          <w:color w:val="auto"/>
        </w:rPr>
      </w:pPr>
    </w:p>
    <w:p>
      <w:pPr>
        <w:ind w:left="660" w:right="180" w:firstLine="645"/>
        <w:spacing w:after="0" w:line="277" w:lineRule="auto"/>
        <w:tabs>
          <w:tab w:leader="none" w:pos="215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215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or the applicable Domestic Restricted Subsidiary would be entitled to incur Indebtedness secured by a Lien on the property to be leased in an amount equal to Attributable Debt with respect to such sale and lease-back transaction without equally and ratably securing the Notes pursuant to Section 4.09(a); or</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215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Company or the applicable Domestic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 to such retirement, repurchase, repayment or prepayment, the Company or any Domestic Restricted Subsidiary may deliver Notes to the trustee for cancellation, such Notes to be credited at the cost thereof to the Company or such Domestic Restricted Subsidiary.</w:t>
      </w:r>
    </w:p>
    <w:p>
      <w:pPr>
        <w:spacing w:after="0" w:line="158" w:lineRule="exact"/>
        <w:rPr>
          <w:sz w:val="20"/>
          <w:szCs w:val="20"/>
          <w:color w:val="auto"/>
        </w:rPr>
      </w:pPr>
    </w:p>
    <w:p>
      <w:pPr>
        <w:ind w:right="20" w:firstLine="1305"/>
        <w:spacing w:after="0" w:line="302" w:lineRule="auto"/>
        <w:tabs>
          <w:tab w:leader="none" w:pos="19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Notwithstanding Section 4.08(a), the Company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Company and (3) 1.75 times Consolidated EBITDA of the Company for the Measurement Period immediately preceding the closing date of the sale and lease-back transaction.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create or incur any Lien on any Principal Property, whether now owned or hereafter acquired, in order to secure any Indebtedness, without effectively providing that the Notes shall be equally and ratably secured, until such time as such Indebtedness is no longer secured by such Lien, except Permitted Liens.</w:t>
      </w:r>
    </w:p>
    <w:p>
      <w:pPr>
        <w:spacing w:after="0" w:line="181" w:lineRule="exact"/>
        <w:rPr>
          <w:rFonts w:ascii="Arial" w:cs="Arial" w:eastAsia="Arial" w:hAnsi="Arial"/>
          <w:sz w:val="18"/>
          <w:szCs w:val="18"/>
          <w:color w:val="auto"/>
        </w:rPr>
      </w:pPr>
    </w:p>
    <w:p>
      <w:pPr>
        <w:ind w:right="80" w:firstLine="1305"/>
        <w:spacing w:after="0" w:line="288" w:lineRule="auto"/>
        <w:tabs>
          <w:tab w:leader="none" w:pos="195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Notwithstanding Section 4.09(a), the Company or any Domestic Restricted Subsidiary of the Company may, without equally and ratably securing the Notes, create or incur Liens which would otherwise be subject to the restrictions set forth in Section 4.09(a), if after giving effect thereto, Aggregate Debt does not exceed an amount equal to the greatest of (1) $2.50 billion, (2) 15% of Consolidated Net Tangible Assets of the Company and</w:t>
      </w:r>
    </w:p>
    <w:p>
      <w:pPr>
        <w:ind w:firstLine="8"/>
        <w:spacing w:after="0" w:line="288" w:lineRule="auto"/>
        <w:tabs>
          <w:tab w:leader="none" w:pos="25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1.75 times Consolidated EBITDA of the Company for the Measurement Period immediately preceding the date of the creation or incurrence of the Lien. The Company or any Domestic Restricted Subsidiary of the Company also may, without equally and ratably securing the Notes, create or incur Liens that extend, renew, substitute or replace (including successive extensions, renewals, substitutions or replacements), in whole or in part, any Lien permitted pursuant to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permitted pursuant to this or the preceding sentence.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8" w:lineRule="auto"/>
        <w:tabs>
          <w:tab w:leader="none" w:pos="195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For purposes of this Section 4.09, (1) the creation of a Lien to secure Indebtedness which existed prior to the creation of such Lien will be deemed to involve Indebtedness in an amount equal to the lesser of (x) the fair value (as determined in good faith by the Company) of the asset subjected to such Lien and (y) the principal amount secured by such Lien, and (2) in the event that a Lien meets the criteria of more than one of the types of Permitted Liens or Liens permitted by Section 4.09(b), the Company, in its sole discretion, will classify, and may reclassify, such Lien and only be required to include the amount and type of such Lien as a Permitted Lien or a Lien permitted by Section 4.09(b), and a Lien may be divided and classified and reclassified into more than one of such types of Liens. In addition, for purposes of calculating compliance with this Section 4.09,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Corporate Existence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Subject to Article 5, the Company shall do or cause to be done all things necessary to preserve and keep in full force and effect (1) its corporate existence and (2) the rights (charter and statutory), licenses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preserve any such right, license or franchise if the Company in good faith shall determine that the preservation thereof is no longer desirable in the conduct of the business of the Company and its Subsidiaries, taken as a whole.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Offer to Repurchase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Offer to Purchase</w:t>
      </w:r>
      <w:r>
        <w:rPr>
          <w:rFonts w:ascii="Arial" w:cs="Arial" w:eastAsia="Arial" w:hAnsi="Arial"/>
          <w:sz w:val="18"/>
          <w:szCs w:val="18"/>
          <w:color w:val="auto"/>
        </w:rPr>
        <w:t>” means an offer by the Company to purchase Notes as required by this Indenture. An Offer to Purchase must be made by written offer (the “</w:t>
      </w:r>
      <w:r>
        <w:rPr>
          <w:rFonts w:ascii="Arial" w:cs="Arial" w:eastAsia="Arial" w:hAnsi="Arial"/>
          <w:sz w:val="18"/>
          <w:szCs w:val="18"/>
          <w:u w:val="single" w:color="auto"/>
          <w:color w:val="auto"/>
        </w:rPr>
        <w:t>offer</w:t>
      </w:r>
      <w:r>
        <w:rPr>
          <w:rFonts w:ascii="Arial" w:cs="Arial" w:eastAsia="Arial" w:hAnsi="Arial"/>
          <w:sz w:val="18"/>
          <w:szCs w:val="18"/>
          <w:color w:val="auto"/>
        </w:rPr>
        <w:t>”) sent to the Holders. The Company will notify the Trustee at least 5 days (or such shorter period as is acceptable to the Trustee) prior to sending the offer to Holders of its obligation to make an Offer to Purchase, and the offer will be sent by the Company or, at the Company’s written request, by the Trustee in the name and at the expense of the Company.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offer must include or state the following, which shall (where applicable) be the terms of the Offer to Purchase: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provision of this Indenture pursuant to which the Offer to Purchase is being made;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aggregate principal amount of the outstanding Notes offered to be purchased by the Company pursuant to the Offer to Purchase (the “</w:t>
      </w:r>
      <w:r>
        <w:rPr>
          <w:rFonts w:ascii="Arial" w:cs="Arial" w:eastAsia="Arial" w:hAnsi="Arial"/>
          <w:sz w:val="18"/>
          <w:szCs w:val="18"/>
          <w:u w:val="single" w:color="auto"/>
          <w:color w:val="auto"/>
        </w:rPr>
        <w:t>purchase amount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purchase price, including the portion thereof representing accrued and unpaid interest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ectPr>
          <w:pgSz w:w="11900" w:h="16838" w:orient="portrait"/>
          <w:cols w:equalWidth="0" w:num="1">
            <w:col w:w="11420"/>
          </w:cols>
          <w:pgMar w:left="240" w:top="125" w:right="239" w:bottom="111" w:gutter="0" w:footer="0" w:header="0"/>
        </w:sectPr>
      </w:pPr>
    </w:p>
    <w:bookmarkStart w:id="72" w:name="page73"/>
    <w:bookmarkEnd w:id="72"/>
    <w:p>
      <w:pPr>
        <w:spacing w:after="0" w:line="36" w:lineRule="exact"/>
        <w:rPr>
          <w:sz w:val="20"/>
          <w:szCs w:val="20"/>
          <w:color w:val="auto"/>
        </w:rPr>
      </w:pPr>
    </w:p>
    <w:p>
      <w:pPr>
        <w:ind w:left="1300" w:right="60" w:firstLine="653"/>
        <w:spacing w:after="0" w:line="308" w:lineRule="auto"/>
        <w:tabs>
          <w:tab w:leader="none" w:pos="260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 expiration date (the “</w:t>
      </w:r>
      <w:r>
        <w:rPr>
          <w:rFonts w:ascii="Arial" w:cs="Arial" w:eastAsia="Arial" w:hAnsi="Arial"/>
          <w:sz w:val="17"/>
          <w:szCs w:val="17"/>
          <w:u w:val="single" w:color="auto"/>
          <w:color w:val="auto"/>
        </w:rPr>
        <w:t>Offer Expiration Date</w:t>
      </w:r>
      <w:r>
        <w:rPr>
          <w:rFonts w:ascii="Arial" w:cs="Arial" w:eastAsia="Arial" w:hAnsi="Arial"/>
          <w:sz w:val="17"/>
          <w:szCs w:val="17"/>
          <w:color w:val="auto"/>
        </w:rPr>
        <w:t>”) not less than 30 days or more than 60 days after the date of the offer, and a settlement date for purchase (the “</w:t>
      </w:r>
      <w:r>
        <w:rPr>
          <w:rFonts w:ascii="Arial" w:cs="Arial" w:eastAsia="Arial" w:hAnsi="Arial"/>
          <w:sz w:val="17"/>
          <w:szCs w:val="17"/>
          <w:u w:val="single" w:color="auto"/>
          <w:color w:val="auto"/>
        </w:rPr>
        <w:t>purchase date</w:t>
      </w:r>
      <w:r>
        <w:rPr>
          <w:rFonts w:ascii="Arial" w:cs="Arial" w:eastAsia="Arial" w:hAnsi="Arial"/>
          <w:sz w:val="17"/>
          <w:szCs w:val="17"/>
          <w:color w:val="auto"/>
        </w:rPr>
        <w:t>”) not more than five Business Days after the Offer Expiration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200" w:firstLine="653"/>
        <w:spacing w:after="0" w:line="264" w:lineRule="auto"/>
        <w:tabs>
          <w:tab w:leader="none" w:pos="2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that a Holder may tender all or any portion of its Notes pursuant to an Offer to Purchase, subject to the requirement that any portion of a Note tendered must be in minimum denominations of $2,000 principal amount and integral multiples of $1,000 in excess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place or places where Notes are to be surrendered for tender pursuant to the Offer to Purchase;</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that each Holder electing to tender a Note pursuant to the offer will be required to surrender such Note at the place or places specified in the offer prior to the close of business on the expiration date (such Note being, if the Company or the Trustee so requires, duly endorsed or accompanied by a duly executed written instrument of transfer);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that interest on any Note not tendered, or tendered but not purchased by the Company pursuant to the Offer to Purchase, will continue to accrue;</w:t>
      </w:r>
    </w:p>
    <w:p>
      <w:pPr>
        <w:spacing w:after="0" w:line="170" w:lineRule="exact"/>
        <w:rPr>
          <w:rFonts w:ascii="Arial" w:cs="Arial" w:eastAsia="Arial" w:hAnsi="Arial"/>
          <w:sz w:val="18"/>
          <w:szCs w:val="18"/>
          <w:color w:val="auto"/>
        </w:rPr>
      </w:pPr>
    </w:p>
    <w:p>
      <w:pPr>
        <w:ind w:left="1300" w:right="40" w:firstLine="653"/>
        <w:spacing w:after="0" w:line="308" w:lineRule="auto"/>
        <w:tabs>
          <w:tab w:leader="none" w:pos="260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that on the purchase date the Purchase Price will become due and payable on each Note accepted for purchase pursuant to the Offer to Purchase, and interest on Notes purchased will cease to accrue on and after the purchase date;</w:t>
      </w:r>
    </w:p>
    <w:p>
      <w:pPr>
        <w:spacing w:after="0" w:line="146" w:lineRule="exact"/>
        <w:rPr>
          <w:rFonts w:ascii="Arial" w:cs="Arial" w:eastAsia="Arial" w:hAnsi="Arial"/>
          <w:sz w:val="17"/>
          <w:szCs w:val="17"/>
          <w:color w:val="auto"/>
        </w:rPr>
      </w:pPr>
    </w:p>
    <w:p>
      <w:pPr>
        <w:ind w:left="1300" w:firstLine="653"/>
        <w:spacing w:after="0" w:line="259" w:lineRule="auto"/>
        <w:tabs>
          <w:tab w:leader="none" w:pos="25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that Holders are entitled to withdraw Notes tendered by giving notice, which must be received by the Company, as applicable, or the Trustee not later than the close of business on the Offer Expiration Date, setting forth the name of the Holder, the principal amount of the tendered Notes, the certificate number of the tendered Notes and a statement that the Holder is withdrawing all or a portion of the tender;</w:t>
      </w:r>
    </w:p>
    <w:p>
      <w:pPr>
        <w:spacing w:after="0" w:line="186" w:lineRule="exact"/>
        <w:rPr>
          <w:rFonts w:ascii="Arial" w:cs="Arial" w:eastAsia="Arial" w:hAnsi="Arial"/>
          <w:sz w:val="18"/>
          <w:szCs w:val="18"/>
          <w:color w:val="auto"/>
        </w:rPr>
      </w:pPr>
    </w:p>
    <w:p>
      <w:pPr>
        <w:ind w:left="1300" w:right="40" w:firstLine="653"/>
        <w:spacing w:after="0" w:line="277" w:lineRule="auto"/>
        <w:tabs>
          <w:tab w:leader="none" w:pos="25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statement that if Notes in an aggregate principal amount less than or equal to the purchase amount are duly tendered and not withdrawn pursuant to the Offer to Purchase, the Company will purchase all such Notes;</w:t>
      </w:r>
    </w:p>
    <w:p>
      <w:pPr>
        <w:spacing w:after="0" w:line="170" w:lineRule="exact"/>
        <w:rPr>
          <w:rFonts w:ascii="Arial" w:cs="Arial" w:eastAsia="Arial" w:hAnsi="Arial"/>
          <w:sz w:val="18"/>
          <w:szCs w:val="18"/>
          <w:color w:val="auto"/>
        </w:rPr>
      </w:pPr>
    </w:p>
    <w:p>
      <w:pPr>
        <w:ind w:left="1300" w:right="200" w:firstLine="653"/>
        <w:spacing w:after="0" w:line="277" w:lineRule="auto"/>
        <w:tabs>
          <w:tab w:leader="none" w:pos="25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statement that if any Note is purchased in part, new Notes equal in principal amount to the unpurchased portion of the Note will be issued; and</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5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statement that if any Note contains a CUSIP number, no representation is being made as to the correctness of the CUSIP number either as printed on the Notes or as contained in the offer and that the Holder should rely only on the other identification numbers printed on the Notes.</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Prior to the purchase date the Company will accept tendered Notes for purchase as required by the Offer to Purchase and deliver to the Trustee all Notes so accepted together with an Officers’ Certificate specifying which Notes have been accepted for purchase. On the purchase date the Purchase Price will become due and payable on each Note accepted for purchase, and interest on Notes purchased will cease to accrue on and after the purchase date. The Trustee will promptly return to Holders any Notes not accepted for purchase and send to Holders new Notes equal in principal amount to any unpurchased portion of any Notes accepted for purchase in part.</w:t>
      </w:r>
    </w:p>
    <w:p>
      <w:pPr>
        <w:spacing w:after="0" w:line="188" w:lineRule="exact"/>
        <w:rPr>
          <w:rFonts w:ascii="Arial" w:cs="Arial" w:eastAsia="Arial" w:hAnsi="Arial"/>
          <w:sz w:val="18"/>
          <w:szCs w:val="18"/>
          <w:color w:val="auto"/>
        </w:rPr>
      </w:pPr>
    </w:p>
    <w:p>
      <w:pPr>
        <w:ind w:firstLine="1305"/>
        <w:spacing w:after="0" w:line="264" w:lineRule="auto"/>
        <w:tabs>
          <w:tab w:leader="none" w:pos="19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 To the extent that the provisions of any securities laws or regulations conflict with provisions of this Indenture, the Company will comply with the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securities laws and regulations and will be deemed to have complied with its obligations described in this Indenture by virtue of such compliance.</w:t>
      </w:r>
    </w:p>
    <w:p>
      <w:pPr>
        <w:spacing w:after="0" w:line="237" w:lineRule="exact"/>
        <w:rPr>
          <w:sz w:val="20"/>
          <w:szCs w:val="20"/>
          <w:color w:val="auto"/>
        </w:rPr>
      </w:pPr>
    </w:p>
    <w:p>
      <w:pPr>
        <w:ind w:right="60" w:firstLine="1305"/>
        <w:spacing w:after="0" w:line="264" w:lineRule="auto"/>
        <w:tabs>
          <w:tab w:leader="none" w:pos="19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 later than 60 days following Change of Control Triggering Event, unless the Company has exercised its right to redeem all of the Notes pursuant to Section 3.07, the Company will make an Offer to Purchase all of the outstanding Notes at a Purchase Price in cash equal to 101% of the principal amount thereof plus accrued and unpaid interest, if any, to, but excluding, the purchase date.</w:t>
      </w:r>
    </w:p>
    <w:p>
      <w:pPr>
        <w:spacing w:after="0" w:line="181" w:lineRule="exact"/>
        <w:rPr>
          <w:rFonts w:ascii="Arial" w:cs="Arial" w:eastAsia="Arial" w:hAnsi="Arial"/>
          <w:sz w:val="18"/>
          <w:szCs w:val="18"/>
          <w:color w:val="auto"/>
        </w:rPr>
      </w:pPr>
    </w:p>
    <w:p>
      <w:pPr>
        <w:ind w:right="240" w:firstLine="1305"/>
        <w:spacing w:after="0" w:line="259" w:lineRule="auto"/>
        <w:tabs>
          <w:tab w:leader="none" w:pos="19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will not be required to make an Offer to Purchase following a Change of Control Triggering Event if (1) a third party makes the Offer to Purchase in the manner, at the times and otherwise in compliance with the requirements set forth in this Indenture applicable to an Offer to Purchase made by the Company and purchases all Notes validly tendered and not withdrawn under such Offer to Purchase or (2) a notice of redemption has been given pursuant to Section 3.07.</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196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4.11, any purchase pursuant to this Section 4.11 shall be made pursuant to the provisions of Sections 3.02, 3.05 and 3.06.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Further Instruments and Acts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Upon request of the Trustee, the Company will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73" w:name="page74"/>
    <w:bookmarkEnd w:id="73"/>
    <w:p>
      <w:pPr>
        <w:ind w:firstLine="1297"/>
        <w:spacing w:after="0" w:line="273" w:lineRule="auto"/>
        <w:rPr>
          <w:sz w:val="20"/>
          <w:szCs w:val="20"/>
          <w:color w:val="auto"/>
        </w:rPr>
      </w:pPr>
      <w:r>
        <w:rPr>
          <w:rFonts w:ascii="Arial" w:cs="Arial" w:eastAsia="Arial" w:hAnsi="Arial"/>
          <w:sz w:val="17"/>
          <w:szCs w:val="17"/>
          <w:color w:val="auto"/>
        </w:rPr>
        <w:t>In the event that the Company is required to or elects to pay Additional Interest to Holders of Notes, the Company will provide written notice (“</w:t>
      </w:r>
      <w:r>
        <w:rPr>
          <w:rFonts w:ascii="Arial" w:cs="Arial" w:eastAsia="Arial" w:hAnsi="Arial"/>
          <w:sz w:val="17"/>
          <w:szCs w:val="17"/>
          <w:u w:val="single" w:color="auto"/>
          <w:color w:val="auto"/>
        </w:rPr>
        <w:t>Additional Interest Notice</w:t>
      </w:r>
      <w:r>
        <w:rPr>
          <w:rFonts w:ascii="Arial" w:cs="Arial" w:eastAsia="Arial" w:hAnsi="Arial"/>
          <w:sz w:val="17"/>
          <w:szCs w:val="17"/>
          <w:color w:val="auto"/>
        </w:rPr>
        <w:t>”) to the Trustee of its obligation to pay Additional Interest no later than fifteen days prior to the proposed payment date for the Additional Interest, and the Additional Interest Notice shall set forth the amount of Additional Interest to be paid by the Company on such payment date. The Trustee shall not at any time be under any duty or responsibility to any Holder of Notes to determine whether or how much Additional Interest is due, or with respect to the nature, extent, or calculation of the amount of Additional Interest owed, or with respect to the method employed in such calculation of the Additional Interest and the Trustee shall be entitled to conclusively rely on such Additional Interest Notice.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Consolidation, Merger and Conveyance, Transfer and Lease of Assets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4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in a single transaction or in a series of related transactions,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40" w:firstLine="645"/>
        <w:spacing w:after="0" w:line="259" w:lineRule="auto"/>
        <w:tabs>
          <w:tab w:leader="none" w:pos="215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Company or (ii) the Person (if other than the Company) formed by such consolidation or into which the Company is merged or the Person which acquires by conveyance or transfer, or which leases, all or substantially all of the properties and assets of the Company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420" w:firstLine="645"/>
        <w:spacing w:after="0" w:line="277" w:lineRule="auto"/>
        <w:tabs>
          <w:tab w:leader="none" w:pos="215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Company’s obligations with respect to the Notes and this Indenture pursuant to a supplemental indenture;</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 continuing;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210" w:lineRule="exact"/>
        <w:rPr>
          <w:rFonts w:ascii="Arial" w:cs="Arial" w:eastAsia="Arial" w:hAnsi="Arial"/>
          <w:sz w:val="17"/>
          <w:szCs w:val="17"/>
          <w:color w:val="auto"/>
        </w:rPr>
      </w:pPr>
    </w:p>
    <w:p>
      <w:pPr>
        <w:ind w:left="660" w:right="260" w:firstLine="645"/>
        <w:spacing w:after="0" w:line="277" w:lineRule="auto"/>
        <w:tabs>
          <w:tab w:leader="none" w:pos="215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Company or the Successor Company has delivered to the trustee the certificates and opinions required under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Successor Entity Substituted</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conveyance, transfer or lease of all or substantially all the properties and assets of the Company to a Successor Company in accordance with the conditions described in Section 5.01, the Successor Company shall succeed to and be substituted for, and may exercise every right and power of, the Company under this Indenture with the same effect as if such Successor Company had been named as the Company and thereafter, except in the case of a lease, the predecessor Person shall be relieved of all obligations and covenants under this Indenture and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pacing w:after="0" w:line="225" w:lineRule="exact"/>
        <w:rPr>
          <w:sz w:val="20"/>
          <w:szCs w:val="20"/>
          <w:color w:val="auto"/>
        </w:rPr>
      </w:pPr>
    </w:p>
    <w:p>
      <w:pPr>
        <w:ind w:right="400" w:firstLine="1305"/>
        <w:spacing w:after="0" w:line="277" w:lineRule="auto"/>
        <w:tabs>
          <w:tab w:leader="none" w:pos="194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failure by the Company to pay principal or premium, if any, on any Note when due at maturity, upon redemption or otherwise (including the failure to pay the repurchase price for Notes tendered pursuant to an Offer to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failure by the Company to pay any interest (including Additional Interest) on any Note for 30 calendar days after the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becomes due;</w:t>
      </w:r>
    </w:p>
    <w:p>
      <w:pPr>
        <w:spacing w:after="0" w:line="210" w:lineRule="exact"/>
        <w:rPr>
          <w:rFonts w:ascii="Arial" w:cs="Arial" w:eastAsia="Arial" w:hAnsi="Arial"/>
          <w:sz w:val="17"/>
          <w:szCs w:val="17"/>
          <w:color w:val="auto"/>
        </w:rPr>
      </w:pPr>
    </w:p>
    <w:p>
      <w:pPr>
        <w:ind w:right="300" w:firstLine="1305"/>
        <w:spacing w:after="0" w:line="277" w:lineRule="auto"/>
        <w:tabs>
          <w:tab w:leader="none" w:pos="19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failure by the Company to comply with Section 4.11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300" w:firstLine="1305"/>
        <w:spacing w:after="0" w:line="264" w:lineRule="auto"/>
        <w:tabs>
          <w:tab w:leader="none" w:pos="19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perform, or breach by the Company or any of its Subsidiaries of, any other covenant, agreement or condition in this Indenture for 90 calendar days after either the trustee or holders of at least 25% in principal amount of the outstanding Notes have given the Company written notice of the breach in the manner required by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Debtor Relief Law: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1300" w:right="100" w:firstLine="653"/>
        <w:spacing w:after="0" w:line="342" w:lineRule="auto"/>
        <w:tabs>
          <w:tab w:leader="none" w:pos="260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ectPr>
          <w:pgSz w:w="11900" w:h="16838" w:orient="portrait"/>
          <w:cols w:equalWidth="0" w:num="1">
            <w:col w:w="11400"/>
          </w:cols>
          <w:pgMar w:left="240" w:top="341" w:right="259" w:bottom="0" w:gutter="0" w:footer="0" w:header="0"/>
        </w:sectPr>
      </w:pPr>
    </w:p>
    <w:bookmarkStart w:id="74" w:name="page75"/>
    <w:bookmarkEnd w:id="74"/>
    <w:p>
      <w:pPr>
        <w:ind w:left="1300" w:right="900" w:firstLine="653"/>
        <w:spacing w:after="0" w:line="277" w:lineRule="auto"/>
        <w:tabs>
          <w:tab w:leader="none" w:pos="260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1300" w:right="120" w:firstLine="653"/>
        <w:spacing w:after="0" w:line="277" w:lineRule="auto"/>
        <w:tabs>
          <w:tab w:leader="none" w:pos="260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 proceeding in which the Company or any Significant Subsidiary is to be adjudicated bankrupt or insolvent;</w:t>
      </w:r>
    </w:p>
    <w:p>
      <w:pPr>
        <w:spacing w:after="0" w:line="170" w:lineRule="exact"/>
        <w:rPr>
          <w:rFonts w:ascii="Arial" w:cs="Arial" w:eastAsia="Arial" w:hAnsi="Arial"/>
          <w:sz w:val="18"/>
          <w:szCs w:val="18"/>
          <w:color w:val="auto"/>
        </w:rPr>
      </w:pPr>
    </w:p>
    <w:p>
      <w:pPr>
        <w:ind w:left="1300" w:right="440" w:firstLine="653"/>
        <w:spacing w:after="0" w:line="264" w:lineRule="auto"/>
        <w:tabs>
          <w:tab w:leader="none" w:pos="260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appoints a receiver, interim receiver, receiver and manager, liquidator, assignee, trustee, sequestrator or other similar official of the Company or any Significant Subsidiary, or for all or substantially all of the property of the Company or any Significant Subsidiary;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Company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in the cases of the foregoing clauses (e) and (f),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Company (including any alternate proceedings) or other such proceedings that are in the nature of either a continuation or extension thereof.</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6" w:lineRule="auto"/>
        <w:tabs>
          <w:tab w:leader="none" w:pos="194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If an Event of Default occurs and is continuing (other than an Event of Default specified in Section 6.01(e) or Section 6.01(f) with respect to the Company) occurs and is continuing, then and in every such case the Trustee or the Holders of not less than 25% in aggregate principal amount of the outstanding Notes may declare the principal of the Notes and any accrued interest on the Notes to be due and payable immediately by a notice in writing to the Company (and to the Trustee if given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such acceleration, but before a judgment or decree based on acceleration, the Holders of a majority in aggregate principal amount of the outstanding Notes may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rescind and annul such acceleration if such rescission and annulment would not conflict with any judgment or decree of a court of competent jurisdiction and all Events of Default, other than the nonpayment of accelerated principal of or interest on the Notes, have been cured or waived as provided in this Indenture.</w:t>
      </w:r>
    </w:p>
    <w:p>
      <w:pPr>
        <w:spacing w:after="0" w:line="124" w:lineRule="exact"/>
        <w:rPr>
          <w:sz w:val="20"/>
          <w:szCs w:val="20"/>
          <w:color w:val="auto"/>
        </w:rPr>
      </w:pPr>
    </w:p>
    <w:p>
      <w:pPr>
        <w:ind w:right="280" w:firstLine="1305"/>
        <w:spacing w:after="0" w:line="264" w:lineRule="auto"/>
        <w:tabs>
          <w:tab w:leader="none" w:pos="19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an Event of Default described in Section 6.01(e) or Section 6.01(f) with respect to the Company occurs and is continuing, the principal of, premium, if any, and interest that is both accrued and unpaid on all the Notes will become and be immediately due and payable without any declaration or other act on the part of the Trustee or any Holders.</w:t>
      </w:r>
    </w:p>
    <w:p>
      <w:pPr>
        <w:spacing w:after="0" w:line="181" w:lineRule="exact"/>
        <w:rPr>
          <w:rFonts w:ascii="Arial" w:cs="Arial" w:eastAsia="Arial" w:hAnsi="Arial"/>
          <w:sz w:val="18"/>
          <w:szCs w:val="18"/>
          <w:color w:val="auto"/>
        </w:rPr>
      </w:pPr>
    </w:p>
    <w:p>
      <w:pPr>
        <w:ind w:right="20" w:firstLine="1305"/>
        <w:spacing w:after="0" w:line="270" w:lineRule="auto"/>
        <w:tabs>
          <w:tab w:leader="none" w:pos="195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Notwithstanding the foregoing, if the Company so elects, the sole remedy of the Holders for a failure to comply with any obligations the Company may have or is deemed to have pursuant to Section 314(a)(1) of the Trust Indenture Act or the Company’s failure to comply with Section 4.03 will for the first 180 days after the occurrence of such failure consist exclusively of the right to receive Additional Interest on the Notes at a rate per annum equal to 0.25% for the first 180 days after the occurrence of such failure. The Additional Interest will accrue on all outstanding Notes from and including the date on which such failure first occurs until such violation is cured or waived and shall be payable on each relevant Interest Payment Date to Holders of record on the regular Record Date immediately preceding the Interest Payment Date. On the 181st day after such failure (if such violation is not cured or waived prior to such 181st day), such failure will then constitute an Event of Default without any further notice or lapse of time and the Notes will be subject to acceleration as provided above. If the Company elects to pay Additional Interest pursuant to this clause (c), the Company will notify the Trustee at least three (3) Business Days before the Notes are eligible for acceleration pursuant to Section 6.02(a).</w:t>
      </w:r>
    </w:p>
    <w:p>
      <w:pPr>
        <w:spacing w:after="0" w:line="181" w:lineRule="exact"/>
        <w:rPr>
          <w:rFonts w:ascii="Arial" w:cs="Arial" w:eastAsia="Arial" w:hAnsi="Arial"/>
          <w:sz w:val="17"/>
          <w:szCs w:val="17"/>
          <w:color w:val="auto"/>
        </w:rPr>
      </w:pPr>
    </w:p>
    <w:p>
      <w:pPr>
        <w:ind w:right="60" w:firstLine="1305"/>
        <w:spacing w:after="0" w:line="279" w:lineRule="auto"/>
        <w:tabs>
          <w:tab w:leader="none" w:pos="195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Notes may waive all past defaults (except with respect to nonpayment of principal, premium or interest) and rescind any acceleration with respect to such defaults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77"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an Event of Default occurs and is continuing, the Trustee may pursue any available remedy to collect the payment of principal of and premium, if any, and interest on the Notes or to enforce the performance of any provision of the Notes or this Indenture.</w:t>
      </w:r>
    </w:p>
    <w:p>
      <w:pPr>
        <w:spacing w:after="0" w:line="170" w:lineRule="exact"/>
        <w:rPr>
          <w:rFonts w:ascii="Arial" w:cs="Arial" w:eastAsia="Arial" w:hAnsi="Arial"/>
          <w:sz w:val="18"/>
          <w:szCs w:val="18"/>
          <w:color w:val="auto"/>
        </w:rPr>
      </w:pPr>
    </w:p>
    <w:p>
      <w:pPr>
        <w:ind w:right="60" w:firstLine="1305"/>
        <w:spacing w:after="0" w:line="286" w:lineRule="auto"/>
        <w:tabs>
          <w:tab w:leader="none" w:pos="195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Holders of a majority in aggregate principal amount of the then outstanding Notes by written notice to the Trustee may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all of the Notes waive any existing or past Default and its consequences hereunder, except:</w:t>
      </w:r>
    </w:p>
    <w:p>
      <w:pPr>
        <w:sectPr>
          <w:pgSz w:w="11900" w:h="16838" w:orient="portrait"/>
          <w:cols w:equalWidth="0" w:num="1">
            <w:col w:w="11420"/>
          </w:cols>
          <w:pgMar w:left="240" w:top="125" w:right="239" w:bottom="123"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75" w:name="page76"/>
    <w:bookmarkEnd w:id="75"/>
    <w:p>
      <w:pPr>
        <w:ind w:left="660" w:right="100" w:firstLine="645"/>
        <w:spacing w:after="0" w:line="277" w:lineRule="auto"/>
        <w:tabs>
          <w:tab w:leader="none" w:pos="19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premium, if any, or interest on, any Note held by a non-consenting Holder (including any Note which is required to have been purchased pursuant to an Offer to Purchase);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subject to Section 6.02, the Holders of a majority in aggregate principal amount of the then outstanding Notes may rescind an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Holders of a majority in principal amount of the outstanding Notes are given the right to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any other Holder, is otherwise contrary to applicable law, or that would involve the Trustee in personal liability or expense for which the Trustee has not received an indemnity or security against loss, liability or expense satisfactory to it, and the Trustee may take any other action it deems proper which is not inconsistent with any such direction received from the 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1" w:lineRule="auto"/>
        <w:tabs>
          <w:tab w:leader="none" w:pos="194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 Holder of any Note will have any right to institute any proceeding with respect to this Indenture or for any remedy thereunder, unless (1) such Holder shall have previously given to the Trustee written notice of a continuing Event of Default, (2) the Holders of at least 25% in aggregate principal amount of the outstanding Notes shall have made written request to the Trustee, (3) such Holder or Holders offer and, if accepted, provide indemnity or security satisfactory to the Trustee, to institute such proceeding as Trustee, (4) the Trustee has not complied with such request within 60 days after receipt of the request and the offer of indemnity or security and (5) the Trustee shall not have received from the Holders of a majority in aggregate principal amount of the outstanding Notes a direction inconsistent with such request within such 60-day period. Such limitations do not apply to a suit instituted by a Holder of a Note directly (as opposed to through the Trustee) for enforcement of payment of the principal of (and premium, if any) or interest on such Note on or after the respective due dates expressed in such Note.</w:t>
      </w:r>
    </w:p>
    <w:p>
      <w:pPr>
        <w:spacing w:after="0" w:line="178"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Notwithstanding any other provision of this Indenture, the right of any Holder to receive payment of principal of and premium, if any, and interest on its Note, on or after the respective due dates expressed in such Note (including in connection with an Offer to Purchase), or to bring suit for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enforcement of any such payment on or after such respective dates, shall not be impaired or affected without the consent of such Holder.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If an Event of Default specified in Section 6.01(a) or Section 6.01(b) occurs and is continuing, the Trustee may recover judgment in its own name and as trustee of an express trust against the Company for the whole amount of principal of and premium, if any, and interest remaining unpaid to but not including the date of payment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proceedings has been instituted.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ectPr>
          <w:pgSz w:w="11900" w:h="16838" w:orient="portrait"/>
          <w:cols w:equalWidth="0" w:num="1">
            <w:col w:w="11420"/>
          </w:cols>
          <w:pgMar w:left="240" w:top="341" w:right="239" w:bottom="0" w:gutter="0" w:footer="0" w:header="0"/>
        </w:sectPr>
      </w:pPr>
    </w:p>
    <w:bookmarkStart w:id="76" w:name="page77"/>
    <w:bookmarkEnd w:id="76"/>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reasonable compensation, expenses, disbursements and advances of the Trustee and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right="500" w:firstLine="1305"/>
        <w:spacing w:after="0" w:line="277" w:lineRule="auto"/>
        <w:tabs>
          <w:tab w:leader="none" w:pos="19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first, to the Trustee and its agents and attorneys for amounts due under Section 7.07, including payment of all compensation, expenses and liabilities incurred, and all advances made, by the Trustee and the costs and expenses of collection;</w:t>
      </w:r>
    </w:p>
    <w:p>
      <w:pPr>
        <w:spacing w:after="0" w:line="170" w:lineRule="exact"/>
        <w:rPr>
          <w:rFonts w:ascii="Arial" w:cs="Arial" w:eastAsia="Arial" w:hAnsi="Arial"/>
          <w:sz w:val="18"/>
          <w:szCs w:val="18"/>
          <w:color w:val="auto"/>
        </w:rPr>
      </w:pPr>
    </w:p>
    <w:p>
      <w:pPr>
        <w:ind w:right="20" w:firstLine="1305"/>
        <w:spacing w:after="0" w:line="308" w:lineRule="auto"/>
        <w:tabs>
          <w:tab w:leader="none" w:pos="195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third, to the Company or to such party as a court of competent jurisdiction shall direct, if applicable.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paragraph, the Trustee shall cause notice of such record date and payment date to be given to the Company and to each Holder in the manner set forth in Section 10.02.</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such suit to file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then outstanding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64" w:lineRule="auto"/>
        <w:tabs>
          <w:tab w:leader="none" w:pos="19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320" w:firstLine="645"/>
        <w:spacing w:after="0" w:line="264" w:lineRule="auto"/>
        <w:tabs>
          <w:tab w:leader="none" w:pos="215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120" w:firstLine="645"/>
        <w:spacing w:after="0" w:line="276" w:lineRule="auto"/>
        <w:tabs>
          <w:tab w:leader="none" w:pos="215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1960" w:hanging="655"/>
        <w:spacing w:after="0"/>
        <w:tabs>
          <w:tab w:leader="none" w:pos="19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2140" w:hanging="835"/>
        <w:spacing w:after="0"/>
        <w:tabs>
          <w:tab w:leader="none" w:pos="2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ectPr>
          <w:pgSz w:w="11900" w:h="16838" w:orient="portrait"/>
          <w:cols w:equalWidth="0" w:num="1">
            <w:col w:w="11400"/>
          </w:cols>
          <w:pgMar w:left="240" w:top="125" w:right="259" w:bottom="0" w:gutter="0" w:footer="0" w:header="0"/>
        </w:sectPr>
      </w:pPr>
    </w:p>
    <w:bookmarkStart w:id="77" w:name="page78"/>
    <w:bookmarkEnd w:id="77"/>
    <w:p>
      <w:pPr>
        <w:spacing w:after="0" w:line="36" w:lineRule="exact"/>
        <w:rPr>
          <w:sz w:val="20"/>
          <w:szCs w:val="20"/>
          <w:color w:val="auto"/>
        </w:rPr>
      </w:pPr>
    </w:p>
    <w:p>
      <w:pPr>
        <w:ind w:left="660" w:right="320" w:firstLine="645"/>
        <w:spacing w:after="0" w:line="277" w:lineRule="auto"/>
        <w:tabs>
          <w:tab w:leader="none" w:pos="215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215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right="140" w:firstLine="1305"/>
        <w:spacing w:after="0" w:line="277" w:lineRule="auto"/>
        <w:tabs>
          <w:tab w:leader="none" w:pos="19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 7.01 and Section 7.02.</w:t>
      </w:r>
    </w:p>
    <w:p>
      <w:pPr>
        <w:spacing w:after="0" w:line="170" w:lineRule="exact"/>
        <w:rPr>
          <w:rFonts w:ascii="Arial" w:cs="Arial" w:eastAsia="Arial" w:hAnsi="Arial"/>
          <w:sz w:val="18"/>
          <w:szCs w:val="18"/>
          <w:color w:val="auto"/>
        </w:rPr>
      </w:pPr>
    </w:p>
    <w:p>
      <w:pPr>
        <w:ind w:right="200" w:firstLine="1305"/>
        <w:spacing w:after="0" w:line="308" w:lineRule="auto"/>
        <w:tabs>
          <w:tab w:leader="none" w:pos="19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its rights or powers under this Indenture at the request or direction of any of the Holders unless the Holders have offered to the Trustee indemnity satisfactory to it against any loss, liability or expense.</w:t>
      </w:r>
    </w:p>
    <w:p>
      <w:pPr>
        <w:spacing w:after="0" w:line="146" w:lineRule="exact"/>
        <w:rPr>
          <w:rFonts w:ascii="Arial" w:cs="Arial" w:eastAsia="Arial" w:hAnsi="Arial"/>
          <w:sz w:val="17"/>
          <w:szCs w:val="17"/>
          <w:color w:val="auto"/>
        </w:rPr>
      </w:pPr>
    </w:p>
    <w:p>
      <w:pPr>
        <w:ind w:right="620" w:firstLine="1305"/>
        <w:spacing w:after="0" w:line="308" w:lineRule="auto"/>
        <w:tabs>
          <w:tab w:leader="none" w:pos="194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require an Officers’ Certificate and an Opinion of Counsel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4" w:lineRule="exact"/>
        <w:rPr>
          <w:rFonts w:ascii="Arial" w:cs="Arial" w:eastAsia="Arial" w:hAnsi="Arial"/>
          <w:sz w:val="16"/>
          <w:szCs w:val="16"/>
          <w:color w:val="auto"/>
        </w:rPr>
      </w:pPr>
    </w:p>
    <w:p>
      <w:pPr>
        <w:ind w:right="40" w:firstLine="1305"/>
        <w:spacing w:after="0" w:line="277" w:lineRule="auto"/>
        <w:tabs>
          <w:tab w:leader="none" w:pos="19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right="20" w:firstLine="1305"/>
        <w:spacing w:after="0" w:line="286" w:lineRule="auto"/>
        <w:tabs>
          <w:tab w:leader="none" w:pos="194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or security satisfactory to it against such risk or liability is not assured to it.</w:t>
      </w:r>
    </w:p>
    <w:p>
      <w:pPr>
        <w:spacing w:after="0" w:line="165" w:lineRule="exact"/>
        <w:rPr>
          <w:rFonts w:ascii="Arial" w:cs="Arial" w:eastAsia="Arial" w:hAnsi="Arial"/>
          <w:sz w:val="17"/>
          <w:szCs w:val="17"/>
          <w:color w:val="auto"/>
        </w:rPr>
      </w:pPr>
    </w:p>
    <w:p>
      <w:pPr>
        <w:ind w:right="80" w:firstLine="1305"/>
        <w:spacing w:after="0" w:line="264" w:lineRule="auto"/>
        <w:tabs>
          <w:tab w:leader="none" w:pos="196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Notes and this Indenture.</w:t>
      </w:r>
    </w:p>
    <w:p>
      <w:pPr>
        <w:spacing w:after="0" w:line="181" w:lineRule="exact"/>
        <w:rPr>
          <w:rFonts w:ascii="Arial" w:cs="Arial" w:eastAsia="Arial" w:hAnsi="Arial"/>
          <w:sz w:val="18"/>
          <w:szCs w:val="18"/>
          <w:color w:val="auto"/>
        </w:rPr>
      </w:pPr>
    </w:p>
    <w:p>
      <w:pPr>
        <w:jc w:val="both"/>
        <w:ind w:right="340" w:firstLine="1305"/>
        <w:spacing w:after="0" w:line="264" w:lineRule="auto"/>
        <w:tabs>
          <w:tab w:leader="none" w:pos="19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500" w:firstLine="1305"/>
        <w:spacing w:after="0" w:line="264" w:lineRule="auto"/>
        <w:tabs>
          <w:tab w:leader="none" w:pos="196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jc w:val="both"/>
        <w:ind w:right="260" w:firstLine="1305"/>
        <w:spacing w:after="0" w:line="342" w:lineRule="auto"/>
        <w:tabs>
          <w:tab w:leader="none" w:pos="195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 an Officers’ Certificate, including any Person specified as so authorized in any such certificate previously delivered and not superseded.</w:t>
      </w:r>
    </w:p>
    <w:p>
      <w:pPr>
        <w:spacing w:after="0" w:line="225" w:lineRule="exact"/>
        <w:rPr>
          <w:sz w:val="20"/>
          <w:szCs w:val="20"/>
          <w:color w:val="auto"/>
        </w:rPr>
      </w:pPr>
    </w:p>
    <w:p>
      <w:pPr>
        <w:ind w:left="1960" w:hanging="655"/>
        <w:spacing w:after="0"/>
        <w:tabs>
          <w:tab w:leader="none" w:pos="19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Any Agent may do the same with like rights. However, in the event that the Trustee acquires any conflicting interest it must eliminate such conflict within 90 days, apply to the SEC for permission to continue or resign. Any Agent may do the same with like rights and duties. The Trustee is also subject to Section 7.10 and 7.11.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78" w:name="page79"/>
    <w:bookmarkEnd w:id="78"/>
    <w:p>
      <w:pPr>
        <w:spacing w:after="0" w:line="50"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If a Default occurs and is continuing and if it is known to the Trustee, the Trustee shall send to each Holder a notice of the Default within 90 days after it occurs. Except in the case of an Event of Default specified in Section 6.01(a) or Section 6.01(b), the Trustee may withhold from the Holders notice of any continuing Default if the Trustee determines in good faith that withholding the notice is in the interest of the Holders.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Reports by Trustee to Holders of the Notes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Within 60 days after each December 31, beginning with the December 31 following the Issue Date,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all reports as required by Trust Indenture Act Section 313(c).</w:t>
      </w:r>
    </w:p>
    <w:p>
      <w:pPr>
        <w:spacing w:after="0" w:line="188" w:lineRule="exact"/>
        <w:rPr>
          <w:rFonts w:ascii="Arial" w:cs="Arial" w:eastAsia="Arial" w:hAnsi="Arial"/>
          <w:sz w:val="18"/>
          <w:szCs w:val="18"/>
          <w:color w:val="auto"/>
        </w:rPr>
      </w:pPr>
    </w:p>
    <w:p>
      <w:pPr>
        <w:jc w:val="both"/>
        <w:ind w:right="100" w:firstLine="1305"/>
        <w:spacing w:after="0" w:line="264" w:lineRule="auto"/>
        <w:tabs>
          <w:tab w:leader="none" w:pos="19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copy of each report at the time of its sending to the Holders shall be sent to the Company and filed with each national securities exchange on which the Notes are listed in accordance with Trust Indenture Act Section 313(d). The Company shall promptly notify the Trustee in the event the Notes are listed on any national securities exchange, and of any delisting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Company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158" w:lineRule="exact"/>
        <w:rPr>
          <w:rFonts w:ascii="Arial" w:cs="Arial" w:eastAsia="Arial" w:hAnsi="Arial"/>
          <w:sz w:val="16"/>
          <w:szCs w:val="16"/>
          <w:color w:val="auto"/>
        </w:rPr>
      </w:pPr>
    </w:p>
    <w:p>
      <w:pPr>
        <w:ind w:firstLine="1305"/>
        <w:spacing w:after="0" w:line="270" w:lineRule="auto"/>
        <w:tabs>
          <w:tab w:leader="none" w:pos="195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shall indemnify the Trustee for, and hold each of the Trustee and any predecessor Trustee, its officers, directors, employees and agents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(including this Section 7.07)) or defending itself against any claim whether asserted by any Holder, the Company or any other Person,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or negligence.</w:t>
      </w:r>
    </w:p>
    <w:p>
      <w:pPr>
        <w:spacing w:after="0" w:line="18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7.07 shall survive the satisfaction and discharge of this Indenture or the earlier resignation or removal of the Trustee.</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Sections 6.01(e) or 6.01(f) occurs, the expenses and the compensation for the services (including the fees and expenses of its agents and counsel) are intended to constitute expenses of administration under any Debtor Relief Law.</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7.07, the Trustee shall have a Lien prior to the Notes on all money or property held or collected by the Trustee, except that held in trust to pay principal, premium, if any, and interest on particular Notes. Such Lien shall survive the satisfaction and discharge of this Indenture or the earlier resignation or removal of the Trustee.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7" w:lineRule="auto"/>
        <w:tabs>
          <w:tab w:leader="none" w:pos="194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188" w:lineRule="exact"/>
        <w:rPr>
          <w:sz w:val="20"/>
          <w:szCs w:val="20"/>
          <w:color w:val="auto"/>
        </w:rPr>
      </w:pPr>
    </w:p>
    <w:p>
      <w:pPr>
        <w:ind w:left="2140" w:hanging="835"/>
        <w:spacing w:after="0"/>
        <w:tabs>
          <w:tab w:leader="none" w:pos="2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Debtor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Relief Law;</w:t>
      </w:r>
    </w:p>
    <w:p>
      <w:pPr>
        <w:sectPr>
          <w:pgSz w:w="11900" w:h="16888" w:orient="portrait"/>
          <w:cols w:equalWidth="0" w:num="1">
            <w:col w:w="11420"/>
          </w:cols>
          <w:pgMar w:left="240" w:top="341" w:right="239" w:bottom="0" w:gutter="0" w:footer="0" w:header="0"/>
        </w:sectPr>
      </w:pPr>
    </w:p>
    <w:bookmarkStart w:id="79" w:name="page80"/>
    <w:bookmarkEnd w:id="79"/>
    <w:p>
      <w:pPr>
        <w:ind w:left="2140" w:hanging="835"/>
        <w:spacing w:after="0"/>
        <w:tabs>
          <w:tab w:leader="none" w:pos="2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380" w:firstLine="1305"/>
        <w:spacing w:after="0" w:line="286" w:lineRule="auto"/>
        <w:tabs>
          <w:tab w:leader="none" w:pos="195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40" w:firstLine="1305"/>
        <w:spacing w:after="0" w:line="264" w:lineRule="auto"/>
        <w:tabs>
          <w:tab w:leader="none" w:pos="19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1305"/>
        <w:spacing w:after="0" w:line="308" w:lineRule="auto"/>
        <w:tabs>
          <w:tab w:leader="none" w:pos="195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Notwithstanding replacement of the Trustee pursuant to this Section 7.08, the Company’s obligations under Section 7.07 shall continue for the benefit of the retiring Trustee.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used in this Section 7.08, the term “Trustee” shall also include each Agent.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6"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Indenture shall always have a Trustee who satisfies the requirements of Trust Indenture Act Sections 310(a)(1), (2) and (5). The Trustee is subject to Trust Indenture Act Section 310(b).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the Company</w:t>
      </w:r>
      <w:r>
        <w:rPr>
          <w:rFonts w:ascii="Arial" w:cs="Arial" w:eastAsia="Arial" w:hAnsi="Arial"/>
          <w:sz w:val="16"/>
          <w:szCs w:val="16"/>
          <w:color w:val="auto"/>
        </w:rPr>
        <w:t>.</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AND DEFEASANCE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terminate its obligations under this Indenture and the Notes when:</w:t>
      </w:r>
    </w:p>
    <w:p>
      <w:pPr>
        <w:spacing w:after="0" w:line="225" w:lineRule="exact"/>
        <w:rPr>
          <w:sz w:val="20"/>
          <w:szCs w:val="20"/>
          <w:color w:val="auto"/>
        </w:rPr>
      </w:pPr>
    </w:p>
    <w:p>
      <w:pPr>
        <w:ind w:left="1940" w:hanging="635"/>
        <w:spacing w:after="0"/>
        <w:tabs>
          <w:tab w:leader="none" w:pos="19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660" w:right="140" w:firstLine="645"/>
        <w:spacing w:after="0" w:line="308" w:lineRule="auto"/>
        <w:tabs>
          <w:tab w:leader="none" w:pos="196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all the Notes that have been authenticated and delivered have been accepted by the Trustee for cancellation (other than any Notes which shall have been destroyed, lost or stolen and which shall have been replaced or paid as provided in Section 2.07); or</w:t>
      </w:r>
    </w:p>
    <w:p>
      <w:pPr>
        <w:spacing w:after="0" w:line="146"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(x) all outstanding Notes issued under this Indenture have become due and payable; (y) all outstanding Notes issued under this Indenture have or will become due and payable at the Stated Maturity within one year; or (z) all outstanding Notes issued under this Indenture are subject to redemption within one year (and the Company shall have entered into arrangements reasonably satisfactory to the Trustee for the giving of notice of redemption), and in each case, the Company shall have deposited or caused to be deposited with the Trustee as trust funds for the purpose of making payments to the Holders under this Indenture an amount (which may include Governmental Obligations), dedicated solely to the benefit of the Holders, sufficient to pay and discharge all outstanding Notes issued under this Indenture on the Stated Maturity or the scheduled date of redemption; and</w:t>
      </w:r>
    </w:p>
    <w:p>
      <w:pPr>
        <w:spacing w:after="0" w:line="189" w:lineRule="exact"/>
        <w:rPr>
          <w:sz w:val="20"/>
          <w:szCs w:val="20"/>
          <w:color w:val="auto"/>
        </w:rPr>
      </w:pPr>
    </w:p>
    <w:p>
      <w:pPr>
        <w:ind w:left="1960" w:hanging="655"/>
        <w:spacing w:after="0"/>
        <w:tabs>
          <w:tab w:leader="none" w:pos="1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shall have paid or caused to be paid all other sums then due and payable under this Indenture;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under this Indenture relating to the satisfaction and discharge of this Indenture have been complied with.</w:t>
      </w:r>
    </w:p>
    <w:p>
      <w:pPr>
        <w:sectPr>
          <w:pgSz w:w="11900" w:h="16838" w:orient="portrait"/>
          <w:cols w:equalWidth="0" w:num="1">
            <w:col w:w="11400"/>
          </w:cols>
          <w:pgMar w:left="240" w:top="341" w:right="259" w:bottom="0" w:gutter="0" w:footer="0" w:header="0"/>
        </w:sectPr>
      </w:pPr>
    </w:p>
    <w:bookmarkStart w:id="80" w:name="page81"/>
    <w:bookmarkEnd w:id="80"/>
    <w:p>
      <w:pPr>
        <w:ind w:right="360" w:firstLine="1297"/>
        <w:spacing w:after="0" w:line="277" w:lineRule="auto"/>
        <w:rPr>
          <w:sz w:val="20"/>
          <w:szCs w:val="20"/>
          <w:color w:val="auto"/>
        </w:rPr>
      </w:pPr>
      <w:r>
        <w:rPr>
          <w:rFonts w:ascii="Arial" w:cs="Arial" w:eastAsia="Arial" w:hAnsi="Arial"/>
          <w:sz w:val="18"/>
          <w:szCs w:val="18"/>
          <w:color w:val="auto"/>
        </w:rPr>
        <w:t>If the foregoing conditions are met, the Trustee, on demand and at the cost and expense of the Company, shall execute such instruments prepared by the Company acknowledging such satisfaction of and discharging this Indenture and the Notes except as to:</w:t>
      </w:r>
    </w:p>
    <w:p>
      <w:pPr>
        <w:spacing w:after="0" w:line="170" w:lineRule="exact"/>
        <w:rPr>
          <w:sz w:val="20"/>
          <w:szCs w:val="20"/>
          <w:color w:val="auto"/>
        </w:rPr>
      </w:pPr>
    </w:p>
    <w:p>
      <w:pPr>
        <w:ind w:left="1980" w:hanging="576"/>
        <w:spacing w:after="0"/>
        <w:tabs>
          <w:tab w:leader="none" w:pos="1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Notes;</w:t>
      </w:r>
    </w:p>
    <w:p>
      <w:pPr>
        <w:spacing w:after="0" w:line="225" w:lineRule="exact"/>
        <w:rPr>
          <w:rFonts w:ascii="Arial" w:cs="Arial" w:eastAsia="Arial" w:hAnsi="Arial"/>
          <w:sz w:val="18"/>
          <w:szCs w:val="18"/>
          <w:color w:val="auto"/>
        </w:rPr>
      </w:pPr>
    </w:p>
    <w:p>
      <w:pPr>
        <w:ind w:left="1980" w:hanging="631"/>
        <w:spacing w:after="0"/>
        <w:tabs>
          <w:tab w:leader="none" w:pos="1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Company’s right of optional redemption;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Notes;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7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rights of Holders to receive payment of the principal amount, premium (if any) and interest when due and payable, solely out of the trust created pursuant to this Section 8.01;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11"/>
        <w:spacing w:after="0"/>
        <w:tabs>
          <w:tab w:leader="none" w:pos="19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660" w:right="160" w:firstLine="645"/>
        <w:spacing w:after="0" w:line="277" w:lineRule="auto"/>
        <w:tabs>
          <w:tab w:leader="none" w:pos="197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rights of the Holders as beneficiaries hereof with respect to the property so deposited with the Trustee payable to all or any of them; and the rights of the Company to be repaid any money pursuant to Section 8.05 and Section 8.06.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w:t>
      </w:r>
      <w:r>
        <w:rPr>
          <w:rFonts w:ascii="Arial" w:cs="Arial" w:eastAsia="Arial" w:hAnsi="Arial"/>
          <w:sz w:val="15"/>
          <w:szCs w:val="15"/>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Company will be deemed to have paid and the Company will be discharged from its obligations in respect of the Notes and this Indenture, other than their obligations in Article 2 and Sections 4.01, 4.02, 7.07, 7.08 and as set forth in clauses (i) through (vi) of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right="20" w:firstLine="1305"/>
        <w:spacing w:after="0" w:line="272" w:lineRule="auto"/>
        <w:tabs>
          <w:tab w:leader="none" w:pos="194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as trust funds for the purpose of making the following payments, dedicated solely to the benefit of the holders of the Notes in cash or Governmental Obligations or a combination thereof (other than moneys repaid by the Trustee or any Paying Agent to the Company in accordance with Section 8.06) in each case sufficient without reinvestment, in the written opinion of an internationally recognized firm of independent public accountants to pay and discharge, and which shall be applied by the Trustee to pay and discharge, all of the principal, premium (if any) and interest when the same becomes due and payable at Stated Maturity, upon optional redemption, upon required repurchase or otherwise or if the Company has made irrevocable arrangements satisfactory to the Trustee for the giving of notice of redemption by the Trustee in the Company’s name and at the Company’s expense;</w:t>
      </w:r>
    </w:p>
    <w:p>
      <w:pPr>
        <w:spacing w:after="0" w:line="177" w:lineRule="exact"/>
        <w:rPr>
          <w:rFonts w:ascii="Arial" w:cs="Arial" w:eastAsia="Arial" w:hAnsi="Arial"/>
          <w:sz w:val="17"/>
          <w:szCs w:val="17"/>
          <w:color w:val="auto"/>
        </w:rPr>
      </w:pPr>
    </w:p>
    <w:p>
      <w:pPr>
        <w:ind w:right="120" w:firstLine="1305"/>
        <w:spacing w:after="0" w:line="255" w:lineRule="auto"/>
        <w:tabs>
          <w:tab w:leader="none" w:pos="195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Trustee, the Company has delivered to the Trustee an Opinion of Counsel stating that, as a result of an IRS ruling or a change in applicable U.S. federal income tax law, the holders of the Notes will not recognize gain or loss for U.S. federal income tax purposes as a result of the deposit, defeasance and discharge to be effected and will be subject to the same federal income tax as would be the case if the deposit, defeasance and discharge did not occur,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Default with respect to the outstanding Notes has occurred and is continuing at the time of such deposit after giving effect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210"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Notes were in default within the meaning of such Act;</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material agreement or material instrument (other than this Indenture and the Notes) to which the Company is a party or by which it is bound; and</w:t>
      </w:r>
    </w:p>
    <w:p>
      <w:pPr>
        <w:spacing w:after="0" w:line="170" w:lineRule="exact"/>
        <w:rPr>
          <w:rFonts w:ascii="Arial" w:cs="Arial" w:eastAsia="Arial" w:hAnsi="Arial"/>
          <w:sz w:val="18"/>
          <w:szCs w:val="18"/>
          <w:color w:val="auto"/>
        </w:rPr>
      </w:pPr>
    </w:p>
    <w:p>
      <w:pPr>
        <w:ind w:right="760" w:firstLine="1305"/>
        <w:spacing w:after="0" w:line="277" w:lineRule="auto"/>
        <w:tabs>
          <w:tab w:leader="none" w:pos="194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Upon and following the satisfaction of the foregoing conditions, the Trustee upon request will acknowledge in writing the discharge of the Company’s obligations under the Notes and this Indenture except for the surviving obligations specified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failure of the Company to perform the obligations set forth in Sections 4.03, 4.07, 4.08, 4.09, 4.11, and the events described in Sections 6.01(c) and 6.01(d) will no longer constitute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left="1940" w:hanging="635"/>
        <w:spacing w:after="0"/>
        <w:tabs>
          <w:tab w:leader="none" w:pos="19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has complied with clauses (a), (c), (d), (e), and (f) of Section 8.02; and</w:t>
      </w:r>
    </w:p>
    <w:p>
      <w:pPr>
        <w:spacing w:after="0" w:line="225" w:lineRule="exact"/>
        <w:rPr>
          <w:rFonts w:ascii="Arial" w:cs="Arial" w:eastAsia="Arial" w:hAnsi="Arial"/>
          <w:sz w:val="18"/>
          <w:szCs w:val="18"/>
          <w:color w:val="auto"/>
        </w:rPr>
      </w:pPr>
    </w:p>
    <w:p>
      <w:pPr>
        <w:ind w:right="120" w:firstLine="1305"/>
        <w:spacing w:after="0" w:line="276" w:lineRule="auto"/>
        <w:tabs>
          <w:tab w:leader="none" w:pos="195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Company, the Company has delivered to the Trustee an Opinion of Counsel to the effect that the holders of the Notes will not recognize gain or loss for U.S. federal income tax purposes as a result of the deposit and covenant defeasance to be effected and will be subject to the same federal income tax as would be the case if the deposit and covenant defeasance did not occur,</w:t>
      </w:r>
    </w:p>
    <w:p>
      <w:pPr>
        <w:sectPr>
          <w:pgSz w:w="11900" w:h="16838" w:orient="portrait"/>
          <w:cols w:equalWidth="0" w:num="1">
            <w:col w:w="11420"/>
          </w:cols>
          <w:pgMar w:left="240" w:top="125" w:right="239" w:bottom="0" w:gutter="0" w:footer="0" w:header="0"/>
        </w:sectPr>
      </w:pPr>
    </w:p>
    <w:bookmarkStart w:id="81" w:name="page82"/>
    <w:bookmarkEnd w:id="81"/>
    <w:p>
      <w:pPr>
        <w:spacing w:after="0" w:line="3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Except as specifically stated above, none of the Company’s obligations under this Indenture and the Notes will be discharged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8.03.</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by Trustee of Funds Deposited for Payment of Notes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Subject to Section 8.06, all moneys deposited with the Trustee pursuant to Sections 8.01, 8.02 and 8.03 shall be held in trust and applied by it to the payment, either directly or through any Paying Agent (including the Company acting as its own Paying Agent), to the Holders of the particular Notes for the payment or redemption of which such moneys or Governmental Obligations have been deposited with the Trustee, of all sums due and to become due thereon for principal, premium (if any) and interest. Such money need not be segregated from other funds except to the extent required by law.</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Repayment of Moneys Held by Paying Agent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In connection with the satisfaction and discharge of this Indenture with respect to the Notes, all moneys held by any Paying Agent under the provisions of this Indenture at the time of such satisfaction and discharge shall, upon demand of the Company, be repaid to the Company or paid to the Trustee and thereupon such Paying Agent shall be released from all further liability with respect to such moneys or Governmental Obligations.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Return of Moneys Held by Trustee and Paying Agent Unclaimed for Two Years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Subject to applicable abandoned property law, any moneys or Governmental Obligations deposited with or paid to the Trustee or any Paying Agent for the payment of the principal of or premium (if any) on or interest on any Note and not applied but remaining unclaimed for two years after the date upon which such principal, premium or interest shall have become due and payable, shall, at the Company’s request, be repaid to the Company by the Trustee or such Paying Agent, and the Holder of the Note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If the Trustee or Paying Agent is unable to apply any U.S. dollars or Government Obligations in accordance with Section 8.01, 8.02 or 8.03,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8.01, 8.02 or 8.03 until such time as the Trustee or Paying Agent is permitted to apply all such money in accordance with Section 8.01, 8.02 or 8.03,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Notwithstanding Section 9.02, without the consent of any Holder, the Company and the Trustee at any time and from time to time, may amend this Indenture and/or the Notes to:</w:t>
      </w:r>
    </w:p>
    <w:p>
      <w:pPr>
        <w:spacing w:after="0" w:line="170" w:lineRule="exact"/>
        <w:rPr>
          <w:sz w:val="20"/>
          <w:szCs w:val="20"/>
          <w:color w:val="auto"/>
        </w:rPr>
      </w:pPr>
    </w:p>
    <w:p>
      <w:pPr>
        <w:ind w:right="320" w:firstLine="1305"/>
        <w:spacing w:after="0" w:line="277" w:lineRule="auto"/>
        <w:tabs>
          <w:tab w:leader="none" w:pos="194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of the covenants, agreements and obligations of the Company by a successor;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add to the covenants of the Company for the benefit of the Holders of the Notes or to surrender any of its rights or powers;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add Events of Default for the benefit of Holders of the Notes;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add to, change or eliminate any provision of this Indenture applying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deems such action necessary or advisable and that such action does not adversely affect the interests of any Holder of the Notes;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evidence and provide for a successor Trustee or to add to or change any provisions to the extent necessary to appoint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 for the Notes;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cure any ambiguity, defect or inconsistency under this Indenture;</w:t>
      </w:r>
    </w:p>
    <w:p>
      <w:pPr>
        <w:spacing w:after="0" w:line="225" w:lineRule="exact"/>
        <w:rPr>
          <w:rFonts w:ascii="Arial" w:cs="Arial" w:eastAsia="Arial" w:hAnsi="Arial"/>
          <w:sz w:val="18"/>
          <w:szCs w:val="18"/>
          <w:color w:val="auto"/>
        </w:rPr>
      </w:pPr>
    </w:p>
    <w:p>
      <w:pPr>
        <w:ind w:right="40" w:firstLine="1305"/>
        <w:spacing w:after="0" w:line="312" w:lineRule="auto"/>
        <w:tabs>
          <w:tab w:leader="none" w:pos="196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supplement any provisions of this Indenture necessary to defease and discharge the Notes or this Indenture otherwise in accordance with the defeasance or discharge provisions, as the case may be, of this Indenture, or to make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 does not adversely affect the interests of the Holders of any Notes in any material respect;</w:t>
      </w:r>
    </w:p>
    <w:p>
      <w:pPr>
        <w:spacing w:after="0" w:line="146" w:lineRule="exact"/>
        <w:rPr>
          <w:rFonts w:ascii="Arial" w:cs="Arial" w:eastAsia="Arial" w:hAnsi="Arial"/>
          <w:sz w:val="16"/>
          <w:szCs w:val="16"/>
          <w:color w:val="auto"/>
        </w:rPr>
      </w:pPr>
    </w:p>
    <w:p>
      <w:pPr>
        <w:ind w:right="20" w:firstLine="1305"/>
        <w:spacing w:after="0" w:line="342" w:lineRule="auto"/>
        <w:tabs>
          <w:tab w:leader="none" w:pos="195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to add to, change or eliminate any provisions of this Indenture to comply with the provisions of the DTC, Euroclear or Clearstream or the Trustee with respect to provisions of this Indenture or the Notes relating to transfers or exchanges of Notes or beneficial interests in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provide collateral security for the Notes or to release collateral in accordance with Section 4.09;</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provide for or release guarantors in accordance with Section 4.07;</w:t>
      </w:r>
    </w:p>
    <w:p>
      <w:pPr>
        <w:sectPr>
          <w:pgSz w:w="11900" w:h="16874" w:orient="portrait"/>
          <w:cols w:equalWidth="0" w:num="1">
            <w:col w:w="11420"/>
          </w:cols>
          <w:pgMar w:left="240" w:top="125" w:right="239" w:bottom="0" w:gutter="0" w:footer="0" w:header="0"/>
        </w:sectPr>
      </w:pPr>
    </w:p>
    <w:bookmarkStart w:id="82" w:name="page83"/>
    <w:bookmarkEnd w:id="82"/>
    <w:p>
      <w:pPr>
        <w:ind w:right="140" w:firstLine="1305"/>
        <w:spacing w:after="0" w:line="342" w:lineRule="auto"/>
        <w:tabs>
          <w:tab w:leader="none" w:pos="200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provide for the issuance of Additional Notes ranking equally with the Notes in all respects (other than the payment of interest accruing prior to the issue date of such Additional Notes or except for the first payment of interest following the issue date of such Additional Notes); or</w:t>
      </w:r>
    </w:p>
    <w:p>
      <w:pPr>
        <w:spacing w:after="0" w:line="123" w:lineRule="exact"/>
        <w:rPr>
          <w:rFonts w:ascii="Arial" w:cs="Arial" w:eastAsia="Arial" w:hAnsi="Arial"/>
          <w:sz w:val="16"/>
          <w:szCs w:val="16"/>
          <w:color w:val="auto"/>
        </w:rPr>
      </w:pPr>
    </w:p>
    <w:p>
      <w:pPr>
        <w:ind w:left="2020" w:hanging="715"/>
        <w:spacing w:after="0"/>
        <w:tabs>
          <w:tab w:leader="none" w:pos="20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conform any provision to the “Description of Notes” contained in the Offering Memorandum.</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The Company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with the written consent of the Holders of at least a majority in aggregate principal amount of outstanding Notes affected by such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supplemental indenture shall, without the consent of the Holder of each outstanding Note affected thereby,</w:t>
      </w:r>
    </w:p>
    <w:p>
      <w:pPr>
        <w:spacing w:after="0" w:line="154" w:lineRule="exact"/>
        <w:rPr>
          <w:sz w:val="20"/>
          <w:szCs w:val="20"/>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reduce the rates of or changes the time for payment of interest on any Notes;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reduce the principal amount of, or change the Stated Maturity of, any Notes;</w:t>
      </w:r>
    </w:p>
    <w:p>
      <w:pPr>
        <w:spacing w:after="0" w:line="225" w:lineRule="exact"/>
        <w:rPr>
          <w:rFonts w:ascii="Arial" w:cs="Arial" w:eastAsia="Arial" w:hAnsi="Arial"/>
          <w:sz w:val="18"/>
          <w:szCs w:val="18"/>
          <w:color w:val="auto"/>
        </w:rPr>
      </w:pPr>
    </w:p>
    <w:p>
      <w:pPr>
        <w:ind w:right="340" w:firstLine="1305"/>
        <w:spacing w:after="0" w:line="277" w:lineRule="auto"/>
        <w:tabs>
          <w:tab w:leader="none" w:pos="19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reduce the Redemption Price, including upon a Change of Control Triggering Event, of any Notes or amend or modify in any manner adverse to the Holders thereof the Company’s obligation to make such payments;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change the currency of payment of principal, premium, if any, or interest;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rFonts w:ascii="Arial" w:cs="Arial" w:eastAsia="Arial" w:hAnsi="Arial"/>
          <w:sz w:val="18"/>
          <w:szCs w:val="18"/>
          <w:color w:val="auto"/>
        </w:rPr>
      </w:pPr>
    </w:p>
    <w:p>
      <w:pPr>
        <w:ind w:right="20" w:firstLine="1305"/>
        <w:spacing w:after="0" w:line="308" w:lineRule="auto"/>
        <w:tabs>
          <w:tab w:leader="none" w:pos="201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the consent of whose Holders is required for modification of this Indenture, for waiver of compliance with certain provisions of this Indenture, for waiver of certain defaults or consent to take any action;</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adversely affect the ranking of the Notes;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waive any default in the payment of principal, premium, if any, or interest;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waiver, supplement or amendment becomes effective. An amendment, supplement or waiver becomes effective in accordance with its terms and thereafter binds every Holder.</w:t>
      </w:r>
    </w:p>
    <w:p>
      <w:pPr>
        <w:spacing w:after="0" w:line="170" w:lineRule="exact"/>
        <w:rPr>
          <w:sz w:val="20"/>
          <w:szCs w:val="20"/>
          <w:color w:val="auto"/>
        </w:rPr>
      </w:pPr>
    </w:p>
    <w:p>
      <w:pPr>
        <w:ind w:right="320" w:firstLine="1305"/>
        <w:spacing w:after="0" w:line="277" w:lineRule="auto"/>
        <w:tabs>
          <w:tab w:leader="none" w:pos="200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1.05 for the purpose of determining the Holders entitled to consent to any amendment, supplement, or waiver.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Failure to make the appropriate notation or issue a new Note shall not affect the validity and effect of such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Trustee to Sign Amendments, etc</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receive and (subject to Section 7.01) shall be fully protected in conclusively relying upon, in addition to the documents required by Section 10.04, an Officers’ Certificate and an Opinion of Counsel (which may contain customary qualifications) stating that the execution of such amended or supplemental indenture complies with the provisions hereof and such amended or supplemental indenture is the legal, valid and binding obligation of the Company or guarantor (as applicable), enforceable against it in accordance with its terms.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10.01</w:t>
            </w:r>
          </w:p>
        </w:tc>
        <w:tc>
          <w:tcPr>
            <w:tcW w:w="700" w:type="dxa"/>
            <w:vAlign w:val="bottom"/>
            <w:gridSpan w:val="3"/>
          </w:tcPr>
          <w:p>
            <w:pPr>
              <w:spacing w:after="0"/>
              <w:rPr>
                <w:sz w:val="20"/>
                <w:szCs w:val="20"/>
                <w:color w:val="auto"/>
              </w:rPr>
            </w:pPr>
            <w:r>
              <w:rPr>
                <w:rFonts w:ascii="Arial" w:cs="Arial" w:eastAsia="Arial" w:hAnsi="Arial"/>
                <w:sz w:val="18"/>
                <w:szCs w:val="18"/>
                <w:color w:val="auto"/>
                <w:w w:val="82"/>
              </w:rPr>
              <w:t>Reserved.</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Section 10.02</w:t>
            </w: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Notices.</w:t>
            </w: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40" w:top="341" w:right="299" w:bottom="0" w:gutter="0" w:footer="0" w:header="0"/>
        </w:sectPr>
      </w:pPr>
    </w:p>
    <w:bookmarkStart w:id="83" w:name="page84"/>
    <w:bookmarkEnd w:id="83"/>
    <w:p>
      <w:pPr>
        <w:spacing w:after="0" w:line="137" w:lineRule="exact"/>
        <w:rPr>
          <w:sz w:val="20"/>
          <w:szCs w:val="20"/>
          <w:color w:val="auto"/>
        </w:rPr>
      </w:pPr>
    </w:p>
    <w:p>
      <w:pPr>
        <w:ind w:left="2000" w:hanging="695"/>
        <w:spacing w:after="0"/>
        <w:tabs>
          <w:tab w:leader="none" w:pos="200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Any notice or communication by the Company or the Trustee to the others is duly given if in writing and (1) delivered in person,</w:t>
      </w:r>
    </w:p>
    <w:p>
      <w:pPr>
        <w:spacing w:after="0" w:line="46" w:lineRule="exact"/>
        <w:rPr>
          <w:rFonts w:ascii="Arial" w:cs="Arial" w:eastAsia="Arial" w:hAnsi="Arial"/>
          <w:sz w:val="16"/>
          <w:szCs w:val="16"/>
          <w:color w:val="auto"/>
        </w:rPr>
      </w:pPr>
    </w:p>
    <w:p>
      <w:pPr>
        <w:ind w:right="100" w:firstLine="8"/>
        <w:spacing w:after="0" w:line="261" w:lineRule="auto"/>
        <w:tabs>
          <w:tab w:leader="none" w:pos="2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mailed by first-class mail (certified or registered, return receipt requested) or overnight air courier guaranteeing next day delivery or (3) sent by facsimile or electronic transmission, to the others’ addresses: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 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5.625% Senior Notes due 2026)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the Trustee, by notice to the others,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200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88" w:lineRule="exact"/>
        <w:rPr>
          <w:rFonts w:ascii="Arial" w:cs="Arial" w:eastAsia="Arial" w:hAnsi="Arial"/>
          <w:sz w:val="18"/>
          <w:szCs w:val="18"/>
          <w:color w:val="auto"/>
        </w:rPr>
      </w:pPr>
    </w:p>
    <w:p>
      <w:pPr>
        <w:ind w:right="120" w:firstLine="1305"/>
        <w:spacing w:after="0" w:line="279" w:lineRule="auto"/>
        <w:tabs>
          <w:tab w:leader="none" w:pos="199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Subject to Section 10.02(e), any notice or communication to a Holder shall be mailed by first-class mail (certified or registered, return receipt requested) or by overnight air courier guaranteeing next day delivery to its address shown on the Note Register.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w:t>
      </w:r>
    </w:p>
    <w:p>
      <w:pPr>
        <w:spacing w:after="0" w:line="171" w:lineRule="exact"/>
        <w:rPr>
          <w:rFonts w:ascii="Arial" w:cs="Arial" w:eastAsia="Arial" w:hAnsi="Arial"/>
          <w:sz w:val="17"/>
          <w:szCs w:val="17"/>
          <w:color w:val="auto"/>
        </w:rPr>
      </w:pPr>
    </w:p>
    <w:p>
      <w:pPr>
        <w:ind w:right="260" w:firstLine="1305"/>
        <w:spacing w:after="0" w:line="286" w:lineRule="auto"/>
        <w:tabs>
          <w:tab w:leader="none" w:pos="200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rFonts w:ascii="Arial" w:cs="Arial" w:eastAsia="Arial" w:hAnsi="Arial"/>
          <w:sz w:val="17"/>
          <w:szCs w:val="17"/>
          <w:color w:val="auto"/>
        </w:rPr>
      </w:pPr>
    </w:p>
    <w:p>
      <w:pPr>
        <w:ind w:right="20" w:firstLine="1305"/>
        <w:spacing w:after="0" w:line="342" w:lineRule="auto"/>
        <w:tabs>
          <w:tab w:leader="none" w:pos="199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3" w:lineRule="exact"/>
        <w:rPr>
          <w:rFonts w:ascii="Arial" w:cs="Arial" w:eastAsia="Arial" w:hAnsi="Arial"/>
          <w:sz w:val="16"/>
          <w:szCs w:val="16"/>
          <w:color w:val="auto"/>
        </w:rPr>
      </w:pPr>
    </w:p>
    <w:p>
      <w:pPr>
        <w:ind w:right="40" w:firstLine="1305"/>
        <w:spacing w:after="0" w:line="276" w:lineRule="auto"/>
        <w:tabs>
          <w:tab w:leader="none" w:pos="201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Trustee agrees to accept and act upon notice, instructions or directions pursuant to this Indenture sent by unsecured facsimile or electronic .pdf transmission;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reliance upon and compliance with such notice, instructions or directions notwithstanding such notice, instructions or directions conflict or are inconsistent with a subsequent notice, instructions or directions.</w:t>
      </w:r>
    </w:p>
    <w:p>
      <w:pPr>
        <w:spacing w:after="0" w:line="170" w:lineRule="exact"/>
        <w:rPr>
          <w:sz w:val="20"/>
          <w:szCs w:val="20"/>
          <w:color w:val="auto"/>
        </w:rPr>
      </w:pPr>
    </w:p>
    <w:p>
      <w:pPr>
        <w:ind w:left="2000" w:hanging="695"/>
        <w:spacing w:after="0"/>
        <w:tabs>
          <w:tab w:leader="none" w:pos="20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 notice or communication is sent in the manner provided above within the time prescribed, it is duly given, whether or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addressee receives it.</w:t>
      </w:r>
    </w:p>
    <w:p>
      <w:pPr>
        <w:spacing w:after="0" w:line="210" w:lineRule="exact"/>
        <w:rPr>
          <w:rFonts w:ascii="Arial" w:cs="Arial" w:eastAsia="Arial" w:hAnsi="Arial"/>
          <w:sz w:val="16"/>
          <w:szCs w:val="16"/>
          <w:color w:val="auto"/>
        </w:rPr>
      </w:pPr>
    </w:p>
    <w:p>
      <w:pPr>
        <w:ind w:right="140" w:firstLine="1305"/>
        <w:spacing w:after="0" w:line="501" w:lineRule="auto"/>
        <w:tabs>
          <w:tab w:leader="none" w:pos="200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If the Company mails a notice or communication to Holders, it shall mail a copy to the Trustee and each Agent at the same time. Section 10.03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ind w:right="640" w:firstLine="1297"/>
        <w:spacing w:after="0" w:line="342" w:lineRule="auto"/>
        <w:rPr>
          <w:sz w:val="20"/>
          <w:szCs w:val="20"/>
          <w:color w:val="auto"/>
        </w:rPr>
      </w:pPr>
      <w:r>
        <w:rPr>
          <w:rFonts w:ascii="Arial" w:cs="Arial" w:eastAsia="Arial" w:hAnsi="Arial"/>
          <w:sz w:val="16"/>
          <w:szCs w:val="16"/>
          <w:color w:val="auto"/>
        </w:rPr>
        <w:t>Holders may communicate pursuant to Trust Indenture Act Section 312(b) with other Holders with respect to their rights under this Indenture or the Notes. The Company, the Trustee, the Registrar and anyone else shall have the protection of Trust Indenture Act Section 312(c).</w:t>
      </w:r>
    </w:p>
    <w:p>
      <w:pPr>
        <w:sectPr>
          <w:pgSz w:w="11900" w:h="16975" w:orient="portrait"/>
          <w:cols w:equalWidth="0" w:num="1">
            <w:col w:w="11400"/>
          </w:cols>
          <w:pgMar w:left="240" w:top="341" w:right="259" w:bottom="0" w:gutter="0" w:footer="0" w:header="0"/>
        </w:sectPr>
      </w:pPr>
    </w:p>
    <w:bookmarkStart w:id="84" w:name="page85"/>
    <w:bookmarkEnd w:id="84"/>
    <w:p>
      <w:pPr>
        <w:ind w:left="20"/>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right="40" w:firstLine="645"/>
        <w:spacing w:after="0" w:line="259" w:lineRule="auto"/>
        <w:tabs>
          <w:tab w:leader="none" w:pos="20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Section 10.05) stating that, in the opinion of the signer(s), all conditions precedent and covenants, if any, provided for in this Indenture relating to the proposed action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Officers’ Certificate shall be required in connection with the issuance of Notes on the Issue Date; and</w:t>
      </w:r>
    </w:p>
    <w:p>
      <w:pPr>
        <w:spacing w:after="0" w:line="186" w:lineRule="exact"/>
        <w:rPr>
          <w:rFonts w:ascii="Arial" w:cs="Arial" w:eastAsia="Arial" w:hAnsi="Arial"/>
          <w:sz w:val="18"/>
          <w:szCs w:val="18"/>
          <w:color w:val="auto"/>
        </w:rPr>
      </w:pPr>
    </w:p>
    <w:p>
      <w:pPr>
        <w:ind w:left="660" w:firstLine="645"/>
        <w:spacing w:after="0" w:line="279" w:lineRule="auto"/>
        <w:tabs>
          <w:tab w:leader="none" w:pos="201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an Opinion of Counsel in form and substance reasonably satisfactory to the Trustee (which shall include the statements set forth in Section 10.05 and which may contain customary qualifications) stating that, in the opinion of such counsel, all such conditions precedent and covenants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Opinion of Counsel shall be required in connection with the issuance of Notes on the Issue Date and any Opinion of Counsel may rely as to factual matters on an Officers’ Certificate.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Section 4.04) shall include:</w:t>
      </w:r>
    </w:p>
    <w:p>
      <w:pPr>
        <w:spacing w:after="0" w:line="170" w:lineRule="exact"/>
        <w:rPr>
          <w:sz w:val="20"/>
          <w:szCs w:val="20"/>
          <w:color w:val="auto"/>
        </w:rPr>
      </w:pPr>
    </w:p>
    <w:p>
      <w:pPr>
        <w:ind w:left="2000" w:hanging="695"/>
        <w:spacing w:after="0"/>
        <w:tabs>
          <w:tab w:leader="none" w:pos="20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201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5"/>
        <w:spacing w:after="0" w:line="264" w:lineRule="auto"/>
        <w:tabs>
          <w:tab w:leader="none" w:pos="201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No Personal Liability of Stockholders, Partners, Officers or Directors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No director, officer, employee, stockholder, general or limited partner or incorporator, past, present or future, of the Company or any of its Subsidiaries, as such or in such capacity, shall have any personal liability for any obligations of the Company under the Notes or this Indenture by reason of his, her or its status as such director, officer, employee, stockholder, general or limited partner or incorporator.</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Holder of Notes by accepting a Note waives and releases all such liability. The waiver and release are part of the consideration for the issuance of the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THIS INDENTURE, THE NOTES AND ANY GUARANTEE WILL BE GOVERNED BY AND CONSTRUED IN ACCORDANCE WITH THE LAWS OF THE STATE OF NEW YORK.</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ectPr>
          <w:pgSz w:w="11900" w:h="16838" w:orient="portrait"/>
          <w:cols w:equalWidth="0" w:num="1">
            <w:col w:w="11400"/>
          </w:cols>
          <w:pgMar w:left="240" w:top="341" w:right="259" w:bottom="0" w:gutter="0" w:footer="0" w:header="0"/>
        </w:sectPr>
      </w:pPr>
    </w:p>
    <w:bookmarkStart w:id="85" w:name="page86"/>
    <w:bookmarkEnd w:id="85"/>
    <w:p>
      <w:pPr>
        <w:spacing w:after="0" w:line="36"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in this Indenture shall bind its successors.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will ask for documentation to verify its formation and existence as a legal entity. The Trustee may also ask to see financial statements, licenses, identification and authorization documents from individuals claiming authority to represent the entity or other relevant documentation. The parties each agree to provide all such information and documentation as to themselves as requested by the Trustee to ensure compliance with federal law.</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W. Adams</w:t>
      </w:r>
    </w:p>
    <w:p>
      <w:pPr>
        <w:spacing w:after="0" w:line="23" w:lineRule="exact"/>
        <w:rPr>
          <w:sz w:val="20"/>
          <w:szCs w:val="20"/>
          <w:color w:val="auto"/>
        </w:rPr>
      </w:pPr>
    </w:p>
    <w:p>
      <w:pPr>
        <w:ind w:left="6520"/>
        <w:spacing w:after="0"/>
        <w:tabs>
          <w:tab w:leader="none" w:pos="7200" w:val="left"/>
        </w:tabs>
        <w:rPr>
          <w:sz w:val="20"/>
          <w:szCs w:val="20"/>
          <w:color w:val="auto"/>
        </w:rPr>
      </w:pPr>
      <w:r>
        <w:rPr>
          <w:rFonts w:ascii="Arial" w:cs="Arial" w:eastAsia="Arial" w:hAnsi="Arial"/>
          <w:sz w:val="18"/>
          <w:szCs w:val="18"/>
          <w:color w:val="auto"/>
        </w:rPr>
        <w:t>Name:</w:t>
        <w:tab/>
        <w:t>Mark W.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2026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Paula Oswald</w:t>
      </w:r>
    </w:p>
    <w:p>
      <w:pPr>
        <w:spacing w:after="0" w:line="23" w:lineRule="exact"/>
        <w:rPr>
          <w:sz w:val="20"/>
          <w:szCs w:val="20"/>
          <w:color w:val="auto"/>
        </w:rPr>
      </w:pPr>
    </w:p>
    <w:p>
      <w:pPr>
        <w:ind w:left="6400"/>
        <w:spacing w:after="0"/>
        <w:tabs>
          <w:tab w:leader="none" w:pos="7100" w:val="left"/>
        </w:tabs>
        <w:rPr>
          <w:sz w:val="20"/>
          <w:szCs w:val="20"/>
          <w:color w:val="auto"/>
        </w:rPr>
      </w:pPr>
      <w:r>
        <w:rPr>
          <w:rFonts w:ascii="Arial" w:cs="Arial" w:eastAsia="Arial" w:hAnsi="Arial"/>
          <w:sz w:val="18"/>
          <w:szCs w:val="18"/>
          <w:color w:val="auto"/>
        </w:rPr>
        <w:t>Name:</w:t>
        <w:tab/>
        <w:t>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2026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PROVISIONS RELATING TO INITIAL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ADDITIONAL NOTES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2000" w:hanging="695"/>
        <w:spacing w:after="0"/>
        <w:tabs>
          <w:tab w:leader="none" w:pos="200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ectPr>
          <w:pgSz w:w="11900" w:h="16875" w:orient="portrait"/>
          <w:cols w:equalWidth="0" w:num="1">
            <w:col w:w="11420"/>
          </w:cols>
          <w:pgMar w:left="240" w:top="125" w:right="239" w:bottom="0" w:gutter="0" w:footer="0" w:header="0"/>
        </w:sectPr>
      </w:pPr>
    </w:p>
    <w:bookmarkStart w:id="86" w:name="page87"/>
    <w:bookmarkEnd w:id="86"/>
    <w:p>
      <w:pPr>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with respect to any Note, means the period of 40 consecutive days beginning on and including the later of (a) the day on which such Note is first offered to persons other than distributors (as defined in Regulation S under the Securities Act) in reliance on Regulation S, notice of which day shall be promptly given by the Company to the Trustee, and (b) the date of issuance with respect to such Note or any predecessor of such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Euroclear Clearance System or any successor securities clearing agency.</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 including without limitation, the Rule 144A Global Note and the Regulation S Global Note.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IAI</w:t>
      </w:r>
      <w:r>
        <w:rPr>
          <w:rFonts w:ascii="Arial" w:cs="Arial" w:eastAsia="Arial" w:hAnsi="Arial"/>
          <w:sz w:val="16"/>
          <w:szCs w:val="16"/>
          <w:color w:val="auto"/>
        </w:rPr>
        <w:t>” means an institution that is an “accredited investor” as described in Rule 501(a)(1), (2), (3) or (7) under the Securities Act and is not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QIB.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501</w:t>
      </w:r>
      <w:r>
        <w:rPr>
          <w:rFonts w:ascii="Arial" w:cs="Arial" w:eastAsia="Arial" w:hAnsi="Arial"/>
          <w:sz w:val="18"/>
          <w:szCs w:val="18"/>
          <w:color w:val="auto"/>
        </w:rPr>
        <w:t>” means Rule 501(a)(1), (2), (3) or (7)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(b)</w:t>
            </w:r>
          </w:p>
        </w:tc>
        <w:tc>
          <w:tcPr>
            <w:tcW w:w="3120" w:type="dxa"/>
            <w:vAlign w:val="bottom"/>
            <w:gridSpan w:val="4"/>
          </w:tcPr>
          <w:p>
            <w:pPr>
              <w:spacing w:after="0"/>
              <w:rPr>
                <w:sz w:val="20"/>
                <w:szCs w:val="20"/>
                <w:color w:val="auto"/>
              </w:rPr>
            </w:pPr>
            <w:r>
              <w:rPr>
                <w:rFonts w:ascii="Arial" w:cs="Arial" w:eastAsia="Arial" w:hAnsi="Arial"/>
                <w:sz w:val="18"/>
                <w:szCs w:val="18"/>
                <w:color w:val="auto"/>
              </w:rPr>
              <w:t>Other Definitions.</w:t>
            </w:r>
          </w:p>
        </w:tc>
        <w:tc>
          <w:tcPr>
            <w:tcW w:w="4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85"/>
        </w:trPr>
        <w:tc>
          <w:tcPr>
            <w:tcW w:w="130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Defined in Section:</w:t>
            </w:r>
          </w:p>
        </w:tc>
        <w:tc>
          <w:tcPr>
            <w:tcW w:w="180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“Agent Members”</w:t>
            </w:r>
          </w:p>
        </w:tc>
        <w:tc>
          <w:tcPr>
            <w:tcW w:w="600" w:type="dxa"/>
            <w:vAlign w:val="bottom"/>
            <w:shd w:val="clear" w:color="auto" w:fill="CCEEFF"/>
          </w:tcPr>
          <w:p>
            <w:pPr>
              <w:spacing w:after="0"/>
              <w:rPr>
                <w:sz w:val="18"/>
                <w:szCs w:val="18"/>
                <w:color w:val="auto"/>
              </w:rPr>
            </w:pP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2.1(c)</w:t>
            </w:r>
          </w:p>
        </w:tc>
        <w:tc>
          <w:tcPr>
            <w:tcW w:w="18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40" w:type="dxa"/>
            <w:vAlign w:val="bottom"/>
          </w:tcPr>
          <w:p>
            <w:pPr>
              <w:jc w:val="right"/>
              <w:ind w:right="3813"/>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Defined in Section:</w:t>
            </w:r>
          </w:p>
        </w:tc>
        <w:tc>
          <w:tcPr>
            <w:tcW w:w="180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“Definitive Notes Legend”</w:t>
            </w:r>
          </w:p>
        </w:tc>
        <w:tc>
          <w:tcPr>
            <w:tcW w:w="600" w:type="dxa"/>
            <w:vAlign w:val="bottom"/>
            <w:shd w:val="clear" w:color="auto" w:fill="CCEEFF"/>
          </w:tcPr>
          <w:p>
            <w:pPr>
              <w:spacing w:after="0"/>
              <w:rPr>
                <w:sz w:val="18"/>
                <w:szCs w:val="18"/>
                <w:color w:val="auto"/>
              </w:rPr>
            </w:pP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“Global Notes Legend”</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2.3(e)</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2.1(b)</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“Regulation S Notes”</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“Rule 144A Notes”</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2.1(b)</w:t>
            </w:r>
          </w:p>
        </w:tc>
        <w:tc>
          <w:tcPr>
            <w:tcW w:w="1800" w:type="dxa"/>
            <w:vAlign w:val="bottom"/>
          </w:tcPr>
          <w:p>
            <w:pPr>
              <w:spacing w:after="0"/>
              <w:rPr>
                <w:sz w:val="18"/>
                <w:szCs w:val="18"/>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60" w:type="dxa"/>
            <w:vAlign w:val="bottom"/>
          </w:tcPr>
          <w:p>
            <w:pPr>
              <w:spacing w:after="0"/>
              <w:rPr>
                <w:sz w:val="24"/>
                <w:szCs w:val="24"/>
                <w:color w:val="auto"/>
              </w:rPr>
            </w:pPr>
          </w:p>
        </w:tc>
        <w:tc>
          <w:tcPr>
            <w:tcW w:w="3760" w:type="dxa"/>
            <w:vAlign w:val="bottom"/>
            <w:gridSpan w:val="5"/>
          </w:tcPr>
          <w:p>
            <w:pPr>
              <w:spacing w:after="0"/>
              <w:rPr>
                <w:sz w:val="20"/>
                <w:szCs w:val="20"/>
                <w:color w:val="auto"/>
              </w:rPr>
            </w:pPr>
            <w:r>
              <w:rPr>
                <w:rFonts w:ascii="Arial" w:cs="Arial" w:eastAsia="Arial" w:hAnsi="Arial"/>
                <w:sz w:val="18"/>
                <w:szCs w:val="18"/>
                <w:color w:val="auto"/>
              </w:rPr>
              <w:t>Form and Dating.</w:t>
            </w:r>
          </w:p>
        </w:tc>
        <w:tc>
          <w:tcPr>
            <w:tcW w:w="4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-1708150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jc w:val="both"/>
        <w:ind w:right="240" w:firstLine="1305"/>
        <w:spacing w:after="0" w:line="259" w:lineRule="auto"/>
        <w:tabs>
          <w:tab w:leader="none" w:pos="199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Initial Notes issued on the date hereof shall be (i) offered and sold by the Company to the Initial Purchasers and (ii) resold, initially only to (1) QIBs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and (2) Persons other than U.S. Persons (as defined in Regulation 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Such Initial Notes may thereafter be transferred to, among others, QIBs, purchasers in reliance on Regulation S and, except as set forth below, IAIs in accordance with Rule 501.</w:t>
      </w:r>
    </w:p>
    <w:p>
      <w:pPr>
        <w:spacing w:after="0" w:line="186" w:lineRule="exact"/>
        <w:rPr>
          <w:rFonts w:ascii="Arial" w:cs="Arial" w:eastAsia="Arial" w:hAnsi="Arial"/>
          <w:sz w:val="18"/>
          <w:szCs w:val="18"/>
          <w:color w:val="auto"/>
        </w:rPr>
      </w:pPr>
    </w:p>
    <w:p>
      <w:pPr>
        <w:ind w:right="80" w:firstLine="1305"/>
        <w:spacing w:after="0" w:line="287" w:lineRule="auto"/>
        <w:tabs>
          <w:tab w:leader="none" w:pos="2001"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Beneficial ownership interests in the Regulation S Global Note shall not be exchangeable for interests in the Rule 144A Global Note or any other Note without a Restricted Notes Legend until the expiration of the Distribution Compliance Period.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2.3(c) below.</w:t>
      </w:r>
    </w:p>
    <w:p>
      <w:pPr>
        <w:spacing w:after="0" w:line="168" w:lineRule="exact"/>
        <w:rPr>
          <w:rFonts w:ascii="Arial" w:cs="Arial" w:eastAsia="Arial" w:hAnsi="Arial"/>
          <w:sz w:val="16"/>
          <w:szCs w:val="16"/>
          <w:color w:val="auto"/>
        </w:rPr>
      </w:pPr>
    </w:p>
    <w:p>
      <w:pPr>
        <w:ind w:left="2000" w:hanging="695"/>
        <w:spacing w:after="0"/>
        <w:tabs>
          <w:tab w:leader="none" w:pos="2000"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Book-Entry Provisions</w:t>
      </w:r>
      <w:r>
        <w:rPr>
          <w:rFonts w:ascii="Arial" w:cs="Arial" w:eastAsia="Arial" w:hAnsi="Arial"/>
          <w:sz w:val="17"/>
          <w:szCs w:val="17"/>
          <w:color w:val="auto"/>
        </w:rPr>
        <w:t>. This Section 2.1(c) shall apply only to a Global Note deposited with or on behalf of the Depositary.</w:t>
      </w:r>
    </w:p>
    <w:p>
      <w:pPr>
        <w:spacing w:after="0" w:line="237"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ectPr>
          <w:pgSz w:w="11900" w:h="16838" w:orient="portrait"/>
          <w:cols w:equalWidth="0" w:num="1">
            <w:col w:w="11460"/>
          </w:cols>
          <w:pgMar w:left="240" w:top="341" w:right="199" w:bottom="0" w:gutter="0" w:footer="0" w:header="0"/>
        </w:sectPr>
      </w:pPr>
    </w:p>
    <w:bookmarkStart w:id="87" w:name="page88"/>
    <w:bookmarkEnd w:id="87"/>
    <w:p>
      <w:pPr>
        <w:spacing w:after="0" w:line="114"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47" w:lineRule="exact"/>
        <w:rPr>
          <w:sz w:val="20"/>
          <w:szCs w:val="20"/>
          <w:color w:val="auto"/>
        </w:rPr>
      </w:pPr>
    </w:p>
    <w:p>
      <w:pPr>
        <w:ind w:right="160" w:firstLine="1305"/>
        <w:spacing w:after="0" w:line="277" w:lineRule="auto"/>
        <w:tabs>
          <w:tab w:leader="none" w:pos="2001"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Authentication</w:t>
      </w:r>
      <w:r>
        <w:rPr>
          <w:rFonts w:ascii="Arial" w:cs="Arial" w:eastAsia="Arial" w:hAnsi="Arial"/>
          <w:sz w:val="17"/>
          <w:szCs w:val="17"/>
          <w:color w:val="auto"/>
        </w:rPr>
        <w:t>. The Trustee shall authenticate and make available for delivery upon a written order of the Company signed by one Officer of the Company (a) Initial Notes for original issue on the date hereof in an aggregate principal amount of $450,000,000 and, (b) subject to the terms of the Indenture, Additional Notes. Such order shall specify the amount of the Notes to be authenticated, the date on which the original issue of Notes is to be authenticated and whether the Notes are to be Initial Notes or Additional Notes.</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left="2000" w:hanging="695"/>
        <w:spacing w:after="0"/>
        <w:tabs>
          <w:tab w:leader="none" w:pos="2000"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Definitive Notes for Definitive Notes</w:t>
      </w:r>
      <w:r>
        <w:rPr>
          <w:rFonts w:ascii="Arial" w:cs="Arial" w:eastAsia="Arial" w:hAnsi="Arial"/>
          <w:sz w:val="17"/>
          <w:szCs w:val="17"/>
          <w:color w:val="auto"/>
        </w:rPr>
        <w:t>. When Definitive Notes are presented to the Registrar with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2020" w:hanging="715"/>
        <w:spacing w:after="0"/>
        <w:tabs>
          <w:tab w:leader="none" w:pos="20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to exchange such Definitive Notes for an equal principal amount of Definitive Notes of other authorized denominations,</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60" w:firstLine="645"/>
        <w:spacing w:after="0" w:line="277" w:lineRule="auto"/>
        <w:tabs>
          <w:tab w:leader="none" w:pos="201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 the case of Transfer Restricted Notes, are accompanied by the following additional information and documents, as applicable:</w:t>
      </w:r>
    </w:p>
    <w:p>
      <w:pPr>
        <w:spacing w:after="0" w:line="248" w:lineRule="exact"/>
        <w:rPr>
          <w:rFonts w:ascii="Arial" w:cs="Arial" w:eastAsia="Arial" w:hAnsi="Arial"/>
          <w:sz w:val="16"/>
          <w:szCs w:val="16"/>
          <w:color w:val="auto"/>
        </w:rPr>
      </w:pPr>
    </w:p>
    <w:p>
      <w:pPr>
        <w:ind w:left="1300" w:right="420" w:firstLine="653"/>
        <w:spacing w:after="0" w:line="342" w:lineRule="auto"/>
        <w:tabs>
          <w:tab w:leader="none" w:pos="264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if such Definitive Notes are being delivered to the Registrar by a Holder for registration in the name of such Holder, without transfer, a certification from such Holder to that effect (in the form set forth on the reverse side of the Initial Note); or</w:t>
      </w:r>
    </w:p>
    <w:p>
      <w:pPr>
        <w:spacing w:after="0" w:line="123" w:lineRule="exact"/>
        <w:rPr>
          <w:rFonts w:ascii="Arial" w:cs="Arial" w:eastAsia="Arial" w:hAnsi="Arial"/>
          <w:sz w:val="16"/>
          <w:szCs w:val="16"/>
          <w:color w:val="auto"/>
        </w:rPr>
      </w:pPr>
    </w:p>
    <w:p>
      <w:pPr>
        <w:ind w:left="1300" w:right="260" w:firstLine="653"/>
        <w:spacing w:after="0" w:line="277" w:lineRule="auto"/>
        <w:tabs>
          <w:tab w:leader="none" w:pos="263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 or</w:t>
      </w:r>
    </w:p>
    <w:p>
      <w:pPr>
        <w:spacing w:after="0" w:line="170" w:lineRule="exact"/>
        <w:rPr>
          <w:rFonts w:ascii="Arial" w:cs="Arial" w:eastAsia="Arial" w:hAnsi="Arial"/>
          <w:sz w:val="18"/>
          <w:szCs w:val="18"/>
          <w:color w:val="auto"/>
        </w:rPr>
      </w:pPr>
    </w:p>
    <w:p>
      <w:pPr>
        <w:ind w:left="1300" w:right="40" w:firstLine="653"/>
        <w:spacing w:after="0" w:line="286" w:lineRule="auto"/>
        <w:tabs>
          <w:tab w:leader="none" w:pos="263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if such Definitive Notes are being transferred pursuant to an exemption from registration in accordance with Rule 144 under the Securities Act or in reliance upon another exemption from the registration requirements of the Securities Act, (x) a certification to that effect (in the form set forth on the reverse side of the Initial Note) and (y) if the Company so requests, an opinion of counsel or other evidence reasonably satisfactory to them as to the compliance with the restrictions set forth in the applicable legends set forth in</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Section 2.3(e)(i).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305"/>
        <w:spacing w:after="0" w:line="312" w:lineRule="auto"/>
        <w:tabs>
          <w:tab w:leader="none" w:pos="200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 Definitive Note for a Beneficial Interest in a Global Note</w:t>
      </w:r>
      <w:r>
        <w:rPr>
          <w:rFonts w:ascii="Arial" w:cs="Arial" w:eastAsia="Arial" w:hAnsi="Arial"/>
          <w:sz w:val="16"/>
          <w:szCs w:val="16"/>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7" w:lineRule="exact"/>
        <w:rPr>
          <w:sz w:val="20"/>
          <w:szCs w:val="20"/>
          <w:color w:val="auto"/>
        </w:rPr>
      </w:pPr>
    </w:p>
    <w:p>
      <w:pPr>
        <w:jc w:val="both"/>
        <w:ind w:left="660" w:right="60" w:firstLine="645"/>
        <w:spacing w:after="0" w:line="279" w:lineRule="auto"/>
        <w:tabs>
          <w:tab w:leader="none" w:pos="201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 certification (in the form set forth on the reverse side of the Initial Note) that such Definitive Note is being transferred (1) to a QIB in accordance with Rule 144A, (2) to an IAI that has furnished to the Trustee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(3) outside the United States of America in an offshore transaction within the meaning of Regulation S and in compliance with Rule 904 under the Securities Act; or (B) such other certification and Opinion of Counsel as the Trustee shall require; and</w:t>
      </w:r>
    </w:p>
    <w:p>
      <w:pPr>
        <w:spacing w:after="0" w:line="171" w:lineRule="exact"/>
        <w:rPr>
          <w:rFonts w:ascii="Arial" w:cs="Arial" w:eastAsia="Arial" w:hAnsi="Arial"/>
          <w:sz w:val="17"/>
          <w:szCs w:val="17"/>
          <w:color w:val="auto"/>
        </w:rPr>
      </w:pPr>
    </w:p>
    <w:p>
      <w:pPr>
        <w:ind w:left="660" w:right="20" w:firstLine="645"/>
        <w:spacing w:after="0" w:line="289" w:lineRule="auto"/>
        <w:tabs>
          <w:tab w:leader="none" w:pos="202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then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2.4, the Company shall issue and the Trustee shall authenticate, upon written order of the Company in the form of an Officers’ Certificate, a new Global Note in the appropriate principal amount.</w:t>
      </w:r>
    </w:p>
    <w:p>
      <w:pPr>
        <w:spacing w:after="0" w:line="167" w:lineRule="exact"/>
        <w:rPr>
          <w:sz w:val="20"/>
          <w:szCs w:val="20"/>
          <w:color w:val="auto"/>
        </w:rPr>
      </w:pPr>
    </w:p>
    <w:p>
      <w:pPr>
        <w:ind w:right="160" w:firstLine="1305"/>
        <w:spacing w:after="0" w:line="312" w:lineRule="auto"/>
        <w:tabs>
          <w:tab w:leader="none" w:pos="1991"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(i) 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w:t>
      </w:r>
    </w:p>
    <w:p>
      <w:pPr>
        <w:sectPr>
          <w:pgSz w:w="11900" w:h="16952" w:orient="portrait"/>
          <w:cols w:equalWidth="0" w:num="1">
            <w:col w:w="11420"/>
          </w:cols>
          <w:pgMar w:left="240" w:top="341" w:right="239" w:bottom="0" w:gutter="0" w:footer="0" w:header="0"/>
        </w:sectPr>
      </w:pPr>
    </w:p>
    <w:bookmarkStart w:id="88" w:name="page89"/>
    <w:bookmarkEnd w:id="88"/>
    <w:p>
      <w:pPr>
        <w:spacing w:after="0" w:line="8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Distribution Compliance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Distribution Compliance Period, the interest transferred shall be held immediately thereafter through Euroclear or Clearstream.</w:t>
      </w:r>
    </w:p>
    <w:p>
      <w:pPr>
        <w:spacing w:after="0" w:line="179" w:lineRule="exact"/>
        <w:rPr>
          <w:sz w:val="20"/>
          <w:szCs w:val="20"/>
          <w:color w:val="auto"/>
        </w:rPr>
      </w:pPr>
    </w:p>
    <w:p>
      <w:pPr>
        <w:ind w:left="660" w:right="120" w:firstLine="645"/>
        <w:spacing w:after="0" w:line="302" w:lineRule="auto"/>
        <w:tabs>
          <w:tab w:leader="none" w:pos="202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Global Note from which such interest is being transferred.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312" w:lineRule="auto"/>
        <w:tabs>
          <w:tab w:leader="none" w:pos="202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A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6" w:lineRule="exact"/>
        <w:rPr>
          <w:rFonts w:ascii="Arial" w:cs="Arial" w:eastAsia="Arial" w:hAnsi="Arial"/>
          <w:sz w:val="16"/>
          <w:szCs w:val="16"/>
          <w:color w:val="auto"/>
        </w:rPr>
      </w:pPr>
    </w:p>
    <w:p>
      <w:pPr>
        <w:ind w:left="660" w:right="180" w:firstLine="645"/>
        <w:spacing w:after="0" w:line="257" w:lineRule="auto"/>
        <w:tabs>
          <w:tab w:leader="none" w:pos="201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the event that a Global Note is exchanged for Definitive Notes pursuant to Section 2.4,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Regulation S or such other applicable exemption from registration under the Securities Act, as the case may be) and such other procedures as may from time to time be adopted by the Company.</w:t>
      </w:r>
    </w:p>
    <w:p>
      <w:pPr>
        <w:spacing w:after="0" w:line="188" w:lineRule="exact"/>
        <w:rPr>
          <w:sz w:val="20"/>
          <w:szCs w:val="20"/>
          <w:color w:val="auto"/>
        </w:rPr>
      </w:pPr>
    </w:p>
    <w:p>
      <w:pPr>
        <w:ind w:firstLine="1305"/>
        <w:spacing w:after="0" w:line="283" w:lineRule="auto"/>
        <w:tabs>
          <w:tab w:leader="none" w:pos="2001"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Regulation S Global Note</w:t>
      </w:r>
      <w:r>
        <w:rPr>
          <w:rFonts w:ascii="Arial" w:cs="Arial" w:eastAsia="Arial" w:hAnsi="Arial"/>
          <w:sz w:val="16"/>
          <w:szCs w:val="16"/>
          <w:color w:val="auto"/>
        </w:rPr>
        <w:t>. (i) Prior to the expiration of the Distribution Compliance Period, interests in the Regulation S Global Note may only be held through Euroclear or Clearstream. During the Distribution Compliance Period, beneficial ownership interests in the Regulation S Global Note may only be sold, pledged or transferred through Euroclear or Clearstream in accordance with the Applicable Procedures and only (1) to the Company or any of its Subsidiaries, (2)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(3) in an offshore transaction in accordance with Regulation S, (4) pursuant to an exemption from registration under the Securities Act provided by Rule 144 (if applicable) under the Securities Act or another available exemption, (5) to an IAI purchasing for its own account, or for the account of such an IAI, in a minimum principal amount of Notes of $250,000 or (6) pursuant to an effective registration statement under the Securities Act, in each case in accordance with any applicable securities laws of any state of the United States of America. Prior to the expiration of the Distribution Compliance Period, transfers by an owner of a beneficial interest in the Regulation S Global Note to a transferee who takes delivery of such interest through the Rule 144A Global Note shall be made only in accordance with Applicable Procedures and upon receipt by the Trustee of a written certification from the transferor of the beneficial interest in the form provided on the reverse of the Initial Note to the effect that such transfer is being made to</w:t>
      </w:r>
    </w:p>
    <w:p>
      <w:pPr>
        <w:spacing w:after="0" w:line="3" w:lineRule="exact"/>
        <w:rPr>
          <w:rFonts w:ascii="Arial" w:cs="Arial" w:eastAsia="Arial" w:hAnsi="Arial"/>
          <w:sz w:val="16"/>
          <w:szCs w:val="16"/>
          <w:color w:val="auto"/>
        </w:rPr>
      </w:pPr>
    </w:p>
    <w:p>
      <w:pPr>
        <w:ind w:right="40" w:firstLine="8"/>
        <w:spacing w:after="0" w:line="302" w:lineRule="auto"/>
        <w:tabs>
          <w:tab w:leader="none" w:pos="25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a QIB within the meaning of Rule 144A in a transaction meeting the requirements of Rule 144A or (2) an IAI purchasing for its own account, or for the account of such an IAI, in a minimum principal amount of the Notes of $250,000 (in which case the transferee must furnish a signed letter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Trustee). Such written certification shall no longer be required after the expiration of the Distribution Compliance Period.</w:t>
      </w:r>
    </w:p>
    <w:p>
      <w:pPr>
        <w:spacing w:after="0" w:line="155" w:lineRule="exact"/>
        <w:rPr>
          <w:rFonts w:ascii="Arial" w:cs="Arial" w:eastAsia="Arial" w:hAnsi="Arial"/>
          <w:sz w:val="16"/>
          <w:szCs w:val="16"/>
          <w:color w:val="auto"/>
        </w:rPr>
      </w:pPr>
    </w:p>
    <w:p>
      <w:pPr>
        <w:ind w:left="660" w:right="180" w:firstLine="645"/>
        <w:spacing w:after="0" w:line="277" w:lineRule="auto"/>
        <w:tabs>
          <w:tab w:leader="none" w:pos="202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the expiration of the Distribution Compliance Period, beneficial ownership interests in the Regulation S Global Note shall be transferable in accordance with applicable law and the other terms of the Indenture.</w:t>
      </w:r>
    </w:p>
    <w:p>
      <w:pPr>
        <w:spacing w:after="0" w:line="170" w:lineRule="exact"/>
        <w:rPr>
          <w:sz w:val="20"/>
          <w:szCs w:val="20"/>
          <w:color w:val="auto"/>
        </w:rPr>
      </w:pPr>
    </w:p>
    <w:p>
      <w:pPr>
        <w:ind w:left="2000" w:hanging="695"/>
        <w:spacing w:after="0"/>
        <w:tabs>
          <w:tab w:leader="none" w:pos="20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sz w:val="20"/>
          <w:szCs w:val="20"/>
          <w:color w:val="auto"/>
        </w:rPr>
      </w:pPr>
    </w:p>
    <w:p>
      <w:pPr>
        <w:ind w:left="660" w:right="140" w:firstLine="645"/>
        <w:spacing w:after="0" w:line="264" w:lineRule="auto"/>
        <w:tabs>
          <w:tab w:leader="none" w:pos="201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permitted by this Section 2.3(e),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w:t>
      </w:r>
    </w:p>
    <w:p>
      <w:pPr>
        <w:spacing w:after="0" w:line="18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OFFERING AND SALE OF THIS NOTE (OR ITS PREDECESSOR) HAVE NOT BEEN REGISTERED UNDER THE U.S. SECURITIES ACT OF 1933,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66" w:lineRule="exact"/>
        <w:rPr>
          <w:sz w:val="20"/>
          <w:szCs w:val="20"/>
          <w:color w:val="auto"/>
        </w:rPr>
      </w:pPr>
    </w:p>
    <w:p>
      <w:pPr>
        <w:ind w:left="660" w:right="80" w:hanging="4"/>
        <w:spacing w:after="0" w:line="259" w:lineRule="auto"/>
        <w:tabs>
          <w:tab w:leader="none" w:pos="136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REPRESENTS THAT IT IS NOT AN “AFFILIATE” (AS DEFINED IN RULE 144 UNDER THE SECURITIES ACT) OF MICRON TECHNOLOGY, INC. AND (A) IT IS A “QUALIFIED INSTITUTIONAL BUYER” (AS DEFINED IN RULE 144A UNDER THE SECURITIES ACT) (A “QIB”), OR (B) IT HAS ACQUIRED THIS NOTE IN AN OFFSHORE TRANSACTION IN COMPLIANCE WITH REGULATION S UNDER THE SECURITIES ACT;</w:t>
      </w:r>
    </w:p>
    <w:p>
      <w:pPr>
        <w:spacing w:after="0" w:line="186" w:lineRule="exact"/>
        <w:rPr>
          <w:rFonts w:ascii="Arial" w:cs="Arial" w:eastAsia="Arial" w:hAnsi="Arial"/>
          <w:sz w:val="18"/>
          <w:szCs w:val="18"/>
          <w:color w:val="auto"/>
        </w:rPr>
      </w:pPr>
    </w:p>
    <w:p>
      <w:pPr>
        <w:ind w:left="660" w:right="120" w:hanging="4"/>
        <w:spacing w:after="0" w:line="272" w:lineRule="auto"/>
        <w:tabs>
          <w:tab w:leader="none" w:pos="136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NOTE OR ANY BENEFICIAL INTEREST HEREIN EXCEPT (A) TO MICRON TECHNOLOGY, INC. OR ANY OF ITS SUBSIDIARIES, (B) TO A PERSON WHOM THE SELLER REASONABLY BELIEVES IS A QIB PURCHASING FOR ITS OWN ACCOUNT OR FOR THE ACCOUNT OF A QIB IN A TRANSACTION MEETING THE REQUIREMENTS OF RULE 144A, (C)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ACCEPTABLE TO THE ISSUER AND THE TRUSTEE) OR</w:t>
      </w:r>
    </w:p>
    <w:p>
      <w:pPr>
        <w:sectPr>
          <w:pgSz w:w="11900" w:h="16921" w:orient="portrait"/>
          <w:cols w:equalWidth="0" w:num="1">
            <w:col w:w="11420"/>
          </w:cols>
          <w:pgMar w:left="240" w:top="125" w:right="239" w:bottom="0" w:gutter="0" w:footer="0" w:header="0"/>
        </w:sectPr>
      </w:pPr>
    </w:p>
    <w:bookmarkStart w:id="89" w:name="page90"/>
    <w:bookmarkEnd w:id="89"/>
    <w:p>
      <w:pPr>
        <w:ind w:left="660" w:right="180" w:hanging="4"/>
        <w:spacing w:after="0" w:line="308" w:lineRule="auto"/>
        <w:tabs>
          <w:tab w:leader="none" w:pos="92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PURSUANT TO AN EFFECTIVE REGISTRATION STATEMENT AND, IN EACH CASE, IN ACCORDANCE WITH THE APPLICABLE SECURITIES LAWS OF ANY STATE OF THE UNITED STATES OR ANY OTHER APPLICABLE JURISDICTION; AND</w:t>
      </w:r>
    </w:p>
    <w:p>
      <w:pPr>
        <w:spacing w:after="0" w:line="147" w:lineRule="exact"/>
        <w:rPr>
          <w:sz w:val="20"/>
          <w:szCs w:val="20"/>
          <w:color w:val="auto"/>
        </w:rPr>
      </w:pPr>
    </w:p>
    <w:p>
      <w:pPr>
        <w:ind w:left="660" w:right="160" w:hanging="4"/>
        <w:spacing w:after="0" w:line="277" w:lineRule="auto"/>
        <w:tabs>
          <w:tab w:leader="none" w:pos="136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THIS NOTE OR AN INTEREST HEREIN IS TRANSFERRED A NOTICE SUBSTANTIALLY TO THE EFFECT OF THIS LEGEND.</w:t>
      </w:r>
    </w:p>
    <w:p>
      <w:pPr>
        <w:spacing w:after="0" w:line="17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Definitive Note shall bear the following additional legend (“</w:t>
      </w:r>
      <w:r>
        <w:rPr>
          <w:rFonts w:ascii="Arial" w:cs="Arial" w:eastAsia="Arial" w:hAnsi="Arial"/>
          <w:sz w:val="18"/>
          <w:szCs w:val="18"/>
          <w:u w:val="single" w:color="auto"/>
          <w:color w:val="auto"/>
        </w:rPr>
        <w:t>Definitive Notes Legend</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u w:val="single" w:color="auto"/>
          <w:color w:val="auto"/>
        </w:rPr>
        <w:t>Global Notes Legend</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7" w:lineRule="exact"/>
        <w:rPr>
          <w:sz w:val="20"/>
          <w:szCs w:val="20"/>
          <w:color w:val="auto"/>
        </w:rPr>
      </w:pPr>
    </w:p>
    <w:p>
      <w:pPr>
        <w:ind w:left="660" w:right="20" w:firstLine="645"/>
        <w:spacing w:after="0" w:line="288" w:lineRule="auto"/>
        <w:tabs>
          <w:tab w:leader="none" w:pos="202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120" w:firstLine="645"/>
        <w:spacing w:after="0" w:line="286" w:lineRule="auto"/>
        <w:tabs>
          <w:tab w:leader="none" w:pos="2013" w:val="left"/>
        </w:tabs>
        <w:numPr>
          <w:ilvl w:val="0"/>
          <w:numId w:val="282"/>
        </w:numPr>
        <w:rPr>
          <w:rFonts w:ascii="Arial" w:cs="Arial" w:eastAsia="Arial" w:hAnsi="Arial"/>
          <w:sz w:val="17"/>
          <w:szCs w:val="17"/>
          <w:color w:val="auto"/>
        </w:rPr>
      </w:pPr>
      <w:r>
        <w:rPr>
          <w:rFonts w:ascii="Arial" w:cs="Arial" w:eastAsia="Arial" w:hAnsi="Arial"/>
          <w:sz w:val="17"/>
          <w:szCs w:val="17"/>
          <w:color w:val="auto"/>
        </w:rPr>
        <w:t>Upon a sale or transfer after the expiration of the Distribution Compliance Period of any Initial Note or Additional Note acquired pursuant to Regulation S, all requirements that such Initial Note or Additional Note bear the Restricted Notes Legend shall cease to apply and the requirements requiring any such Initial Note or Additional Note be issued in global form shall continue to apply.</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25" w:lineRule="exact"/>
        <w:rPr>
          <w:rFonts w:ascii="Arial" w:cs="Arial" w:eastAsia="Arial" w:hAnsi="Arial"/>
          <w:sz w:val="18"/>
          <w:szCs w:val="18"/>
          <w:color w:val="auto"/>
        </w:rPr>
      </w:pPr>
    </w:p>
    <w:p>
      <w:pPr>
        <w:ind w:left="660" w:right="40" w:firstLine="645"/>
        <w:spacing w:after="0" w:line="290" w:lineRule="auto"/>
        <w:tabs>
          <w:tab w:leader="none" w:pos="202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To the extent that any Notes are represented by one or more Global Notes held by or on behalf of the Depositary, the Company may, but is not obligated to, cause the Restrictive Notes Legend on any such Global Notes to be removed (or deemed removed) and cause such Global Notes to be identified by an unrestricted CUSIP at any time on or after the one year anniversary of the later of (x) the Issue Date and (y) the date on which Additional Notes were last issued (it being understood that, if Additional Notes bear a different CUSIP, the date after which the Company may cause the Restrictive Notes Legend to be removed (1) with respect to the Initial Notes, shall be the one year anniversary of the issuance of the Initial Notes, and (2) with respect to such Additional Notes, shall be the one year anniversary of the date of issuance of such Additional Notes), without delivering an Opinion of Counsel, by delivering to the Trustee a written notice (x) certifying that all Notes represented by such Global Notes would be freely tradable under Rule 144 by a person who is not an affiliate of the Company (within the meaning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Rule 144) and has not been an affiliate of the Company (within the meaning of Rule 144) during the immediately preceding three months,</w:t>
      </w:r>
    </w:p>
    <w:p>
      <w:pPr>
        <w:spacing w:after="0" w:line="23" w:lineRule="exact"/>
        <w:rPr>
          <w:sz w:val="20"/>
          <w:szCs w:val="20"/>
          <w:color w:val="auto"/>
        </w:rPr>
      </w:pPr>
    </w:p>
    <w:p>
      <w:pPr>
        <w:ind w:left="660" w:hanging="4"/>
        <w:spacing w:after="0" w:line="287" w:lineRule="auto"/>
        <w:tabs>
          <w:tab w:leader="none" w:pos="91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instructing the Trustee to take any actions as may be necessary so that the Restricted Notes Legend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Notes Legend will be deemed removed from each of the Global Notes specified in such notice and the restricted CUSIP number will be deemed removed from each of such Global Notes and deemed replaced with an unrestricted CUSIP number. If the Company executed and the Trustee authenticated Global Notes without the Restricted Notes Legend on the Issue Date, then upon receipt of the notice set forth in this Section 2.3(e)(vii), the Trustee shall increase the principal amount of the Global Notes without the Restricted Notes Legend to the aggregate outstanding principal amount of Restricted Global Notes and decrease the principal amount of and cancel the Restricted Global Notes without an Authentication Order.</w:t>
      </w:r>
    </w:p>
    <w:p>
      <w:pPr>
        <w:spacing w:after="0" w:line="166" w:lineRule="exact"/>
        <w:rPr>
          <w:rFonts w:ascii="Arial" w:cs="Arial" w:eastAsia="Arial" w:hAnsi="Arial"/>
          <w:sz w:val="16"/>
          <w:szCs w:val="16"/>
          <w:color w:val="auto"/>
        </w:rPr>
      </w:pPr>
    </w:p>
    <w:p>
      <w:pPr>
        <w:ind w:left="2020" w:hanging="715"/>
        <w:spacing w:after="0"/>
        <w:tabs>
          <w:tab w:leader="none" w:pos="202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From and after the one year anniversary of the issue date of any Transfer Restricted Note, upon written direction of the Company:</w:t>
      </w:r>
    </w:p>
    <w:p>
      <w:pPr>
        <w:sectPr>
          <w:pgSz w:w="11900" w:h="16838" w:orient="portrait"/>
          <w:cols w:equalWidth="0" w:num="1">
            <w:col w:w="11420"/>
          </w:cols>
          <w:pgMar w:left="240" w:top="125" w:right="239" w:bottom="0" w:gutter="0" w:footer="0" w:header="0"/>
        </w:sectPr>
      </w:pPr>
    </w:p>
    <w:bookmarkStart w:id="90" w:name="page91"/>
    <w:bookmarkEnd w:id="90"/>
    <w:p>
      <w:pPr>
        <w:spacing w:after="0" w:line="106" w:lineRule="exact"/>
        <w:rPr>
          <w:sz w:val="20"/>
          <w:szCs w:val="20"/>
          <w:color w:val="auto"/>
        </w:rPr>
      </w:pPr>
    </w:p>
    <w:p>
      <w:pPr>
        <w:ind w:left="660" w:right="320" w:firstLine="1293"/>
        <w:spacing w:after="0" w:line="302" w:lineRule="auto"/>
        <w:tabs>
          <w:tab w:leader="none" w:pos="265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Registrar shall permit the Holder thereof to exchange any Transfer Restricted Note that is a Definitive Note for a Definitive Note that does not bear the legends set forth above and rescind any restriction on the transfer of such Transfer Restricted Note if the Holder certifies in writing to the Registrar and the Company that its request for such exchange was made in reliance on Rule 144 and that such Holder is not (and has not been during the preceding three months) an affiliate (as defined under Rule 144) of the Company; and</w:t>
      </w:r>
    </w:p>
    <w:p>
      <w:pPr>
        <w:spacing w:after="0" w:line="154" w:lineRule="exact"/>
        <w:rPr>
          <w:rFonts w:ascii="Arial" w:cs="Arial" w:eastAsia="Arial" w:hAnsi="Arial"/>
          <w:sz w:val="16"/>
          <w:szCs w:val="16"/>
          <w:color w:val="auto"/>
        </w:rPr>
      </w:pPr>
    </w:p>
    <w:p>
      <w:pPr>
        <w:ind w:left="660" w:right="180" w:firstLine="1293"/>
        <w:spacing w:after="0" w:line="259" w:lineRule="auto"/>
        <w:tabs>
          <w:tab w:leader="none" w:pos="26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Beneficial interests in a Transfer Restricted Note that is a Global Note may be exchanged for beneficial interests in Global Note that does not bear the Restricted Notes Legend if the Holder certifies in writing to the Registrar and the Company that its request for such exchange was made in reliance on Rule 144 and that such Holder is not (and has not been during the preceding three months) an “affiliate” of the Company within the meaning of Rule 144.</w:t>
      </w:r>
    </w:p>
    <w:p>
      <w:pPr>
        <w:spacing w:after="0" w:line="186" w:lineRule="exact"/>
        <w:rPr>
          <w:rFonts w:ascii="Arial" w:cs="Arial" w:eastAsia="Arial" w:hAnsi="Arial"/>
          <w:sz w:val="18"/>
          <w:szCs w:val="18"/>
          <w:color w:val="auto"/>
        </w:rPr>
      </w:pPr>
    </w:p>
    <w:p>
      <w:pPr>
        <w:ind w:left="660" w:right="100" w:firstLine="645"/>
        <w:spacing w:after="0" w:line="293" w:lineRule="auto"/>
        <w:tabs>
          <w:tab w:leader="none" w:pos="2028"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Cancellation or Adjustment of Global Note</w:t>
      </w:r>
      <w:r>
        <w:rPr>
          <w:rFonts w:ascii="Arial" w:cs="Arial" w:eastAsia="Arial" w:hAnsi="Arial"/>
          <w:sz w:val="16"/>
          <w:szCs w:val="16"/>
          <w:color w:val="auto"/>
        </w:rPr>
        <w:t>. At such time as all beneficial interests in a Global Note have either been exchanged for Definitive Notes, transferred,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w:t>
      </w:r>
    </w:p>
    <w:p>
      <w:pPr>
        <w:spacing w:after="0" w:line="164" w:lineRule="exact"/>
        <w:rPr>
          <w:rFonts w:ascii="Arial" w:cs="Arial" w:eastAsia="Arial" w:hAnsi="Arial"/>
          <w:sz w:val="16"/>
          <w:szCs w:val="16"/>
          <w:color w:val="auto"/>
        </w:rPr>
      </w:pPr>
    </w:p>
    <w:p>
      <w:pPr>
        <w:ind w:left="2000" w:hanging="695"/>
        <w:spacing w:after="0"/>
        <w:tabs>
          <w:tab w:leader="none" w:pos="200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7" w:lineRule="auto"/>
        <w:tabs>
          <w:tab w:leader="none" w:pos="200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1305"/>
        <w:spacing w:after="0" w:line="312" w:lineRule="auto"/>
        <w:tabs>
          <w:tab w:leader="none" w:pos="201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2.07, 2.10, 3.06, 4.11 and 9.05 of the Indenture).</w:t>
      </w:r>
    </w:p>
    <w:p>
      <w:pPr>
        <w:spacing w:after="0" w:line="146" w:lineRule="exact"/>
        <w:rPr>
          <w:rFonts w:ascii="Arial" w:cs="Arial" w:eastAsia="Arial" w:hAnsi="Arial"/>
          <w:sz w:val="16"/>
          <w:szCs w:val="16"/>
          <w:color w:val="auto"/>
        </w:rPr>
      </w:pPr>
    </w:p>
    <w:p>
      <w:pPr>
        <w:ind w:right="100" w:firstLine="1305"/>
        <w:spacing w:after="0" w:line="259" w:lineRule="auto"/>
        <w:tabs>
          <w:tab w:leader="none" w:pos="201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of and interest on such Note and for all other purposes whatsoever, whether or not such Note is overdue, and none of the Company, the Trustee, the Paying Agent or the Registrar shall be affected by notice to the contrary.</w:t>
      </w:r>
    </w:p>
    <w:p>
      <w:pPr>
        <w:spacing w:after="0" w:line="186" w:lineRule="exact"/>
        <w:rPr>
          <w:rFonts w:ascii="Arial" w:cs="Arial" w:eastAsia="Arial" w:hAnsi="Arial"/>
          <w:sz w:val="18"/>
          <w:szCs w:val="18"/>
          <w:color w:val="auto"/>
        </w:rPr>
      </w:pPr>
    </w:p>
    <w:p>
      <w:pPr>
        <w:ind w:right="200" w:firstLine="1305"/>
        <w:spacing w:after="0" w:line="277" w:lineRule="auto"/>
        <w:tabs>
          <w:tab w:leader="none" w:pos="200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sz w:val="20"/>
          <w:szCs w:val="20"/>
          <w:color w:val="auto"/>
        </w:rPr>
      </w:pPr>
    </w:p>
    <w:p>
      <w:pPr>
        <w:ind w:left="2000" w:hanging="695"/>
        <w:spacing w:after="0"/>
        <w:tabs>
          <w:tab w:leader="none" w:pos="200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645"/>
        <w:spacing w:after="0" w:line="270" w:lineRule="auto"/>
        <w:tabs>
          <w:tab w:leader="none" w:pos="201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2" w:lineRule="exact"/>
        <w:rPr>
          <w:sz w:val="20"/>
          <w:szCs w:val="20"/>
          <w:color w:val="auto"/>
        </w:rPr>
      </w:pPr>
    </w:p>
    <w:p>
      <w:pPr>
        <w:ind w:left="660" w:right="180" w:firstLine="645"/>
        <w:spacing w:after="0" w:line="276" w:lineRule="auto"/>
        <w:tabs>
          <w:tab w:leader="none" w:pos="2023"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72" w:lineRule="exact"/>
        <w:rPr>
          <w:rFonts w:ascii="Arial" w:cs="Arial" w:eastAsia="Arial" w:hAnsi="Arial"/>
          <w:sz w:val="17"/>
          <w:szCs w:val="17"/>
          <w:color w:val="auto"/>
        </w:rPr>
      </w:pPr>
    </w:p>
    <w:p>
      <w:pPr>
        <w:ind w:left="2020" w:hanging="715"/>
        <w:spacing w:after="0"/>
        <w:tabs>
          <w:tab w:leader="none" w:pos="20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firstLine="645"/>
        <w:spacing w:after="0" w:line="276" w:lineRule="auto"/>
        <w:tabs>
          <w:tab w:leader="none" w:pos="201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 connection with any exchange of beneficial interests in a Global Note that bears a Restricted Notes Legend for any Global Note that does not bear a Restricted Notes Legend in accordance with Section 2.3(e), if a Global Note that does not bear a Restricted Notes Legend is not then outstanding (or an insufficient principal amount of such Global Notes are outstanding to permit such exchange) and the Global Notes have not been previously exchanged for certificated securities pursuant to Section 2.4, the Company shall issue and the Trustee shall authenticate, upon written order of the Company in the form of an Officers’ Certificate, one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more new Global Note without the Restricted Notes Legend in the appropriate principal amounts.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302" w:lineRule="auto"/>
        <w:tabs>
          <w:tab w:leader="none" w:pos="199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 Global Note deposited with the Depositary or with the Trustee as Custodian pursuant to Section 2.1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each case, a</w:t>
      </w:r>
    </w:p>
    <w:p>
      <w:pPr>
        <w:sectPr>
          <w:pgSz w:w="11900" w:h="16945" w:orient="portrait"/>
          <w:cols w:equalWidth="0" w:num="1">
            <w:col w:w="11400"/>
          </w:cols>
          <w:pgMar w:left="240" w:top="125" w:right="259" w:bottom="0" w:gutter="0" w:footer="0" w:header="0"/>
        </w:sectPr>
      </w:pPr>
    </w:p>
    <w:bookmarkStart w:id="91" w:name="page92"/>
    <w:bookmarkEnd w:id="91"/>
    <w:p>
      <w:pPr>
        <w:spacing w:after="0" w:line="273" w:lineRule="auto"/>
        <w:rPr>
          <w:sz w:val="20"/>
          <w:szCs w:val="20"/>
          <w:color w:val="auto"/>
        </w:rPr>
      </w:pPr>
      <w:r>
        <w:rPr>
          <w:rFonts w:ascii="Arial" w:cs="Arial" w:eastAsia="Arial" w:hAnsi="Arial"/>
          <w:sz w:val="17"/>
          <w:szCs w:val="17"/>
          <w:color w:val="auto"/>
        </w:rPr>
        <w:t>successor depositary is not appointed by the Company within 90 days of such notice or after the Company becomes aware of such cessation, or (ii) an Event of Default has occurred and is continuing and the Registrar has received a request from the Depository or (iii) the Company, in its sole discretion and subject to the procedures of the Depository, notifies the Trustee in writing that it elects to cause the issuance of certificated Notes under the Indenture.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78" w:lineRule="exact"/>
        <w:rPr>
          <w:sz w:val="20"/>
          <w:szCs w:val="20"/>
          <w:color w:val="auto"/>
        </w:rPr>
      </w:pPr>
    </w:p>
    <w:p>
      <w:pPr>
        <w:ind w:right="60" w:firstLine="1305"/>
        <w:spacing w:after="0" w:line="255" w:lineRule="auto"/>
        <w:tabs>
          <w:tab w:leader="none" w:pos="200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shall be executed, authenticated and delivered only in minimum denominations of $2,000 and integral multiples of $1,000 in excess thereof and registered in such names as the Depositary shall direct. Any certificated Initial Note or Additional Note in the form of a Definitive Note delivered in exchange for an interest in the Global Note shall, except as otherwise provided by Section 2.3(f), bear the Restricted Notes Legend.</w:t>
      </w:r>
    </w:p>
    <w:p>
      <w:pPr>
        <w:spacing w:after="0" w:line="189" w:lineRule="exact"/>
        <w:rPr>
          <w:rFonts w:ascii="Arial" w:cs="Arial" w:eastAsia="Arial" w:hAnsi="Arial"/>
          <w:sz w:val="18"/>
          <w:szCs w:val="18"/>
          <w:color w:val="auto"/>
        </w:rPr>
      </w:pPr>
    </w:p>
    <w:p>
      <w:pPr>
        <w:ind w:right="20" w:firstLine="1305"/>
        <w:spacing w:after="0" w:line="264" w:lineRule="auto"/>
        <w:tabs>
          <w:tab w:leader="none" w:pos="19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1" w:lineRule="exact"/>
        <w:rPr>
          <w:rFonts w:ascii="Arial" w:cs="Arial" w:eastAsia="Arial" w:hAnsi="Arial"/>
          <w:sz w:val="18"/>
          <w:szCs w:val="18"/>
          <w:color w:val="auto"/>
        </w:rPr>
      </w:pPr>
    </w:p>
    <w:p>
      <w:pPr>
        <w:ind w:right="300" w:firstLine="1305"/>
        <w:spacing w:after="0" w:line="277" w:lineRule="auto"/>
        <w:tabs>
          <w:tab w:leader="none" w:pos="200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1380" w:right="3300"/>
        <w:spacing w:after="0" w:line="563" w:lineRule="auto"/>
        <w:rPr>
          <w:sz w:val="20"/>
          <w:szCs w:val="20"/>
          <w:color w:val="auto"/>
        </w:rPr>
      </w:pPr>
      <w:r>
        <w:rPr>
          <w:rFonts w:ascii="Arial" w:cs="Arial" w:eastAsia="Arial" w:hAnsi="Arial"/>
          <w:sz w:val="16"/>
          <w:szCs w:val="16"/>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CUSIP [</w:t>
      </w:r>
    </w:p>
    <w:p>
      <w:pPr>
        <w:spacing w:after="0" w:line="35"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p>
    <w:p>
      <w:pPr>
        <w:sectPr>
          <w:pgSz w:w="11900" w:h="16838" w:orient="portrait"/>
          <w:cols w:equalWidth="0" w:num="2">
            <w:col w:w="10440" w:space="720"/>
            <w:col w:w="26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7"/>
          <w:szCs w:val="17"/>
          <w:color w:val="auto"/>
        </w:rPr>
        <w:t>[RULE 144A][REGULATION S][GLOBAL] NOTE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5.625% Senior Note due 2026</w:t>
      </w:r>
    </w:p>
    <w:p>
      <w:pPr>
        <w:sectPr>
          <w:pgSz w:w="11900" w:h="16838" w:orient="portrait"/>
          <w:cols w:equalWidth="0" w:num="1">
            <w:col w:w="11420"/>
          </w:cols>
          <w:pgMar w:left="240" w:top="125" w:right="2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8700" w:space="720"/>
            <w:col w:w="1220" w:space="720"/>
            <w:col w:w="60"/>
          </w:cols>
          <w:pgMar w:left="240" w:top="125" w:right="239" w:bottom="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U.S. Dollars] on January 15, 2026.</w:t>
      </w:r>
    </w:p>
    <w:p>
      <w:pPr>
        <w:sectPr>
          <w:pgSz w:w="11900" w:h="16838" w:orient="portrait"/>
          <w:cols w:equalWidth="0" w:num="1">
            <w:col w:w="11420"/>
          </w:cols>
          <w:pgMar w:left="240" w:top="125" w:right="23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Rule 144A Note CUSIP: 595112 BG7</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Rule 144A Note ISIN: US595112BG70</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CUSIP: U5933L AE1</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ISIN: USU5933LAE12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HEREOF, the Company has caused this instrument to be duly executed.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Dated: [</w:t>
            </w:r>
          </w:p>
        </w:tc>
        <w:tc>
          <w:tcPr>
            <w:tcW w:w="144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2" w:name="page93"/>
    <w:bookmarkEnd w:id="92"/>
    <w:p>
      <w:pPr>
        <w:ind w:left="62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5.625% Senior Notes due 2026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firstLine="1305"/>
        <w:spacing w:after="0" w:line="287" w:lineRule="auto"/>
        <w:tabs>
          <w:tab w:leader="none" w:pos="2017"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INTEREST.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promises to pay interest on the principal amount of this Note at 5.625% per annum from and including April 30, 2015(2) until but excluding maturity and shall pay Additional Interest, if any. The Company shall pay interest semi-annually in arrears on January 15 and July 15 of each year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If any Interest Payment Date, redemption date or maturity date is not a Business Day, then payment of interest or principal (and premium, if any) shall be made on the next succeeding Business Day with the same force and effect as if made on the date such payment was due, and no interest shall accrue on such payment for the period after such payment was due to such next succeeding Business Day. Interest on the Notes shall accrue from and including the most recent date to which interest has been paid or, if no interest has been paid, from and including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 July 15, 2015. The Company shall pay interest (including post-petition interest in any proceeding under any Debtor Relief Law) on overdue principal and premium, if any, from time to time on demand at the interest rate on the Notes; it shall pay interest (including post-petition interest in any proceeding under any Debtor Relief Law) on overdue installments of interest, including Additional Interest, if any, (without regard to any applicable grace periods) from time to time on demand at the interest rate on the Notes. Interest shall be computed on the basis of a 360-day year comprised of twelve 30-day months.</w:t>
      </w:r>
    </w:p>
    <w:p>
      <w:pPr>
        <w:spacing w:after="0" w:line="172" w:lineRule="exact"/>
        <w:rPr>
          <w:rFonts w:ascii="Arial" w:cs="Arial" w:eastAsia="Arial" w:hAnsi="Arial"/>
          <w:sz w:val="16"/>
          <w:szCs w:val="16"/>
          <w:color w:val="auto"/>
        </w:rPr>
      </w:pPr>
    </w:p>
    <w:p>
      <w:pPr>
        <w:ind w:right="20" w:firstLine="1305"/>
        <w:spacing w:after="0" w:line="270" w:lineRule="auto"/>
        <w:tabs>
          <w:tab w:leader="none" w:pos="201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 xml:space="preserve">METHOD OF PAYMENT. The Company shall pay interest, including Additional Interest, if any, on the Notes to the Persons who are registered holders of Notes at the close of business on January 1 or July 1 (whether or not a Business Day), as the case may be, next preceding the Interest Payment Date, even if such Notes are canceled after such record date and on or before such Interest Payment Date, except as provided in Section 2.12 of the Indenture with respect to defaulted interest. Principal of and premium, if any, and interest, including Additional Interest, if any, on the Notes shall be payable at the office or agency of the Company maintained for such purpose or, at the option of the Company, payment of interest, including Additional Interest, if any, may be made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including Additional Interest, if any, and premium, if any, on, all Global Notes and all other Notes the Holders of which hold in excess of $5,000,000 in aggregate principal amount and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177" w:lineRule="exact"/>
        <w:rPr>
          <w:rFonts w:ascii="Arial" w:cs="Arial" w:eastAsia="Arial" w:hAnsi="Arial"/>
          <w:sz w:val="17"/>
          <w:szCs w:val="17"/>
          <w:color w:val="auto"/>
        </w:rPr>
      </w:pPr>
    </w:p>
    <w:p>
      <w:pPr>
        <w:ind w:firstLine="1305"/>
        <w:spacing w:after="0" w:line="286" w:lineRule="auto"/>
        <w:tabs>
          <w:tab w:leader="none" w:pos="201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PAYING AGENT AND REGISTRAR. Initially, U.S. Bank National Association, the Trustee under the Indenture, shall act as Paying Agent and Registrar. The Company may change any Paying Agent or Registrar without notice to the Holders. The Company is required to maintain a Paying Agent in each place of payment for the Notes at all times. The Company or any of its Subsidiaries may act in any such capacity.</w:t>
      </w:r>
    </w:p>
    <w:p>
      <w:pPr>
        <w:spacing w:after="0" w:line="395" w:lineRule="exact"/>
        <w:rPr>
          <w:rFonts w:ascii="Arial" w:cs="Arial" w:eastAsia="Arial" w:hAnsi="Arial"/>
          <w:sz w:val="17"/>
          <w:szCs w:val="17"/>
          <w:color w:val="auto"/>
        </w:rPr>
      </w:pPr>
    </w:p>
    <w:p>
      <w:pPr>
        <w:ind w:left="260" w:hanging="252"/>
        <w:spacing w:after="0"/>
        <w:tabs>
          <w:tab w:leader="none" w:pos="2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With respect to the Initial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3" w:lineRule="auto"/>
        <w:tabs>
          <w:tab w:leader="none" w:pos="201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INDENTURE. The Company issued the Notes under an Indenture, dated as of April 30, 2015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 This Note is one of a duly authorized issue of notes of the Company designated as its 5.625% Senior Notes due 2026. The Company shall be entitled to issue Additional Notes pursuant to Section 2.01 of the Indenture. The terms of the Notes include those stated in the Indenture and those made part of the Indenture by specific incorporation from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spacing w:after="0" w:line="178" w:lineRule="exact"/>
        <w:rPr>
          <w:rFonts w:ascii="Arial" w:cs="Arial" w:eastAsia="Arial" w:hAnsi="Arial"/>
          <w:sz w:val="17"/>
          <w:szCs w:val="17"/>
          <w:color w:val="auto"/>
        </w:rPr>
      </w:pPr>
    </w:p>
    <w:p>
      <w:pPr>
        <w:ind w:left="2020" w:hanging="715"/>
        <w:spacing w:after="0"/>
        <w:tabs>
          <w:tab w:leader="none" w:pos="20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REDEMPTION AND REPURCHASE; SATISFACTION, DISCHARGE AND DEFEASANCE.</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Notes are subject to optional redemption, and may be subject of an Offer to Purchase, as further described in the Indenture. The Company shall not be required to make any mandatory redemption or mandatory sinking fund payments with respect to the Notes. The Notes are subject to satisfaction, discharge and defeasance as further described in the Indenture.</w:t>
      </w:r>
    </w:p>
    <w:p>
      <w:pPr>
        <w:spacing w:after="0" w:line="181" w:lineRule="exact"/>
        <w:rPr>
          <w:sz w:val="20"/>
          <w:szCs w:val="20"/>
          <w:color w:val="auto"/>
        </w:rPr>
      </w:pPr>
    </w:p>
    <w:p>
      <w:pPr>
        <w:ind w:firstLine="1305"/>
        <w:spacing w:after="0" w:line="293" w:lineRule="auto"/>
        <w:tabs>
          <w:tab w:leader="none" w:pos="201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sending of a notice of redemption of Notes to be redeemed.</w:t>
      </w:r>
    </w:p>
    <w:p>
      <w:pPr>
        <w:sectPr>
          <w:pgSz w:w="11900" w:h="16838" w:orient="portrait"/>
          <w:cols w:equalWidth="0" w:num="1">
            <w:col w:w="11400"/>
          </w:cols>
          <w:pgMar w:left="240" w:top="125" w:right="259" w:bottom="0" w:gutter="0" w:footer="0" w:header="0"/>
        </w:sectPr>
      </w:pPr>
    </w:p>
    <w:bookmarkStart w:id="93" w:name="page94"/>
    <w:bookmarkEnd w:id="93"/>
    <w:p>
      <w:pPr>
        <w:ind w:left="2020" w:hanging="715"/>
        <w:spacing w:after="0"/>
        <w:tabs>
          <w:tab w:leader="none" w:pos="20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AMENDMENT, SUPPLEMENT AND WAIVER. The Indenture or the Notes may be amended or supplemented as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Indenture.</w:t>
      </w:r>
    </w:p>
    <w:p>
      <w:pPr>
        <w:spacing w:after="0" w:line="211" w:lineRule="exact"/>
        <w:rPr>
          <w:sz w:val="20"/>
          <w:szCs w:val="20"/>
          <w:color w:val="auto"/>
        </w:rPr>
      </w:pPr>
    </w:p>
    <w:p>
      <w:pPr>
        <w:ind w:right="180" w:firstLine="1305"/>
        <w:spacing w:after="0" w:line="342" w:lineRule="auto"/>
        <w:tabs>
          <w:tab w:leader="none" w:pos="201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Upon the occurrence of an Event of Default, the rights and obligations of the Company, the Trustee and the Holders shall be as set forth in the Indenture.</w:t>
      </w:r>
    </w:p>
    <w:p>
      <w:pPr>
        <w:spacing w:after="0" w:line="123" w:lineRule="exact"/>
        <w:rPr>
          <w:rFonts w:ascii="Arial" w:cs="Arial" w:eastAsia="Arial" w:hAnsi="Arial"/>
          <w:sz w:val="16"/>
          <w:szCs w:val="16"/>
          <w:color w:val="auto"/>
        </w:rPr>
      </w:pPr>
    </w:p>
    <w:p>
      <w:pPr>
        <w:ind w:right="100" w:firstLine="1305"/>
        <w:spacing w:after="0" w:line="277" w:lineRule="auto"/>
        <w:tabs>
          <w:tab w:leader="none" w:pos="197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80" w:firstLine="1305"/>
        <w:spacing w:after="0" w:line="277" w:lineRule="auto"/>
        <w:tabs>
          <w:tab w:leader="none" w:pos="197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AND THE GUARANTEES.</w:t>
      </w:r>
    </w:p>
    <w:p>
      <w:pPr>
        <w:spacing w:after="0" w:line="170" w:lineRule="exact"/>
        <w:rPr>
          <w:rFonts w:ascii="Arial" w:cs="Arial" w:eastAsia="Arial" w:hAnsi="Arial"/>
          <w:sz w:val="18"/>
          <w:szCs w:val="18"/>
          <w:color w:val="auto"/>
        </w:rPr>
      </w:pPr>
    </w:p>
    <w:p>
      <w:pPr>
        <w:ind w:right="20" w:firstLine="1305"/>
        <w:spacing w:after="0" w:line="291" w:lineRule="auto"/>
        <w:tabs>
          <w:tab w:leader="none" w:pos="197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w:t>
      </w: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shall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at the following 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-130810</wp:posOffset>
            </wp:positionV>
            <wp:extent cx="37306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0" w:type="dxa"/>
            <w:vAlign w:val="bottom"/>
            <w:tcBorders>
              <w:top w:val="single" w:sz="8" w:color="auto"/>
            </w:tcBorders>
          </w:tcPr>
          <w:p>
            <w:pPr>
              <w:spacing w:after="0"/>
              <w:rPr>
                <w:sz w:val="21"/>
                <w:szCs w:val="21"/>
                <w:color w:val="auto"/>
              </w:rPr>
            </w:pPr>
          </w:p>
        </w:tc>
        <w:tc>
          <w:tcPr>
            <w:tcW w:w="7980" w:type="dxa"/>
            <w:vAlign w:val="bottom"/>
            <w:tcBorders>
              <w:top w:val="single" w:sz="8" w:color="auto"/>
            </w:tcBorders>
            <w:gridSpan w:val="2"/>
          </w:tcPr>
          <w:p>
            <w:pPr>
              <w:ind w:left="3280"/>
              <w:spacing w:after="0"/>
              <w:rPr>
                <w:sz w:val="20"/>
                <w:szCs w:val="20"/>
                <w:color w:val="auto"/>
              </w:rPr>
            </w:pPr>
            <w:r>
              <w:rPr>
                <w:rFonts w:ascii="Arial" w:cs="Arial" w:eastAsia="Arial" w:hAnsi="Arial"/>
                <w:sz w:val="18"/>
                <w:szCs w:val="18"/>
                <w:color w:val="auto"/>
              </w:rPr>
              <w:t>(Print or type assignee’s name, address and zip code)</w:t>
            </w:r>
          </w:p>
        </w:tc>
        <w:tc>
          <w:tcPr>
            <w:tcW w:w="2920" w:type="dxa"/>
            <w:vAlign w:val="bottom"/>
            <w:tcBorders>
              <w:top w:val="single" w:sz="8" w:color="auto"/>
            </w:tcBorders>
          </w:tcPr>
          <w:p>
            <w:pPr>
              <w:spacing w:after="0"/>
              <w:rPr>
                <w:sz w:val="21"/>
                <w:szCs w:val="21"/>
                <w:color w:val="auto"/>
              </w:rPr>
            </w:pPr>
          </w:p>
        </w:tc>
      </w:tr>
      <w:tr>
        <w:trPr>
          <w:trHeight w:val="404"/>
        </w:trPr>
        <w:tc>
          <w:tcPr>
            <w:tcW w:w="85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2920" w:type="dxa"/>
            <w:vAlign w:val="bottom"/>
          </w:tcPr>
          <w:p>
            <w:pPr>
              <w:ind w:left="860"/>
              <w:spacing w:after="0"/>
              <w:rPr>
                <w:sz w:val="20"/>
                <w:szCs w:val="20"/>
                <w:color w:val="auto"/>
              </w:rPr>
            </w:pPr>
            <w:r>
              <w:rPr>
                <w:rFonts w:ascii="Arial" w:cs="Arial" w:eastAsia="Arial" w:hAnsi="Arial"/>
                <w:sz w:val="18"/>
                <w:szCs w:val="18"/>
                <w:color w:val="auto"/>
                <w:w w:val="96"/>
              </w:rPr>
              <w:t>to transfer this Note on the</w:t>
            </w:r>
          </w:p>
        </w:tc>
      </w:tr>
      <w:tr>
        <w:trPr>
          <w:trHeight w:val="230"/>
        </w:trPr>
        <w:tc>
          <w:tcPr>
            <w:tcW w:w="8500" w:type="dxa"/>
            <w:vAlign w:val="bottom"/>
            <w:gridSpan w:val="3"/>
          </w:tcPr>
          <w:p>
            <w:pPr>
              <w:spacing w:after="0"/>
              <w:rPr>
                <w:sz w:val="20"/>
                <w:szCs w:val="20"/>
                <w:color w:val="auto"/>
              </w:rPr>
            </w:pPr>
            <w:r>
              <w:rPr>
                <w:rFonts w:ascii="Arial" w:cs="Arial" w:eastAsia="Arial" w:hAnsi="Arial"/>
                <w:sz w:val="18"/>
                <w:szCs w:val="18"/>
                <w:color w:val="auto"/>
              </w:rPr>
              <w:t>books of the Company. The agent may substitute another to act for him.</w:t>
            </w:r>
          </w:p>
        </w:tc>
        <w:tc>
          <w:tcPr>
            <w:tcW w:w="292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67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20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(Sign exactly as your name appears on the face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-123190</wp:posOffset>
            </wp:positionV>
            <wp:extent cx="17665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0669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66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2340" w:hanging="5572"/>
        <w:spacing w:after="0" w:line="528" w:lineRule="auto"/>
        <w:tabs>
          <w:tab w:leader="none" w:pos="14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OF TRANSFER RESTRICTED NOTES</w:t>
      </w:r>
    </w:p>
    <w:p>
      <w:pPr>
        <w:sectPr>
          <w:pgSz w:w="11900" w:h="16838" w:orient="portrait"/>
          <w:cols w:equalWidth="0" w:num="1">
            <w:col w:w="11420"/>
          </w:cols>
          <w:pgMar w:left="240" w:top="341" w:right="239" w:bottom="45" w:gutter="0" w:footer="0" w:header="0"/>
        </w:sectPr>
      </w:pPr>
    </w:p>
    <w:bookmarkStart w:id="94" w:name="page95"/>
    <w:bookmarkEnd w:id="94"/>
    <w:p>
      <w:pPr>
        <w:ind w:right="140"/>
        <w:spacing w:after="0" w:line="277" w:lineRule="auto"/>
        <w:rPr>
          <w:sz w:val="20"/>
          <w:szCs w:val="20"/>
          <w:color w:val="auto"/>
        </w:rPr>
      </w:pPr>
      <w:r>
        <w:rPr>
          <w:rFonts w:ascii="Arial" w:cs="Arial" w:eastAsia="Arial" w:hAnsi="Arial"/>
          <w:sz w:val="18"/>
          <w:szCs w:val="18"/>
          <w:color w:val="auto"/>
        </w:rPr>
        <w:t>This certificate relates to $ undersigned.</w:t>
      </w:r>
    </w:p>
    <w:p>
      <w:pPr>
        <w:spacing w:after="0" w:line="20" w:lineRule="exact"/>
        <w:rPr>
          <w:sz w:val="20"/>
          <w:szCs w:val="20"/>
          <w:color w:val="auto"/>
        </w:rPr>
      </w:pPr>
      <w:r>
        <w:rPr>
          <w:sz w:val="20"/>
          <w:szCs w:val="20"/>
          <w:color w:val="auto"/>
        </w:rPr>
        <w:br w:type="column"/>
      </w:r>
    </w:p>
    <w:p>
      <w:pPr>
        <w:spacing w:after="0"/>
        <w:tabs>
          <w:tab w:leader="none" w:pos="4680" w:val="left"/>
          <w:tab w:leader="none" w:pos="6200" w:val="left"/>
        </w:tabs>
        <w:rPr>
          <w:sz w:val="20"/>
          <w:szCs w:val="20"/>
          <w:color w:val="auto"/>
        </w:rPr>
      </w:pPr>
      <w:r>
        <w:rPr>
          <w:rFonts w:ascii="Arial" w:cs="Arial" w:eastAsia="Arial" w:hAnsi="Arial"/>
          <w:sz w:val="18"/>
          <w:szCs w:val="18"/>
          <w:color w:val="auto"/>
        </w:rPr>
        <w:t>principal amount of Notes held in (check applicable space)</w:t>
      </w:r>
      <w:r>
        <w:rPr>
          <w:sz w:val="20"/>
          <w:szCs w:val="20"/>
          <w:color w:val="auto"/>
        </w:rPr>
        <w:tab/>
      </w:r>
      <w:r>
        <w:rPr>
          <w:rFonts w:ascii="Arial" w:cs="Arial" w:eastAsia="Arial" w:hAnsi="Arial"/>
          <w:sz w:val="18"/>
          <w:szCs w:val="18"/>
          <w:color w:val="auto"/>
        </w:rPr>
        <w:t>book-entry or</w:t>
      </w:r>
      <w:r>
        <w:rPr>
          <w:sz w:val="20"/>
          <w:szCs w:val="20"/>
          <w:color w:val="auto"/>
        </w:rPr>
        <w:tab/>
      </w:r>
      <w:r>
        <w:rPr>
          <w:rFonts w:ascii="Arial" w:cs="Arial" w:eastAsia="Arial" w:hAnsi="Arial"/>
          <w:sz w:val="16"/>
          <w:szCs w:val="16"/>
          <w:color w:val="auto"/>
        </w:rPr>
        <w:t>definitive form by the</w:t>
      </w:r>
    </w:p>
    <w:p>
      <w:pPr>
        <w:spacing w:after="0" w:line="440" w:lineRule="exact"/>
        <w:rPr>
          <w:sz w:val="20"/>
          <w:szCs w:val="20"/>
          <w:color w:val="auto"/>
        </w:rPr>
      </w:pPr>
    </w:p>
    <w:p>
      <w:pPr>
        <w:sectPr>
          <w:pgSz w:w="11900" w:h="16838" w:orient="portrait"/>
          <w:cols w:equalWidth="0" w:num="2">
            <w:col w:w="2060" w:space="720"/>
            <w:col w:w="8640"/>
          </w:cols>
          <w:pgMar w:left="240" w:top="125" w:right="239" w:bottom="0" w:gutter="0" w:footer="0" w:header="0"/>
        </w:sectPr>
      </w:pPr>
    </w:p>
    <w:p>
      <w:pPr>
        <w:ind w:left="1300"/>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jc w:val="both"/>
        <w:ind w:left="660" w:right="100" w:hanging="652"/>
        <w:spacing w:after="0" w:line="264" w:lineRule="auto"/>
        <w:tabs>
          <w:tab w:leader="none" w:pos="62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81" w:lineRule="exact"/>
        <w:rPr>
          <w:rFonts w:ascii="Arial" w:cs="Arial" w:eastAsia="Arial" w:hAnsi="Arial"/>
          <w:sz w:val="18"/>
          <w:szCs w:val="18"/>
          <w:color w:val="auto"/>
        </w:rPr>
      </w:pPr>
    </w:p>
    <w:p>
      <w:pPr>
        <w:ind w:left="620" w:hanging="612"/>
        <w:spacing w:after="0"/>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holding period referred to in Rule 144 under the Securities Act, the undersigned confirms that such Notes are being transferred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ind w:left="1260" w:hanging="604"/>
        <w:spacing w:after="0"/>
        <w:tabs>
          <w:tab w:leader="none" w:pos="12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the Company or subsidiary thereof;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25" w:lineRule="exact"/>
        <w:rPr>
          <w:rFonts w:ascii="Arial" w:cs="Arial" w:eastAsia="Arial" w:hAnsi="Arial"/>
          <w:sz w:val="18"/>
          <w:szCs w:val="18"/>
          <w:color w:val="auto"/>
        </w:rPr>
      </w:pPr>
    </w:p>
    <w:p>
      <w:pPr>
        <w:ind w:left="1300" w:hanging="644"/>
        <w:spacing w:after="0" w:line="286" w:lineRule="auto"/>
        <w:tabs>
          <w:tab w:leader="none" w:pos="126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inside the United States of America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5" w:lineRule="exact"/>
        <w:rPr>
          <w:rFonts w:ascii="Arial" w:cs="Arial" w:eastAsia="Arial" w:hAnsi="Arial"/>
          <w:sz w:val="17"/>
          <w:szCs w:val="17"/>
          <w:color w:val="auto"/>
        </w:rPr>
      </w:pPr>
    </w:p>
    <w:p>
      <w:pPr>
        <w:ind w:left="1300" w:right="180" w:hanging="644"/>
        <w:spacing w:after="0" w:line="277" w:lineRule="auto"/>
        <w:tabs>
          <w:tab w:leader="none" w:pos="126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outside the United States of America in an offshore transaction within the meaning of Regulation S under the Securities Act in compliance with Rule 904 under the Securities Act of 1933; or</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26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an institutional “accredited investor” (as defined in Rule 501(a)(1), (2), (3) or (7) under the Securities Act of 1933) that has furnished to the Trustee a signed letter containing certain representations and agreements; or</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pursuant to another available exemption from registration under the Securities Act of 1933.</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(4), (5), (6) or (7) is checked,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of 1933.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-418465</wp:posOffset>
            </wp:positionV>
            <wp:extent cx="29330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6188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Signature of Signature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36188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5160" w:space="560"/>
            <w:col w:w="5700"/>
          </w:cols>
          <w:pgMar w:left="240" w:top="125"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NOTICE: To be executed by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all of this Note purchased by the Company pursuant to Section 4.11 of the Indenture, check the box below:</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only part of this Note purchased by the Company pursuant to Section 4.11, state the amount you elect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purchased:</w:t>
      </w:r>
    </w:p>
    <w:p>
      <w:pPr>
        <w:sectPr>
          <w:pgSz w:w="11900" w:h="16838" w:orient="portrait"/>
          <w:cols w:equalWidth="0" w:num="1">
            <w:col w:w="11420"/>
          </w:cols>
          <w:pgMar w:left="240" w:top="125" w:right="239"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9756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(Sign exactly as your name appears on on the face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-123190</wp:posOffset>
            </wp:positionV>
            <wp:extent cx="260731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this Note)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Tax Identification 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20066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right="2340" w:hanging="5512"/>
        <w:spacing w:after="0" w:line="528" w:lineRule="auto"/>
        <w:tabs>
          <w:tab w:leader="none" w:pos="13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increase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decrease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Global Note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5.625% SENIOR NOTES DUE 2026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entered into as of [·], among Micron Technology, Inc., a Delaware corporation (the “Company”), [insert each Guarantor executing this Supplemental Indenture and its jurisdiction of incorporation or organization] (collectively “Undersigned”) and U.S. Bank National Association, as trustee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the Company and the Trustee entered into the Indenture, dated as of April 30, 2015 (the “Indenture”), relating to the Company’s 5.625% Senior Notes due 2026 (the “Notes”);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shall execute and deliver to the Trustee a supplemental indenture pursuant to which the Subsidiary shall unconditionally Guarantee all of the Company’s obligations under the Notes and the Indenture on the terms and conditions set forth herein; and</w:t>
      </w:r>
    </w:p>
    <w:p>
      <w:pPr>
        <w:sectPr>
          <w:pgSz w:w="11900" w:h="16838" w:orient="portrait"/>
          <w:cols w:equalWidth="0" w:num="1">
            <w:col w:w="11420"/>
          </w:cols>
          <w:pgMar w:left="240" w:top="341" w:right="239" w:bottom="110" w:gutter="0" w:footer="0" w:header="0"/>
        </w:sectPr>
      </w:pPr>
    </w:p>
    <w:bookmarkStart w:id="96" w:name="page97"/>
    <w:bookmarkEnd w:id="96"/>
    <w:p>
      <w:pPr>
        <w:spacing w:after="0" w:line="10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Undersigned, the Company and the Trustee mutually covenant and agree for the equal and ratable benefit of Holders as follows:</w:t>
      </w:r>
    </w:p>
    <w:p>
      <w:pPr>
        <w:spacing w:after="0" w:line="147"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Undersigned hereby agrees to become a party to the Indenture as a Guarantor as follows:</w:t>
      </w:r>
    </w:p>
    <w:p>
      <w:pPr>
        <w:spacing w:after="0" w:line="225" w:lineRule="exact"/>
        <w:rPr>
          <w:rFonts w:ascii="Arial" w:cs="Arial" w:eastAsia="Arial" w:hAnsi="Arial"/>
          <w:sz w:val="18"/>
          <w:szCs w:val="18"/>
          <w:color w:val="auto"/>
        </w:rPr>
      </w:pPr>
    </w:p>
    <w:p>
      <w:pPr>
        <w:ind w:left="1620" w:right="140" w:hanging="315"/>
        <w:spacing w:after="0" w:line="273" w:lineRule="auto"/>
        <w:tabs>
          <w:tab w:leader="none" w:pos="1617" w:val="left"/>
        </w:tabs>
        <w:numPr>
          <w:ilvl w:val="1"/>
          <w:numId w:val="303"/>
        </w:numPr>
        <w:rPr>
          <w:rFonts w:ascii="Arial" w:cs="Arial" w:eastAsia="Arial" w:hAnsi="Arial"/>
          <w:sz w:val="17"/>
          <w:szCs w:val="17"/>
          <w:color w:val="auto"/>
        </w:rPr>
      </w:pPr>
      <w:r>
        <w:rPr>
          <w:rFonts w:ascii="Arial" w:cs="Arial" w:eastAsia="Arial" w:hAnsi="Arial"/>
          <w:sz w:val="17"/>
          <w:szCs w:val="17"/>
          <w:color w:val="auto"/>
        </w:rPr>
        <w:t>Subject to the provisions of this Supplemental Indenture, the Undersigned hereby irrevocably and unconditionally Guarantees on an unsecured unsubordinated basis, the full and punctual payment (whether at stated maturity, upon redemption, purchase pursuant to an offer to purchase or acceleration, or otherwise) of the principal of, interest on and all other amounts payable under, each Note, and the full and punctual payment of all other amounts payable by the Company under the Indenture in respect of the Notes. Upon failure by the Company to pay punctually any such amount, each Guarantor shall forthwith on demand pay the amount not so paid at the place and in the manner specified in the Indenture.</w:t>
      </w:r>
    </w:p>
    <w:p>
      <w:pPr>
        <w:spacing w:after="0" w:line="178" w:lineRule="exact"/>
        <w:rPr>
          <w:rFonts w:ascii="Arial" w:cs="Arial" w:eastAsia="Arial" w:hAnsi="Arial"/>
          <w:sz w:val="17"/>
          <w:szCs w:val="17"/>
          <w:color w:val="auto"/>
        </w:rPr>
      </w:pPr>
    </w:p>
    <w:p>
      <w:pPr>
        <w:ind w:left="1620" w:right="40" w:hanging="315"/>
        <w:spacing w:after="0" w:line="277" w:lineRule="auto"/>
        <w:tabs>
          <w:tab w:leader="none" w:pos="162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obligations of the Undersigned hereunder are unconditional and absolute and, without limiting the generality of the foregoing, will not be released, discharged or otherwise affected by:</w:t>
      </w:r>
    </w:p>
    <w:p>
      <w:pPr>
        <w:spacing w:after="0" w:line="170" w:lineRule="exact"/>
        <w:rPr>
          <w:rFonts w:ascii="Arial" w:cs="Arial" w:eastAsia="Arial" w:hAnsi="Arial"/>
          <w:sz w:val="18"/>
          <w:szCs w:val="18"/>
          <w:color w:val="auto"/>
        </w:rPr>
      </w:pPr>
    </w:p>
    <w:p>
      <w:pPr>
        <w:ind w:left="2520" w:right="140" w:hanging="399"/>
        <w:spacing w:after="0" w:line="277" w:lineRule="auto"/>
        <w:tabs>
          <w:tab w:leader="none" w:pos="254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Note, by operation of law or otherwise;</w:t>
      </w:r>
    </w:p>
    <w:p>
      <w:pPr>
        <w:spacing w:after="0" w:line="170" w:lineRule="exact"/>
        <w:rPr>
          <w:rFonts w:ascii="Arial" w:cs="Arial" w:eastAsia="Arial" w:hAnsi="Arial"/>
          <w:sz w:val="18"/>
          <w:szCs w:val="18"/>
          <w:color w:val="auto"/>
        </w:rPr>
      </w:pPr>
    </w:p>
    <w:p>
      <w:pPr>
        <w:ind w:left="2540" w:hanging="419"/>
        <w:spacing w:after="0"/>
        <w:tabs>
          <w:tab w:leader="none" w:pos="254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20" w:right="140" w:hanging="399"/>
        <w:spacing w:after="0" w:line="264" w:lineRule="auto"/>
        <w:tabs>
          <w:tab w:leader="none" w:pos="256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Note;</w:t>
      </w:r>
    </w:p>
    <w:p>
      <w:pPr>
        <w:spacing w:after="0" w:line="181" w:lineRule="exact"/>
        <w:rPr>
          <w:rFonts w:ascii="Arial" w:cs="Arial" w:eastAsia="Arial" w:hAnsi="Arial"/>
          <w:sz w:val="18"/>
          <w:szCs w:val="18"/>
          <w:color w:val="auto"/>
        </w:rPr>
      </w:pPr>
    </w:p>
    <w:p>
      <w:pPr>
        <w:ind w:left="2520" w:right="100" w:hanging="399"/>
        <w:spacing w:after="0" w:line="286" w:lineRule="auto"/>
        <w:tabs>
          <w:tab w:leader="none" w:pos="254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the existence of any claim, set-off or other rights which the Undersigned may have at any time against the Company, the Trustee or any other Person, whether in connection with the Indenture or any unrelated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prevents the assertion of any such claim by separate suit or compulsory counterclaim;</w:t>
      </w:r>
    </w:p>
    <w:p>
      <w:pPr>
        <w:spacing w:after="0" w:line="165" w:lineRule="exact"/>
        <w:rPr>
          <w:rFonts w:ascii="Arial" w:cs="Arial" w:eastAsia="Arial" w:hAnsi="Arial"/>
          <w:sz w:val="17"/>
          <w:szCs w:val="17"/>
          <w:color w:val="auto"/>
        </w:rPr>
      </w:pPr>
    </w:p>
    <w:p>
      <w:pPr>
        <w:ind w:left="2520" w:right="80" w:hanging="399"/>
        <w:spacing w:after="0" w:line="264" w:lineRule="auto"/>
        <w:tabs>
          <w:tab w:leader="none" w:pos="253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Indenture or any Note, or any provision of applicable law or regulation purporting to prohibit the payment by the Company of the principal of or interest on any Note or any other amount payable by the Company under the Indenture; or</w:t>
      </w:r>
    </w:p>
    <w:p>
      <w:pPr>
        <w:spacing w:after="0" w:line="181" w:lineRule="exact"/>
        <w:rPr>
          <w:rFonts w:ascii="Arial" w:cs="Arial" w:eastAsia="Arial" w:hAnsi="Arial"/>
          <w:sz w:val="18"/>
          <w:szCs w:val="18"/>
          <w:color w:val="auto"/>
        </w:rPr>
      </w:pPr>
    </w:p>
    <w:p>
      <w:pPr>
        <w:ind w:left="2520" w:right="100" w:hanging="399"/>
        <w:spacing w:after="0" w:line="264" w:lineRule="auto"/>
        <w:tabs>
          <w:tab w:leader="none" w:pos="25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Undersigned’s obligations hereunder.</w:t>
      </w:r>
    </w:p>
    <w:p>
      <w:pPr>
        <w:spacing w:after="0" w:line="181" w:lineRule="exact"/>
        <w:rPr>
          <w:rFonts w:ascii="Arial" w:cs="Arial" w:eastAsia="Arial" w:hAnsi="Arial"/>
          <w:sz w:val="18"/>
          <w:szCs w:val="18"/>
          <w:color w:val="auto"/>
        </w:rPr>
      </w:pPr>
    </w:p>
    <w:p>
      <w:pPr>
        <w:ind w:left="1620" w:right="100" w:hanging="315"/>
        <w:spacing w:after="0" w:line="255" w:lineRule="auto"/>
        <w:tabs>
          <w:tab w:leader="none" w:pos="163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Undersigned’s obligations hereunder will remain in full force and effect until the principal of and interest on the Notes and all other amounts payable by the Company under the Indenture have been paid in full. If at any time any payment of the principal of or interest on any Note or any other amount payable by the Company under the Indenture is rescinded or must be otherwise restored or returned upon the insolvency, bankruptcy or reorganization of the Company or otherwise, the Undersigned’s obligations hereunder with respect to such payment will be reinstated as though such payment had been due but not made at such time.</w:t>
      </w:r>
    </w:p>
    <w:p>
      <w:pPr>
        <w:spacing w:after="0" w:line="193" w:lineRule="exact"/>
        <w:rPr>
          <w:rFonts w:ascii="Arial" w:cs="Arial" w:eastAsia="Arial" w:hAnsi="Arial"/>
          <w:sz w:val="18"/>
          <w:szCs w:val="18"/>
          <w:color w:val="auto"/>
        </w:rPr>
      </w:pPr>
    </w:p>
    <w:p>
      <w:pPr>
        <w:ind w:left="1620" w:right="160" w:hanging="315"/>
        <w:spacing w:after="0" w:line="308" w:lineRule="auto"/>
        <w:tabs>
          <w:tab w:leader="none" w:pos="162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Undersigned irrevocably waives acceptance hereof, presentment, demand, protest and any notice not provided for herein, as well as any requirement that at any time any action be taken by any Person against the Company or any other Person.</w:t>
      </w:r>
    </w:p>
    <w:p>
      <w:pPr>
        <w:spacing w:after="0" w:line="146" w:lineRule="exact"/>
        <w:rPr>
          <w:rFonts w:ascii="Arial" w:cs="Arial" w:eastAsia="Arial" w:hAnsi="Arial"/>
          <w:sz w:val="17"/>
          <w:szCs w:val="17"/>
          <w:color w:val="auto"/>
        </w:rPr>
      </w:pPr>
    </w:p>
    <w:p>
      <w:pPr>
        <w:ind w:left="1620" w:hanging="315"/>
        <w:spacing w:after="0" w:line="302" w:lineRule="auto"/>
        <w:tabs>
          <w:tab w:leader="none" w:pos="163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Upon making any payment with respect to any obligation of the Company under this Article, the Undersigned will be subrogated to the rights of the payee against the Company with respect to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Undersigned may not enforce either any right of subrogation, or any right to receive payment in the nature of contribution, or otherwise, from any other Guarantor, with respect to such payment so long as any amount payable by the Company hereunder or under the Notes remains unpaid.</w:t>
      </w:r>
    </w:p>
    <w:p>
      <w:pPr>
        <w:spacing w:after="0" w:line="154" w:lineRule="exact"/>
        <w:rPr>
          <w:rFonts w:ascii="Arial" w:cs="Arial" w:eastAsia="Arial" w:hAnsi="Arial"/>
          <w:sz w:val="16"/>
          <w:szCs w:val="16"/>
          <w:color w:val="auto"/>
        </w:rPr>
      </w:pPr>
    </w:p>
    <w:p>
      <w:pPr>
        <w:ind w:left="1620" w:right="340" w:hanging="315"/>
        <w:spacing w:after="0" w:line="308" w:lineRule="auto"/>
        <w:tabs>
          <w:tab w:leader="none" w:pos="1624"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If acceleration of the time for payment of any amount payable by the Company under the Indenture or the Notes is stayed upon the insolvency, bankruptcy or reorganization of the Company, all such amounts otherwise subject to acceleration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400"/>
        <w:spacing w:after="0" w:line="277" w:lineRule="auto"/>
        <w:rPr>
          <w:sz w:val="20"/>
          <w:szCs w:val="20"/>
          <w:color w:val="auto"/>
        </w:rPr>
      </w:pPr>
      <w:r>
        <w:rPr>
          <w:rFonts w:ascii="Arial" w:cs="Arial" w:eastAsia="Arial" w:hAnsi="Arial"/>
          <w:sz w:val="18"/>
          <w:szCs w:val="18"/>
          <w:color w:val="auto"/>
        </w:rPr>
        <w:t>under the terms of the Indenture are nonetheless payable by the Undersigned hereunder forthwith on demand by the Trustee or the Holders.</w:t>
      </w:r>
    </w:p>
    <w:p>
      <w:pPr>
        <w:spacing w:after="0" w:line="170" w:lineRule="exact"/>
        <w:rPr>
          <w:sz w:val="20"/>
          <w:szCs w:val="20"/>
          <w:color w:val="auto"/>
        </w:rPr>
      </w:pPr>
    </w:p>
    <w:p>
      <w:pPr>
        <w:ind w:left="1620" w:right="40" w:hanging="315"/>
        <w:spacing w:after="0" w:line="302" w:lineRule="auto"/>
        <w:tabs>
          <w:tab w:leader="none" w:pos="164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Supplemental Indenture, the Undersigned, and by its acceptance of Notes, each Holder, confirms that it is the intention of all such parties that the Guarantee of the Undersigned not constitute a fraudulent conveyance under applicable fraudulent conveyance provisions of the United States Bankruptcy Code or any comparable provision of state law. To effectuate that intention, the Trustee, the Holders and the Undersigned irrevocably agree that the obligations of the Undersigned under</w:t>
      </w:r>
    </w:p>
    <w:p>
      <w:pPr>
        <w:sectPr>
          <w:pgSz w:w="11900" w:h="16945" w:orient="portrait"/>
          <w:cols w:equalWidth="0" w:num="1">
            <w:col w:w="11400"/>
          </w:cols>
          <w:pgMar w:left="240" w:top="125" w:right="259" w:bottom="0" w:gutter="0" w:footer="0" w:header="0"/>
        </w:sectPr>
      </w:pPr>
    </w:p>
    <w:bookmarkStart w:id="97" w:name="page98"/>
    <w:bookmarkEnd w:id="97"/>
    <w:p>
      <w:pPr>
        <w:ind w:left="1620" w:right="460"/>
        <w:spacing w:after="0" w:line="342" w:lineRule="auto"/>
        <w:rPr>
          <w:sz w:val="20"/>
          <w:szCs w:val="20"/>
          <w:color w:val="auto"/>
        </w:rPr>
      </w:pPr>
      <w:r>
        <w:rPr>
          <w:rFonts w:ascii="Arial" w:cs="Arial" w:eastAsia="Arial" w:hAnsi="Arial"/>
          <w:sz w:val="16"/>
          <w:szCs w:val="16"/>
          <w:color w:val="auto"/>
        </w:rPr>
        <w:t>its Guarantee are limited to the maximum amount that would not render the Undersigned’s obligations subject to avoidance under applicable fraudulent conveyance provisions of the United States Bankruptcy Code or any comparable provision of state law.</w:t>
      </w:r>
    </w:p>
    <w:p>
      <w:pPr>
        <w:spacing w:after="0" w:line="124" w:lineRule="exact"/>
        <w:rPr>
          <w:sz w:val="20"/>
          <w:szCs w:val="20"/>
          <w:color w:val="auto"/>
        </w:rPr>
      </w:pPr>
    </w:p>
    <w:p>
      <w:pPr>
        <w:ind w:right="680" w:firstLine="656"/>
        <w:spacing w:after="0" w:line="277" w:lineRule="auto"/>
        <w:tabs>
          <w:tab w:leader="none" w:pos="129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of this Supplemental Indenture shall constitute a legal, valid and binding obligation of the Company, enforceable against it in accordance with its terms.</w:t>
      </w:r>
    </w:p>
    <w:p>
      <w:pPr>
        <w:spacing w:after="0" w:line="170" w:lineRule="exact"/>
        <w:rPr>
          <w:rFonts w:ascii="Arial" w:cs="Arial" w:eastAsia="Arial" w:hAnsi="Arial"/>
          <w:sz w:val="18"/>
          <w:szCs w:val="18"/>
          <w:color w:val="auto"/>
        </w:rPr>
      </w:pPr>
    </w:p>
    <w:p>
      <w:pPr>
        <w:ind w:right="40" w:firstLine="656"/>
        <w:spacing w:after="0" w:line="277" w:lineRule="auto"/>
        <w:tabs>
          <w:tab w:leader="none" w:pos="129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the Undersigned shall be required to make a notation on the Notes to reflect the Guarantee or any release, termination or discharge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this Supplemental Indenture.</w:t>
      </w:r>
    </w:p>
    <w:p>
      <w:pPr>
        <w:spacing w:after="0" w:line="225"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Undersigned and the Company.</w:t>
      </w:r>
    </w:p>
    <w:p>
      <w:pPr>
        <w:spacing w:after="0" w:line="123" w:lineRule="exact"/>
        <w:rPr>
          <w:rFonts w:ascii="Arial" w:cs="Arial" w:eastAsia="Arial" w:hAnsi="Arial"/>
          <w:sz w:val="16"/>
          <w:szCs w:val="16"/>
          <w:color w:val="auto"/>
        </w:rPr>
      </w:pPr>
    </w:p>
    <w:p>
      <w:pPr>
        <w:ind w:right="240" w:firstLine="656"/>
        <w:spacing w:after="0" w:line="277" w:lineRule="auto"/>
        <w:tabs>
          <w:tab w:leader="none" w:pos="129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Undersigned in the Indenture, this Supplemental Indenture and the Guarantee shall bind its successors. All agreements of the Trustee in this Supplemental Indenture shall bind its successors.</w:t>
      </w:r>
    </w:p>
    <w:p>
      <w:pPr>
        <w:spacing w:after="0" w:line="170" w:lineRule="exact"/>
        <w:rPr>
          <w:rFonts w:ascii="Arial" w:cs="Arial" w:eastAsia="Arial" w:hAnsi="Arial"/>
          <w:sz w:val="18"/>
          <w:szCs w:val="18"/>
          <w:color w:val="auto"/>
        </w:rPr>
      </w:pPr>
    </w:p>
    <w:p>
      <w:pPr>
        <w:ind w:firstLine="656"/>
        <w:spacing w:after="0" w:line="279" w:lineRule="auto"/>
        <w:tabs>
          <w:tab w:leader="none" w:pos="1292"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Supplemental Indenture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Supplemental Indenture at law, in equity, by statute or otherwise.</w:t>
      </w:r>
    </w:p>
    <w:p>
      <w:pPr>
        <w:spacing w:after="0" w:line="171" w:lineRule="exact"/>
        <w:rPr>
          <w:rFonts w:ascii="Arial" w:cs="Arial" w:eastAsia="Arial" w:hAnsi="Arial"/>
          <w:sz w:val="17"/>
          <w:szCs w:val="17"/>
          <w:color w:val="auto"/>
        </w:rPr>
      </w:pPr>
    </w:p>
    <w:p>
      <w:pPr>
        <w:ind w:right="20" w:firstLine="656"/>
        <w:spacing w:after="0" w:line="259" w:lineRule="auto"/>
        <w:tabs>
          <w:tab w:leader="none" w:pos="128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modification, amendment or waiver of any provision of this Supplemental Indenture, nor the consent to any departure by the Undersigned therefrom, shall in any event be effective unless the same shall be in writing and signed by the Trustee, and then such waiver or consent shall be effective only in the specific instance and for the purpose for which given. No notice to or demand on the Undersigned in any case shall entitle the Undersigned to any other or further notice or demand in the same, similar or other circumstance.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56"/>
        <w:spacing w:after="0" w:line="277" w:lineRule="auto"/>
        <w:tabs>
          <w:tab w:leader="none" w:pos="129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Except as supplemented and amended hereby, all provisions of the Indenture shall remain in full force and effect, and the Indenture is hereby affirmed and ratified.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 as Company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125" w:right="239" w:bottom="0" w:gutter="0" w:footer="0" w:header="0"/>
        </w:sectPr>
      </w:pPr>
    </w:p>
    <w:bookmarkStart w:id="98" w:name="page99"/>
    <w:bookmarkEnd w:id="98"/>
    <w:p>
      <w:pPr>
        <w:ind w:right="100" w:firstLine="1297"/>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5.625% Senior Notes due 2026 (the “</w:t>
      </w:r>
      <w:r>
        <w:rPr>
          <w:rFonts w:ascii="Arial" w:cs="Arial" w:eastAsia="Arial" w:hAnsi="Arial"/>
          <w:sz w:val="18"/>
          <w:szCs w:val="18"/>
          <w:u w:val="single" w:color="auto"/>
          <w:color w:val="auto"/>
        </w:rPr>
        <w:t>Notes</w:t>
      </w:r>
      <w:r>
        <w:rPr>
          <w:rFonts w:ascii="Arial" w:cs="Arial" w:eastAsia="Arial" w:hAnsi="Arial"/>
          <w:sz w:val="18"/>
          <w:szCs w:val="18"/>
          <w:color w:val="auto"/>
        </w:rPr>
        <w:t>”) of Micron 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1559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9756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14605</wp:posOffset>
            </wp:positionV>
            <wp:extent cx="23241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160" w:firstLine="1305"/>
        <w:spacing w:after="0" w:line="255" w:lineRule="auto"/>
        <w:tabs>
          <w:tab w:leader="none" w:pos="1945"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93" w:lineRule="exact"/>
        <w:rPr>
          <w:rFonts w:ascii="Arial" w:cs="Arial" w:eastAsia="Arial" w:hAnsi="Arial"/>
          <w:sz w:val="18"/>
          <w:szCs w:val="18"/>
          <w:color w:val="auto"/>
        </w:rPr>
      </w:pPr>
    </w:p>
    <w:p>
      <w:pPr>
        <w:ind w:firstLine="1305"/>
        <w:spacing w:after="0" w:line="286" w:lineRule="auto"/>
        <w:tabs>
          <w:tab w:leader="none" w:pos="1945" w:val="left"/>
        </w:tabs>
        <w:numPr>
          <w:ilvl w:val="1"/>
          <w:numId w:val="309"/>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w:t>
      </w:r>
      <w:r>
        <w:rPr>
          <w:rFonts w:ascii="Arial" w:cs="Arial" w:eastAsia="Arial" w:hAnsi="Arial"/>
          <w:sz w:val="16"/>
          <w:szCs w:val="16"/>
          <w:u w:val="single" w:color="auto"/>
          <w:color w:val="auto"/>
        </w:rPr>
        <w:t>Resale Restriction Termination Date</w:t>
      </w:r>
      <w:r>
        <w:rPr>
          <w:rFonts w:ascii="Arial" w:cs="Arial" w:eastAsia="Arial" w:hAnsi="Arial"/>
          <w:sz w:val="16"/>
          <w:szCs w:val="16"/>
          <w:color w:val="auto"/>
        </w:rPr>
        <w:t>”) only (a) to the Company,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pursuant to a registration statement that has been declared effective under the Securities Act, (c) in a transaction complying with the requirements of</w:t>
      </w:r>
    </w:p>
    <w:p>
      <w:pPr>
        <w:spacing w:after="0" w:line="3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to a person we reasonably believe is a qualified institutional buyer under Rule 144A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that occur outside the United States of America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Notes of $250,000, or (f) pursuant to any other available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(c), (d), (e) or (f) above to require the delivery of an opinion of counsel, certifications or other information satisfactory to the Company and the Trustee.</w:t>
      </w:r>
    </w:p>
    <w:p>
      <w:pPr>
        <w:spacing w:after="0" w:line="182" w:lineRule="exact"/>
        <w:rPr>
          <w:sz w:val="20"/>
          <w:szCs w:val="20"/>
          <w:color w:val="auto"/>
        </w:rPr>
      </w:pPr>
    </w:p>
    <w:p>
      <w:pPr>
        <w:ind w:left="3240"/>
        <w:spacing w:after="0"/>
        <w:tabs>
          <w:tab w:leader="none" w:pos="594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5.625% SENIOR NOTES DUE 2026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purchasers named in Schedule I hereto (the “</w:t>
      </w:r>
      <w:r>
        <w:rPr>
          <w:rFonts w:ascii="Arial" w:cs="Arial" w:eastAsia="Arial" w:hAnsi="Arial"/>
          <w:sz w:val="16"/>
          <w:szCs w:val="16"/>
          <w:b w:val="1"/>
          <w:bCs w:val="1"/>
          <w:color w:val="auto"/>
        </w:rPr>
        <w:t>Initial Purchasers</w:t>
      </w:r>
      <w:r>
        <w:rPr>
          <w:rFonts w:ascii="Arial" w:cs="Arial" w:eastAsia="Arial" w:hAnsi="Arial"/>
          <w:sz w:val="16"/>
          <w:szCs w:val="16"/>
          <w:color w:val="auto"/>
        </w:rPr>
        <w:t>”) $550 million principal amount of its 5.250% Senior Notes due 2024 (the “</w:t>
      </w:r>
      <w:r>
        <w:rPr>
          <w:rFonts w:ascii="Arial" w:cs="Arial" w:eastAsia="Arial" w:hAnsi="Arial"/>
          <w:sz w:val="16"/>
          <w:szCs w:val="16"/>
          <w:b w:val="1"/>
          <w:bCs w:val="1"/>
          <w:color w:val="auto"/>
        </w:rPr>
        <w:t>2024 Notes</w:t>
      </w:r>
      <w:r>
        <w:rPr>
          <w:rFonts w:ascii="Arial" w:cs="Arial" w:eastAsia="Arial" w:hAnsi="Arial"/>
          <w:sz w:val="16"/>
          <w:szCs w:val="16"/>
          <w:color w:val="auto"/>
        </w:rPr>
        <w:t>”), to be issued pursuant to the provisions of an Indenture to be entered into on or prior to the Closing Date (as hereinafter defined) and dated as of April 30, 2015 (the “</w:t>
      </w:r>
      <w:r>
        <w:rPr>
          <w:rFonts w:ascii="Arial" w:cs="Arial" w:eastAsia="Arial" w:hAnsi="Arial"/>
          <w:sz w:val="16"/>
          <w:szCs w:val="16"/>
          <w:b w:val="1"/>
          <w:bCs w:val="1"/>
          <w:color w:val="auto"/>
        </w:rPr>
        <w:t>2024 Indenture</w:t>
      </w:r>
      <w:r>
        <w:rPr>
          <w:rFonts w:ascii="Arial" w:cs="Arial" w:eastAsia="Arial" w:hAnsi="Arial"/>
          <w:sz w:val="16"/>
          <w:szCs w:val="16"/>
          <w:color w:val="auto"/>
        </w:rPr>
        <w:t>”) and $450 million principal amount of its 5.625% Senior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and, together with the 2024 Notes, the “</w:t>
      </w:r>
      <w:r>
        <w:rPr>
          <w:rFonts w:ascii="Arial" w:cs="Arial" w:eastAsia="Arial" w:hAnsi="Arial"/>
          <w:sz w:val="16"/>
          <w:szCs w:val="16"/>
          <w:b w:val="1"/>
          <w:bCs w:val="1"/>
          <w:color w:val="auto"/>
        </w:rPr>
        <w:t>Securities</w:t>
      </w:r>
      <w:r>
        <w:rPr>
          <w:rFonts w:ascii="Arial" w:cs="Arial" w:eastAsia="Arial" w:hAnsi="Arial"/>
          <w:sz w:val="16"/>
          <w:szCs w:val="16"/>
          <w:color w:val="auto"/>
        </w:rPr>
        <w:t>”), to be issued pursuant to the provisions of an Indenture to be entered into on or prior to the Closing Date and dated as of April 30, 2015 (the “</w:t>
      </w:r>
      <w:r>
        <w:rPr>
          <w:rFonts w:ascii="Arial" w:cs="Arial" w:eastAsia="Arial" w:hAnsi="Arial"/>
          <w:sz w:val="16"/>
          <w:szCs w:val="16"/>
          <w:b w:val="1"/>
          <w:bCs w:val="1"/>
          <w:color w:val="auto"/>
        </w:rPr>
        <w:t>2026 Indenture</w:t>
      </w:r>
      <w:r>
        <w:rPr>
          <w:rFonts w:ascii="Arial" w:cs="Arial" w:eastAsia="Arial" w:hAnsi="Arial"/>
          <w:sz w:val="16"/>
          <w:szCs w:val="16"/>
          <w:color w:val="auto"/>
        </w:rPr>
        <w:t>” and, together with the 2024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each, between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5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 and in offshore transactions in reliance on Regulation S under the Securities Act (“</w:t>
      </w:r>
      <w:r>
        <w:rPr>
          <w:rFonts w:ascii="Arial" w:cs="Arial" w:eastAsia="Arial" w:hAnsi="Arial"/>
          <w:sz w:val="18"/>
          <w:szCs w:val="18"/>
          <w:b w:val="1"/>
          <w:bCs w:val="1"/>
          <w:color w:val="auto"/>
        </w:rPr>
        <w:t>Regulation S</w:t>
      </w:r>
      <w:r>
        <w:rPr>
          <w:rFonts w:ascii="Arial" w:cs="Arial" w:eastAsia="Arial" w:hAnsi="Arial"/>
          <w:sz w:val="18"/>
          <w:szCs w:val="18"/>
          <w:color w:val="auto"/>
        </w:rPr>
        <w:t>”).</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sale of the Securities, the Company has prepared a preliminary offering memorandum dated April 27, 2015 (the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w:t>
      </w:r>
      <w:r>
        <w:rPr>
          <w:rFonts w:ascii="Arial" w:cs="Arial" w:eastAsia="Arial" w:hAnsi="Arial"/>
          <w:sz w:val="18"/>
          <w:szCs w:val="18"/>
          <w:color w:val="auto"/>
        </w:rPr>
        <w:t>”) and will prepare a final offering memorandum (the “</w:t>
      </w:r>
      <w:r>
        <w:rPr>
          <w:rFonts w:ascii="Arial" w:cs="Arial" w:eastAsia="Arial" w:hAnsi="Arial"/>
          <w:sz w:val="18"/>
          <w:szCs w:val="18"/>
          <w:b w:val="1"/>
          <w:bCs w:val="1"/>
          <w:color w:val="auto"/>
        </w:rPr>
        <w:t>Final Memorandum</w:t>
      </w:r>
      <w:r>
        <w:rPr>
          <w:rFonts w:ascii="Arial" w:cs="Arial" w:eastAsia="Arial" w:hAnsi="Arial"/>
          <w:sz w:val="18"/>
          <w:szCs w:val="18"/>
          <w:color w:val="auto"/>
        </w:rPr>
        <w:t>”) including or incorporating by reference a description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Securities, the terms of the offering and a description of the Company. For purposes of this Agreement, “</w:t>
      </w:r>
      <w:r>
        <w:rPr>
          <w:rFonts w:ascii="Arial" w:cs="Arial" w:eastAsia="Arial" w:hAnsi="Arial"/>
          <w:sz w:val="18"/>
          <w:szCs w:val="18"/>
          <w:b w:val="1"/>
          <w:bCs w:val="1"/>
          <w:color w:val="auto"/>
        </w:rPr>
        <w:t>Additional Written 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Communication</w:t>
      </w:r>
      <w:r>
        <w:rPr>
          <w:rFonts w:ascii="Arial" w:cs="Arial" w:eastAsia="Arial" w:hAnsi="Arial"/>
          <w:sz w:val="18"/>
          <w:szCs w:val="18"/>
          <w:color w:val="auto"/>
        </w:rPr>
        <w:t>” means any written communication (as defined in Rule 405 under the Securities Act) that constitutes an offer to sell or a solicitation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offer to buy the Securities other than the Preliminary Memorandum or the Final Memorandum, and “</w:t>
      </w:r>
      <w:r>
        <w:rPr>
          <w:rFonts w:ascii="Arial" w:cs="Arial" w:eastAsia="Arial" w:hAnsi="Arial"/>
          <w:sz w:val="18"/>
          <w:szCs w:val="18"/>
          <w:b w:val="1"/>
          <w:bCs w:val="1"/>
          <w:color w:val="auto"/>
        </w:rPr>
        <w:t>Time of Sale Memorandum</w:t>
      </w:r>
      <w:r>
        <w:rPr>
          <w:rFonts w:ascii="Arial" w:cs="Arial" w:eastAsia="Arial" w:hAnsi="Arial"/>
          <w:sz w:val="18"/>
          <w:szCs w:val="18"/>
          <w:color w:val="auto"/>
        </w:rPr>
        <w:t>” means the Preliminary Memorandum together with the Additional Written Offering Communications, if any, each identified in Schedule II hereto, and as described on such Schedule. As used herein, the terms Preliminary Memorandum, Time of Sale Memorandum and Final Memorandum shall include the documents, if any,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therein on the date hereof, in each case, to the extent and in the manner contemplated thereby.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69" w:lineRule="exact"/>
        <w:rPr>
          <w:sz w:val="20"/>
          <w:szCs w:val="20"/>
          <w:color w:val="auto"/>
        </w:rPr>
      </w:pPr>
    </w:p>
    <w:p>
      <w:pPr>
        <w:ind w:left="1300" w:hanging="644"/>
        <w:spacing w:after="0"/>
        <w:tabs>
          <w:tab w:leader="none" w:pos="130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20" w:firstLine="645"/>
        <w:spacing w:after="0" w:line="269" w:lineRule="auto"/>
        <w:tabs>
          <w:tab w:leader="none" w:pos="1954" w:val="left"/>
        </w:tabs>
        <w:numPr>
          <w:ilvl w:val="1"/>
          <w:numId w:val="311"/>
        </w:numPr>
        <w:rPr>
          <w:rFonts w:ascii="Arial" w:cs="Arial" w:eastAsia="Arial" w:hAnsi="Arial"/>
          <w:sz w:val="17"/>
          <w:szCs w:val="17"/>
          <w:color w:val="auto"/>
        </w:rPr>
      </w:pPr>
      <w:r>
        <w:rPr>
          <w:rFonts w:ascii="Arial" w:cs="Arial" w:eastAsia="Arial" w:hAnsi="Arial"/>
          <w:sz w:val="17"/>
          <w:szCs w:val="17"/>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Memorandum, the Time of Sale Memorandum or the Final Memorandum based upon information relating to any Initial Purchaser furnished to the Company in writing by such Initial Purchaser through you expressly for use therein.</w:t>
      </w:r>
    </w:p>
    <w:p>
      <w:pPr>
        <w:sectPr>
          <w:pgSz w:w="11900" w:h="16838" w:orient="portrait"/>
          <w:cols w:equalWidth="0" w:num="1">
            <w:col w:w="11420"/>
          </w:cols>
          <w:pgMar w:left="240" w:top="121" w:right="239" w:bottom="0" w:gutter="0" w:footer="0" w:header="0"/>
          <w:type w:val="continuous"/>
        </w:sectPr>
      </w:pPr>
    </w:p>
    <w:bookmarkStart w:id="100" w:name="page101"/>
    <w:bookmarkEnd w:id="100"/>
    <w:p>
      <w:pPr>
        <w:ind w:right="120" w:firstLine="645"/>
        <w:spacing w:after="0" w:line="264" w:lineRule="auto"/>
        <w:tabs>
          <w:tab w:leader="none" w:pos="130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the Company has not prepared, used or referred to, and will not, without your prior consent, prepare, use or refer to, any Additional Written Offering Communication.</w:t>
      </w:r>
    </w:p>
    <w:p>
      <w:pPr>
        <w:spacing w:after="0" w:line="177" w:lineRule="exact"/>
        <w:rPr>
          <w:rFonts w:ascii="Arial" w:cs="Arial" w:eastAsia="Arial" w:hAnsi="Arial"/>
          <w:sz w:val="18"/>
          <w:szCs w:val="18"/>
          <w:color w:val="auto"/>
        </w:rPr>
      </w:pPr>
    </w:p>
    <w:p>
      <w:pPr>
        <w:ind w:right="100" w:firstLine="645"/>
        <w:spacing w:after="0" w:line="347" w:lineRule="auto"/>
        <w:tabs>
          <w:tab w:leader="none" w:pos="130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of the Company and Elpida Memory, Inc. (“</w:t>
      </w:r>
      <w:r>
        <w:rPr>
          <w:rFonts w:ascii="Arial" w:cs="Arial" w:eastAsia="Arial" w:hAnsi="Arial"/>
          <w:sz w:val="16"/>
          <w:szCs w:val="16"/>
          <w:b w:val="1"/>
          <w:bCs w:val="1"/>
          <w:color w:val="auto"/>
        </w:rPr>
        <w:t>Elpida</w:t>
      </w:r>
      <w:r>
        <w:rPr>
          <w:rFonts w:ascii="Arial" w:cs="Arial" w:eastAsia="Arial" w:hAnsi="Arial"/>
          <w:sz w:val="16"/>
          <w:szCs w:val="16"/>
          <w:color w:val="auto"/>
        </w:rPr>
        <w:t>”) has been duly incorporated, is validly existing as a corporation under the laws of the jurisdiction of its incorporation, has the corporate power and authority to own its property and to conduct its business as described in</w:t>
      </w:r>
    </w:p>
    <w:p>
      <w:pPr>
        <w:spacing w:after="0" w:line="1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Time of Sale Memorandum (except, in the case of Elpida only, as has been previously disclosed to the Initial Purchasers) and is duly qualified to transact business in each jurisdiction identified on Schedule III hereto in which the conduct of its business or its ownership or leasing of property requires such qualification or is subject to material liability or disability by reason of failure to be so qualified in any such jurisdiction. The Company is in good standing in each jurisdiction identified on Schedule III hereto.</w:t>
      </w:r>
    </w:p>
    <w:p>
      <w:pPr>
        <w:spacing w:after="0" w:line="187" w:lineRule="exact"/>
        <w:rPr>
          <w:sz w:val="20"/>
          <w:szCs w:val="20"/>
          <w:color w:val="auto"/>
        </w:rPr>
      </w:pPr>
    </w:p>
    <w:p>
      <w:pPr>
        <w:ind w:left="1300" w:hanging="655"/>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360" w:firstLine="645"/>
        <w:spacing w:after="0" w:line="342" w:lineRule="auto"/>
        <w:tabs>
          <w:tab w:leader="none" w:pos="130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w:t>
      </w:r>
    </w:p>
    <w:p>
      <w:pPr>
        <w:spacing w:after="0" w:line="123" w:lineRule="exact"/>
        <w:rPr>
          <w:rFonts w:ascii="Arial" w:cs="Arial" w:eastAsia="Arial" w:hAnsi="Arial"/>
          <w:sz w:val="16"/>
          <w:szCs w:val="16"/>
          <w:color w:val="auto"/>
        </w:rPr>
      </w:pPr>
    </w:p>
    <w:p>
      <w:pPr>
        <w:ind w:firstLine="645"/>
        <w:spacing w:after="0" w:line="272" w:lineRule="auto"/>
        <w:tabs>
          <w:tab w:leader="none" w:pos="130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executed and authenticated in accordance with the provisions of the applicable Indenture and delivered to and paid for by the Initial Purchasers in accordance with the terms of this Agreement (assuming due authentication by the Trustee in the manner described in the applicable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 pursuant to which such Securities are to be issued.</w:t>
      </w:r>
    </w:p>
    <w:p>
      <w:pPr>
        <w:spacing w:after="0" w:line="177" w:lineRule="exact"/>
        <w:rPr>
          <w:rFonts w:ascii="Arial" w:cs="Arial" w:eastAsia="Arial" w:hAnsi="Arial"/>
          <w:sz w:val="17"/>
          <w:szCs w:val="17"/>
          <w:color w:val="auto"/>
        </w:rPr>
      </w:pPr>
    </w:p>
    <w:p>
      <w:pPr>
        <w:ind w:right="140" w:firstLine="645"/>
        <w:spacing w:after="0" w:line="279" w:lineRule="auto"/>
        <w:tabs>
          <w:tab w:leader="none" w:pos="131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Each of the Indentures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Indentures will conform in all material respects to the descriptions thereof in the Time of Sale Memorandum and the Final Memorandum.</w:t>
      </w:r>
    </w:p>
    <w:p>
      <w:pPr>
        <w:spacing w:after="0" w:line="171" w:lineRule="exact"/>
        <w:rPr>
          <w:rFonts w:ascii="Arial" w:cs="Arial" w:eastAsia="Arial" w:hAnsi="Arial"/>
          <w:sz w:val="17"/>
          <w:szCs w:val="17"/>
          <w:color w:val="auto"/>
        </w:rPr>
      </w:pPr>
    </w:p>
    <w:p>
      <w:pPr>
        <w:ind w:right="60" w:firstLine="645"/>
        <w:spacing w:after="0" w:line="259" w:lineRule="auto"/>
        <w:tabs>
          <w:tab w:leader="none" w:pos="130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the Indentures and the Securities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Indentures and the Securities, except for those that have been, or will have been prior to the Closing Date, obtained, such as may be required by the securities or Blue Sky laws of the various states in connection with the offer and sale of the Securities, except, where the failure to obtain such consents, individually or in the aggregate, would not have a Material Adverse Effect on the offering of the Securities.</w:t>
      </w:r>
    </w:p>
    <w:p>
      <w:pPr>
        <w:spacing w:after="0" w:line="166" w:lineRule="exact"/>
        <w:rPr>
          <w:sz w:val="20"/>
          <w:szCs w:val="20"/>
          <w:color w:val="auto"/>
        </w:rPr>
      </w:pPr>
    </w:p>
    <w:p>
      <w:pPr>
        <w:jc w:val="both"/>
        <w:ind w:right="20" w:firstLine="645"/>
        <w:spacing w:after="0" w:line="264" w:lineRule="auto"/>
        <w:tabs>
          <w:tab w:leader="none" w:pos="13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100" w:firstLine="645"/>
        <w:spacing w:after="0" w:line="257" w:lineRule="auto"/>
        <w:tabs>
          <w:tab w:leader="none" w:pos="130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8" w:lineRule="exact"/>
        <w:rPr>
          <w:rFonts w:ascii="Arial" w:cs="Arial" w:eastAsia="Arial" w:hAnsi="Arial"/>
          <w:sz w:val="18"/>
          <w:szCs w:val="18"/>
          <w:color w:val="auto"/>
        </w:rPr>
      </w:pPr>
    </w:p>
    <w:p>
      <w:pPr>
        <w:ind w:right="200" w:firstLine="645"/>
        <w:spacing w:after="0" w:line="297" w:lineRule="auto"/>
        <w:tabs>
          <w:tab w:leader="none" w:pos="130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380" w:firstLine="645"/>
        <w:spacing w:after="0" w:line="277" w:lineRule="auto"/>
        <w:tabs>
          <w:tab w:leader="none" w:pos="13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 and its subsidiaries own or possess or can acquire on commercially reasonable terms adequate licenses or other rights to use all patents, trademarks, service marks, trade names,</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464" w:gutter="0" w:footer="0" w:header="0"/>
        </w:sectPr>
      </w:pPr>
    </w:p>
    <w:bookmarkStart w:id="101" w:name="page102"/>
    <w:bookmarkEnd w:id="101"/>
    <w:p>
      <w:pPr>
        <w:ind w:right="60"/>
        <w:spacing w:after="0" w:line="255" w:lineRule="auto"/>
        <w:rPr>
          <w:sz w:val="20"/>
          <w:szCs w:val="20"/>
          <w:color w:val="auto"/>
        </w:rPr>
      </w:pPr>
      <w:r>
        <w:rPr>
          <w:rFonts w:ascii="Arial" w:cs="Arial" w:eastAsia="Arial" w:hAnsi="Arial"/>
          <w:sz w:val="18"/>
          <w:szCs w:val="18"/>
          <w:color w:val="auto"/>
        </w:rPr>
        <w:t>copyrights, mask work rights, technology and knowhow necessary to conduct the business now or proposed to be conducted by the Company and its subsidiaries as described in the Time of Sale Memorandum, except where the 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93" w:lineRule="exact"/>
        <w:rPr>
          <w:sz w:val="20"/>
          <w:szCs w:val="20"/>
          <w:color w:val="auto"/>
        </w:rPr>
      </w:pPr>
    </w:p>
    <w:p>
      <w:pPr>
        <w:ind w:right="280" w:firstLine="645"/>
        <w:spacing w:after="0" w:line="273" w:lineRule="auto"/>
        <w:tabs>
          <w:tab w:leader="none" w:pos="130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affiliate (as defined in Rule 501(b) of Regulation D under the Securities Act,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178" w:lineRule="exact"/>
        <w:rPr>
          <w:rFonts w:ascii="Arial" w:cs="Arial" w:eastAsia="Arial" w:hAnsi="Arial"/>
          <w:sz w:val="17"/>
          <w:szCs w:val="17"/>
          <w:color w:val="auto"/>
        </w:rPr>
      </w:pPr>
    </w:p>
    <w:p>
      <w:pPr>
        <w:jc w:val="both"/>
        <w:ind w:right="80" w:firstLine="645"/>
        <w:spacing w:after="0" w:line="302" w:lineRule="auto"/>
        <w:tabs>
          <w:tab w:leader="none" w:pos="130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None of the Company, its Affiliates or any person acting on its or their behalf has engaged or will engage in any directed selling efforts (within the meaning of Regulation S) with respect to the Securities and the Company and its Affiliates and any person acting on its or their behalf have complied and will comply with the offering restrictions requirement of Regulation S, except no representation, warranty or agreement is made by the Company in this paragraph with respect to the Initial Purchasers, their Affiliates or any person acting on their behalf.</w:t>
      </w:r>
    </w:p>
    <w:p>
      <w:pPr>
        <w:spacing w:after="0" w:line="154" w:lineRule="exact"/>
        <w:rPr>
          <w:rFonts w:ascii="Arial" w:cs="Arial" w:eastAsia="Arial" w:hAnsi="Arial"/>
          <w:sz w:val="16"/>
          <w:szCs w:val="16"/>
          <w:color w:val="auto"/>
        </w:rPr>
      </w:pPr>
    </w:p>
    <w:p>
      <w:pPr>
        <w:ind w:right="100" w:firstLine="645"/>
        <w:spacing w:after="0" w:line="264" w:lineRule="auto"/>
        <w:tabs>
          <w:tab w:leader="none" w:pos="130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Memorandum and the Final Memorandum under the caption “Description of Notes,” insofar as they purport to constitute a summary of the terms of the Indentures and the Securities, fairly summarize such terms in all material respects.</w:t>
      </w:r>
    </w:p>
    <w:p>
      <w:pPr>
        <w:spacing w:after="0" w:line="181" w:lineRule="exact"/>
        <w:rPr>
          <w:rFonts w:ascii="Arial" w:cs="Arial" w:eastAsia="Arial" w:hAnsi="Arial"/>
          <w:sz w:val="18"/>
          <w:szCs w:val="18"/>
          <w:color w:val="auto"/>
        </w:rPr>
      </w:pPr>
    </w:p>
    <w:p>
      <w:pPr>
        <w:ind w:right="80" w:firstLine="645"/>
        <w:spacing w:after="0" w:line="264" w:lineRule="auto"/>
        <w:tabs>
          <w:tab w:leader="none" w:pos="130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of the Initial Purchasers herein, it is not necessary in connection with the offer, sale and delivery of the Securities to the Initial Purchasers in the manner contemplated by this Agreement to register the Securities under the Securities Act or to qualify the Indentures under the Trust Indenture Act of 1939, as amended.</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right="20" w:firstLine="645"/>
        <w:spacing w:after="0" w:line="264" w:lineRule="auto"/>
        <w:tabs>
          <w:tab w:leader="none" w:pos="131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right="100" w:firstLine="645"/>
        <w:spacing w:after="0" w:line="289" w:lineRule="auto"/>
        <w:tabs>
          <w:tab w:leader="none" w:pos="131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eXtensible Business Reporting Language included or incorporated by reference in each of the Preliminary Memorandum, the Time of Sale Memorandum and the Final Memorandum is prepared in accordance with the Commission’s rules and guidelines applicable thereto. Except as disclosed in the Time of Sale Memorandum, the Company’s internal control over financial reporting and the Company’s internal control over financial reporting was effective as of August 28, 2014 and the Company is not aware of any material weaknesses in its internal control over financial reporting.</w:t>
      </w:r>
    </w:p>
    <w:p>
      <w:pPr>
        <w:spacing w:after="0" w:line="166" w:lineRule="exact"/>
        <w:rPr>
          <w:rFonts w:ascii="Arial" w:cs="Arial" w:eastAsia="Arial" w:hAnsi="Arial"/>
          <w:sz w:val="16"/>
          <w:szCs w:val="16"/>
          <w:color w:val="auto"/>
        </w:rPr>
      </w:pPr>
    </w:p>
    <w:p>
      <w:pPr>
        <w:ind w:firstLine="645"/>
        <w:spacing w:after="0" w:line="286" w:lineRule="auto"/>
        <w:tabs>
          <w:tab w:leader="none" w:pos="130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5" w:lineRule="exact"/>
        <w:rPr>
          <w:rFonts w:ascii="Arial" w:cs="Arial" w:eastAsia="Arial" w:hAnsi="Arial"/>
          <w:sz w:val="17"/>
          <w:szCs w:val="17"/>
          <w:color w:val="auto"/>
        </w:rPr>
      </w:pPr>
    </w:p>
    <w:p>
      <w:pPr>
        <w:ind w:right="140" w:firstLine="645"/>
        <w:spacing w:after="0" w:line="302" w:lineRule="auto"/>
        <w:tabs>
          <w:tab w:leader="none" w:pos="130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5, 2015.</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5"/>
        <w:spacing w:after="0" w:line="264" w:lineRule="auto"/>
        <w:tabs>
          <w:tab w:leader="none" w:pos="130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the interactive data in eXtensible Business Reporting Language included or incorporated by reference in each of the Preliminary Memorandum, the Time of Sale Memorandum and the Final Memorandum is accurate.</w:t>
      </w:r>
    </w:p>
    <w:p>
      <w:pPr>
        <w:spacing w:after="0" w:line="181" w:lineRule="exact"/>
        <w:rPr>
          <w:rFonts w:ascii="Arial" w:cs="Arial" w:eastAsia="Arial" w:hAnsi="Arial"/>
          <w:sz w:val="18"/>
          <w:szCs w:val="18"/>
          <w:color w:val="auto"/>
        </w:rPr>
      </w:pPr>
    </w:p>
    <w:p>
      <w:pPr>
        <w:ind w:right="200" w:firstLine="645"/>
        <w:spacing w:after="0" w:line="259" w:lineRule="auto"/>
        <w:tabs>
          <w:tab w:leader="none" w:pos="131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assumptions used in preparing the pro forma financial information included or incorporated by reference in each of the Preliminary Memorandum, the Time of Sale Memorandum and the Final Memorandum are reasonable. The related pro forma adjustments give appropriate effect to those assumptions, and the pro forma columns therein reflect the proper application of those adjustments to the corresponding historical financial amounts.</w:t>
      </w:r>
    </w:p>
    <w:p>
      <w:pPr>
        <w:spacing w:after="0" w:line="186" w:lineRule="exact"/>
        <w:rPr>
          <w:rFonts w:ascii="Arial" w:cs="Arial" w:eastAsia="Arial" w:hAnsi="Arial"/>
          <w:sz w:val="18"/>
          <w:szCs w:val="18"/>
          <w:color w:val="auto"/>
        </w:rPr>
      </w:pPr>
    </w:p>
    <w:p>
      <w:pPr>
        <w:ind w:right="40" w:firstLine="645"/>
        <w:spacing w:after="0" w:line="293" w:lineRule="auto"/>
        <w:tabs>
          <w:tab w:leader="none" w:pos="130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w:t>
      </w:r>
    </w:p>
    <w:p>
      <w:pPr>
        <w:sectPr>
          <w:pgSz w:w="11900" w:h="16838" w:orient="portrait"/>
          <w:cols w:equalWidth="0" w:num="1">
            <w:col w:w="10760"/>
          </w:cols>
          <w:pgMar w:left="900" w:top="125" w:right="239" w:bottom="0" w:gutter="0" w:footer="0" w:header="0"/>
        </w:sectPr>
      </w:pPr>
    </w:p>
    <w:bookmarkStart w:id="102" w:name="page103"/>
    <w:bookmarkEnd w:id="102"/>
    <w:p>
      <w:pPr>
        <w:spacing w:after="0" w:line="137" w:lineRule="exact"/>
        <w:rPr>
          <w:sz w:val="20"/>
          <w:szCs w:val="20"/>
          <w:color w:val="auto"/>
        </w:rPr>
      </w:pPr>
    </w:p>
    <w:p>
      <w:pPr>
        <w:ind w:left="660" w:right="480"/>
        <w:spacing w:after="0" w:line="342" w:lineRule="auto"/>
        <w:rPr>
          <w:sz w:val="20"/>
          <w:szCs w:val="20"/>
          <w:color w:val="auto"/>
        </w:rPr>
      </w:pPr>
      <w:r>
        <w:rPr>
          <w:rFonts w:ascii="Arial" w:cs="Arial" w:eastAsia="Arial" w:hAnsi="Arial"/>
          <w:sz w:val="16"/>
          <w:szCs w:val="16"/>
          <w:color w:val="auto"/>
        </w:rPr>
        <w:t>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24" w:lineRule="exact"/>
        <w:rPr>
          <w:sz w:val="20"/>
          <w:szCs w:val="20"/>
          <w:color w:val="auto"/>
        </w:rPr>
      </w:pPr>
    </w:p>
    <w:p>
      <w:pPr>
        <w:ind w:left="660" w:right="60" w:firstLine="645"/>
        <w:spacing w:after="0" w:line="255" w:lineRule="auto"/>
        <w:tabs>
          <w:tab w:leader="none" w:pos="196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Anti-Money Laundering Laws is pending or, to the knowledge of the Company, threatened.</w:t>
      </w:r>
    </w:p>
    <w:p>
      <w:pPr>
        <w:spacing w:after="0" w:line="225" w:lineRule="exact"/>
        <w:rPr>
          <w:sz w:val="20"/>
          <w:szCs w:val="20"/>
          <w:color w:val="auto"/>
        </w:rPr>
      </w:pPr>
    </w:p>
    <w:p>
      <w:pPr>
        <w:ind w:left="660" w:right="580" w:firstLine="645"/>
        <w:spacing w:after="0" w:line="277" w:lineRule="auto"/>
        <w:tabs>
          <w:tab w:leader="none" w:pos="196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300" w:firstLine="1301"/>
        <w:spacing w:after="0" w:line="282" w:lineRule="auto"/>
        <w:tabs>
          <w:tab w:leader="none" w:pos="326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nor</w:t>
      </w:r>
    </w:p>
    <w:p>
      <w:pPr>
        <w:spacing w:after="0" w:line="165" w:lineRule="exact"/>
        <w:rPr>
          <w:rFonts w:ascii="Arial" w:cs="Arial" w:eastAsia="Arial" w:hAnsi="Arial"/>
          <w:sz w:val="18"/>
          <w:szCs w:val="18"/>
          <w:color w:val="auto"/>
        </w:rPr>
      </w:pPr>
    </w:p>
    <w:p>
      <w:pPr>
        <w:ind w:left="1300" w:right="640" w:firstLine="1301"/>
        <w:spacing w:after="0" w:line="277" w:lineRule="auto"/>
        <w:tabs>
          <w:tab w:leader="none" w:pos="325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Libya, North Korea, Sudan and Syria).</w:t>
      </w:r>
    </w:p>
    <w:p>
      <w:pPr>
        <w:spacing w:after="0" w:line="170" w:lineRule="exact"/>
        <w:rPr>
          <w:rFonts w:ascii="Arial" w:cs="Arial" w:eastAsia="Arial" w:hAnsi="Arial"/>
          <w:sz w:val="18"/>
          <w:szCs w:val="18"/>
          <w:color w:val="auto"/>
        </w:rPr>
      </w:pPr>
    </w:p>
    <w:p>
      <w:pPr>
        <w:ind w:left="1460" w:right="460" w:firstLine="655"/>
        <w:spacing w:after="0" w:line="277" w:lineRule="auto"/>
        <w:tabs>
          <w:tab w:leader="none" w:pos="262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40" w:firstLine="1301"/>
        <w:spacing w:after="0" w:line="277" w:lineRule="auto"/>
        <w:tabs>
          <w:tab w:leader="none" w:pos="326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60" w:firstLine="1301"/>
        <w:spacing w:after="0" w:line="277" w:lineRule="auto"/>
        <w:tabs>
          <w:tab w:leader="none" w:pos="3255" w:val="left"/>
        </w:tabs>
        <w:numPr>
          <w:ilvl w:val="2"/>
          <w:numId w:val="31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460" w:right="200" w:firstLine="655"/>
        <w:spacing w:after="0" w:line="264" w:lineRule="auto"/>
        <w:tabs>
          <w:tab w:leader="none" w:pos="263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sz w:val="20"/>
          <w:szCs w:val="20"/>
          <w:color w:val="auto"/>
        </w:rPr>
      </w:pPr>
    </w:p>
    <w:p>
      <w:pPr>
        <w:jc w:val="both"/>
        <w:ind w:left="660" w:right="140" w:firstLine="645"/>
        <w:spacing w:after="0" w:line="264" w:lineRule="auto"/>
        <w:tabs>
          <w:tab w:leader="none" w:pos="193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Preliminary Memorandum, the Time of Sale Memorandum and the Final Memorandum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right="20" w:firstLine="656"/>
        <w:spacing w:after="0" w:line="264" w:lineRule="auto"/>
        <w:tabs>
          <w:tab w:leader="none" w:pos="1296"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Initial Purchasers, and each Initial Purchaser,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the representations and warranties herein contained, but subject to the conditions hereinafter stated, agrees, severally and not jointly, to purchase from the Company the respective principal amounts of Securities set forth in Schedule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hereto opposite its name at a purchase price of 99.35% of the principal amount thereof, with respect to the 2024 Notes (the “</w:t>
      </w:r>
      <w:r>
        <w:rPr>
          <w:rFonts w:ascii="Arial" w:cs="Arial" w:eastAsia="Arial" w:hAnsi="Arial"/>
          <w:sz w:val="18"/>
          <w:szCs w:val="18"/>
          <w:b w:val="1"/>
          <w:bCs w:val="1"/>
          <w:color w:val="auto"/>
        </w:rPr>
        <w:t>2024 Purchase Price</w:t>
      </w:r>
      <w:r>
        <w:rPr>
          <w:rFonts w:ascii="Arial" w:cs="Arial" w:eastAsia="Arial" w:hAnsi="Arial"/>
          <w:sz w:val="18"/>
          <w:szCs w:val="18"/>
          <w:color w:val="auto"/>
        </w:rPr>
        <w:t>”), and 99.35% of the principal amount thereof, with respect to the 2026 Notes (the “</w:t>
      </w:r>
      <w:r>
        <w:rPr>
          <w:rFonts w:ascii="Arial" w:cs="Arial" w:eastAsia="Arial" w:hAnsi="Arial"/>
          <w:sz w:val="18"/>
          <w:szCs w:val="18"/>
          <w:b w:val="1"/>
          <w:bCs w:val="1"/>
          <w:color w:val="auto"/>
        </w:rPr>
        <w:t>2026 Purchase Price</w:t>
      </w:r>
      <w:r>
        <w:rPr>
          <w:rFonts w:ascii="Arial" w:cs="Arial" w:eastAsia="Arial" w:hAnsi="Arial"/>
          <w:sz w:val="18"/>
          <w:szCs w:val="18"/>
          <w:color w:val="auto"/>
        </w:rPr>
        <w:t>” and, together with the 2024 Purchase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plus, in each case, accrued interest, if any, from April 30, 2015 to the Closing Date.</w:t>
      </w:r>
    </w:p>
    <w:p>
      <w:pPr>
        <w:spacing w:after="0" w:line="180" w:lineRule="exact"/>
        <w:rPr>
          <w:sz w:val="20"/>
          <w:szCs w:val="20"/>
          <w:color w:val="auto"/>
        </w:rPr>
      </w:pPr>
    </w:p>
    <w:p>
      <w:pPr>
        <w:ind w:right="480" w:firstLine="656"/>
        <w:spacing w:after="0" w:line="308" w:lineRule="auto"/>
        <w:tabs>
          <w:tab w:leader="none" w:pos="1296" w:val="left"/>
        </w:tabs>
        <w:numPr>
          <w:ilvl w:val="0"/>
          <w:numId w:val="322"/>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140" w:firstLine="656"/>
        <w:spacing w:after="0" w:line="257" w:lineRule="auto"/>
        <w:tabs>
          <w:tab w:leader="none" w:pos="1296"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April 30, 2015,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Initial Purchasers, with any transfer taxes payable in connection with the transfer of the Securities to the Initial Purchasers duly paid, against payment of the Purchase Price therefor.</w:t>
      </w:r>
    </w:p>
    <w:p>
      <w:pPr>
        <w:spacing w:after="0" w:line="187" w:lineRule="exact"/>
        <w:rPr>
          <w:sz w:val="20"/>
          <w:szCs w:val="20"/>
          <w:color w:val="auto"/>
        </w:rPr>
      </w:pPr>
    </w:p>
    <w:p>
      <w:pPr>
        <w:ind w:right="20" w:firstLine="656"/>
        <w:spacing w:after="0" w:line="277" w:lineRule="auto"/>
        <w:tabs>
          <w:tab w:leader="none" w:pos="1296"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are subject to the following conditions: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1460" w:right="60" w:firstLine="655"/>
        <w:spacing w:after="0" w:line="342" w:lineRule="auto"/>
        <w:tabs>
          <w:tab w:leader="none" w:pos="2616" w:val="left"/>
        </w:tabs>
        <w:numPr>
          <w:ilvl w:val="2"/>
          <w:numId w:val="323"/>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w:t>
      </w:r>
    </w:p>
    <w:p>
      <w:pPr>
        <w:sectPr>
          <w:pgSz w:w="11900" w:h="16975" w:orient="portrait"/>
          <w:cols w:equalWidth="0" w:num="1">
            <w:col w:w="11420"/>
          </w:cols>
          <w:pgMar w:left="240" w:top="125" w:right="239" w:bottom="0" w:gutter="0" w:footer="0" w:header="0"/>
        </w:sectPr>
      </w:pPr>
    </w:p>
    <w:bookmarkStart w:id="103" w:name="page104"/>
    <w:bookmarkEnd w:id="103"/>
    <w:p>
      <w:pPr>
        <w:ind w:left="804" w:right="880"/>
        <w:spacing w:after="0" w:line="277" w:lineRule="auto"/>
        <w:rPr>
          <w:sz w:val="20"/>
          <w:szCs w:val="20"/>
          <w:color w:val="auto"/>
        </w:rPr>
      </w:pPr>
      <w:r>
        <w:rPr>
          <w:rFonts w:ascii="Arial" w:cs="Arial" w:eastAsia="Arial" w:hAnsi="Arial"/>
          <w:sz w:val="18"/>
          <w:szCs w:val="18"/>
          <w:color w:val="auto"/>
        </w:rPr>
        <w:t>of the debt securities of the Company by any “nationally recognized statistical rating organization,” as such term is defined in Section 3(a)(62) of the Exchange Act; and</w:t>
      </w:r>
    </w:p>
    <w:p>
      <w:pPr>
        <w:spacing w:after="0" w:line="170" w:lineRule="exact"/>
        <w:rPr>
          <w:sz w:val="20"/>
          <w:szCs w:val="20"/>
          <w:color w:val="auto"/>
        </w:rPr>
      </w:pPr>
    </w:p>
    <w:p>
      <w:pPr>
        <w:ind w:left="804" w:right="120" w:firstLine="655"/>
        <w:spacing w:after="0" w:line="277" w:lineRule="auto"/>
        <w:tabs>
          <w:tab w:leader="none" w:pos="196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4"/>
        <w:spacing w:after="0" w:line="264" w:lineRule="auto"/>
        <w:rPr>
          <w:sz w:val="20"/>
          <w:szCs w:val="20"/>
          <w:color w:val="auto"/>
        </w:rPr>
      </w:pPr>
      <w:r>
        <w:rPr>
          <w:rFonts w:ascii="Arial" w:cs="Arial" w:eastAsia="Arial" w:hAnsi="Arial"/>
          <w:sz w:val="18"/>
          <w:szCs w:val="18"/>
          <w:color w:val="auto"/>
        </w:rPr>
        <w:t>business or operations of the Company and its subsidiaries, taken 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81" w:lineRule="exact"/>
        <w:rPr>
          <w:sz w:val="20"/>
          <w:szCs w:val="20"/>
          <w:color w:val="auto"/>
        </w:rPr>
      </w:pPr>
    </w:p>
    <w:p>
      <w:pPr>
        <w:ind w:left="4" w:right="100" w:firstLine="645"/>
        <w:spacing w:after="0" w:line="290" w:lineRule="auto"/>
        <w:tabs>
          <w:tab w:leader="none" w:pos="130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 certificate, dated the Closing Date and signed by the chief executive officer or the chief financial officer of the Company, to the effect set forth in Section 5(a)(i)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Time of Sale Memorandum, there has been no material adverse change in the financial condition, earnings, business or properties of the Company and its subsidiaries, taken as a whole, except as set forth or contemplated in the Time of Sale Memorandum.</w:t>
      </w:r>
    </w:p>
    <w:p>
      <w:pPr>
        <w:spacing w:after="0" w:line="166"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jc w:val="both"/>
        <w:ind w:left="4" w:right="360" w:firstLine="645"/>
        <w:spacing w:after="0" w:line="264" w:lineRule="auto"/>
        <w:tabs>
          <w:tab w:leader="none" w:pos="13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Wilson Sonsini Goodrich &amp; Rosati, Professional Corporation, outside counsel for the Company, dated the Closing Date, to the effect set forth in Exhibit A. Such opinion shall be rendered to the Initial Purchasers at the request of the Company and shall so state therein.</w:t>
      </w:r>
    </w:p>
    <w:p>
      <w:pPr>
        <w:spacing w:after="0" w:line="181" w:lineRule="exact"/>
        <w:rPr>
          <w:rFonts w:ascii="Arial" w:cs="Arial" w:eastAsia="Arial" w:hAnsi="Arial"/>
          <w:sz w:val="18"/>
          <w:szCs w:val="18"/>
          <w:color w:val="auto"/>
        </w:rPr>
      </w:pPr>
    </w:p>
    <w:p>
      <w:pPr>
        <w:ind w:left="4" w:right="360" w:firstLine="645"/>
        <w:spacing w:after="0" w:line="277" w:lineRule="auto"/>
        <w:tabs>
          <w:tab w:leader="none" w:pos="130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Joel L. Poppen, the Company’s General Counsel, dated the Closing Date, to the effect set forth in Exhibit B.</w:t>
      </w:r>
    </w:p>
    <w:p>
      <w:pPr>
        <w:spacing w:after="0" w:line="170" w:lineRule="exact"/>
        <w:rPr>
          <w:rFonts w:ascii="Arial" w:cs="Arial" w:eastAsia="Arial" w:hAnsi="Arial"/>
          <w:sz w:val="18"/>
          <w:szCs w:val="18"/>
          <w:color w:val="auto"/>
        </w:rPr>
      </w:pPr>
    </w:p>
    <w:p>
      <w:pPr>
        <w:ind w:left="4" w:right="360" w:firstLine="645"/>
        <w:spacing w:after="0" w:line="277" w:lineRule="auto"/>
        <w:tabs>
          <w:tab w:leader="none" w:pos="13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Simpson Thacher &amp; Bartlett LLP, counsel for the Initial Purchasers, dated the Closing Date, in form and substance reasonably satisfactory to the Initial Purchasers.</w:t>
      </w:r>
    </w:p>
    <w:p>
      <w:pPr>
        <w:spacing w:after="0" w:line="170" w:lineRule="exact"/>
        <w:rPr>
          <w:rFonts w:ascii="Arial" w:cs="Arial" w:eastAsia="Arial" w:hAnsi="Arial"/>
          <w:sz w:val="18"/>
          <w:szCs w:val="18"/>
          <w:color w:val="auto"/>
        </w:rPr>
      </w:pPr>
    </w:p>
    <w:p>
      <w:pPr>
        <w:jc w:val="both"/>
        <w:ind w:left="4" w:right="380" w:firstLine="645"/>
        <w:spacing w:after="0" w:line="342" w:lineRule="auto"/>
        <w:tabs>
          <w:tab w:leader="none" w:pos="130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PricewaterhouseCoopers LLP, independent public</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April 23, 2015.</w:t>
      </w:r>
    </w:p>
    <w:p>
      <w:pPr>
        <w:spacing w:after="0" w:line="166" w:lineRule="exact"/>
        <w:rPr>
          <w:sz w:val="20"/>
          <w:szCs w:val="20"/>
          <w:color w:val="auto"/>
        </w:rPr>
      </w:pPr>
    </w:p>
    <w:p>
      <w:pPr>
        <w:ind w:left="4" w:right="240" w:firstLine="645"/>
        <w:spacing w:after="0" w:line="302" w:lineRule="auto"/>
        <w:tabs>
          <w:tab w:leader="none" w:pos="1321" w:val="left"/>
        </w:tabs>
        <w:numPr>
          <w:ilvl w:val="1"/>
          <w:numId w:val="327"/>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Indentures and the Securities.</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328"/>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Initial Purchaser as follows:</w:t>
      </w:r>
    </w:p>
    <w:p>
      <w:pPr>
        <w:spacing w:after="0" w:line="225" w:lineRule="exact"/>
        <w:rPr>
          <w:rFonts w:ascii="Arial" w:cs="Arial" w:eastAsia="Arial" w:hAnsi="Arial"/>
          <w:sz w:val="18"/>
          <w:szCs w:val="18"/>
          <w:color w:val="auto"/>
        </w:rPr>
      </w:pPr>
    </w:p>
    <w:p>
      <w:pPr>
        <w:ind w:left="4" w:right="240" w:firstLine="645"/>
        <w:spacing w:after="0" w:line="312" w:lineRule="auto"/>
        <w:tabs>
          <w:tab w:leader="none" w:pos="129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6" w:lineRule="exact"/>
        <w:rPr>
          <w:rFonts w:ascii="Arial" w:cs="Arial" w:eastAsia="Arial" w:hAnsi="Arial"/>
          <w:sz w:val="16"/>
          <w:szCs w:val="16"/>
          <w:color w:val="auto"/>
        </w:rPr>
      </w:pPr>
    </w:p>
    <w:p>
      <w:pPr>
        <w:ind w:left="4" w:right="160" w:firstLine="645"/>
        <w:spacing w:after="0" w:line="264" w:lineRule="auto"/>
        <w:tabs>
          <w:tab w:leader="none" w:pos="1308" w:val="left"/>
        </w:tabs>
        <w:numPr>
          <w:ilvl w:val="1"/>
          <w:numId w:val="328"/>
        </w:numPr>
        <w:rPr>
          <w:rFonts w:ascii="Arial" w:cs="Arial" w:eastAsia="Arial" w:hAnsi="Arial"/>
          <w:sz w:val="18"/>
          <w:szCs w:val="18"/>
          <w:color w:val="auto"/>
        </w:rPr>
      </w:pPr>
      <w:r>
        <w:rPr>
          <w:rFonts w:ascii="Arial" w:cs="Arial" w:eastAsia="Arial" w:hAnsi="Arial"/>
          <w:sz w:val="18"/>
          <w:szCs w:val="18"/>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 except as may be required by applicable law.</w:t>
      </w:r>
    </w:p>
    <w:p>
      <w:pPr>
        <w:spacing w:after="0" w:line="181" w:lineRule="exact"/>
        <w:rPr>
          <w:rFonts w:ascii="Arial" w:cs="Arial" w:eastAsia="Arial" w:hAnsi="Arial"/>
          <w:sz w:val="18"/>
          <w:szCs w:val="18"/>
          <w:color w:val="auto"/>
        </w:rPr>
      </w:pPr>
    </w:p>
    <w:p>
      <w:pPr>
        <w:ind w:left="4" w:right="40" w:firstLine="645"/>
        <w:spacing w:after="0" w:line="342" w:lineRule="auto"/>
        <w:tabs>
          <w:tab w:leader="none" w:pos="1311"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23" w:lineRule="exact"/>
        <w:rPr>
          <w:rFonts w:ascii="Arial" w:cs="Arial" w:eastAsia="Arial" w:hAnsi="Arial"/>
          <w:sz w:val="16"/>
          <w:szCs w:val="16"/>
          <w:color w:val="auto"/>
        </w:rPr>
      </w:pPr>
    </w:p>
    <w:p>
      <w:pPr>
        <w:ind w:left="4" w:right="40" w:firstLine="645"/>
        <w:spacing w:after="0" w:line="276" w:lineRule="auto"/>
        <w:tabs>
          <w:tab w:leader="none" w:pos="1308" w:val="left"/>
        </w:tabs>
        <w:numPr>
          <w:ilvl w:val="1"/>
          <w:numId w:val="328"/>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680" w:gutter="0" w:footer="0" w:header="0"/>
        </w:sectPr>
      </w:pPr>
    </w:p>
    <w:bookmarkStart w:id="104" w:name="page105"/>
    <w:bookmarkEnd w:id="104"/>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81" w:lineRule="exact"/>
        <w:rPr>
          <w:sz w:val="20"/>
          <w:szCs w:val="20"/>
          <w:color w:val="auto"/>
        </w:rPr>
      </w:pPr>
    </w:p>
    <w:p>
      <w:pPr>
        <w:ind w:firstLine="645"/>
        <w:spacing w:after="0" w:line="291" w:lineRule="auto"/>
        <w:tabs>
          <w:tab w:leader="none" w:pos="130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67" w:lineRule="exact"/>
        <w:rPr>
          <w:rFonts w:ascii="Arial" w:cs="Arial" w:eastAsia="Arial" w:hAnsi="Arial"/>
          <w:sz w:val="16"/>
          <w:szCs w:val="16"/>
          <w:color w:val="auto"/>
        </w:rPr>
      </w:pPr>
    </w:p>
    <w:p>
      <w:pPr>
        <w:ind w:firstLine="645"/>
        <w:spacing w:after="0" w:line="259" w:lineRule="auto"/>
        <w:tabs>
          <w:tab w:leader="none" w:pos="130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and Canada as you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6" w:lineRule="exact"/>
        <w:rPr>
          <w:rFonts w:ascii="Arial" w:cs="Arial" w:eastAsia="Arial" w:hAnsi="Arial"/>
          <w:sz w:val="18"/>
          <w:szCs w:val="18"/>
          <w:color w:val="auto"/>
        </w:rPr>
      </w:pPr>
    </w:p>
    <w:p>
      <w:pPr>
        <w:ind w:firstLine="645"/>
        <w:spacing w:after="0" w:line="271" w:lineRule="auto"/>
        <w:tabs>
          <w:tab w:leader="none" w:pos="1317" w:val="left"/>
        </w:tabs>
        <w:numPr>
          <w:ilvl w:val="0"/>
          <w:numId w:val="329"/>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69" w:lineRule="exact"/>
        <w:rPr>
          <w:sz w:val="20"/>
          <w:szCs w:val="20"/>
          <w:color w:val="auto"/>
        </w:rPr>
      </w:pPr>
    </w:p>
    <w:p>
      <w:pPr>
        <w:ind w:right="380" w:firstLine="645"/>
        <w:spacing w:after="0" w:line="277" w:lineRule="auto"/>
        <w:tabs>
          <w:tab w:leader="none" w:pos="130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right="40" w:firstLine="645"/>
        <w:spacing w:after="0" w:line="264" w:lineRule="auto"/>
        <w:tabs>
          <w:tab w:leader="none" w:pos="131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Neither the Company nor its Affiliates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ind w:firstLine="645"/>
        <w:spacing w:after="0" w:line="264" w:lineRule="auto"/>
        <w:tabs>
          <w:tab w:leader="none" w:pos="130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5"/>
        <w:spacing w:after="0" w:line="264" w:lineRule="auto"/>
        <w:tabs>
          <w:tab w:leader="none" w:pos="130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While any of the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81" w:lineRule="exact"/>
        <w:rPr>
          <w:rFonts w:ascii="Arial" w:cs="Arial" w:eastAsia="Arial" w:hAnsi="Arial"/>
          <w:sz w:val="18"/>
          <w:szCs w:val="18"/>
          <w:color w:val="auto"/>
        </w:rPr>
      </w:pPr>
    </w:p>
    <w:p>
      <w:pPr>
        <w:ind w:right="20" w:firstLine="645"/>
        <w:spacing w:after="0" w:line="259" w:lineRule="auto"/>
        <w:tabs>
          <w:tab w:leader="none" w:pos="131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None of the Company, its Affiliates or any person acting on its or their behalf (other than the Initial Purchasers, their Affiliates or any person acting on their behalf) will engage in any directed selling efforts (as that term is defined in Regulation S) with respect to the Securities, and the Company and its Affiliates and each person acting on its or their behalf (other than the Initial Purchasers, their Affiliates or any person acting on their behalf) will comply with the offering restrictions requirement of Regulation S.</w:t>
      </w:r>
    </w:p>
    <w:p>
      <w:pPr>
        <w:spacing w:after="0" w:line="186" w:lineRule="exact"/>
        <w:rPr>
          <w:rFonts w:ascii="Arial" w:cs="Arial" w:eastAsia="Arial" w:hAnsi="Arial"/>
          <w:sz w:val="18"/>
          <w:szCs w:val="18"/>
          <w:color w:val="auto"/>
        </w:rPr>
      </w:pPr>
    </w:p>
    <w:p>
      <w:pPr>
        <w:jc w:val="both"/>
        <w:ind w:right="40" w:firstLine="645"/>
        <w:spacing w:after="0" w:line="264" w:lineRule="auto"/>
        <w:tabs>
          <w:tab w:leader="none" w:pos="13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the Company will not, and will use its commercially reasonable efforts to not permit any of its affiliates (as defined in Rule 144 under the Securities Act) to, resell any of the Securities that constitute “restricted securities” under Rule 144 that have been reacquired by any of them.</w:t>
      </w:r>
    </w:p>
    <w:p>
      <w:pPr>
        <w:spacing w:after="0" w:line="181" w:lineRule="exact"/>
        <w:rPr>
          <w:rFonts w:ascii="Arial" w:cs="Arial" w:eastAsia="Arial" w:hAnsi="Arial"/>
          <w:sz w:val="18"/>
          <w:szCs w:val="18"/>
          <w:color w:val="auto"/>
        </w:rPr>
      </w:pPr>
    </w:p>
    <w:p>
      <w:pPr>
        <w:ind w:right="300" w:firstLine="645"/>
        <w:spacing w:after="0" w:line="277" w:lineRule="auto"/>
        <w:tabs>
          <w:tab w:leader="none" w:pos="130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ectPr>
          <w:pgSz w:w="11900" w:h="16929" w:orient="portrait"/>
          <w:cols w:equalWidth="0" w:num="1">
            <w:col w:w="10760"/>
          </w:cols>
          <w:pgMar w:left="900" w:top="125" w:right="239" w:bottom="0" w:gutter="0" w:footer="0" w:header="0"/>
        </w:sectPr>
      </w:pPr>
    </w:p>
    <w:bookmarkStart w:id="105" w:name="page106"/>
    <w:bookmarkEnd w:id="105"/>
    <w:p>
      <w:pPr>
        <w:spacing w:after="0" w:line="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also agrees that, without the prior written consent of Morgan Stanley &amp; Co. LLC on behalf of the Initial Purchasers,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87" w:lineRule="exact"/>
        <w:rPr>
          <w:sz w:val="20"/>
          <w:szCs w:val="20"/>
          <w:color w:val="auto"/>
        </w:rPr>
      </w:pPr>
    </w:p>
    <w:p>
      <w:pPr>
        <w:ind w:right="120" w:firstLine="656"/>
        <w:spacing w:after="0" w:line="254" w:lineRule="auto"/>
        <w:tabs>
          <w:tab w:leader="none" w:pos="1296"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Offering of Securities; Restrictions on Transfer</w:t>
      </w:r>
      <w:r>
        <w:rPr>
          <w:rFonts w:ascii="Arial" w:cs="Arial" w:eastAsia="Arial" w:hAnsi="Arial"/>
          <w:sz w:val="18"/>
          <w:szCs w:val="18"/>
          <w:color w:val="auto"/>
        </w:rPr>
        <w:t>. (a) Each Initial Purchaser, severally and not jointly, represents and warrants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Purchaser is a qualified institutional buyer as defined in Rule 144A under the Securities Act (a “</w:t>
      </w:r>
      <w:r>
        <w:rPr>
          <w:rFonts w:ascii="Arial" w:cs="Arial" w:eastAsia="Arial" w:hAnsi="Arial"/>
          <w:sz w:val="18"/>
          <w:szCs w:val="18"/>
          <w:b w:val="1"/>
          <w:bCs w:val="1"/>
          <w:color w:val="auto"/>
        </w:rPr>
        <w:t>QIB</w:t>
      </w:r>
      <w:r>
        <w:rPr>
          <w:rFonts w:ascii="Arial" w:cs="Arial" w:eastAsia="Arial" w:hAnsi="Arial"/>
          <w:sz w:val="18"/>
          <w:szCs w:val="18"/>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inside the United States that it reasonably believes to be QIBs. In addition, each Initial Purchaser, severally and not jointly, agrees with the Company that, in the case of offers outside the United States, it will solicit offers for such Securities only from, and will offer such Securities only to, persons other than U.S. persons (“</w:t>
      </w:r>
      <w:r>
        <w:rPr>
          <w:rFonts w:ascii="Arial" w:cs="Arial" w:eastAsia="Arial" w:hAnsi="Arial"/>
          <w:sz w:val="18"/>
          <w:szCs w:val="18"/>
          <w:b w:val="1"/>
          <w:bCs w:val="1"/>
          <w:color w:val="auto"/>
        </w:rPr>
        <w:t>foreign</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purchasers</w:t>
      </w:r>
      <w:r>
        <w:rPr>
          <w:rFonts w:ascii="Arial" w:cs="Arial" w:eastAsia="Arial" w:hAnsi="Arial"/>
          <w:sz w:val="18"/>
          <w:szCs w:val="18"/>
          <w:color w:val="auto"/>
        </w:rPr>
        <w:t>,” which term shall include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dealers or other professional fiduciaries in the United States acting on a discretionary basis for foreign beneficial owners (other than an estate or trust)) in reliance upon Regulation S under the Securities Act that in purchasing such Securities are deemed to have represented and agreed as provided in the Final Memorandum under the caption “Transfer Restrictions”.</w:t>
      </w:r>
    </w:p>
    <w:p>
      <w:pPr>
        <w:spacing w:after="0" w:line="181" w:lineRule="exact"/>
        <w:rPr>
          <w:sz w:val="20"/>
          <w:szCs w:val="20"/>
          <w:color w:val="auto"/>
        </w:rPr>
      </w:pPr>
    </w:p>
    <w:p>
      <w:pPr>
        <w:ind w:left="660" w:right="180" w:firstLine="645"/>
        <w:spacing w:after="0" w:line="277" w:lineRule="auto"/>
        <w:tabs>
          <w:tab w:leader="none" w:pos="196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warrants, and agrees (on behalf of itself, its Affiliates and any person acting on its or their behalf) with respect to offers and sales outside the United States that:</w:t>
      </w:r>
    </w:p>
    <w:p>
      <w:pPr>
        <w:spacing w:after="0" w:line="170" w:lineRule="exact"/>
        <w:rPr>
          <w:rFonts w:ascii="Arial" w:cs="Arial" w:eastAsia="Arial" w:hAnsi="Arial"/>
          <w:sz w:val="18"/>
          <w:szCs w:val="18"/>
          <w:color w:val="auto"/>
        </w:rPr>
      </w:pPr>
    </w:p>
    <w:p>
      <w:pPr>
        <w:jc w:val="both"/>
        <w:ind w:left="1460" w:right="60" w:firstLine="655"/>
        <w:spacing w:after="0" w:line="259" w:lineRule="auto"/>
        <w:tabs>
          <w:tab w:leader="none" w:pos="2616"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86" w:lineRule="exact"/>
        <w:rPr>
          <w:rFonts w:ascii="Arial" w:cs="Arial" w:eastAsia="Arial" w:hAnsi="Arial"/>
          <w:sz w:val="18"/>
          <w:szCs w:val="18"/>
          <w:color w:val="auto"/>
        </w:rPr>
      </w:pPr>
    </w:p>
    <w:p>
      <w:pPr>
        <w:ind w:left="1460" w:firstLine="655"/>
        <w:spacing w:after="0" w:line="264" w:lineRule="auto"/>
        <w:tabs>
          <w:tab w:leader="none" w:pos="2625"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rFonts w:ascii="Arial" w:cs="Arial" w:eastAsia="Arial" w:hAnsi="Arial"/>
          <w:sz w:val="18"/>
          <w:szCs w:val="18"/>
          <w:color w:val="auto"/>
        </w:rPr>
      </w:pPr>
    </w:p>
    <w:p>
      <w:pPr>
        <w:jc w:val="both"/>
        <w:ind w:left="1460" w:right="160" w:firstLine="655"/>
        <w:spacing w:after="0" w:line="264" w:lineRule="auto"/>
        <w:tabs>
          <w:tab w:leader="none" w:pos="2635"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rFonts w:ascii="Arial" w:cs="Arial" w:eastAsia="Arial" w:hAnsi="Arial"/>
          <w:sz w:val="18"/>
          <w:szCs w:val="18"/>
          <w:color w:val="auto"/>
        </w:rPr>
      </w:pPr>
    </w:p>
    <w:p>
      <w:pPr>
        <w:ind w:left="1460" w:right="60" w:firstLine="655"/>
        <w:spacing w:after="0" w:line="255" w:lineRule="auto"/>
        <w:tabs>
          <w:tab w:leader="none" w:pos="261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such Initial Purchaser has offered the Securities and will offer and sell the Securities (A) as part of their distribution at any time and (B) otherwise until 40 days after the later of the commencement of the offering and the Closing, only in accordance with Rule 903 of Regulation S or as otherwise permitted in Section 7(a);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100" w:firstLine="655"/>
        <w:spacing w:after="0" w:line="259" w:lineRule="auto"/>
        <w:tabs>
          <w:tab w:leader="none" w:pos="260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such Initial Purchaser, in relation to each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has represented and agreed that with effect from and including the date on which the Prospectus Directive is implemented in that Relevant Member State it has not made and will not make an offer of Securities to the public in that Relevant Member State, other than:</w:t>
      </w:r>
    </w:p>
    <w:p>
      <w:pPr>
        <w:spacing w:after="0" w:line="186" w:lineRule="exact"/>
        <w:rPr>
          <w:rFonts w:ascii="Arial" w:cs="Arial" w:eastAsia="Arial" w:hAnsi="Arial"/>
          <w:sz w:val="18"/>
          <w:szCs w:val="18"/>
          <w:color w:val="auto"/>
        </w:rPr>
      </w:pPr>
    </w:p>
    <w:p>
      <w:pPr>
        <w:ind w:left="3260" w:hanging="659"/>
        <w:spacing w:after="0"/>
        <w:tabs>
          <w:tab w:leader="none" w:pos="32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40" w:firstLine="1301"/>
        <w:spacing w:after="0" w:line="259" w:lineRule="auto"/>
        <w:tabs>
          <w:tab w:leader="none" w:pos="3255"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Morgan Stanley Co. LLC on behalf of the Initial Purchasers for any such offer; or</w:t>
      </w:r>
    </w:p>
    <w:p>
      <w:pPr>
        <w:spacing w:after="0" w:line="186" w:lineRule="exact"/>
        <w:rPr>
          <w:rFonts w:ascii="Arial" w:cs="Arial" w:eastAsia="Arial" w:hAnsi="Arial"/>
          <w:sz w:val="18"/>
          <w:szCs w:val="18"/>
          <w:color w:val="auto"/>
        </w:rPr>
      </w:pPr>
    </w:p>
    <w:p>
      <w:pPr>
        <w:ind w:left="1300" w:right="300" w:firstLine="1301"/>
        <w:spacing w:after="0" w:line="342" w:lineRule="auto"/>
        <w:tabs>
          <w:tab w:leader="none" w:pos="3255"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 of the Prospectus Directive, provided that no such offer of Securities shall require the Company or any Initial Purchaser to publish a prospectus pursuant to Article 3 of the Prospectus Directive.</w:t>
      </w:r>
    </w:p>
    <w:p>
      <w:pPr>
        <w:spacing w:after="0" w:line="124"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For the purposes of the above,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that Member State, and the expression “2010 PD Amending Directive” means Directive 2010/73/EU;</w:t>
      </w:r>
    </w:p>
    <w:p>
      <w:pPr>
        <w:spacing w:after="0" w:line="178" w:lineRule="exact"/>
        <w:rPr>
          <w:sz w:val="20"/>
          <w:szCs w:val="20"/>
          <w:color w:val="auto"/>
        </w:rPr>
      </w:pPr>
    </w:p>
    <w:p>
      <w:pPr>
        <w:ind w:left="1460" w:right="180" w:firstLine="655"/>
        <w:spacing w:after="0" w:line="279" w:lineRule="auto"/>
        <w:tabs>
          <w:tab w:leader="none" w:pos="2611" w:val="left"/>
        </w:tabs>
        <w:numPr>
          <w:ilvl w:val="0"/>
          <w:numId w:val="335"/>
        </w:numPr>
        <w:rPr>
          <w:rFonts w:ascii="Arial" w:cs="Arial" w:eastAsia="Arial" w:hAnsi="Arial"/>
          <w:sz w:val="17"/>
          <w:szCs w:val="17"/>
          <w:color w:val="auto"/>
        </w:rPr>
      </w:pPr>
      <w:r>
        <w:rPr>
          <w:rFonts w:ascii="Arial" w:cs="Arial" w:eastAsia="Arial" w:hAnsi="Arial"/>
          <w:sz w:val="17"/>
          <w:szCs w:val="17"/>
          <w:color w:val="auto"/>
        </w:rPr>
        <w:t>such Initial Purchaser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the Securities in circumstances in which Section 21(1) of such Act does not apply to us and it has complied and will comply</w:t>
      </w:r>
    </w:p>
    <w:p>
      <w:pPr>
        <w:sectPr>
          <w:pgSz w:w="11900" w:h="16928" w:orient="portrait"/>
          <w:cols w:equalWidth="0" w:num="1">
            <w:col w:w="11420"/>
          </w:cols>
          <w:pgMar w:left="240" w:top="341" w:right="239" w:bottom="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80"/>
        <w:spacing w:after="0" w:line="277" w:lineRule="auto"/>
        <w:rPr>
          <w:sz w:val="20"/>
          <w:szCs w:val="20"/>
          <w:color w:val="auto"/>
        </w:rPr>
      </w:pPr>
      <w:r>
        <w:rPr>
          <w:rFonts w:ascii="Arial" w:cs="Arial" w:eastAsia="Arial" w:hAnsi="Arial"/>
          <w:sz w:val="18"/>
          <w:szCs w:val="18"/>
          <w:color w:val="auto"/>
        </w:rPr>
        <w:t>with all applicable provisions of such Act with respect to anything done by it in relation to any Securities in, from or otherwise involving the United Kingdom;</w:t>
      </w:r>
    </w:p>
    <w:p>
      <w:pPr>
        <w:spacing w:after="0" w:line="170" w:lineRule="exact"/>
        <w:rPr>
          <w:sz w:val="20"/>
          <w:szCs w:val="20"/>
          <w:color w:val="auto"/>
        </w:rPr>
      </w:pPr>
    </w:p>
    <w:p>
      <w:pPr>
        <w:ind w:left="1460" w:right="20" w:firstLine="655"/>
        <w:spacing w:after="0" w:line="270" w:lineRule="auto"/>
        <w:tabs>
          <w:tab w:leader="none" w:pos="2621" w:val="left"/>
        </w:tabs>
        <w:numPr>
          <w:ilvl w:val="1"/>
          <w:numId w:val="336"/>
        </w:numPr>
        <w:rPr>
          <w:rFonts w:ascii="Arial" w:cs="Arial" w:eastAsia="Arial" w:hAnsi="Arial"/>
          <w:sz w:val="17"/>
          <w:szCs w:val="17"/>
          <w:color w:val="auto"/>
        </w:rPr>
      </w:pPr>
      <w:r>
        <w:rPr>
          <w:rFonts w:ascii="Arial" w:cs="Arial" w:eastAsia="Arial" w:hAnsi="Arial"/>
          <w:sz w:val="17"/>
          <w:szCs w:val="17"/>
          <w:color w:val="auto"/>
        </w:rPr>
        <w:t>such Initial Purchaser agrees that the Securities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which are or are intended to be disposed of only to persons outside Hong Kong or only to “professional investors” within the meaning of the Securities and Futures Ordinance (Cap.571, Laws of Hong Kong) and any rules made thereunder;</w:t>
      </w:r>
    </w:p>
    <w:p>
      <w:pPr>
        <w:spacing w:after="0" w:line="177" w:lineRule="exact"/>
        <w:rPr>
          <w:rFonts w:ascii="Arial" w:cs="Arial" w:eastAsia="Arial" w:hAnsi="Arial"/>
          <w:sz w:val="17"/>
          <w:szCs w:val="17"/>
          <w:color w:val="auto"/>
        </w:rPr>
      </w:pPr>
    </w:p>
    <w:p>
      <w:pPr>
        <w:ind w:left="1460" w:right="80" w:firstLine="655"/>
        <w:spacing w:after="0" w:line="284" w:lineRule="auto"/>
        <w:tabs>
          <w:tab w:leader="none" w:pos="263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such Initial Purchaser understands that the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w:t>
      </w:r>
    </w:p>
    <w:p>
      <w:pPr>
        <w:spacing w:after="0" w:line="4" w:lineRule="exact"/>
        <w:rPr>
          <w:rFonts w:ascii="Arial" w:cs="Arial" w:eastAsia="Arial" w:hAnsi="Arial"/>
          <w:sz w:val="16"/>
          <w:szCs w:val="16"/>
          <w:color w:val="auto"/>
        </w:rPr>
      </w:pPr>
    </w:p>
    <w:p>
      <w:pPr>
        <w:ind w:left="1460" w:right="80" w:firstLine="7"/>
        <w:spacing w:after="0" w:line="253" w:lineRule="auto"/>
        <w:tabs>
          <w:tab w:leader="none" w:pos="177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Where the Securities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80"/>
        <w:spacing w:after="0" w:line="291" w:lineRule="auto"/>
        <w:rPr>
          <w:sz w:val="20"/>
          <w:szCs w:val="20"/>
          <w:color w:val="auto"/>
        </w:rPr>
      </w:pPr>
      <w:r>
        <w:rPr>
          <w:rFonts w:ascii="Arial" w:cs="Arial" w:eastAsia="Arial" w:hAnsi="Arial"/>
          <w:sz w:val="16"/>
          <w:szCs w:val="16"/>
          <w:color w:val="auto"/>
        </w:rPr>
        <w:t>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ind w:left="1460" w:right="280" w:firstLine="7"/>
        <w:spacing w:after="0" w:line="255" w:lineRule="auto"/>
        <w:tabs>
          <w:tab w:leader="none" w:pos="171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0" w:lineRule="exact"/>
        <w:rPr>
          <w:rFonts w:ascii="Arial" w:cs="Arial" w:eastAsia="Arial" w:hAnsi="Arial"/>
          <w:sz w:val="18"/>
          <w:szCs w:val="18"/>
          <w:color w:val="auto"/>
        </w:rPr>
      </w:pPr>
    </w:p>
    <w:p>
      <w:pPr>
        <w:ind w:left="1460" w:right="120" w:firstLine="655"/>
        <w:spacing w:after="0" w:line="279" w:lineRule="auto"/>
        <w:tabs>
          <w:tab w:leader="none" w:pos="2611" w:val="left"/>
        </w:tabs>
        <w:numPr>
          <w:ilvl w:val="1"/>
          <w:numId w:val="338"/>
        </w:numPr>
        <w:rPr>
          <w:rFonts w:ascii="Arial" w:cs="Arial" w:eastAsia="Arial" w:hAnsi="Arial"/>
          <w:sz w:val="17"/>
          <w:szCs w:val="17"/>
          <w:color w:val="auto"/>
        </w:rPr>
      </w:pPr>
      <w:r>
        <w:rPr>
          <w:rFonts w:ascii="Arial" w:cs="Arial" w:eastAsia="Arial" w:hAnsi="Arial"/>
          <w:sz w:val="17"/>
          <w:szCs w:val="17"/>
          <w:color w:val="auto"/>
        </w:rPr>
        <w:t>such Initial Purchaser understands that the Securities have not been and will not be registered under the Securities and Exchange Law of Japan, and represents that it has not offered or sold, and agrees not to offer or sell, directly or indirectly, any Securities in Japan or for the account of any resident thereof except pursuant to any exemption from the registration requirements of the Securities and Exchange Law of Japan and otherwise in compliance with applicable provisions of Japanese law; and</w:t>
      </w:r>
    </w:p>
    <w:p>
      <w:pPr>
        <w:spacing w:after="0" w:line="171" w:lineRule="exact"/>
        <w:rPr>
          <w:rFonts w:ascii="Arial" w:cs="Arial" w:eastAsia="Arial" w:hAnsi="Arial"/>
          <w:sz w:val="17"/>
          <w:szCs w:val="17"/>
          <w:color w:val="auto"/>
        </w:rPr>
      </w:pPr>
    </w:p>
    <w:p>
      <w:pPr>
        <w:ind w:left="1460" w:right="40" w:firstLine="655"/>
        <w:spacing w:after="0" w:line="264" w:lineRule="auto"/>
        <w:tabs>
          <w:tab w:leader="none" w:pos="260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such Initial Purchaser agrees that, at or prior to confirmation of sales of the Securities, it will have sent to each distributor, dealer or person receiving a selling concession, fee or other remuneration that purchases Securities from it during the restricted period a confirmation or notice to substantially the following effect:</w:t>
      </w:r>
    </w:p>
    <w:p>
      <w:pPr>
        <w:spacing w:after="0" w:line="181" w:lineRule="exact"/>
        <w:rPr>
          <w:sz w:val="20"/>
          <w:szCs w:val="20"/>
          <w:color w:val="auto"/>
        </w:rPr>
      </w:pPr>
    </w:p>
    <w:p>
      <w:pPr>
        <w:ind w:left="1960" w:right="80" w:firstLine="648"/>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“Securities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Securities Act. Terms used above have the meaning given to them by 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7(b) have the meanings given to them by Regulation S.</w:t>
      </w:r>
    </w:p>
    <w:p>
      <w:pPr>
        <w:spacing w:after="0" w:line="225" w:lineRule="exact"/>
        <w:rPr>
          <w:sz w:val="20"/>
          <w:szCs w:val="20"/>
          <w:color w:val="auto"/>
        </w:rPr>
      </w:pPr>
    </w:p>
    <w:p>
      <w:pPr>
        <w:ind w:firstLine="656"/>
        <w:spacing w:after="0" w:line="312" w:lineRule="auto"/>
        <w:tabs>
          <w:tab w:leader="none" w:pos="1296" w:val="left"/>
        </w:tabs>
        <w:numPr>
          <w:ilvl w:val="0"/>
          <w:numId w:val="339"/>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Initial Purchaser, the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ectPr>
          <w:pgSz w:w="11900" w:h="16838" w:orient="portrait"/>
          <w:cols w:equalWidth="0" w:num="1">
            <w:col w:w="11420"/>
          </w:cols>
          <w:pgMar w:left="240" w:top="341" w:right="239" w:bottom="0" w:gutter="0" w:footer="0" w:header="0"/>
        </w:sectPr>
      </w:pPr>
    </w:p>
    <w:bookmarkStart w:id="107" w:name="page108"/>
    <w:bookmarkEnd w:id="107"/>
    <w:p>
      <w:pPr>
        <w:ind w:firstLine="645"/>
        <w:spacing w:after="0" w:line="270" w:lineRule="auto"/>
        <w:tabs>
          <w:tab w:leader="none" w:pos="130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Each Initial Purchaser agrees, severally and not jointly, to indemnify and hold harmless the Company, each of its directors, officers, employees and agents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 writing by such Initial Purchaser through you expressly for use in the Preliminary Memorandum, the Time of Sale Memorandum, any Additional Written Offering Communication prepared by or on behalf of, used by or referred to by the Company, road show, or the Final Memorandum or any amendment or supplement thereto, it being understood and agreed that the only such information consists of the following paragraphs in the Preliminary Memorandum and the Final Memorandum: the first sentence of the fourth paragraph, the fourth and fifth sentences of the eighth paragraph, the ninth paragraph and the tenth paragraph under “Plan of Distribution” in the Preliminary Memorandum and the Final Memorandum.</w:t>
      </w:r>
    </w:p>
    <w:p>
      <w:pPr>
        <w:spacing w:after="0" w:line="181" w:lineRule="exact"/>
        <w:rPr>
          <w:rFonts w:ascii="Arial" w:cs="Arial" w:eastAsia="Arial" w:hAnsi="Arial"/>
          <w:sz w:val="17"/>
          <w:szCs w:val="17"/>
          <w:color w:val="auto"/>
        </w:rPr>
      </w:pPr>
    </w:p>
    <w:p>
      <w:pPr>
        <w:ind w:right="140" w:firstLine="645"/>
        <w:spacing w:after="0" w:line="273" w:lineRule="auto"/>
        <w:tabs>
          <w:tab w:leader="none" w:pos="1307" w:val="left"/>
        </w:tabs>
        <w:numPr>
          <w:ilvl w:val="0"/>
          <w:numId w:val="340"/>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75" w:lineRule="exact"/>
        <w:rPr>
          <w:sz w:val="20"/>
          <w:szCs w:val="20"/>
          <w:color w:val="auto"/>
        </w:rPr>
      </w:pPr>
    </w:p>
    <w:p>
      <w:pPr>
        <w:ind w:right="120" w:firstLine="645"/>
        <w:spacing w:after="0" w:line="293" w:lineRule="auto"/>
        <w:tabs>
          <w:tab w:leader="none" w:pos="130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also the relative fault of the Company on the one hand and of the Initial Purchasers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69" w:lineRule="exact"/>
        <w:rPr>
          <w:sz w:val="20"/>
          <w:szCs w:val="20"/>
          <w:color w:val="auto"/>
        </w:rPr>
      </w:pPr>
    </w:p>
    <w:p>
      <w:pPr>
        <w:ind w:right="20" w:firstLine="645"/>
        <w:spacing w:after="0" w:line="287" w:lineRule="auto"/>
        <w:tabs>
          <w:tab w:leader="none" w:pos="130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Company and the Initial Purchasers agree that it would not be just or equitable if contribution pursuant to this Section 8 were determined by pro rata allocation (even if the Initial Purchasers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2" w:lineRule="exact"/>
        <w:rPr>
          <w:rFonts w:ascii="Arial" w:cs="Arial" w:eastAsia="Arial" w:hAnsi="Arial"/>
          <w:sz w:val="16"/>
          <w:szCs w:val="16"/>
          <w:color w:val="auto"/>
        </w:rPr>
      </w:pPr>
    </w:p>
    <w:p>
      <w:pPr>
        <w:ind w:left="1300" w:hanging="655"/>
        <w:spacing w:after="0"/>
        <w:tabs>
          <w:tab w:leader="none" w:pos="130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ectPr>
          <w:pgSz w:w="11900" w:h="16838" w:orient="portrait"/>
          <w:cols w:equalWidth="0" w:num="1">
            <w:col w:w="10740"/>
          </w:cols>
          <w:pgMar w:left="900" w:top="125" w:right="259" w:bottom="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Company contained in this Agreement shall remain operative and in full force and effect regardless of (i) any termination of this Agreement, (ii) 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87" w:lineRule="exact"/>
        <w:rPr>
          <w:sz w:val="20"/>
          <w:szCs w:val="20"/>
          <w:color w:val="auto"/>
        </w:rPr>
      </w:pPr>
    </w:p>
    <w:p>
      <w:pPr>
        <w:ind w:firstLine="656"/>
        <w:spacing w:after="0" w:line="289" w:lineRule="auto"/>
        <w:tabs>
          <w:tab w:leader="none" w:pos="1296" w:val="left"/>
        </w:tabs>
        <w:numPr>
          <w:ilvl w:val="0"/>
          <w:numId w:val="343"/>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Section 9, makes it, in your judgment, impracticable or inadvisable to proceed with the offer, sale or delivery of the Securities on the terms and in the manner contemplated in the Time of Sale Memorandum or the Final Memorandum.</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343"/>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on the Closing Date,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Securities set forth opposite their respective names in Schedule I bears to the aggregate principal amount of Securities set forth opposite the names of all such non-defaulting Initial Purchasers, or in such other proportions as you may specify, to purchase the Securities that such defaulting Initial Purchaser or Initial Purchasers agreed but failed or refused to purchase on 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Securities which it or they have agreed to purchase hereunder on such date and the aggregate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Initial Purchaser or of the Company.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Any action taken under this paragraph shall not relieve any defaulting Initial Purchaser from liability in respect of any default of such Initial Purchaser under this Agreement.</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this Agreement shall be terminated by the Initial Purchasers,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88" w:lineRule="exact"/>
        <w:rPr>
          <w:sz w:val="20"/>
          <w:szCs w:val="20"/>
          <w:color w:val="auto"/>
        </w:rPr>
      </w:pPr>
    </w:p>
    <w:p>
      <w:pPr>
        <w:jc w:val="both"/>
        <w:ind w:right="280" w:firstLine="656"/>
        <w:spacing w:after="0" w:line="259" w:lineRule="auto"/>
        <w:tabs>
          <w:tab w:leader="none" w:pos="1285"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6" w:lineRule="exact"/>
        <w:rPr>
          <w:rFonts w:ascii="Arial" w:cs="Arial" w:eastAsia="Arial" w:hAnsi="Arial"/>
          <w:sz w:val="18"/>
          <w:szCs w:val="18"/>
          <w:color w:val="auto"/>
        </w:rPr>
      </w:pPr>
    </w:p>
    <w:p>
      <w:pPr>
        <w:ind w:left="660" w:right="40" w:firstLine="645"/>
        <w:spacing w:after="0" w:line="297" w:lineRule="auto"/>
        <w:tabs>
          <w:tab w:leader="none" w:pos="1964"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right="40" w:firstLine="656"/>
        <w:spacing w:after="0" w:line="277" w:lineRule="auto"/>
        <w:tabs>
          <w:tab w:leader="none" w:pos="1292"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345"/>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20" w:firstLine="656"/>
        <w:spacing w:after="0" w:line="277" w:lineRule="auto"/>
        <w:tabs>
          <w:tab w:leader="none" w:pos="1292" w:val="left"/>
        </w:tabs>
        <w:numPr>
          <w:ilvl w:val="0"/>
          <w:numId w:val="345"/>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jc w:val="both"/>
        <w:ind w:firstLine="656"/>
        <w:spacing w:after="0" w:line="342" w:lineRule="auto"/>
        <w:tabs>
          <w:tab w:leader="none" w:pos="1292" w:val="left"/>
        </w:tabs>
        <w:numPr>
          <w:ilvl w:val="0"/>
          <w:numId w:val="345"/>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Initial Purchasers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Morgan Stanley &amp; Co. LLC, 1585 Broadway, New York, New York 10036, Attention: High Yield Syndicate Desk, with a copy to the</w:t>
      </w:r>
    </w:p>
    <w:p>
      <w:pPr>
        <w:sectPr>
          <w:pgSz w:w="11900" w:h="16838" w:orient="portrait"/>
          <w:cols w:equalWidth="0" w:num="1">
            <w:col w:w="11400"/>
          </w:cols>
          <w:pgMar w:left="240" w:top="125" w:right="259" w:bottom="0" w:gutter="0" w:footer="0" w:header="0"/>
        </w:sectPr>
      </w:pPr>
    </w:p>
    <w:bookmarkStart w:id="109" w:name="page110"/>
    <w:bookmarkEnd w:id="109"/>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Legal Department; Goldman, Sachs &amp; Co., 200 West Street, New York, New York 10282, Attention: Registration Department; and Credit Suisse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(USA) LLC, Eleven Madison Avenue, New York, New York 10010, Attention: LCD-IBD Legal; with a copy to Simpson Thacher &amp; Bartlett LLP, 2475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Hanover Street, Palo Alto, California 94304, Attention: William H. Hinman, Jr., Fax: (650) 251 5002; and (b) if to the Company shall be delivered, mailed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sent to Micron Technology, Inc., 8000 South Federal Way, Boise, Idaho 83716, Attention: General Counsel, Fax: (208) 368 4540, with a copy to Wilson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Sonsini Goodrich &amp; Rosati, Professional Corporation, 650 Page Mill Road, Palo Alto, California 94304, Attention: John A. Fore, Fax: (650) 493 6811.</w:t>
      </w:r>
    </w:p>
    <w:p>
      <w:pPr>
        <w:spacing w:after="0" w:line="22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accordance with the requirements of the USA PATRIOT Act,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W. Adams</w:t>
      </w:r>
    </w:p>
    <w:p>
      <w:pPr>
        <w:spacing w:after="0" w:line="23" w:lineRule="exact"/>
        <w:rPr>
          <w:sz w:val="20"/>
          <w:szCs w:val="20"/>
          <w:color w:val="auto"/>
        </w:rPr>
      </w:pPr>
    </w:p>
    <w:p>
      <w:pPr>
        <w:ind w:left="6400"/>
        <w:spacing w:after="0"/>
        <w:tabs>
          <w:tab w:leader="none" w:pos="7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W.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Purchasers named in Schedule 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hereto.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Jon Rauen</w:t>
            </w:r>
          </w:p>
        </w:tc>
      </w:tr>
      <w:tr>
        <w:trPr>
          <w:trHeight w:val="195"/>
        </w:trPr>
        <w:tc>
          <w:tcPr>
            <w:tcW w:w="56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80"/>
              <w:spacing w:after="0" w:line="195" w:lineRule="exact"/>
              <w:rPr>
                <w:sz w:val="20"/>
                <w:szCs w:val="20"/>
                <w:color w:val="auto"/>
              </w:rPr>
            </w:pPr>
            <w:r>
              <w:rPr>
                <w:rFonts w:ascii="Arial" w:cs="Arial" w:eastAsia="Arial" w:hAnsi="Arial"/>
                <w:sz w:val="18"/>
                <w:szCs w:val="18"/>
                <w:color w:val="auto"/>
              </w:rPr>
              <w:t>Jon Rauen</w:t>
            </w:r>
          </w:p>
        </w:tc>
      </w:tr>
      <w:tr>
        <w:trPr>
          <w:trHeight w:val="230"/>
        </w:trPr>
        <w:tc>
          <w:tcPr>
            <w:tcW w:w="5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80"/>
              <w:spacing w:after="0"/>
              <w:rPr>
                <w:sz w:val="20"/>
                <w:szCs w:val="20"/>
                <w:color w:val="auto"/>
              </w:rPr>
            </w:pPr>
            <w:r>
              <w:rPr>
                <w:rFonts w:ascii="Arial" w:cs="Arial" w:eastAsia="Arial" w:hAnsi="Arial"/>
                <w:sz w:val="18"/>
                <w:szCs w:val="18"/>
                <w:color w:val="auto"/>
              </w:rPr>
              <w:t>Authorized Signatory</w:t>
            </w:r>
          </w:p>
        </w:tc>
      </w:tr>
      <w:tr>
        <w:trPr>
          <w:trHeight w:val="648"/>
        </w:trPr>
        <w:tc>
          <w:tcPr>
            <w:tcW w:w="5720" w:type="dxa"/>
            <w:vAlign w:val="bottom"/>
            <w:gridSpan w:val="3"/>
          </w:tcPr>
          <w:p>
            <w:pPr>
              <w:spacing w:after="0"/>
              <w:rPr>
                <w:sz w:val="20"/>
                <w:szCs w:val="20"/>
                <w:color w:val="auto"/>
              </w:rPr>
            </w:pPr>
            <w:r>
              <w:rPr>
                <w:rFonts w:ascii="Arial" w:cs="Arial" w:eastAsia="Arial" w:hAnsi="Arial"/>
                <w:sz w:val="18"/>
                <w:szCs w:val="18"/>
                <w:color w:val="auto"/>
              </w:rPr>
              <w:t>By: GOLDMAN, SACHS &amp; CO.</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Michael Hickey</w:t>
            </w:r>
          </w:p>
        </w:tc>
      </w:tr>
      <w:tr>
        <w:trPr>
          <w:trHeight w:val="195"/>
        </w:trPr>
        <w:tc>
          <w:tcPr>
            <w:tcW w:w="56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80"/>
              <w:spacing w:after="0" w:line="195" w:lineRule="exact"/>
              <w:rPr>
                <w:sz w:val="20"/>
                <w:szCs w:val="20"/>
                <w:color w:val="auto"/>
              </w:rPr>
            </w:pPr>
            <w:r>
              <w:rPr>
                <w:rFonts w:ascii="Arial" w:cs="Arial" w:eastAsia="Arial" w:hAnsi="Arial"/>
                <w:sz w:val="18"/>
                <w:szCs w:val="18"/>
                <w:color w:val="auto"/>
              </w:rPr>
              <w:t>Michael Hickey</w:t>
            </w:r>
          </w:p>
        </w:tc>
      </w:tr>
      <w:tr>
        <w:trPr>
          <w:trHeight w:val="230"/>
        </w:trPr>
        <w:tc>
          <w:tcPr>
            <w:tcW w:w="5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Jeremiah Hux</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Jeremiah Hux</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2"/>
          </w:tcPr>
          <w:p>
            <w:pPr>
              <w:ind w:left="920"/>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Principal</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5"/>
              </w:rPr>
              <w:t>Amount of 2024</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Amount of 2026</w:t>
            </w:r>
          </w:p>
        </w:tc>
        <w:tc>
          <w:tcPr>
            <w:tcW w:w="0" w:type="dxa"/>
            <w:vAlign w:val="bottom"/>
          </w:tcPr>
          <w:p>
            <w:pPr>
              <w:spacing w:after="0"/>
              <w:rPr>
                <w:sz w:val="1"/>
                <w:szCs w:val="1"/>
                <w:color w:val="auto"/>
              </w:rPr>
            </w:pPr>
          </w:p>
        </w:tc>
      </w:tr>
      <w:tr>
        <w:trPr>
          <w:trHeight w:val="14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9"/>
              </w:rPr>
              <w:t>Notes to be</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Notes to be</w:t>
            </w: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jc w:val="center"/>
              <w:ind w:right="282"/>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181,500,000.00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Goldman, Sachs &amp; Co.</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129,250,000.00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105,750,000.00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38,500,000.00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31,500,000.00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HSBC Securities (USA) Inc.</w:t>
            </w:r>
          </w:p>
        </w:tc>
        <w:tc>
          <w:tcPr>
            <w:tcW w:w="6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33,000,000.00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27,000,000.00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18,000,000.00</w:t>
            </w: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8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66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22,000,000.00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18,000,000.00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20,625,000.00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16,875,000.00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DBS Bank Ltd.</w:t>
            </w:r>
          </w:p>
        </w:tc>
        <w:tc>
          <w:tcPr>
            <w:tcW w:w="6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19,250,000.00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16,500,000.00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6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16,500,000.00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13,500,000.00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15,125,000.00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12,375,000.00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ING Financial Markets LLC</w:t>
            </w:r>
          </w:p>
        </w:tc>
        <w:tc>
          <w:tcPr>
            <w:tcW w:w="6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15,125,000.00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12,375,000.00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15,125,000.00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12,375,000.00</w:t>
            </w:r>
          </w:p>
        </w:tc>
      </w:tr>
      <w:tr>
        <w:trPr>
          <w:trHeight w:val="256"/>
        </w:trPr>
        <w:tc>
          <w:tcPr>
            <w:tcW w:w="648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6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5,500,000.00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4,500,000.00</w:t>
            </w:r>
          </w:p>
        </w:tc>
      </w:tr>
      <w:tr>
        <w:trPr>
          <w:trHeight w:val="197"/>
        </w:trPr>
        <w:tc>
          <w:tcPr>
            <w:tcW w:w="64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550,000,000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450,000,000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Memorandum</w:t>
      </w:r>
    </w:p>
    <w:p>
      <w:pPr>
        <w:spacing w:after="0" w:line="211"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Preliminary Memorandum issued April 27, 2015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Pricing Term Sheet issued April 27,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jc w:val="both"/>
        <w:ind w:right="140" w:firstLine="8"/>
        <w:spacing w:after="0" w:line="342" w:lineRule="auto"/>
        <w:tabs>
          <w:tab w:leader="none" w:pos="64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firstLine="8"/>
        <w:spacing w:after="0" w:line="257" w:lineRule="auto"/>
        <w:tabs>
          <w:tab w:leader="none" w:pos="64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Securities are in the form contemplated by the applicable Indenture, have been duly authorized by the Company and, when executed by the Company and authenticated by the Trustee in accordance with the terms of the applicable Indenture and delivered against the purchase price therefor specified in the Purchase Agreement in accordance with the terms of the Purchase Agreement (which facts we have not determined by inspection of the Securities), will constitute valid and legally binding obligations of the Company and enforceable against the Company in accordance with their terms; and the Securities are entitled to the benefits of the applicable Indenture.</w:t>
      </w:r>
    </w:p>
    <w:p>
      <w:pPr>
        <w:spacing w:after="0" w:line="188" w:lineRule="exact"/>
        <w:rPr>
          <w:rFonts w:ascii="Arial" w:cs="Arial" w:eastAsia="Arial" w:hAnsi="Arial"/>
          <w:sz w:val="18"/>
          <w:szCs w:val="18"/>
          <w:color w:val="auto"/>
        </w:rPr>
      </w:pPr>
    </w:p>
    <w:p>
      <w:pPr>
        <w:ind w:right="380" w:firstLine="8"/>
        <w:spacing w:after="0" w:line="277" w:lineRule="auto"/>
        <w:tabs>
          <w:tab w:leader="none" w:pos="64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of the Indentures has been duly authorized, executed and delivered by the Company and constitutes a valid and legally binding instrument, enforceable against the Company in accordance with its terms.</w:t>
      </w:r>
    </w:p>
    <w:p>
      <w:pPr>
        <w:spacing w:after="0" w:line="170" w:lineRule="exact"/>
        <w:rPr>
          <w:rFonts w:ascii="Arial" w:cs="Arial" w:eastAsia="Arial" w:hAnsi="Arial"/>
          <w:sz w:val="18"/>
          <w:szCs w:val="18"/>
          <w:color w:val="auto"/>
        </w:rPr>
      </w:pPr>
    </w:p>
    <w:p>
      <w:pPr>
        <w:ind w:right="140" w:firstLine="8"/>
        <w:spacing w:after="0" w:line="297" w:lineRule="auto"/>
        <w:tabs>
          <w:tab w:leader="none" w:pos="64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None of the execution, delivery and performance of the Purchase Agreement, the Indentures, the issuance and sale of the Securities or the consummation of any other of the transactions contemplated thereby will conflict with, result in a breach or violation of any of the terms or provisions of, or constitute a default under (A) the charter or by-laws of the Company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w:t>
      </w:r>
    </w:p>
    <w:p>
      <w:pPr>
        <w:sectPr>
          <w:pgSz w:w="11900" w:h="16838" w:orient="portrait"/>
          <w:cols w:equalWidth="0" w:num="1">
            <w:col w:w="11420"/>
          </w:cols>
          <w:pgMar w:left="240" w:top="140" w:right="239" w:bottom="0" w:gutter="0" w:footer="0" w:header="0"/>
        </w:sectPr>
      </w:pPr>
    </w:p>
    <w:bookmarkStart w:id="111" w:name="page112"/>
    <w:bookmarkEnd w:id="111"/>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the Purchase Agreement, the Indentures or the Securities (collectively, the “Operative Documents”), or to consummate the transactions contemplated thereby.</w:t>
      </w:r>
    </w:p>
    <w:p>
      <w:pPr>
        <w:spacing w:after="0" w:line="170" w:lineRule="exact"/>
        <w:rPr>
          <w:sz w:val="20"/>
          <w:szCs w:val="20"/>
          <w:color w:val="auto"/>
        </w:rPr>
      </w:pPr>
    </w:p>
    <w:p>
      <w:pPr>
        <w:ind w:right="100" w:firstLine="8"/>
        <w:spacing w:after="0" w:line="264" w:lineRule="auto"/>
        <w:tabs>
          <w:tab w:leader="none" w:pos="64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such court or governmental agency or body is required for the issue and sale of the Securities or the consummation by the Company of the transactions contemplated by the Purchase Agreement or the Indentures, except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47" w:lineRule="exact"/>
        <w:rPr>
          <w:sz w:val="20"/>
          <w:szCs w:val="20"/>
          <w:color w:val="auto"/>
        </w:rPr>
      </w:pPr>
    </w:p>
    <w:p>
      <w:pPr>
        <w:ind w:right="80" w:firstLine="8"/>
        <w:spacing w:after="0" w:line="277" w:lineRule="auto"/>
        <w:tabs>
          <w:tab w:leader="none" w:pos="6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right="280" w:firstLine="8"/>
        <w:spacing w:after="0" w:line="277" w:lineRule="auto"/>
        <w:tabs>
          <w:tab w:leader="none" w:pos="6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“Description of Notes,” insofar as they purport to constitute a summary of the terms of the Securities, fairly summarize such terms in all material respects.</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“Certain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right="20" w:firstLine="8"/>
        <w:spacing w:after="0" w:line="279" w:lineRule="auto"/>
        <w:tabs>
          <w:tab w:leader="none" w:pos="64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No registration of the Securities under the Act is required for the sale of the Securities by the Company to the Initial Purchasers pursuant to the Purchase Agreement or for the initial resale of the Securities by the Initial Purchasers in the manner contemplated by the Purchase Agreement, the Disclosure Package and the Final Offering Memorandum, and it is not necessary to qualify the Indentures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have participated in conferences with certain officers and other representatives of the Company, the Initial Purchasers, counsel for the Initial Purchasers and the independent certified public accountants of the Company, at which conferences the contents of the Disclosure Package, the Final Offering Memorandum and related matters were reviewed and discussed and, although we do not assume any responsibility for the accuracy, completeness or fairness of the information contained in the Disclosure Package or the Final Offering Memorandum (other than as set forth in paragraphs 8 and 9 above), no facts have come to our attention, in the course of such review and discussion, that have caused us to believe that:</w:t>
      </w:r>
    </w:p>
    <w:p>
      <w:pPr>
        <w:spacing w:after="0" w:line="173" w:lineRule="exact"/>
        <w:rPr>
          <w:sz w:val="20"/>
          <w:szCs w:val="20"/>
          <w:color w:val="auto"/>
        </w:rPr>
      </w:pPr>
    </w:p>
    <w:p>
      <w:pPr>
        <w:ind w:right="80" w:firstLine="656"/>
        <w:spacing w:after="0" w:line="277" w:lineRule="auto"/>
        <w:tabs>
          <w:tab w:leader="none" w:pos="131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Disclosure Package, as of 2:45 p.m. Pacific Time on April 27, 2015, and on the date hereof, contained an untrue statement of a material fact or omitted to state a material fact necessary in order to make the statements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70" w:lineRule="exact"/>
        <w:rPr>
          <w:sz w:val="20"/>
          <w:szCs w:val="20"/>
          <w:color w:val="auto"/>
        </w:rPr>
      </w:pPr>
    </w:p>
    <w:p>
      <w:pPr>
        <w:jc w:val="both"/>
        <w:ind w:right="140" w:firstLine="656"/>
        <w:spacing w:after="0" w:line="259" w:lineRule="auto"/>
        <w:tabs>
          <w:tab w:leader="none" w:pos="132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jc w:val="both"/>
        <w:ind w:right="80" w:firstLine="656"/>
        <w:spacing w:after="0" w:line="259" w:lineRule="auto"/>
        <w:tabs>
          <w:tab w:leader="none" w:pos="129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the best of such counsel’s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right="40" w:firstLine="656"/>
        <w:spacing w:after="0" w:line="255" w:lineRule="auto"/>
        <w:tabs>
          <w:tab w:leader="none" w:pos="129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Purchase Agreement or the Indentures,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the Purchase Agreement, the Indentures or the Securities, or to consummate the transactions contemplated thereby.</w:t>
      </w:r>
    </w:p>
    <w:p>
      <w:pPr>
        <w:spacing w:after="0" w:line="189" w:lineRule="exact"/>
        <w:rPr>
          <w:rFonts w:ascii="Arial" w:cs="Arial" w:eastAsia="Arial" w:hAnsi="Arial"/>
          <w:sz w:val="18"/>
          <w:szCs w:val="18"/>
          <w:color w:val="auto"/>
        </w:rPr>
      </w:pPr>
    </w:p>
    <w:p>
      <w:pPr>
        <w:ind w:right="20" w:firstLine="656"/>
        <w:spacing w:after="0" w:line="342" w:lineRule="auto"/>
        <w:tabs>
          <w:tab w:leader="none" w:pos="129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w:t>
      </w:r>
    </w:p>
    <w:p>
      <w:pPr>
        <w:sectPr>
          <w:pgSz w:w="11900" w:h="16840" w:orient="portrait"/>
          <w:cols w:equalWidth="0" w:num="1">
            <w:col w:w="11420"/>
          </w:cols>
          <w:pgMar w:left="240" w:top="125" w:right="239" w:bottom="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color w:val="auto"/>
        </w:rPr>
        <w:t>Idaho court or governmental agency or body is required for the execution, delivery and performance of the Purchase Agreement and the Indentures by the Company and the issuance of the Securities and the consummation of the transactions contemplated thereby.</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6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2480" w:type="dxa"/>
            <w:vAlign w:val="bottom"/>
          </w:tcPr>
          <w:p>
            <w:pPr>
              <w:ind w:left="420"/>
              <w:spacing w:after="0"/>
              <w:rPr>
                <w:sz w:val="20"/>
                <w:szCs w:val="20"/>
                <w:color w:val="auto"/>
              </w:rPr>
            </w:pPr>
            <w:r>
              <w:rPr>
                <w:rFonts w:ascii="Arial" w:cs="Arial" w:eastAsia="Arial" w:hAnsi="Arial"/>
                <w:sz w:val="18"/>
                <w:szCs w:val="18"/>
                <w:color w:val="auto"/>
              </w:rPr>
              <w:t>Kipp A. Bedard</w:t>
            </w:r>
          </w:p>
        </w:tc>
        <w:tc>
          <w:tcPr>
            <w:tcW w:w="2260" w:type="dxa"/>
            <w:vAlign w:val="bottom"/>
          </w:tcPr>
          <w:p>
            <w:pPr>
              <w:ind w:left="480"/>
              <w:spacing w:after="0"/>
              <w:rPr>
                <w:sz w:val="20"/>
                <w:szCs w:val="20"/>
                <w:color w:val="auto"/>
              </w:rPr>
            </w:pPr>
            <w:r>
              <w:rPr>
                <w:rFonts w:ascii="Arial" w:cs="Arial" w:eastAsia="Arial" w:hAnsi="Arial"/>
                <w:sz w:val="18"/>
                <w:szCs w:val="18"/>
                <w:color w:val="auto"/>
              </w:rPr>
              <w:t>Daniel Francisco</w:t>
            </w:r>
          </w:p>
        </w:tc>
      </w:tr>
      <w:tr>
        <w:trPr>
          <w:trHeight w:val="216"/>
        </w:trPr>
        <w:tc>
          <w:tcPr>
            <w:tcW w:w="11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Investor Relations</w:t>
            </w:r>
          </w:p>
        </w:tc>
        <w:tc>
          <w:tcPr>
            <w:tcW w:w="2260" w:type="dxa"/>
            <w:vAlign w:val="bottom"/>
          </w:tcPr>
          <w:p>
            <w:pPr>
              <w:ind w:left="480"/>
              <w:spacing w:after="0"/>
              <w:rPr>
                <w:sz w:val="20"/>
                <w:szCs w:val="20"/>
                <w:color w:val="auto"/>
              </w:rPr>
            </w:pPr>
            <w:r>
              <w:rPr>
                <w:rFonts w:ascii="Arial" w:cs="Arial" w:eastAsia="Arial" w:hAnsi="Arial"/>
                <w:sz w:val="18"/>
                <w:szCs w:val="18"/>
                <w:color w:val="auto"/>
              </w:rPr>
              <w:t>Media Relations</w:t>
            </w:r>
          </w:p>
        </w:tc>
      </w:tr>
      <w:tr>
        <w:trPr>
          <w:trHeight w:val="216"/>
        </w:trPr>
        <w:tc>
          <w:tcPr>
            <w:tcW w:w="11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kbedard@micron.com</w:t>
            </w:r>
          </w:p>
        </w:tc>
        <w:tc>
          <w:tcPr>
            <w:tcW w:w="2260" w:type="dxa"/>
            <w:vAlign w:val="bottom"/>
          </w:tcPr>
          <w:p>
            <w:pPr>
              <w:ind w:left="48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120" w:type="dxa"/>
            <w:vAlign w:val="bottom"/>
          </w:tcPr>
          <w:p>
            <w:pPr>
              <w:spacing w:after="0"/>
              <w:rPr>
                <w:sz w:val="20"/>
                <w:szCs w:val="20"/>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(208) 368-4465</w:t>
            </w:r>
          </w:p>
        </w:tc>
        <w:tc>
          <w:tcPr>
            <w:tcW w:w="2260" w:type="dxa"/>
            <w:vAlign w:val="bottom"/>
          </w:tcPr>
          <w:p>
            <w:pPr>
              <w:ind w:left="48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PRICES $1 BILLION OFFERING OF SENIOR NOTES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BOISE, Idaho, April 27, 2015 — Micron Technology, Inc., (NASDAQ: MU) today announced the pricing of an offering of $550 million aggregate principal amount of its 5.250% senior notes due 2024 (the “2024 Notes”) and $450 million aggregate principal amount of its 5.625% senior notes due 2026 (the “2026 Notes,” and together with the 2024 Notes, the “Notes”). The Notes are being offered to qualified institutional buyers pursuant to Rule 144A under the Securities Act of 1933, as amended (the “Securities Act”), and outside the United States to non-U.S. persons pursuant to Regulation S under the Securities Act. The sale of the Notes is expected to close on April 30, 2015, subject to the satisfaction of customary closing conditions. Interest on the 2024 Notes will accrue at a rate of 5.250% per year and interest on the 2026 Notes will accrue at a rate of 5.625% per year. Interest on the Notes will be payable in cash semi-annually in arrears, beginning on July 15, 2015.</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2024 Notes will mature on January 15, 2024 and the 2026 Notes will mature on January 15, 2026, unless earlier repurchased or redeemed. Holders may require Micron to repurchase their Notes upon the occurrence of certain change of control events at a repurchase price equal to 101% of the principal amount thereof plus accrued and unpaid interest, if any.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May 1, 2018, in the case of the 2024 Notes, and prior to May 1, 2020, in the case of the 2026 Notes, Micron may redeem the Notes, in whole or in part, at a price equal to 100% of the principal amount thereof plus a “make-whole” premium and accrued and unpaid interest, if any. On or after May 1, 2018, in the case of the 2024 Notes, and on or after May 1, 2020, in the case of the 2026 Notes, Micron may redeem the Notes, in whole or in part, at specified prices that decline over time, plus accrued and unpaid interest, if any. In addition, Micron may use the net cash proceeds of one or more equity offerings to redeem up to 35% of the aggregate principal amount of each series of Notes prior to May 1, 2018 at a price equal to 105.250% and 105.625%, respectively, of the principal amount thereof plus accrued and unpaid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Micron intends to use the net proceeds to repay, repurchase or make other payments with respect to the extinguishment of its debt, including its convertible notes, and for general corporate purposes.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except pursuant to an exemption from the registration requirements of the Securities Act and applicable state securities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51CF49"/>
    <w:multiLevelType w:val="hybridMultilevel"/>
    <w:lvl w:ilvl="0">
      <w:lvlJc w:val="left"/>
      <w:lvlText w:val="·"/>
      <w:numFmt w:val="bullet"/>
      <w:start w:val="1"/>
    </w:lvl>
  </w:abstractNum>
  <w:abstractNum w:abstractNumId="1">
    <w:nsid w:val="6181EF69"/>
    <w:multiLevelType w:val="hybridMultilevel"/>
    <w:lvl w:ilvl="0">
      <w:lvlJc w:val="left"/>
      <w:lvlText w:val="·"/>
      <w:numFmt w:val="bullet"/>
      <w:start w:val="1"/>
    </w:lvl>
  </w:abstractNum>
  <w:abstractNum w:abstractNumId="2">
    <w:nsid w:val="3E6400E6"/>
    <w:multiLevelType w:val="hybridMultilevel"/>
    <w:lvl w:ilvl="0">
      <w:lvlJc w:val="left"/>
      <w:lvlText w:val="·"/>
      <w:numFmt w:val="bullet"/>
      <w:start w:val="1"/>
    </w:lvl>
  </w:abstractNum>
  <w:abstractNum w:abstractNumId="3">
    <w:nsid w:val="14217E23"/>
    <w:multiLevelType w:val="hybridMultilevel"/>
    <w:lvl w:ilvl="0">
      <w:lvlJc w:val="left"/>
      <w:lvlText w:val="%1"/>
      <w:numFmt w:val="lowerLetter"/>
      <w:start w:val="1"/>
    </w:lvl>
    <w:lvl w:ilvl="1">
      <w:lvlJc w:val="left"/>
      <w:lvlText w:val="(%2)"/>
      <w:numFmt w:val="decimal"/>
      <w:start w:val="1"/>
    </w:lvl>
  </w:abstractNum>
  <w:abstractNum w:abstractNumId="4">
    <w:nsid w:val="710757D0"/>
    <w:multiLevelType w:val="hybridMultilevel"/>
    <w:lvl w:ilvl="0">
      <w:lvlJc w:val="left"/>
      <w:lvlText w:val="(%1)"/>
      <w:numFmt w:val="lowerLetter"/>
      <w:start w:val="2"/>
    </w:lvl>
    <w:lvl w:ilvl="1">
      <w:lvlJc w:val="left"/>
      <w:lvlText w:val="%2"/>
      <w:numFmt w:val="decimal"/>
      <w:start w:val="1"/>
    </w:lvl>
  </w:abstractNum>
  <w:abstractNum w:abstractNumId="5">
    <w:nsid w:val="5015CD1A"/>
    <w:multiLevelType w:val="hybridMultilevel"/>
    <w:lvl w:ilvl="0">
      <w:lvlJc w:val="left"/>
      <w:lvlText w:val="(%1)"/>
      <w:numFmt w:val="decimal"/>
      <w:start w:val="2"/>
    </w:lvl>
  </w:abstractNum>
  <w:abstractNum w:abstractNumId="6">
    <w:nsid w:val="424479DA"/>
    <w:multiLevelType w:val="hybridMultilevel"/>
    <w:lvl w:ilvl="0">
      <w:lvlJc w:val="left"/>
      <w:lvlText w:val="(%1)"/>
      <w:numFmt w:val="decimal"/>
      <w:start w:val="1"/>
    </w:lvl>
  </w:abstractNum>
  <w:abstractNum w:abstractNumId="7">
    <w:nsid w:val="1A9A9E69"/>
    <w:multiLevelType w:val="hybridMultilevel"/>
    <w:lvl w:ilvl="0">
      <w:lvlJc w:val="left"/>
      <w:lvlText w:val="%1"/>
      <w:numFmt w:val="lowerLetter"/>
      <w:start w:val="1"/>
    </w:lvl>
    <w:lvl w:ilvl="1">
      <w:lvlJc w:val="left"/>
      <w:lvlText w:val="(%2)"/>
      <w:numFmt w:val="decimal"/>
      <w:start w:val="1"/>
    </w:lvl>
  </w:abstractNum>
  <w:abstractNum w:abstractNumId="8">
    <w:nsid w:val="475E256A"/>
    <w:multiLevelType w:val="hybridMultilevel"/>
    <w:lvl w:ilvl="0">
      <w:lvlJc w:val="left"/>
      <w:lvlText w:val="(%1)"/>
      <w:numFmt w:val="lowerLetter"/>
      <w:start w:val="1"/>
    </w:lvl>
    <w:lvl w:ilvl="1">
      <w:lvlJc w:val="left"/>
      <w:lvlText w:val="%2"/>
      <w:numFmt w:val="decimal"/>
      <w:start w:val="1"/>
    </w:lvl>
  </w:abstractNum>
  <w:abstractNum w:abstractNumId="9">
    <w:nsid w:val="368DB37E"/>
    <w:multiLevelType w:val="hybridMultilevel"/>
    <w:lvl w:ilvl="0">
      <w:lvlJc w:val="left"/>
      <w:lvlText w:val="(%1)"/>
      <w:numFmt w:val="decimal"/>
      <w:start w:val="1"/>
    </w:lvl>
    <w:lvl w:ilvl="1">
      <w:lvlJc w:val="left"/>
      <w:lvlText w:val="(%2)"/>
      <w:numFmt w:val="lowerLetter"/>
      <w:start w:val="1"/>
    </w:lvl>
  </w:abstractNum>
  <w:abstractNum w:abstractNumId="10">
    <w:nsid w:val="6A3B714C"/>
    <w:multiLevelType w:val="hybridMultilevel"/>
    <w:lvl w:ilvl="0">
      <w:lvlJc w:val="left"/>
      <w:lvlText w:val="(%1)"/>
      <w:numFmt w:val="decimal"/>
      <w:start w:val="1"/>
    </w:lvl>
  </w:abstractNum>
  <w:abstractNum w:abstractNumId="11">
    <w:nsid w:val="327B517E"/>
    <w:multiLevelType w:val="hybridMultilevel"/>
    <w:lvl w:ilvl="0">
      <w:lvlJc w:val="left"/>
      <w:lvlText w:val="(%1)"/>
      <w:numFmt w:val="decimal"/>
      <w:start w:val="2"/>
    </w:lvl>
  </w:abstractNum>
  <w:abstractNum w:abstractNumId="12">
    <w:nsid w:val="1F461B51"/>
    <w:multiLevelType w:val="hybridMultilevel"/>
    <w:lvl w:ilvl="0">
      <w:lvlJc w:val="left"/>
      <w:lvlText w:val="(%1)"/>
      <w:numFmt w:val="decimal"/>
      <w:start w:val="6"/>
    </w:lvl>
  </w:abstractNum>
  <w:abstractNum w:abstractNumId="13">
    <w:nsid w:val="29BACF25"/>
    <w:multiLevelType w:val="hybridMultilevel"/>
    <w:lvl w:ilvl="0">
      <w:lvlJc w:val="left"/>
      <w:lvlText w:val="(%1)"/>
      <w:numFmt w:val="decimal"/>
      <w:start w:val="15"/>
    </w:lvl>
  </w:abstractNum>
  <w:abstractNum w:abstractNumId="14">
    <w:nsid w:val="5D5BABB3"/>
    <w:multiLevelType w:val="hybridMultilevel"/>
    <w:lvl w:ilvl="0">
      <w:lvlJc w:val="left"/>
      <w:lvlText w:val="(%1)"/>
      <w:numFmt w:val="decimal"/>
      <w:start w:val="16"/>
    </w:lvl>
  </w:abstractNum>
  <w:abstractNum w:abstractNumId="15">
    <w:nsid w:val="51BF6B48"/>
    <w:multiLevelType w:val="hybridMultilevel"/>
    <w:lvl w:ilvl="0">
      <w:lvlJc w:val="left"/>
      <w:lvlText w:val="(%1)"/>
      <w:numFmt w:val="decimal"/>
      <w:start w:val="1"/>
    </w:lvl>
  </w:abstractNum>
  <w:abstractNum w:abstractNumId="16">
    <w:nsid w:val="7E0F6384"/>
    <w:multiLevelType w:val="hybridMultilevel"/>
    <w:lvl w:ilvl="0">
      <w:lvlJc w:val="left"/>
      <w:lvlText w:val="(%1)"/>
      <w:numFmt w:val="lowerLetter"/>
      <w:start w:val="1"/>
    </w:lvl>
  </w:abstractNum>
  <w:abstractNum w:abstractNumId="17">
    <w:nsid w:val="2B4B8B53"/>
    <w:multiLevelType w:val="hybridMultilevel"/>
    <w:lvl w:ilvl="0">
      <w:lvlJc w:val="left"/>
      <w:lvlText w:val="%1"/>
      <w:numFmt w:val="lowerLetter"/>
      <w:start w:val="1"/>
    </w:lvl>
    <w:lvl w:ilvl="1">
      <w:lvlJc w:val="left"/>
      <w:lvlText w:val="(%2)"/>
      <w:numFmt w:val="lowerLetter"/>
      <w:start w:val="5"/>
    </w:lvl>
  </w:abstractNum>
  <w:abstractNum w:abstractNumId="18">
    <w:nsid w:val="72E3413A"/>
    <w:multiLevelType w:val="hybridMultilevel"/>
    <w:lvl w:ilvl="0">
      <w:lvlJc w:val="left"/>
      <w:lvlText w:val="(%1)"/>
      <w:numFmt w:val="lowerLetter"/>
      <w:start w:val="6"/>
    </w:lvl>
    <w:lvl w:ilvl="1">
      <w:lvlJc w:val="left"/>
      <w:lvlText w:val="(%2)"/>
      <w:numFmt w:val="lowerLetter"/>
      <w:start w:val="6"/>
    </w:lvl>
  </w:abstractNum>
  <w:abstractNum w:abstractNumId="19">
    <w:nsid w:val="116AE494"/>
    <w:multiLevelType w:val="hybridMultilevel"/>
    <w:lvl w:ilvl="0">
      <w:lvlJc w:val="left"/>
      <w:lvlText w:val="(%1)"/>
      <w:numFmt w:val="lowerLetter"/>
      <w:start w:val="9"/>
    </w:lvl>
  </w:abstractNum>
  <w:abstractNum w:abstractNumId="20">
    <w:nsid w:val="3494B2FB"/>
    <w:multiLevelType w:val="hybridMultilevel"/>
    <w:lvl w:ilvl="0">
      <w:lvlJc w:val="left"/>
      <w:lvlText w:val="(%1)"/>
      <w:numFmt w:val="lowerLetter"/>
      <w:start w:val="1"/>
    </w:lvl>
  </w:abstractNum>
  <w:abstractNum w:abstractNumId="21">
    <w:nsid w:val="B13A31"/>
    <w:multiLevelType w:val="hybridMultilevel"/>
    <w:lvl w:ilvl="0">
      <w:lvlJc w:val="left"/>
      <w:lvlText w:val="(%1)"/>
      <w:numFmt w:val="lowerLetter"/>
      <w:start w:val="1"/>
    </w:lvl>
  </w:abstractNum>
  <w:abstractNum w:abstractNumId="22">
    <w:nsid w:val="64429599"/>
    <w:multiLevelType w:val="hybridMultilevel"/>
    <w:lvl w:ilvl="0">
      <w:lvlJc w:val="left"/>
      <w:lvlText w:val="(%1)"/>
      <w:numFmt w:val="lowerLetter"/>
      <w:start w:val="1"/>
    </w:lvl>
  </w:abstractNum>
  <w:abstractNum w:abstractNumId="23">
    <w:nsid w:val="631F1690"/>
    <w:multiLevelType w:val="hybridMultilevel"/>
    <w:lvl w:ilvl="0">
      <w:lvlJc w:val="left"/>
      <w:lvlText w:val="(%1)"/>
      <w:numFmt w:val="lowerLetter"/>
      <w:start w:val="2"/>
    </w:lvl>
  </w:abstractNum>
  <w:abstractNum w:abstractNumId="24">
    <w:nsid w:val="25973E32"/>
    <w:multiLevelType w:val="hybridMultilevel"/>
    <w:lvl w:ilvl="0">
      <w:lvlJc w:val="left"/>
      <w:lvlText w:val="(%1)"/>
      <w:numFmt w:val="lowerLetter"/>
      <w:start w:val="1"/>
    </w:lvl>
  </w:abstractNum>
  <w:abstractNum w:abstractNumId="25">
    <w:nsid w:val="EAD6F57"/>
    <w:multiLevelType w:val="hybridMultilevel"/>
    <w:lvl w:ilvl="0">
      <w:lvlJc w:val="left"/>
      <w:lvlText w:val="(%1)"/>
      <w:numFmt w:val="lowerLetter"/>
      <w:start w:val="6"/>
    </w:lvl>
  </w:abstractNum>
  <w:abstractNum w:abstractNumId="26">
    <w:nsid w:val="6EC9D844"/>
    <w:multiLevelType w:val="hybridMultilevel"/>
    <w:lvl w:ilvl="0">
      <w:lvlJc w:val="left"/>
      <w:lvlText w:val="(%1)"/>
      <w:numFmt w:val="lowerLetter"/>
      <w:start w:val="1"/>
    </w:lvl>
  </w:abstractNum>
  <w:abstractNum w:abstractNumId="27">
    <w:nsid w:val="5C49EAEE"/>
    <w:multiLevelType w:val="hybridMultilevel"/>
    <w:lvl w:ilvl="0">
      <w:lvlJc w:val="left"/>
      <w:lvlText w:val="(%1)"/>
      <w:numFmt w:val="lowerLetter"/>
      <w:start w:val="2"/>
    </w:lvl>
  </w:abstractNum>
  <w:abstractNum w:abstractNumId="28">
    <w:nsid w:val="64AF49B"/>
    <w:multiLevelType w:val="hybridMultilevel"/>
    <w:lvl w:ilvl="0">
      <w:lvlJc w:val="left"/>
      <w:lvlText w:val="(%1)"/>
      <w:numFmt w:val="lowerLetter"/>
      <w:start w:val="1"/>
    </w:lvl>
  </w:abstractNum>
  <w:abstractNum w:abstractNumId="29">
    <w:nsid w:val="397C46BC"/>
    <w:multiLevelType w:val="hybridMultilevel"/>
    <w:lvl w:ilvl="0">
      <w:lvlJc w:val="left"/>
      <w:lvlText w:val="(%1)"/>
      <w:numFmt w:val="lowerLetter"/>
      <w:start w:val="2"/>
    </w:lvl>
  </w:abstractNum>
  <w:abstractNum w:abstractNumId="30">
    <w:nsid w:val="7E448DE9"/>
    <w:multiLevelType w:val="hybridMultilevel"/>
    <w:lvl w:ilvl="0">
      <w:lvlJc w:val="left"/>
      <w:lvlText w:val="(%1)"/>
      <w:numFmt w:val="lowerLetter"/>
      <w:start w:val="1"/>
    </w:lvl>
  </w:abstractNum>
  <w:abstractNum w:abstractNumId="31">
    <w:nsid w:val="5A9CC3E5"/>
    <w:multiLevelType w:val="hybridMultilevel"/>
    <w:lvl w:ilvl="0">
      <w:lvlJc w:val="left"/>
      <w:lvlText w:val="(%1)"/>
      <w:numFmt w:val="lowerLetter"/>
      <w:start w:val="2"/>
    </w:lvl>
  </w:abstractNum>
  <w:abstractNum w:abstractNumId="32">
    <w:nsid w:val="1AFE3625"/>
    <w:multiLevelType w:val="hybridMultilevel"/>
    <w:lvl w:ilvl="0">
      <w:lvlJc w:val="left"/>
      <w:lvlText w:val="(%1)"/>
      <w:numFmt w:val="lowerLetter"/>
      <w:start w:val="1"/>
    </w:lvl>
  </w:abstractNum>
  <w:abstractNum w:abstractNumId="33">
    <w:nsid w:val="3CA88ECF"/>
    <w:multiLevelType w:val="hybridMultilevel"/>
    <w:lvl w:ilvl="0">
      <w:lvlJc w:val="left"/>
      <w:lvlText w:val="(%1)"/>
      <w:numFmt w:val="decimal"/>
      <w:start w:val="1"/>
    </w:lvl>
  </w:abstractNum>
  <w:abstractNum w:abstractNumId="34">
    <w:nsid w:val="6EBE4208"/>
    <w:multiLevelType w:val="hybridMultilevel"/>
    <w:lvl w:ilvl="0">
      <w:lvlJc w:val="left"/>
      <w:lvlText w:val="(%1)"/>
      <w:numFmt w:val="decimal"/>
      <w:start w:val="7"/>
    </w:lvl>
  </w:abstractNum>
  <w:abstractNum w:abstractNumId="35">
    <w:nsid w:val="C058DF5"/>
    <w:multiLevelType w:val="hybridMultilevel"/>
    <w:lvl w:ilvl="0">
      <w:lvlJc w:val="left"/>
      <w:lvlText w:val="(%1)"/>
      <w:numFmt w:val="lowerLetter"/>
      <w:start w:val="3"/>
    </w:lvl>
  </w:abstractNum>
  <w:abstractNum w:abstractNumId="36">
    <w:nsid w:val="CBE5BE9"/>
    <w:multiLevelType w:val="hybridMultilevel"/>
    <w:lvl w:ilvl="0">
      <w:lvlJc w:val="left"/>
      <w:lvlText w:val="(%1)"/>
      <w:numFmt w:val="lowerLetter"/>
      <w:start w:val="1"/>
    </w:lvl>
  </w:abstractNum>
  <w:abstractNum w:abstractNumId="37">
    <w:nsid w:val="3102BBE2"/>
    <w:multiLevelType w:val="hybridMultilevel"/>
    <w:lvl w:ilvl="0">
      <w:lvlJc w:val="left"/>
      <w:lvlText w:val="(%1)"/>
      <w:numFmt w:val="lowerLetter"/>
      <w:start w:val="1"/>
    </w:lvl>
  </w:abstractNum>
  <w:abstractNum w:abstractNumId="38">
    <w:nsid w:val="26A02C5E"/>
    <w:multiLevelType w:val="hybridMultilevel"/>
    <w:lvl w:ilvl="0">
      <w:lvlJc w:val="left"/>
      <w:lvlText w:val="(%1)"/>
      <w:numFmt w:val="decimal"/>
      <w:start w:val="2"/>
    </w:lvl>
  </w:abstractNum>
  <w:abstractNum w:abstractNumId="39">
    <w:nsid w:val="541C8153"/>
    <w:multiLevelType w:val="hybridMultilevel"/>
    <w:lvl w:ilvl="0">
      <w:lvlJc w:val="left"/>
      <w:lvlText w:val="(%1)"/>
      <w:numFmt w:val="decimal"/>
      <w:start w:val="3"/>
    </w:lvl>
  </w:abstractNum>
  <w:abstractNum w:abstractNumId="40">
    <w:nsid w:val="67906F60"/>
    <w:multiLevelType w:val="hybridMultilevel"/>
    <w:lvl w:ilvl="0">
      <w:lvlJc w:val="left"/>
      <w:lvlText w:val="(%1)"/>
      <w:numFmt w:val="lowerLetter"/>
      <w:start w:val="2"/>
    </w:lvl>
  </w:abstractNum>
  <w:abstractNum w:abstractNumId="41">
    <w:nsid w:val="10DB9DAA"/>
    <w:multiLevelType w:val="hybridMultilevel"/>
    <w:lvl w:ilvl="0">
      <w:lvlJc w:val="left"/>
      <w:lvlText w:val="(%1)"/>
      <w:numFmt w:val="lowerLetter"/>
      <w:start w:val="1"/>
    </w:lvl>
  </w:abstractNum>
  <w:abstractNum w:abstractNumId="42">
    <w:nsid w:val="697D2D2"/>
    <w:multiLevelType w:val="hybridMultilevel"/>
    <w:lvl w:ilvl="0">
      <w:lvlJc w:val="left"/>
      <w:lvlText w:val="(%1)"/>
      <w:numFmt w:val="lowerLetter"/>
      <w:start w:val="1"/>
    </w:lvl>
  </w:abstractNum>
  <w:abstractNum w:abstractNumId="43">
    <w:nsid w:val="6D68AB2"/>
    <w:multiLevelType w:val="hybridMultilevel"/>
    <w:lvl w:ilvl="0">
      <w:lvlJc w:val="left"/>
      <w:lvlText w:val="(%1)"/>
      <w:numFmt w:val="lowerLetter"/>
      <w:start w:val="1"/>
    </w:lvl>
  </w:abstractNum>
  <w:abstractNum w:abstractNumId="44">
    <w:nsid w:val="3A966CD0"/>
    <w:multiLevelType w:val="hybridMultilevel"/>
    <w:lvl w:ilvl="0">
      <w:lvlJc w:val="left"/>
      <w:lvlText w:val="(%1)"/>
      <w:numFmt w:val="lowerLetter"/>
      <w:start w:val="1"/>
    </w:lvl>
  </w:abstractNum>
  <w:abstractNum w:abstractNumId="45">
    <w:nsid w:val="63F37E85"/>
    <w:multiLevelType w:val="hybridMultilevel"/>
    <w:lvl w:ilvl="0">
      <w:lvlJc w:val="left"/>
      <w:lvlText w:val="(%1)"/>
      <w:numFmt w:val="lowerLetter"/>
      <w:start w:val="2"/>
    </w:lvl>
  </w:abstractNum>
  <w:abstractNum w:abstractNumId="46">
    <w:nsid w:val="5895F5FA"/>
    <w:multiLevelType w:val="hybridMultilevel"/>
    <w:lvl w:ilvl="0">
      <w:lvlJc w:val="left"/>
      <w:lvlText w:val="(%1)"/>
      <w:numFmt w:val="lowerLetter"/>
      <w:start w:val="1"/>
    </w:lvl>
  </w:abstractNum>
  <w:abstractNum w:abstractNumId="47">
    <w:nsid w:val="38A5D054"/>
    <w:multiLevelType w:val="hybridMultilevel"/>
    <w:lvl w:ilvl="0">
      <w:lvlJc w:val="left"/>
      <w:lvlText w:val="(%1)"/>
      <w:numFmt w:val="decimal"/>
      <w:start w:val="1"/>
    </w:lvl>
  </w:abstractNum>
  <w:abstractNum w:abstractNumId="48">
    <w:nsid w:val="F3F09D8"/>
    <w:multiLevelType w:val="hybridMultilevel"/>
    <w:lvl w:ilvl="0">
      <w:lvlJc w:val="left"/>
      <w:lvlText w:val="(%1)"/>
      <w:numFmt w:val="decimal"/>
      <w:start w:val="4"/>
    </w:lvl>
  </w:abstractNum>
  <w:abstractNum w:abstractNumId="49">
    <w:nsid w:val="4B793735"/>
    <w:multiLevelType w:val="hybridMultilevel"/>
    <w:lvl w:ilvl="0">
      <w:lvlJc w:val="left"/>
      <w:lvlText w:val="(%1)"/>
      <w:numFmt w:val="lowerLetter"/>
      <w:start w:val="3"/>
    </w:lvl>
  </w:abstractNum>
  <w:abstractNum w:abstractNumId="50">
    <w:nsid w:val="4A10B4E8"/>
    <w:multiLevelType w:val="hybridMultilevel"/>
    <w:lvl w:ilvl="0">
      <w:lvlJc w:val="left"/>
      <w:lvlText w:val="(%1)"/>
      <w:numFmt w:val="lowerLetter"/>
      <w:start w:val="5"/>
    </w:lvl>
    <w:lvl w:ilvl="1">
      <w:lvlJc w:val="left"/>
      <w:lvlText w:val="(%2)"/>
      <w:numFmt w:val="decimal"/>
      <w:start w:val="1"/>
    </w:lvl>
  </w:abstractNum>
  <w:abstractNum w:abstractNumId="51">
    <w:nsid w:val="43D3BCD4"/>
    <w:multiLevelType w:val="hybridMultilevel"/>
    <w:lvl w:ilvl="0">
      <w:lvlJc w:val="left"/>
      <w:lvlText w:val="(%1)"/>
      <w:numFmt w:val="lowerLetter"/>
      <w:start w:val="1"/>
    </w:lvl>
  </w:abstractNum>
  <w:abstractNum w:abstractNumId="52">
    <w:nsid w:val="4C2A7166"/>
    <w:multiLevelType w:val="hybridMultilevel"/>
    <w:lvl w:ilvl="0">
      <w:lvlJc w:val="left"/>
      <w:lvlText w:val="(%1)"/>
      <w:numFmt w:val="decimal"/>
      <w:start w:val="1"/>
    </w:lvl>
  </w:abstractNum>
  <w:abstractNum w:abstractNumId="53">
    <w:nsid w:val="2E534A82"/>
    <w:multiLevelType w:val="hybridMultilevel"/>
    <w:lvl w:ilvl="0">
      <w:lvlJc w:val="left"/>
      <w:lvlText w:val="(%1)"/>
      <w:numFmt w:val="decimal"/>
      <w:start w:val="4"/>
    </w:lvl>
  </w:abstractNum>
  <w:abstractNum w:abstractNumId="54">
    <w:nsid w:val="26F2D364"/>
    <w:multiLevelType w:val="hybridMultilevel"/>
    <w:lvl w:ilvl="0">
      <w:lvlJc w:val="left"/>
      <w:lvlText w:val="(%1)"/>
      <w:numFmt w:val="lowerLetter"/>
      <w:start w:val="2"/>
    </w:lvl>
  </w:abstractNum>
  <w:abstractNum w:abstractNumId="55">
    <w:nsid w:val="71C1AF98"/>
    <w:multiLevelType w:val="hybridMultilevel"/>
    <w:lvl w:ilvl="0">
      <w:lvlJc w:val="left"/>
      <w:lvlText w:val="%1"/>
      <w:numFmt w:val="decimal"/>
      <w:start w:val="1"/>
    </w:lvl>
    <w:lvl w:ilvl="1">
      <w:lvlJc w:val="left"/>
      <w:lvlText w:val="(%2)"/>
      <w:numFmt w:val="lowerLetter"/>
      <w:start w:val="1"/>
    </w:lvl>
  </w:abstractNum>
  <w:abstractNum w:abstractNumId="56">
    <w:nsid w:val="3D00B9D9"/>
    <w:multiLevelType w:val="hybridMultilevel"/>
    <w:lvl w:ilvl="0">
      <w:lvlJc w:val="left"/>
      <w:lvlText w:val="(%1)"/>
      <w:numFmt w:val="decimal"/>
      <w:start w:val="3"/>
    </w:lvl>
    <w:lvl w:ilvl="1">
      <w:lvlJc w:val="left"/>
      <w:lvlText w:val="%2"/>
      <w:numFmt w:val="lowerLetter"/>
      <w:start w:val="1"/>
    </w:lvl>
  </w:abstractNum>
  <w:abstractNum w:abstractNumId="57">
    <w:nsid w:val="15BCABA8"/>
    <w:multiLevelType w:val="hybridMultilevel"/>
    <w:lvl w:ilvl="0">
      <w:lvlJc w:val="left"/>
      <w:lvlText w:val="(%1)"/>
      <w:numFmt w:val="lowerLetter"/>
      <w:start w:val="3"/>
    </w:lvl>
  </w:abstractNum>
  <w:abstractNum w:abstractNumId="58">
    <w:nsid w:val="4E0B9A87"/>
    <w:multiLevelType w:val="hybridMultilevel"/>
    <w:lvl w:ilvl="0">
      <w:lvlJc w:val="left"/>
      <w:lvlText w:val="(%1)"/>
      <w:numFmt w:val="lowerLetter"/>
      <w:start w:val="1"/>
    </w:lvl>
    <w:lvl w:ilvl="1">
      <w:lvlJc w:val="left"/>
      <w:lvlText w:val="(%2)"/>
      <w:numFmt w:val="decimal"/>
      <w:start w:val="1"/>
    </w:lvl>
  </w:abstractNum>
  <w:abstractNum w:abstractNumId="59">
    <w:nsid w:val="434BAE75"/>
    <w:multiLevelType w:val="hybridMultilevel"/>
    <w:lvl w:ilvl="0">
      <w:lvlJc w:val="left"/>
      <w:lvlText w:val="%1"/>
      <w:numFmt w:val="lowerLetter"/>
      <w:start w:val="1"/>
    </w:lvl>
    <w:lvl w:ilvl="1">
      <w:lvlJc w:val="left"/>
      <w:lvlText w:val="(%2)"/>
      <w:numFmt w:val="decimal"/>
      <w:start w:val="5"/>
    </w:lvl>
  </w:abstractNum>
  <w:abstractNum w:abstractNumId="60">
    <w:nsid w:val="4F38F265"/>
    <w:multiLevelType w:val="hybridMultilevel"/>
    <w:lvl w:ilvl="0">
      <w:lvlJc w:val="left"/>
      <w:lvlText w:val="(%1)"/>
      <w:numFmt w:val="lowerLetter"/>
      <w:start w:val="3"/>
    </w:lvl>
    <w:lvl w:ilvl="1">
      <w:lvlJc w:val="left"/>
      <w:lvlText w:val="%2"/>
      <w:numFmt w:val="decimal"/>
      <w:start w:val="1"/>
    </w:lvl>
  </w:abstractNum>
  <w:abstractNum w:abstractNumId="61">
    <w:nsid w:val="4C502870"/>
    <w:multiLevelType w:val="hybridMultilevel"/>
    <w:lvl w:ilvl="0">
      <w:lvlJc w:val="left"/>
      <w:lvlText w:val="(%1)"/>
      <w:numFmt w:val="lowerLetter"/>
      <w:start w:val="5"/>
    </w:lvl>
  </w:abstractNum>
  <w:abstractNum w:abstractNumId="62">
    <w:nsid w:val="1DE8725A"/>
    <w:multiLevelType w:val="hybridMultilevel"/>
    <w:lvl w:ilvl="0">
      <w:lvlJc w:val="left"/>
      <w:lvlText w:val="(%1)"/>
      <w:numFmt w:val="lowerLetter"/>
      <w:start w:val="1"/>
    </w:lvl>
  </w:abstractNum>
  <w:abstractNum w:abstractNumId="63">
    <w:nsid w:val="6A37288A"/>
    <w:multiLevelType w:val="hybridMultilevel"/>
    <w:lvl w:ilvl="0">
      <w:lvlJc w:val="left"/>
      <w:lvlText w:val="(%1)"/>
      <w:numFmt w:val="decimal"/>
      <w:start w:val="1"/>
    </w:lvl>
  </w:abstractNum>
  <w:abstractNum w:abstractNumId="64">
    <w:nsid w:val="8F8B73F"/>
    <w:multiLevelType w:val="hybridMultilevel"/>
    <w:lvl w:ilvl="0">
      <w:lvlJc w:val="left"/>
      <w:lvlText w:val="(%1)"/>
      <w:numFmt w:val="lowerLetter"/>
      <w:start w:val="1"/>
    </w:lvl>
  </w:abstractNum>
  <w:abstractNum w:abstractNumId="65">
    <w:nsid w:val="CA6B462"/>
    <w:multiLevelType w:val="hybridMultilevel"/>
    <w:lvl w:ilvl="0">
      <w:lvlJc w:val="left"/>
      <w:lvlText w:val="(%1)"/>
      <w:numFmt w:val="lowerLetter"/>
      <w:start w:val="5"/>
    </w:lvl>
    <w:lvl w:ilvl="1">
      <w:lvlJc w:val="left"/>
      <w:lvlText w:val="(%2)"/>
      <w:numFmt w:val="decimal"/>
      <w:start w:val="1"/>
    </w:lvl>
  </w:abstractNum>
  <w:abstractNum w:abstractNumId="66">
    <w:nsid w:val="763CB680"/>
    <w:multiLevelType w:val="hybridMultilevel"/>
    <w:lvl w:ilvl="0">
      <w:lvlJc w:val="left"/>
      <w:lvlText w:val="(%1)"/>
      <w:numFmt w:val="lowerLetter"/>
      <w:start w:val="6"/>
    </w:lvl>
    <w:lvl w:ilvl="1">
      <w:lvlJc w:val="left"/>
      <w:lvlText w:val="(%2)"/>
      <w:numFmt w:val="decimal"/>
      <w:start w:val="1"/>
    </w:lvl>
  </w:abstractNum>
  <w:abstractNum w:abstractNumId="67">
    <w:nsid w:val="15B71329"/>
    <w:multiLevelType w:val="hybridMultilevel"/>
    <w:lvl w:ilvl="0">
      <w:lvlJc w:val="left"/>
      <w:lvlText w:val="(%1)"/>
      <w:numFmt w:val="lowerLetter"/>
      <w:start w:val="1"/>
    </w:lvl>
  </w:abstractNum>
  <w:abstractNum w:abstractNumId="68">
    <w:nsid w:val="3DA97044"/>
    <w:multiLevelType w:val="hybridMultilevel"/>
    <w:lvl w:ilvl="0">
      <w:lvlJc w:val="left"/>
      <w:lvlText w:val="(%1)"/>
      <w:numFmt w:val="lowerLetter"/>
      <w:start w:val="2"/>
    </w:lvl>
  </w:abstractNum>
  <w:abstractNum w:abstractNumId="69">
    <w:nsid w:val="1CDCE2DE"/>
    <w:multiLevelType w:val="hybridMultilevel"/>
    <w:lvl w:ilvl="0">
      <w:lvlJc w:val="left"/>
      <w:lvlText w:val="(%1)"/>
      <w:numFmt w:val="lowerLetter"/>
      <w:start w:val="1"/>
    </w:lvl>
  </w:abstractNum>
  <w:abstractNum w:abstractNumId="70">
    <w:nsid w:val="69D3947C"/>
    <w:multiLevelType w:val="hybridMultilevel"/>
    <w:lvl w:ilvl="0">
      <w:lvlJc w:val="left"/>
      <w:lvlText w:val="(%1)"/>
      <w:numFmt w:val="decimal"/>
      <w:start w:val="1"/>
    </w:lvl>
  </w:abstractNum>
  <w:abstractNum w:abstractNumId="71">
    <w:nsid w:val="2539DFA5"/>
    <w:multiLevelType w:val="hybridMultilevel"/>
    <w:lvl w:ilvl="0">
      <w:lvlJc w:val="left"/>
      <w:lvlText w:val="(%1)"/>
      <w:numFmt w:val="decimal"/>
      <w:start w:val="2"/>
    </w:lvl>
  </w:abstractNum>
  <w:abstractNum w:abstractNumId="72">
    <w:nsid w:val="2DB88089"/>
    <w:multiLevelType w:val="hybridMultilevel"/>
    <w:lvl w:ilvl="0">
      <w:lvlJc w:val="left"/>
      <w:lvlText w:val="(%1)"/>
      <w:numFmt w:val="lowerLetter"/>
      <w:start w:val="1"/>
    </w:lvl>
  </w:abstractNum>
  <w:abstractNum w:abstractNumId="73">
    <w:nsid w:val="706B674E"/>
    <w:multiLevelType w:val="hybridMultilevel"/>
    <w:lvl w:ilvl="0">
      <w:lvlJc w:val="left"/>
      <w:lvlText w:val="(%1)"/>
      <w:numFmt w:val="lowerLetter"/>
      <w:start w:val="1"/>
    </w:lvl>
  </w:abstractNum>
  <w:abstractNum w:abstractNumId="74">
    <w:nsid w:val="2C106A57"/>
    <w:multiLevelType w:val="hybridMultilevel"/>
    <w:lvl w:ilvl="0">
      <w:lvlJc w:val="left"/>
      <w:lvlText w:val="(%1)"/>
      <w:numFmt w:val="lowerLetter"/>
      <w:start w:val="1"/>
    </w:lvl>
  </w:abstractNum>
  <w:abstractNum w:abstractNumId="75">
    <w:nsid w:val="684EED59"/>
    <w:multiLevelType w:val="hybridMultilevel"/>
    <w:lvl w:ilvl="0">
      <w:lvlJc w:val="left"/>
      <w:lvlText w:val="(%1)"/>
      <w:numFmt w:val="decimal"/>
      <w:start w:val="1"/>
    </w:lvl>
  </w:abstractNum>
  <w:abstractNum w:abstractNumId="76">
    <w:nsid w:val="545EE5D3"/>
    <w:multiLevelType w:val="hybridMultilevel"/>
    <w:lvl w:ilvl="0">
      <w:lvlJc w:val="left"/>
      <w:lvlText w:val="(%1)"/>
      <w:numFmt w:val="lowerLetter"/>
      <w:start w:val="3"/>
    </w:lvl>
  </w:abstractNum>
  <w:abstractNum w:abstractNumId="77">
    <w:nsid w:val="4A66051"/>
    <w:multiLevelType w:val="hybridMultilevel"/>
    <w:lvl w:ilvl="0">
      <w:lvlJc w:val="left"/>
      <w:lvlText w:val="(%1)"/>
      <w:numFmt w:val="decimal"/>
      <w:start w:val="1"/>
    </w:lvl>
  </w:abstractNum>
  <w:abstractNum w:abstractNumId="78">
    <w:nsid w:val="20F4BDAD"/>
    <w:multiLevelType w:val="hybridMultilevel"/>
    <w:lvl w:ilvl="0">
      <w:lvlJc w:val="left"/>
      <w:lvlText w:val="(%1)"/>
      <w:numFmt w:val="decimal"/>
      <w:start w:val="3"/>
    </w:lvl>
  </w:abstractNum>
  <w:abstractNum w:abstractNumId="79">
    <w:nsid w:val="639DEFAC"/>
    <w:multiLevelType w:val="hybridMultilevel"/>
    <w:lvl w:ilvl="0">
      <w:lvlJc w:val="left"/>
      <w:lvlText w:val="(%1)"/>
      <w:numFmt w:val="lowerLetter"/>
      <w:start w:val="4"/>
    </w:lvl>
  </w:abstractNum>
  <w:abstractNum w:abstractNumId="80">
    <w:nsid w:val="501F9786"/>
    <w:multiLevelType w:val="hybridMultilevel"/>
    <w:lvl w:ilvl="0">
      <w:lvlJc w:val="left"/>
      <w:lvlText w:val="(%1)"/>
      <w:numFmt w:val="lowerLetter"/>
      <w:start w:val="1"/>
    </w:lvl>
  </w:abstractNum>
  <w:abstractNum w:abstractNumId="81">
    <w:nsid w:val="6B057295"/>
    <w:multiLevelType w:val="hybridMultilevel"/>
    <w:lvl w:ilvl="0">
      <w:lvlJc w:val="left"/>
      <w:lvlText w:val="(%1)"/>
      <w:numFmt w:val="lowerLetter"/>
      <w:start w:val="11"/>
    </w:lvl>
  </w:abstractNum>
  <w:abstractNum w:abstractNumId="82">
    <w:nsid w:val="2771AC80"/>
    <w:multiLevelType w:val="hybridMultilevel"/>
    <w:lvl w:ilvl="0">
      <w:lvlJc w:val="left"/>
      <w:lvlText w:val="(%1)"/>
      <w:numFmt w:val="lowerLetter"/>
      <w:start w:val="1"/>
    </w:lvl>
  </w:abstractNum>
  <w:abstractNum w:abstractNumId="83">
    <w:nsid w:val="1C4A08EC"/>
    <w:multiLevelType w:val="hybridMultilevel"/>
    <w:lvl w:ilvl="0">
      <w:lvlJc w:val="left"/>
      <w:lvlText w:val="(%1)"/>
      <w:numFmt w:val="lowerLetter"/>
      <w:start w:val="1"/>
    </w:lvl>
  </w:abstractNum>
  <w:abstractNum w:abstractNumId="84">
    <w:nsid w:val="1958BD17"/>
    <w:multiLevelType w:val="hybridMultilevel"/>
    <w:lvl w:ilvl="0">
      <w:lvlJc w:val="left"/>
      <w:lvlText w:val="(%1)"/>
      <w:numFmt w:val="lowerLetter"/>
      <w:start w:val="1"/>
    </w:lvl>
  </w:abstractNum>
  <w:abstractNum w:abstractNumId="85">
    <w:nsid w:val="4E647FE4"/>
    <w:multiLevelType w:val="hybridMultilevel"/>
    <w:lvl w:ilvl="0">
      <w:lvlJc w:val="left"/>
      <w:lvlText w:val="(%1)"/>
      <w:numFmt w:val="decimal"/>
      <w:start w:val="1"/>
    </w:lvl>
  </w:abstractNum>
  <w:abstractNum w:abstractNumId="86">
    <w:nsid w:val="E0BB885"/>
    <w:multiLevelType w:val="hybridMultilevel"/>
    <w:lvl w:ilvl="0">
      <w:lvlJc w:val="left"/>
      <w:lvlText w:val="(%1)"/>
      <w:numFmt w:val="decimal"/>
      <w:start w:val="2"/>
    </w:lvl>
  </w:abstractNum>
  <w:abstractNum w:abstractNumId="87">
    <w:nsid w:val="565976F1"/>
    <w:multiLevelType w:val="hybridMultilevel"/>
    <w:lvl w:ilvl="0">
      <w:lvlJc w:val="left"/>
      <w:lvlText w:val="(%1)"/>
      <w:numFmt w:val="decimal"/>
      <w:start w:val="4"/>
    </w:lvl>
  </w:abstractNum>
  <w:abstractNum w:abstractNumId="88">
    <w:nsid w:val="64212B8C"/>
    <w:multiLevelType w:val="hybridMultilevel"/>
    <w:lvl w:ilvl="0">
      <w:lvlJc w:val="left"/>
      <w:lvlText w:val="(%1)"/>
      <w:numFmt w:val="lowerLetter"/>
      <w:start w:val="2"/>
    </w:lvl>
  </w:abstractNum>
  <w:abstractNum w:abstractNumId="89">
    <w:nsid w:val="5C17530C"/>
    <w:multiLevelType w:val="hybridMultilevel"/>
    <w:lvl w:ilvl="0">
      <w:lvlJc w:val="left"/>
      <w:lvlText w:val="(%1)"/>
      <w:numFmt w:val="lowerLetter"/>
      <w:start w:val="1"/>
    </w:lvl>
  </w:abstractNum>
  <w:abstractNum w:abstractNumId="90">
    <w:nsid w:val="19A52566"/>
    <w:multiLevelType w:val="hybridMultilevel"/>
    <w:lvl w:ilvl="0">
      <w:lvlJc w:val="left"/>
      <w:lvlText w:val="(%1)"/>
      <w:numFmt w:val="lowerLetter"/>
      <w:start w:val="1"/>
    </w:lvl>
  </w:abstractNum>
  <w:abstractNum w:abstractNumId="91">
    <w:nsid w:val="335A1DF1"/>
    <w:multiLevelType w:val="hybridMultilevel"/>
    <w:lvl w:ilvl="0">
      <w:lvlJc w:val="left"/>
      <w:lvlText w:val="(%1)"/>
      <w:numFmt w:val="decimal"/>
      <w:start w:val="1"/>
    </w:lvl>
  </w:abstractNum>
  <w:abstractNum w:abstractNumId="92">
    <w:nsid w:val="28677B7C"/>
    <w:multiLevelType w:val="hybridMultilevel"/>
    <w:lvl w:ilvl="0">
      <w:lvlJc w:val="left"/>
      <w:lvlText w:val="(%1)"/>
      <w:numFmt w:val="lowerLetter"/>
      <w:start w:val="2"/>
    </w:lvl>
  </w:abstractNum>
  <w:abstractNum w:abstractNumId="93">
    <w:nsid w:val="378D97C0"/>
    <w:multiLevelType w:val="hybridMultilevel"/>
    <w:lvl w:ilvl="0">
      <w:lvlJc w:val="left"/>
      <w:lvlText w:val="(%1)"/>
      <w:numFmt w:val="lowerRoman"/>
      <w:start w:val="1"/>
    </w:lvl>
  </w:abstractNum>
  <w:abstractNum w:abstractNumId="94">
    <w:nsid w:val="1D91467C"/>
    <w:multiLevelType w:val="hybridMultilevel"/>
    <w:lvl w:ilvl="0">
      <w:lvlJc w:val="left"/>
      <w:lvlText w:val="(%1)"/>
      <w:numFmt w:val="lowerRoman"/>
      <w:start w:val="5"/>
    </w:lvl>
  </w:abstractNum>
  <w:abstractNum w:abstractNumId="95">
    <w:nsid w:val="316032BB"/>
    <w:multiLevelType w:val="hybridMultilevel"/>
    <w:lvl w:ilvl="0">
      <w:lvlJc w:val="left"/>
      <w:lvlText w:val="(%1)"/>
      <w:numFmt w:val="lowerLetter"/>
      <w:start w:val="1"/>
    </w:lvl>
  </w:abstractNum>
  <w:abstractNum w:abstractNumId="96">
    <w:nsid w:val="44344C22"/>
    <w:multiLevelType w:val="hybridMultilevel"/>
    <w:lvl w:ilvl="0">
      <w:lvlJc w:val="left"/>
      <w:lvlText w:val="(%1)"/>
      <w:numFmt w:val="lowerLetter"/>
      <w:start w:val="1"/>
    </w:lvl>
  </w:abstractNum>
  <w:abstractNum w:abstractNumId="97">
    <w:nsid w:val="13CDFCFC"/>
    <w:multiLevelType w:val="hybridMultilevel"/>
    <w:lvl w:ilvl="0">
      <w:lvlJc w:val="left"/>
      <w:lvlText w:val="(%1)"/>
      <w:numFmt w:val="lowerLetter"/>
      <w:start w:val="1"/>
    </w:lvl>
  </w:abstractNum>
  <w:abstractNum w:abstractNumId="98">
    <w:nsid w:val="471745E4"/>
    <w:multiLevelType w:val="hybridMultilevel"/>
    <w:lvl w:ilvl="0">
      <w:lvlJc w:val="left"/>
      <w:lvlText w:val="(%1)"/>
      <w:numFmt w:val="lowerLetter"/>
      <w:start w:val="9"/>
    </w:lvl>
  </w:abstractNum>
  <w:abstractNum w:abstractNumId="99">
    <w:nsid w:val="1DDBC66"/>
    <w:multiLevelType w:val="hybridMultilevel"/>
    <w:lvl w:ilvl="0">
      <w:lvlJc w:val="left"/>
      <w:lvlText w:val="(%1)"/>
      <w:numFmt w:val="lowerLetter"/>
      <w:start w:val="12"/>
    </w:lvl>
  </w:abstractNum>
  <w:abstractNum w:abstractNumId="100">
    <w:nsid w:val="30AADFDA"/>
    <w:multiLevelType w:val="hybridMultilevel"/>
    <w:lvl w:ilvl="0">
      <w:lvlJc w:val="left"/>
      <w:lvlText w:val="(%1)"/>
      <w:numFmt w:val="lowerLetter"/>
      <w:start w:val="1"/>
    </w:lvl>
  </w:abstractNum>
  <w:abstractNum w:abstractNumId="101">
    <w:nsid w:val="30EADA61"/>
    <w:multiLevelType w:val="hybridMultilevel"/>
    <w:lvl w:ilvl="0">
      <w:lvlJc w:val="left"/>
      <w:lvlText w:val="(%1)"/>
      <w:numFmt w:val="lowerLetter"/>
      <w:start w:val="1"/>
    </w:lvl>
  </w:abstractNum>
  <w:abstractNum w:abstractNumId="102">
    <w:nsid w:val="27179C0B"/>
    <w:multiLevelType w:val="hybridMultilevel"/>
    <w:lvl w:ilvl="0">
      <w:lvlJc w:val="left"/>
      <w:lvlText w:val="(%1)"/>
      <w:numFmt w:val="lowerLetter"/>
      <w:start w:val="2"/>
    </w:lvl>
  </w:abstractNum>
  <w:abstractNum w:abstractNumId="103">
    <w:nsid w:val="5E636063"/>
    <w:multiLevelType w:val="hybridMultilevel"/>
    <w:lvl w:ilvl="0">
      <w:lvlJc w:val="left"/>
      <w:lvlText w:val="(%1)"/>
      <w:numFmt w:val="lowerLetter"/>
      <w:start w:val="1"/>
    </w:lvl>
  </w:abstractNum>
  <w:abstractNum w:abstractNumId="104">
    <w:nsid w:val="215641AF"/>
    <w:multiLevelType w:val="hybridMultilevel"/>
    <w:lvl w:ilvl="0">
      <w:lvlJc w:val="left"/>
      <w:lvlText w:val="%1"/>
      <w:numFmt w:val="decimal"/>
      <w:start w:val="1"/>
    </w:lvl>
    <w:lvl w:ilvl="1">
      <w:lvlJc w:val="left"/>
      <w:lvlText w:val="(%2)"/>
      <w:numFmt w:val="lowerLetter"/>
      <w:start w:val="1"/>
    </w:lvl>
  </w:abstractNum>
  <w:abstractNum w:abstractNumId="105">
    <w:nsid w:val="53280662"/>
    <w:multiLevelType w:val="hybridMultilevel"/>
    <w:lvl w:ilvl="0">
      <w:lvlJc w:val="left"/>
      <w:lvlText w:val="(%1)"/>
      <w:numFmt w:val="decimal"/>
      <w:start w:val="2"/>
    </w:lvl>
    <w:lvl w:ilvl="1">
      <w:lvlJc w:val="left"/>
      <w:lvlText w:val="%2"/>
      <w:numFmt w:val="lowerLetter"/>
      <w:start w:val="1"/>
    </w:lvl>
  </w:abstractNum>
  <w:abstractNum w:abstractNumId="106">
    <w:nsid w:val="46B24DBC"/>
    <w:multiLevelType w:val="hybridMultilevel"/>
    <w:lvl w:ilvl="0">
      <w:lvlJc w:val="left"/>
      <w:lvlText w:val="(%1)"/>
      <w:numFmt w:val="lowerLetter"/>
      <w:start w:val="2"/>
    </w:lvl>
  </w:abstractNum>
  <w:abstractNum w:abstractNumId="107">
    <w:nsid w:val="75B52783"/>
    <w:multiLevelType w:val="hybridMultilevel"/>
    <w:lvl w:ilvl="0">
      <w:lvlJc w:val="left"/>
      <w:lvlText w:val="(%1)"/>
      <w:numFmt w:val="lowerLetter"/>
      <w:start w:val="7"/>
    </w:lvl>
  </w:abstractNum>
  <w:abstractNum w:abstractNumId="108">
    <w:nsid w:val="57CE66B4"/>
    <w:multiLevelType w:val="hybridMultilevel"/>
    <w:lvl w:ilvl="0">
      <w:lvlJc w:val="left"/>
      <w:lvlText w:val="(%1)"/>
      <w:numFmt w:val="decimal"/>
      <w:start w:val="1"/>
    </w:lvl>
  </w:abstractNum>
  <w:abstractNum w:abstractNumId="109">
    <w:nsid w:val="67A70B69"/>
    <w:multiLevelType w:val="hybridMultilevel"/>
    <w:lvl w:ilvl="0">
      <w:lvlJc w:val="left"/>
      <w:lvlText w:val="(%1)"/>
      <w:numFmt w:val="decimal"/>
      <w:start w:val="1"/>
    </w:lvl>
  </w:abstractNum>
  <w:abstractNum w:abstractNumId="110">
    <w:nsid w:val="5953172F"/>
    <w:multiLevelType w:val="hybridMultilevel"/>
    <w:lvl w:ilvl="0">
      <w:lvlJc w:val="left"/>
      <w:lvlText w:val="(%1)"/>
      <w:numFmt w:val="lowerLetter"/>
      <w:start w:val="1"/>
    </w:lvl>
  </w:abstractNum>
  <w:abstractNum w:abstractNumId="111">
    <w:nsid w:val="27EDFE3A"/>
    <w:multiLevelType w:val="hybridMultilevel"/>
    <w:lvl w:ilvl="0">
      <w:lvlJc w:val="left"/>
      <w:lvlText w:val="(%1)"/>
      <w:numFmt w:val="lowerLetter"/>
      <w:start w:val="1"/>
    </w:lvl>
  </w:abstractNum>
  <w:abstractNum w:abstractNumId="112">
    <w:nsid w:val="52AC7DFF"/>
    <w:multiLevelType w:val="hybridMultilevel"/>
    <w:lvl w:ilvl="0">
      <w:lvlJc w:val="left"/>
      <w:lvlText w:val="(%1)"/>
      <w:numFmt w:val="lowerLetter"/>
      <w:start w:val="4"/>
    </w:lvl>
  </w:abstractNum>
  <w:abstractNum w:abstractNumId="113">
    <w:nsid w:val="C4C3AF"/>
    <w:multiLevelType w:val="hybridMultilevel"/>
    <w:lvl w:ilvl="0">
      <w:lvlJc w:val="left"/>
      <w:lvlText w:val="(%1)"/>
      <w:numFmt w:val="lowerLetter"/>
      <w:start w:val="1"/>
    </w:lvl>
  </w:abstractNum>
  <w:abstractNum w:abstractNumId="114">
    <w:nsid w:val="44380727"/>
    <w:multiLevelType w:val="hybridMultilevel"/>
    <w:lvl w:ilvl="0">
      <w:lvlJc w:val="left"/>
      <w:lvlText w:val="(%1)"/>
      <w:numFmt w:val="lowerRoman"/>
      <w:start w:val="1"/>
    </w:lvl>
  </w:abstractNum>
  <w:abstractNum w:abstractNumId="115">
    <w:nsid w:val="6C053B16"/>
    <w:multiLevelType w:val="hybridMultilevel"/>
    <w:lvl w:ilvl="0">
      <w:lvlJc w:val="left"/>
      <w:lvlText w:val="(%1)"/>
      <w:numFmt w:val="decimal"/>
      <w:start w:val="1"/>
    </w:lvl>
    <w:lvl w:ilvl="1">
      <w:lvlJc w:val="left"/>
      <w:lvlText w:val="(%2)"/>
      <w:numFmt w:val="upperLetter"/>
      <w:start w:val="1"/>
    </w:lvl>
  </w:abstractNum>
  <w:abstractNum w:abstractNumId="116">
    <w:nsid w:val="4F294393"/>
    <w:multiLevelType w:val="hybridMultilevel"/>
    <w:lvl w:ilvl="0">
      <w:lvlJc w:val="left"/>
      <w:lvlText w:val="(%1)"/>
      <w:numFmt w:val="lowerLetter"/>
      <w:start w:val="2"/>
    </w:lvl>
  </w:abstractNum>
  <w:abstractNum w:abstractNumId="117">
    <w:nsid w:val="5243BFAC"/>
    <w:multiLevelType w:val="hybridMultilevel"/>
    <w:lvl w:ilvl="0">
      <w:lvlJc w:val="left"/>
      <w:lvlText w:val="(%1)"/>
      <w:numFmt w:val="lowerRoman"/>
      <w:start w:val="1"/>
    </w:lvl>
  </w:abstractNum>
  <w:abstractNum w:abstractNumId="118">
    <w:nsid w:val="425EB207"/>
    <w:multiLevelType w:val="hybridMultilevel"/>
    <w:lvl w:ilvl="0">
      <w:lvlJc w:val="left"/>
      <w:lvlText w:val="(%1)"/>
      <w:numFmt w:val="lowerLetter"/>
      <w:start w:val="3"/>
    </w:lvl>
  </w:abstractNum>
  <w:abstractNum w:abstractNumId="119">
    <w:nsid w:val="334A6F1F"/>
    <w:multiLevelType w:val="hybridMultilevel"/>
    <w:lvl w:ilvl="0">
      <w:lvlJc w:val="left"/>
      <w:lvlText w:val="(%1)"/>
      <w:numFmt w:val="lowerRoman"/>
      <w:start w:val="2"/>
    </w:lvl>
  </w:abstractNum>
  <w:abstractNum w:abstractNumId="120">
    <w:nsid w:val="2E5B12B8"/>
    <w:multiLevelType w:val="hybridMultilevel"/>
    <w:lvl w:ilvl="0">
      <w:lvlJc w:val="left"/>
      <w:lvlText w:val="(%1)"/>
      <w:numFmt w:val="lowerRoman"/>
      <w:start w:val="3"/>
    </w:lvl>
  </w:abstractNum>
  <w:abstractNum w:abstractNumId="121">
    <w:nsid w:val="5C03D76D"/>
    <w:multiLevelType w:val="hybridMultilevel"/>
    <w:lvl w:ilvl="0">
      <w:lvlJc w:val="left"/>
      <w:lvlText w:val="(%1)"/>
      <w:numFmt w:val="lowerLetter"/>
      <w:start w:val="4"/>
    </w:lvl>
  </w:abstractNum>
  <w:abstractNum w:abstractNumId="122">
    <w:nsid w:val="66A48D11"/>
    <w:multiLevelType w:val="hybridMultilevel"/>
    <w:lvl w:ilvl="0">
      <w:lvlJc w:val="left"/>
      <w:lvlText w:val="(%1)"/>
      <w:numFmt w:val="lowerRoman"/>
      <w:start w:val="2"/>
    </w:lvl>
  </w:abstractNum>
  <w:abstractNum w:abstractNumId="123">
    <w:nsid w:val="56C28E34"/>
    <w:multiLevelType w:val="hybridMultilevel"/>
    <w:lvl w:ilvl="0">
      <w:lvlJc w:val="left"/>
      <w:lvlText w:val="(%1)"/>
      <w:numFmt w:val="lowerLetter"/>
      <w:start w:val="5"/>
    </w:lvl>
  </w:abstractNum>
  <w:abstractNum w:abstractNumId="124">
    <w:nsid w:val="13916F2D"/>
    <w:multiLevelType w:val="hybridMultilevel"/>
    <w:lvl w:ilvl="0">
      <w:lvlJc w:val="left"/>
      <w:lvlText w:val="(%1)"/>
      <w:numFmt w:val="lowerRoman"/>
      <w:start w:val="1"/>
    </w:lvl>
  </w:abstractNum>
  <w:abstractNum w:abstractNumId="125">
    <w:nsid w:val="435D38D"/>
    <w:multiLevelType w:val="hybridMultilevel"/>
    <w:lvl w:ilvl="0">
      <w:lvlJc w:val="left"/>
      <w:lvlText w:val="(%1)"/>
      <w:numFmt w:val="decimal"/>
      <w:start w:val="1"/>
    </w:lvl>
  </w:abstractNum>
  <w:abstractNum w:abstractNumId="126">
    <w:nsid w:val="822C0EF"/>
    <w:multiLevelType w:val="hybridMultilevel"/>
    <w:lvl w:ilvl="0">
      <w:lvlJc w:val="left"/>
      <w:lvlText w:val="(%1)"/>
      <w:numFmt w:val="upperLetter"/>
      <w:start w:val="6"/>
    </w:lvl>
  </w:abstractNum>
  <w:abstractNum w:abstractNumId="127">
    <w:nsid w:val="57C5BB4F"/>
    <w:multiLevelType w:val="hybridMultilevel"/>
    <w:lvl w:ilvl="0">
      <w:lvlJc w:val="left"/>
      <w:lvlText w:val="(%1)"/>
      <w:numFmt w:val="decimal"/>
      <w:start w:val="3"/>
    </w:lvl>
  </w:abstractNum>
  <w:abstractNum w:abstractNumId="128">
    <w:nsid w:val="1803D089"/>
    <w:multiLevelType w:val="hybridMultilevel"/>
    <w:lvl w:ilvl="0">
      <w:lvlJc w:val="left"/>
      <w:lvlText w:val="(%1)"/>
      <w:numFmt w:val="lowerRoman"/>
      <w:start w:val="2"/>
    </w:lvl>
  </w:abstractNum>
  <w:abstractNum w:abstractNumId="129">
    <w:nsid w:val="4F3A06D4"/>
    <w:multiLevelType w:val="hybridMultilevel"/>
    <w:lvl w:ilvl="0">
      <w:lvlJc w:val="left"/>
      <w:lvlText w:val="(%1)"/>
      <w:numFmt w:val="lowerRoman"/>
      <w:start w:val="8"/>
    </w:lvl>
  </w:abstractNum>
  <w:abstractNum w:abstractNumId="130">
    <w:nsid w:val="59A377B6"/>
    <w:multiLevelType w:val="hybridMultilevel"/>
    <w:lvl w:ilvl="0">
      <w:lvlJc w:val="left"/>
      <w:lvlText w:val="%1"/>
      <w:numFmt w:val="lowerLetter"/>
      <w:start w:val="1"/>
    </w:lvl>
    <w:lvl w:ilvl="1">
      <w:lvlJc w:val="left"/>
      <w:lvlText w:val="(%2)"/>
      <w:numFmt w:val="upperLetter"/>
      <w:start w:val="1"/>
    </w:lvl>
  </w:abstractNum>
  <w:abstractNum w:abstractNumId="131">
    <w:nsid w:val="48AEB063"/>
    <w:multiLevelType w:val="hybridMultilevel"/>
    <w:lvl w:ilvl="0">
      <w:lvlJc w:val="left"/>
      <w:lvlText w:val="(%1)"/>
      <w:numFmt w:val="lowerLetter"/>
      <w:start w:val="6"/>
    </w:lvl>
    <w:lvl w:ilvl="1">
      <w:lvlJc w:val="left"/>
      <w:lvlText w:val="%2"/>
      <w:numFmt w:val="upperLetter"/>
      <w:start w:val="1"/>
    </w:lvl>
  </w:abstractNum>
  <w:abstractNum w:abstractNumId="132">
    <w:nsid w:val="24E135"/>
    <w:multiLevelType w:val="hybridMultilevel"/>
    <w:lvl w:ilvl="0">
      <w:lvlJc w:val="left"/>
      <w:lvlText w:val="(%1)"/>
      <w:numFmt w:val="lowerRoman"/>
      <w:start w:val="1"/>
    </w:lvl>
  </w:abstractNum>
  <w:abstractNum w:abstractNumId="133">
    <w:nsid w:val="BB13C1"/>
    <w:multiLevelType w:val="hybridMultilevel"/>
    <w:lvl w:ilvl="0">
      <w:lvlJc w:val="left"/>
      <w:lvlText w:val="(%1)"/>
      <w:numFmt w:val="lowerRoman"/>
      <w:start w:val="2"/>
    </w:lvl>
  </w:abstractNum>
  <w:abstractNum w:abstractNumId="134">
    <w:nsid w:val="271210C7"/>
    <w:multiLevelType w:val="hybridMultilevel"/>
    <w:lvl w:ilvl="0">
      <w:lvlJc w:val="left"/>
      <w:lvlText w:val="(%1)"/>
      <w:numFmt w:val="lowerLetter"/>
      <w:start w:val="8"/>
    </w:lvl>
  </w:abstractNum>
  <w:abstractNum w:abstractNumId="135">
    <w:nsid w:val="217B22E4"/>
    <w:multiLevelType w:val="hybridMultilevel"/>
    <w:lvl w:ilvl="0">
      <w:lvlJc w:val="left"/>
      <w:lvlText w:val="(%1)"/>
      <w:numFmt w:val="lowerRoman"/>
      <w:start w:val="2"/>
    </w:lvl>
  </w:abstractNum>
  <w:abstractNum w:abstractNumId="136">
    <w:nsid w:val="53E31A24"/>
    <w:multiLevelType w:val="hybridMultilevel"/>
    <w:lvl w:ilvl="0">
      <w:lvlJc w:val="left"/>
      <w:lvlText w:val="(%1)"/>
      <w:numFmt w:val="lowerLetter"/>
      <w:start w:val="1"/>
    </w:lvl>
  </w:abstractNum>
  <w:abstractNum w:abstractNumId="137">
    <w:nsid w:val="6DC45E83"/>
    <w:multiLevelType w:val="hybridMultilevel"/>
    <w:lvl w:ilvl="0">
      <w:lvlJc w:val="left"/>
      <w:lvlText w:val="(%1)"/>
      <w:numFmt w:val="lowerLetter"/>
      <w:start w:val="2"/>
    </w:lvl>
  </w:abstractNum>
  <w:abstractNum w:abstractNumId="138">
    <w:nsid w:val="17304A67"/>
    <w:multiLevelType w:val="hybridMultilevel"/>
    <w:lvl w:ilvl="0">
      <w:lvlJc w:val="left"/>
      <w:lvlText w:val="(%1)"/>
      <w:numFmt w:val="decimal"/>
      <w:start w:val="1"/>
    </w:lvl>
  </w:abstractNum>
  <w:abstractNum w:abstractNumId="139">
    <w:nsid w:val="2BB180D8"/>
    <w:multiLevelType w:val="hybridMultilevel"/>
    <w:lvl w:ilvl="0">
      <w:lvlJc w:val="left"/>
      <w:lvlText w:val="%1"/>
      <w:numFmt w:val="decimal"/>
      <w:start w:val="1"/>
    </w:lvl>
    <w:lvl w:ilvl="1">
      <w:lvlJc w:val="left"/>
      <w:lvlText w:val="%2."/>
      <w:numFmt w:val="decimal"/>
      <w:start w:val="1"/>
    </w:lvl>
  </w:abstractNum>
  <w:abstractNum w:abstractNumId="140">
    <w:nsid w:val="556B69ED"/>
    <w:multiLevelType w:val="hybridMultilevel"/>
    <w:lvl w:ilvl="0">
      <w:lvlJc w:val="left"/>
      <w:lvlText w:val="(%1)"/>
      <w:numFmt w:val="decimal"/>
      <w:start w:val="2"/>
    </w:lvl>
    <w:lvl w:ilvl="1">
      <w:lvlJc w:val="left"/>
      <w:lvlText w:val="%2"/>
      <w:numFmt w:val="decimal"/>
      <w:start w:val="1"/>
    </w:lvl>
  </w:abstractNum>
  <w:abstractNum w:abstractNumId="141">
    <w:nsid w:val="70836196"/>
    <w:multiLevelType w:val="hybridMultilevel"/>
    <w:lvl w:ilvl="0">
      <w:lvlJc w:val="left"/>
      <w:lvlText w:val="%1."/>
      <w:numFmt w:val="decimal"/>
      <w:start w:val="4"/>
    </w:lvl>
  </w:abstractNum>
  <w:abstractNum w:abstractNumId="142">
    <w:nsid w:val="539F7F12"/>
    <w:multiLevelType w:val="hybridMultilevel"/>
    <w:lvl w:ilvl="0">
      <w:lvlJc w:val="left"/>
      <w:lvlText w:val="%1."/>
      <w:numFmt w:val="decimal"/>
      <w:start w:val="6"/>
    </w:lvl>
  </w:abstractNum>
  <w:abstractNum w:abstractNumId="143">
    <w:nsid w:val="2817E7EC"/>
    <w:multiLevelType w:val="hybridMultilevel"/>
    <w:lvl w:ilvl="0">
      <w:lvlJc w:val="left"/>
      <w:lvlText w:val="o"/>
      <w:numFmt w:val="bullet"/>
      <w:start w:val="1"/>
    </w:lvl>
  </w:abstractNum>
  <w:abstractNum w:abstractNumId="144">
    <w:nsid w:val="71482545"/>
    <w:multiLevelType w:val="hybridMultilevel"/>
    <w:lvl w:ilvl="0">
      <w:lvlJc w:val="left"/>
      <w:lvlText w:val="o"/>
      <w:numFmt w:val="bullet"/>
      <w:start w:val="1"/>
    </w:lvl>
  </w:abstractNum>
  <w:abstractNum w:abstractNumId="145">
    <w:nsid w:val="17D78639"/>
    <w:multiLevelType w:val="hybridMultilevel"/>
    <w:lvl w:ilvl="0">
      <w:lvlJc w:val="left"/>
      <w:lvlText w:val="*"/>
      <w:numFmt w:val="bullet"/>
      <w:start w:val="1"/>
    </w:lvl>
  </w:abstractNum>
  <w:abstractNum w:abstractNumId="146">
    <w:nsid w:val="141D23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407168D8"/>
    <w:multiLevelType w:val="hybridMultilevel"/>
    <w:lvl w:ilvl="0">
      <w:lvlJc w:val="left"/>
      <w:lvlText w:val="%1"/>
      <w:numFmt w:val="lowerLetter"/>
      <w:start w:val="1"/>
    </w:lvl>
    <w:lvl w:ilvl="1">
      <w:lvlJc w:val="left"/>
      <w:lvlText w:val="(%2)"/>
      <w:numFmt w:val="lowerRoman"/>
      <w:start w:val="3"/>
    </w:lvl>
  </w:abstractNum>
  <w:abstractNum w:abstractNumId="148">
    <w:nsid w:val="6A1B45E5"/>
    <w:multiLevelType w:val="hybridMultilevel"/>
    <w:lvl w:ilvl="0">
      <w:lvlJc w:val="left"/>
      <w:lvlText w:val="(%1)"/>
      <w:numFmt w:val="lowerLetter"/>
      <w:start w:val="3"/>
    </w:lvl>
    <w:lvl w:ilvl="1">
      <w:lvlJc w:val="left"/>
      <w:lvlText w:val="%2"/>
      <w:numFmt w:val="lowerRoman"/>
      <w:start w:val="1"/>
    </w:lvl>
  </w:abstractNum>
  <w:abstractNum w:abstractNumId="149">
    <w:nsid w:val="567BD50A"/>
    <w:multiLevelType w:val="hybridMultilevel"/>
    <w:lvl w:ilvl="0">
      <w:lvlJc w:val="left"/>
      <w:lvlText w:val="(%1)"/>
      <w:numFmt w:val="lowerLetter"/>
      <w:start w:val="6"/>
    </w:lvl>
  </w:abstractNum>
  <w:abstractNum w:abstractNumId="150">
    <w:nsid w:val="73BBD7F8"/>
    <w:multiLevelType w:val="hybridMultilevel"/>
    <w:lvl w:ilvl="0">
      <w:lvlJc w:val="left"/>
      <w:lvlText w:val="%1"/>
      <w:numFmt w:val="decimal"/>
      <w:start w:val="1"/>
    </w:lvl>
    <w:lvl w:ilvl="1">
      <w:lvlJc w:val="left"/>
      <w:lvlText w:val="(%2)"/>
      <w:numFmt w:val="lowerLetter"/>
      <w:start w:val="7"/>
    </w:lvl>
  </w:abstractNum>
  <w:abstractNum w:abstractNumId="151">
    <w:nsid w:val="1876589D"/>
    <w:multiLevelType w:val="hybridMultilevel"/>
    <w:lvl w:ilvl="0">
      <w:lvlJc w:val="left"/>
      <w:lvlText w:val="%1."/>
      <w:numFmt w:val="decimal"/>
      <w:start w:val="3"/>
    </w:lvl>
    <w:lvl w:ilvl="1">
      <w:lvlJc w:val="left"/>
      <w:lvlText w:val="%2"/>
      <w:numFmt w:val="lowerLetter"/>
      <w:start w:val="1"/>
    </w:lvl>
  </w:abstractNum>
  <w:abstractNum w:abstractNumId="152">
    <w:nsid w:val="327FAC77"/>
    <w:multiLevelType w:val="hybridMultilevel"/>
    <w:lvl w:ilvl="0">
      <w:lvlJc w:val="left"/>
      <w:lvlText w:val="%1."/>
      <w:numFmt w:val="decimal"/>
      <w:start w:val="12"/>
    </w:lvl>
  </w:abstractNum>
  <w:abstractNum w:abstractNumId="153">
    <w:nsid w:val="5A606509"/>
    <w:multiLevelType w:val="hybridMultilevel"/>
    <w:lvl w:ilvl="0">
      <w:lvlJc w:val="left"/>
      <w:lvlText w:val="%1"/>
      <w:numFmt w:val="lowerLetter"/>
      <w:start w:val="1"/>
    </w:lvl>
    <w:lvl w:ilvl="1">
      <w:lvlJc w:val="left"/>
      <w:lvlText w:val="%2."/>
      <w:numFmt w:val="decimal"/>
      <w:start w:val="1"/>
    </w:lvl>
  </w:abstractNum>
  <w:abstractNum w:abstractNumId="154">
    <w:nsid w:val="6F38E6D1"/>
    <w:multiLevelType w:val="hybridMultilevel"/>
    <w:lvl w:ilvl="0">
      <w:lvlJc w:val="left"/>
      <w:lvlText w:val="(%1)"/>
      <w:numFmt w:val="lowerLetter"/>
      <w:start w:val="2"/>
    </w:lvl>
    <w:lvl w:ilvl="1">
      <w:lvlJc w:val="left"/>
      <w:lvlText w:val="%2"/>
      <w:numFmt w:val="decimal"/>
      <w:start w:val="1"/>
    </w:lvl>
  </w:abstractNum>
  <w:abstractNum w:abstractNumId="155">
    <w:nsid w:val="46111BA5"/>
    <w:multiLevelType w:val="hybridMultilevel"/>
    <w:lvl w:ilvl="0">
      <w:lvlJc w:val="left"/>
      <w:lvlText w:val="%1"/>
      <w:numFmt w:val="lowerLetter"/>
      <w:start w:val="1"/>
    </w:lvl>
    <w:lvl w:ilvl="1">
      <w:lvlJc w:val="left"/>
      <w:lvlText w:val="(%2)"/>
      <w:numFmt w:val="decimal"/>
      <w:start w:val="1"/>
    </w:lvl>
  </w:abstractNum>
  <w:abstractNum w:abstractNumId="156">
    <w:nsid w:val="5E963896"/>
    <w:multiLevelType w:val="hybridMultilevel"/>
    <w:lvl w:ilvl="0">
      <w:lvlJc w:val="left"/>
      <w:lvlText w:val="(%1)"/>
      <w:numFmt w:val="lowerLetter"/>
      <w:start w:val="2"/>
    </w:lvl>
    <w:lvl w:ilvl="1">
      <w:lvlJc w:val="left"/>
      <w:lvlText w:val="%2"/>
      <w:numFmt w:val="decimal"/>
      <w:start w:val="1"/>
    </w:lvl>
  </w:abstractNum>
  <w:abstractNum w:abstractNumId="157">
    <w:nsid w:val="775BA7C1"/>
    <w:multiLevelType w:val="hybridMultilevel"/>
    <w:lvl w:ilvl="0">
      <w:lvlJc w:val="left"/>
      <w:lvlText w:val="(%1)"/>
      <w:numFmt w:val="decimal"/>
      <w:start w:val="2"/>
    </w:lvl>
  </w:abstractNum>
  <w:abstractNum w:abstractNumId="158">
    <w:nsid w:val="1DD6D6F4"/>
    <w:multiLevelType w:val="hybridMultilevel"/>
    <w:lvl w:ilvl="0">
      <w:lvlJc w:val="left"/>
      <w:lvlText w:val="(%1)"/>
      <w:numFmt w:val="decimal"/>
      <w:start w:val="1"/>
    </w:lvl>
  </w:abstractNum>
  <w:abstractNum w:abstractNumId="159">
    <w:nsid w:val="769A091F"/>
    <w:multiLevelType w:val="hybridMultilevel"/>
    <w:lvl w:ilvl="0">
      <w:lvlJc w:val="left"/>
      <w:lvlText w:val="%1"/>
      <w:numFmt w:val="lowerLetter"/>
      <w:start w:val="1"/>
    </w:lvl>
    <w:lvl w:ilvl="1">
      <w:lvlJc w:val="left"/>
      <w:lvlText w:val="(%2)"/>
      <w:numFmt w:val="decimal"/>
      <w:start w:val="1"/>
    </w:lvl>
  </w:abstractNum>
  <w:abstractNum w:abstractNumId="160">
    <w:nsid w:val="4695AE95"/>
    <w:multiLevelType w:val="hybridMultilevel"/>
    <w:lvl w:ilvl="0">
      <w:lvlJc w:val="left"/>
      <w:lvlText w:val="(%1)"/>
      <w:numFmt w:val="lowerLetter"/>
      <w:start w:val="1"/>
    </w:lvl>
    <w:lvl w:ilvl="1">
      <w:lvlJc w:val="left"/>
      <w:lvlText w:val="%2"/>
      <w:numFmt w:val="decimal"/>
      <w:start w:val="1"/>
    </w:lvl>
  </w:abstractNum>
  <w:abstractNum w:abstractNumId="161">
    <w:nsid w:val="777A4EAA"/>
    <w:multiLevelType w:val="hybridMultilevel"/>
    <w:lvl w:ilvl="0">
      <w:lvlJc w:val="left"/>
      <w:lvlText w:val="(%1)"/>
      <w:numFmt w:val="decimal"/>
      <w:start w:val="1"/>
    </w:lvl>
    <w:lvl w:ilvl="1">
      <w:lvlJc w:val="left"/>
      <w:lvlText w:val="(%2)"/>
      <w:numFmt w:val="lowerLetter"/>
      <w:start w:val="1"/>
    </w:lvl>
  </w:abstractNum>
  <w:abstractNum w:abstractNumId="162">
    <w:nsid w:val="3F48B982"/>
    <w:multiLevelType w:val="hybridMultilevel"/>
    <w:lvl w:ilvl="0">
      <w:lvlJc w:val="left"/>
      <w:lvlText w:val="(%1)"/>
      <w:numFmt w:val="decimal"/>
      <w:start w:val="1"/>
    </w:lvl>
  </w:abstractNum>
  <w:abstractNum w:abstractNumId="163">
    <w:nsid w:val="46BA8FCA"/>
    <w:multiLevelType w:val="hybridMultilevel"/>
    <w:lvl w:ilvl="0">
      <w:lvlJc w:val="left"/>
      <w:lvlText w:val="(%1)"/>
      <w:numFmt w:val="decimal"/>
      <w:start w:val="2"/>
    </w:lvl>
  </w:abstractNum>
  <w:abstractNum w:abstractNumId="164">
    <w:nsid w:val="7835626C"/>
    <w:multiLevelType w:val="hybridMultilevel"/>
    <w:lvl w:ilvl="0">
      <w:lvlJc w:val="left"/>
      <w:lvlText w:val="(%1)"/>
      <w:numFmt w:val="decimal"/>
      <w:start w:val="6"/>
    </w:lvl>
  </w:abstractNum>
  <w:abstractNum w:abstractNumId="165">
    <w:nsid w:val="665ACA49"/>
    <w:multiLevelType w:val="hybridMultilevel"/>
    <w:lvl w:ilvl="0">
      <w:lvlJc w:val="left"/>
      <w:lvlText w:val="(%1)"/>
      <w:numFmt w:val="decimal"/>
      <w:start w:val="15"/>
    </w:lvl>
  </w:abstractNum>
  <w:abstractNum w:abstractNumId="166">
    <w:nsid w:val="6835B2AE"/>
    <w:multiLevelType w:val="hybridMultilevel"/>
    <w:lvl w:ilvl="0">
      <w:lvlJc w:val="left"/>
      <w:lvlText w:val="(%1)"/>
      <w:numFmt w:val="decimal"/>
      <w:start w:val="16"/>
    </w:lvl>
  </w:abstractNum>
  <w:abstractNum w:abstractNumId="167">
    <w:nsid w:val="4C187C90"/>
    <w:multiLevelType w:val="hybridMultilevel"/>
    <w:lvl w:ilvl="0">
      <w:lvlJc w:val="left"/>
      <w:lvlText w:val="(%1)"/>
      <w:numFmt w:val="decimal"/>
      <w:start w:val="1"/>
    </w:lvl>
  </w:abstractNum>
  <w:abstractNum w:abstractNumId="168">
    <w:nsid w:val="541F28CD"/>
    <w:multiLevelType w:val="hybridMultilevel"/>
    <w:lvl w:ilvl="0">
      <w:lvlJc w:val="left"/>
      <w:lvlText w:val="(%1)"/>
      <w:numFmt w:val="lowerLetter"/>
      <w:start w:val="1"/>
    </w:lvl>
  </w:abstractNum>
  <w:abstractNum w:abstractNumId="169">
    <w:nsid w:val="7F65FD16"/>
    <w:multiLevelType w:val="hybridMultilevel"/>
    <w:lvl w:ilvl="0">
      <w:lvlJc w:val="left"/>
      <w:lvlText w:val="%1"/>
      <w:numFmt w:val="lowerLetter"/>
      <w:start w:val="1"/>
    </w:lvl>
    <w:lvl w:ilvl="1">
      <w:lvlJc w:val="left"/>
      <w:lvlText w:val="(%2)"/>
      <w:numFmt w:val="lowerLetter"/>
      <w:start w:val="5"/>
    </w:lvl>
  </w:abstractNum>
  <w:abstractNum w:abstractNumId="170">
    <w:nsid w:val="77C9FD68"/>
    <w:multiLevelType w:val="hybridMultilevel"/>
    <w:lvl w:ilvl="0">
      <w:lvlJc w:val="left"/>
      <w:lvlText w:val="(%1)"/>
      <w:numFmt w:val="lowerLetter"/>
      <w:start w:val="6"/>
    </w:lvl>
    <w:lvl w:ilvl="1">
      <w:lvlJc w:val="left"/>
      <w:lvlText w:val="(%2)"/>
      <w:numFmt w:val="lowerLetter"/>
      <w:start w:val="6"/>
    </w:lvl>
  </w:abstractNum>
  <w:abstractNum w:abstractNumId="171">
    <w:nsid w:val="298A92BA"/>
    <w:multiLevelType w:val="hybridMultilevel"/>
    <w:lvl w:ilvl="0">
      <w:lvlJc w:val="left"/>
      <w:lvlText w:val="(%1)"/>
      <w:numFmt w:val="lowerLetter"/>
      <w:start w:val="9"/>
    </w:lvl>
  </w:abstractNum>
  <w:abstractNum w:abstractNumId="172">
    <w:nsid w:val="6FE95EAC"/>
    <w:multiLevelType w:val="hybridMultilevel"/>
    <w:lvl w:ilvl="0">
      <w:lvlJc w:val="left"/>
      <w:lvlText w:val="(%1)"/>
      <w:numFmt w:val="lowerLetter"/>
      <w:start w:val="1"/>
    </w:lvl>
  </w:abstractNum>
  <w:abstractNum w:abstractNumId="173">
    <w:nsid w:val="4B697C7A"/>
    <w:multiLevelType w:val="hybridMultilevel"/>
    <w:lvl w:ilvl="0">
      <w:lvlJc w:val="left"/>
      <w:lvlText w:val="(%1)"/>
      <w:numFmt w:val="lowerLetter"/>
      <w:start w:val="1"/>
    </w:lvl>
  </w:abstractNum>
  <w:abstractNum w:abstractNumId="174">
    <w:nsid w:val="51A27AA6"/>
    <w:multiLevelType w:val="hybridMultilevel"/>
    <w:lvl w:ilvl="0">
      <w:lvlJc w:val="left"/>
      <w:lvlText w:val="(%1)"/>
      <w:numFmt w:val="lowerLetter"/>
      <w:start w:val="1"/>
    </w:lvl>
  </w:abstractNum>
  <w:abstractNum w:abstractNumId="175">
    <w:nsid w:val="613183F2"/>
    <w:multiLevelType w:val="hybridMultilevel"/>
    <w:lvl w:ilvl="0">
      <w:lvlJc w:val="left"/>
      <w:lvlText w:val="(%1)"/>
      <w:numFmt w:val="lowerLetter"/>
      <w:start w:val="2"/>
    </w:lvl>
  </w:abstractNum>
  <w:abstractNum w:abstractNumId="176">
    <w:nsid w:val="634102B4"/>
    <w:multiLevelType w:val="hybridMultilevel"/>
    <w:lvl w:ilvl="0">
      <w:lvlJc w:val="left"/>
      <w:lvlText w:val="(%1)"/>
      <w:numFmt w:val="lowerLetter"/>
      <w:start w:val="1"/>
    </w:lvl>
  </w:abstractNum>
  <w:abstractNum w:abstractNumId="177">
    <w:nsid w:val="65BF9DA8"/>
    <w:multiLevelType w:val="hybridMultilevel"/>
    <w:lvl w:ilvl="0">
      <w:lvlJc w:val="left"/>
      <w:lvlText w:val="(%1)"/>
      <w:numFmt w:val="lowerLetter"/>
      <w:start w:val="6"/>
    </w:lvl>
  </w:abstractNum>
  <w:abstractNum w:abstractNumId="178">
    <w:nsid w:val="21A2ECCA"/>
    <w:multiLevelType w:val="hybridMultilevel"/>
    <w:lvl w:ilvl="0">
      <w:lvlJc w:val="left"/>
      <w:lvlText w:val="(%1)"/>
      <w:numFmt w:val="lowerLetter"/>
      <w:start w:val="1"/>
    </w:lvl>
  </w:abstractNum>
  <w:abstractNum w:abstractNumId="179">
    <w:nsid w:val="4D5C4899"/>
    <w:multiLevelType w:val="hybridMultilevel"/>
    <w:lvl w:ilvl="0">
      <w:lvlJc w:val="left"/>
      <w:lvlText w:val="(%1)"/>
      <w:numFmt w:val="lowerLetter"/>
      <w:start w:val="2"/>
    </w:lvl>
  </w:abstractNum>
  <w:abstractNum w:abstractNumId="180">
    <w:nsid w:val="3C3B72B2"/>
    <w:multiLevelType w:val="hybridMultilevel"/>
    <w:lvl w:ilvl="0">
      <w:lvlJc w:val="left"/>
      <w:lvlText w:val="(%1)"/>
      <w:numFmt w:val="lowerLetter"/>
      <w:start w:val="1"/>
    </w:lvl>
  </w:abstractNum>
  <w:abstractNum w:abstractNumId="181">
    <w:nsid w:val="155EC4C2"/>
    <w:multiLevelType w:val="hybridMultilevel"/>
    <w:lvl w:ilvl="0">
      <w:lvlJc w:val="left"/>
      <w:lvlText w:val="(%1)"/>
      <w:numFmt w:val="lowerLetter"/>
      <w:start w:val="2"/>
    </w:lvl>
  </w:abstractNum>
  <w:abstractNum w:abstractNumId="182">
    <w:nsid w:val="65D2A137"/>
    <w:multiLevelType w:val="hybridMultilevel"/>
    <w:lvl w:ilvl="0">
      <w:lvlJc w:val="left"/>
      <w:lvlText w:val="(%1)"/>
      <w:numFmt w:val="lowerLetter"/>
      <w:start w:val="1"/>
    </w:lvl>
  </w:abstractNum>
  <w:abstractNum w:abstractNumId="183">
    <w:nsid w:val="6EBB1F2A"/>
    <w:multiLevelType w:val="hybridMultilevel"/>
    <w:lvl w:ilvl="0">
      <w:lvlJc w:val="left"/>
      <w:lvlText w:val="(%1)"/>
      <w:numFmt w:val="lowerLetter"/>
      <w:start w:val="2"/>
    </w:lvl>
  </w:abstractNum>
  <w:abstractNum w:abstractNumId="184">
    <w:nsid w:val="6FBF29CB"/>
    <w:multiLevelType w:val="hybridMultilevel"/>
    <w:lvl w:ilvl="0">
      <w:lvlJc w:val="left"/>
      <w:lvlText w:val="(%1)"/>
      <w:numFmt w:val="lowerLetter"/>
      <w:start w:val="1"/>
    </w:lvl>
  </w:abstractNum>
  <w:abstractNum w:abstractNumId="185">
    <w:nsid w:val="550B8808"/>
    <w:multiLevelType w:val="hybridMultilevel"/>
    <w:lvl w:ilvl="0">
      <w:lvlJc w:val="left"/>
      <w:lvlText w:val="(%1)"/>
      <w:numFmt w:val="decimal"/>
      <w:start w:val="1"/>
    </w:lvl>
  </w:abstractNum>
  <w:abstractNum w:abstractNumId="186">
    <w:nsid w:val="34CC3ACF"/>
    <w:multiLevelType w:val="hybridMultilevel"/>
    <w:lvl w:ilvl="0">
      <w:lvlJc w:val="left"/>
      <w:lvlText w:val="(%1)"/>
      <w:numFmt w:val="decimal"/>
      <w:start w:val="7"/>
    </w:lvl>
  </w:abstractNum>
  <w:abstractNum w:abstractNumId="187">
    <w:nsid w:val="4E556261"/>
    <w:multiLevelType w:val="hybridMultilevel"/>
    <w:lvl w:ilvl="0">
      <w:lvlJc w:val="left"/>
      <w:lvlText w:val="(%1)"/>
      <w:numFmt w:val="lowerLetter"/>
      <w:start w:val="3"/>
    </w:lvl>
  </w:abstractNum>
  <w:abstractNum w:abstractNumId="188">
    <w:nsid w:val="4C672FC9"/>
    <w:multiLevelType w:val="hybridMultilevel"/>
    <w:lvl w:ilvl="0">
      <w:lvlJc w:val="left"/>
      <w:lvlText w:val="(%1)"/>
      <w:numFmt w:val="lowerLetter"/>
      <w:start w:val="1"/>
    </w:lvl>
  </w:abstractNum>
  <w:abstractNum w:abstractNumId="189">
    <w:nsid w:val="52A311C3"/>
    <w:multiLevelType w:val="hybridMultilevel"/>
    <w:lvl w:ilvl="0">
      <w:lvlJc w:val="left"/>
      <w:lvlText w:val="(%1)"/>
      <w:numFmt w:val="lowerLetter"/>
      <w:start w:val="1"/>
    </w:lvl>
  </w:abstractNum>
  <w:abstractNum w:abstractNumId="190">
    <w:nsid w:val="44EF6B80"/>
    <w:multiLevelType w:val="hybridMultilevel"/>
    <w:lvl w:ilvl="0">
      <w:lvlJc w:val="left"/>
      <w:lvlText w:val="(%1)"/>
      <w:numFmt w:val="decimal"/>
      <w:start w:val="2"/>
    </w:lvl>
  </w:abstractNum>
  <w:abstractNum w:abstractNumId="191">
    <w:nsid w:val="12FCDE5E"/>
    <w:multiLevelType w:val="hybridMultilevel"/>
    <w:lvl w:ilvl="0">
      <w:lvlJc w:val="left"/>
      <w:lvlText w:val="(%1)"/>
      <w:numFmt w:val="decimal"/>
      <w:start w:val="3"/>
    </w:lvl>
  </w:abstractNum>
  <w:abstractNum w:abstractNumId="192">
    <w:nsid w:val="4A1D606E"/>
    <w:multiLevelType w:val="hybridMultilevel"/>
    <w:lvl w:ilvl="0">
      <w:lvlJc w:val="left"/>
      <w:lvlText w:val="(%1)"/>
      <w:numFmt w:val="lowerLetter"/>
      <w:start w:val="2"/>
    </w:lvl>
  </w:abstractNum>
  <w:abstractNum w:abstractNumId="193">
    <w:nsid w:val="4382503"/>
    <w:multiLevelType w:val="hybridMultilevel"/>
    <w:lvl w:ilvl="0">
      <w:lvlJc w:val="left"/>
      <w:lvlText w:val="(%1)"/>
      <w:numFmt w:val="lowerLetter"/>
      <w:start w:val="1"/>
    </w:lvl>
  </w:abstractNum>
  <w:abstractNum w:abstractNumId="194">
    <w:nsid w:val="59B76E28"/>
    <w:multiLevelType w:val="hybridMultilevel"/>
    <w:lvl w:ilvl="0">
      <w:lvlJc w:val="left"/>
      <w:lvlText w:val="(%1)"/>
      <w:numFmt w:val="lowerLetter"/>
      <w:start w:val="1"/>
    </w:lvl>
  </w:abstractNum>
  <w:abstractNum w:abstractNumId="195">
    <w:nsid w:val="4252C2DA"/>
    <w:multiLevelType w:val="hybridMultilevel"/>
    <w:lvl w:ilvl="0">
      <w:lvlJc w:val="left"/>
      <w:lvlText w:val="(%1)"/>
      <w:numFmt w:val="lowerLetter"/>
      <w:start w:val="1"/>
    </w:lvl>
  </w:abstractNum>
  <w:abstractNum w:abstractNumId="196">
    <w:nsid w:val="6A92EF4C"/>
    <w:multiLevelType w:val="hybridMultilevel"/>
    <w:lvl w:ilvl="0">
      <w:lvlJc w:val="left"/>
      <w:lvlText w:val="(%1)"/>
      <w:numFmt w:val="lowerLetter"/>
      <w:start w:val="1"/>
    </w:lvl>
  </w:abstractNum>
  <w:abstractNum w:abstractNumId="197">
    <w:nsid w:val="41ED20D7"/>
    <w:multiLevelType w:val="hybridMultilevel"/>
    <w:lvl w:ilvl="0">
      <w:lvlJc w:val="left"/>
      <w:lvlText w:val="(%1)"/>
      <w:numFmt w:val="lowerLetter"/>
      <w:start w:val="1"/>
    </w:lvl>
  </w:abstractNum>
  <w:abstractNum w:abstractNumId="198">
    <w:nsid w:val="E6B3F6A"/>
    <w:multiLevelType w:val="hybridMultilevel"/>
    <w:lvl w:ilvl="0">
      <w:lvlJc w:val="left"/>
      <w:lvlText w:val="(%1)"/>
      <w:numFmt w:val="decimal"/>
      <w:start w:val="1"/>
    </w:lvl>
  </w:abstractNum>
  <w:abstractNum w:abstractNumId="199">
    <w:nsid w:val="3EB21819"/>
    <w:multiLevelType w:val="hybridMultilevel"/>
    <w:lvl w:ilvl="0">
      <w:lvlJc w:val="left"/>
      <w:lvlText w:val="(%1)"/>
      <w:numFmt w:val="decimal"/>
      <w:start w:val="4"/>
    </w:lvl>
  </w:abstractNum>
  <w:abstractNum w:abstractNumId="200">
    <w:nsid w:val="41531DED"/>
    <w:multiLevelType w:val="hybridMultilevel"/>
    <w:lvl w:ilvl="0">
      <w:lvlJc w:val="left"/>
      <w:lvlText w:val="(%1)"/>
      <w:numFmt w:val="lowerLetter"/>
      <w:start w:val="3"/>
    </w:lvl>
  </w:abstractNum>
  <w:abstractNum w:abstractNumId="201">
    <w:nsid w:val="6353CD2"/>
    <w:multiLevelType w:val="hybridMultilevel"/>
    <w:lvl w:ilvl="0">
      <w:lvlJc w:val="left"/>
      <w:lvlText w:val="(%1)"/>
      <w:numFmt w:val="lowerLetter"/>
      <w:start w:val="5"/>
    </w:lvl>
    <w:lvl w:ilvl="1">
      <w:lvlJc w:val="left"/>
      <w:lvlText w:val="(%2)"/>
      <w:numFmt w:val="decimal"/>
      <w:start w:val="1"/>
    </w:lvl>
  </w:abstractNum>
  <w:abstractNum w:abstractNumId="202">
    <w:nsid w:val="683CAAD3"/>
    <w:multiLevelType w:val="hybridMultilevel"/>
    <w:lvl w:ilvl="0">
      <w:lvlJc w:val="left"/>
      <w:lvlText w:val="(%1)"/>
      <w:numFmt w:val="lowerLetter"/>
      <w:start w:val="1"/>
    </w:lvl>
  </w:abstractNum>
  <w:abstractNum w:abstractNumId="203">
    <w:nsid w:val="313C7C99"/>
    <w:multiLevelType w:val="hybridMultilevel"/>
    <w:lvl w:ilvl="0">
      <w:lvlJc w:val="left"/>
      <w:lvlText w:val="(%1)"/>
      <w:numFmt w:val="decimal"/>
      <w:start w:val="1"/>
    </w:lvl>
  </w:abstractNum>
  <w:abstractNum w:abstractNumId="204">
    <w:nsid w:val="519EB94C"/>
    <w:multiLevelType w:val="hybridMultilevel"/>
    <w:lvl w:ilvl="0">
      <w:lvlJc w:val="left"/>
      <w:lvlText w:val="(%1)"/>
      <w:numFmt w:val="decimal"/>
      <w:start w:val="4"/>
    </w:lvl>
  </w:abstractNum>
  <w:abstractNum w:abstractNumId="205">
    <w:nsid w:val="39DF2579"/>
    <w:multiLevelType w:val="hybridMultilevel"/>
    <w:lvl w:ilvl="0">
      <w:lvlJc w:val="left"/>
      <w:lvlText w:val="(%1)"/>
      <w:numFmt w:val="lowerLetter"/>
      <w:start w:val="2"/>
    </w:lvl>
  </w:abstractNum>
  <w:abstractNum w:abstractNumId="206">
    <w:nsid w:val="126E008B"/>
    <w:multiLevelType w:val="hybridMultilevel"/>
    <w:lvl w:ilvl="0">
      <w:lvlJc w:val="left"/>
      <w:lvlText w:val="%1"/>
      <w:numFmt w:val="decimal"/>
      <w:start w:val="1"/>
    </w:lvl>
    <w:lvl w:ilvl="1">
      <w:lvlJc w:val="left"/>
      <w:lvlText w:val="(%2)"/>
      <w:numFmt w:val="lowerLetter"/>
      <w:start w:val="1"/>
    </w:lvl>
  </w:abstractNum>
  <w:abstractNum w:abstractNumId="207">
    <w:nsid w:val="34DFBC00"/>
    <w:multiLevelType w:val="hybridMultilevel"/>
    <w:lvl w:ilvl="0">
      <w:lvlJc w:val="left"/>
      <w:lvlText w:val="(%1)"/>
      <w:numFmt w:val="decimal"/>
      <w:start w:val="3"/>
    </w:lvl>
    <w:lvl w:ilvl="1">
      <w:lvlJc w:val="left"/>
      <w:lvlText w:val="%2"/>
      <w:numFmt w:val="lowerLetter"/>
      <w:start w:val="1"/>
    </w:lvl>
  </w:abstractNum>
  <w:abstractNum w:abstractNumId="208">
    <w:nsid w:val="1F9EC322"/>
    <w:multiLevelType w:val="hybridMultilevel"/>
    <w:lvl w:ilvl="0">
      <w:lvlJc w:val="left"/>
      <w:lvlText w:val="(%1)"/>
      <w:numFmt w:val="lowerLetter"/>
      <w:start w:val="3"/>
    </w:lvl>
  </w:abstractNum>
  <w:abstractNum w:abstractNumId="209">
    <w:nsid w:val="3410ED56"/>
    <w:multiLevelType w:val="hybridMultilevel"/>
    <w:lvl w:ilvl="0">
      <w:lvlJc w:val="left"/>
      <w:lvlText w:val="(%1)"/>
      <w:numFmt w:val="lowerLetter"/>
      <w:start w:val="1"/>
    </w:lvl>
    <w:lvl w:ilvl="1">
      <w:lvlJc w:val="left"/>
      <w:lvlText w:val="(%2)"/>
      <w:numFmt w:val="decimal"/>
      <w:start w:val="1"/>
    </w:lvl>
  </w:abstractNum>
  <w:abstractNum w:abstractNumId="210">
    <w:nsid w:val="23C049A"/>
    <w:multiLevelType w:val="hybridMultilevel"/>
    <w:lvl w:ilvl="0">
      <w:lvlJc w:val="left"/>
      <w:lvlText w:val="(%1)"/>
      <w:numFmt w:val="decimal"/>
      <w:start w:val="4"/>
    </w:lvl>
  </w:abstractNum>
  <w:abstractNum w:abstractNumId="211">
    <w:nsid w:val="5BDA35D4"/>
    <w:multiLevelType w:val="hybridMultilevel"/>
    <w:lvl w:ilvl="0">
      <w:lvlJc w:val="left"/>
      <w:lvlText w:val="%1"/>
      <w:numFmt w:val="lowerLetter"/>
      <w:start w:val="1"/>
    </w:lvl>
    <w:lvl w:ilvl="1">
      <w:lvlJc w:val="left"/>
      <w:lvlText w:val="(%2)"/>
      <w:numFmt w:val="decimal"/>
      <w:start w:val="5"/>
    </w:lvl>
  </w:abstractNum>
  <w:abstractNum w:abstractNumId="212">
    <w:nsid w:val="496FB218"/>
    <w:multiLevelType w:val="hybridMultilevel"/>
    <w:lvl w:ilvl="0">
      <w:lvlJc w:val="left"/>
      <w:lvlText w:val="(%1)"/>
      <w:numFmt w:val="lowerLetter"/>
      <w:start w:val="3"/>
    </w:lvl>
    <w:lvl w:ilvl="1">
      <w:lvlJc w:val="left"/>
      <w:lvlText w:val="%2"/>
      <w:numFmt w:val="decimal"/>
      <w:start w:val="1"/>
    </w:lvl>
  </w:abstractNum>
  <w:abstractNum w:abstractNumId="213">
    <w:nsid w:val="680EA5D1"/>
    <w:multiLevelType w:val="hybridMultilevel"/>
    <w:lvl w:ilvl="0">
      <w:lvlJc w:val="left"/>
      <w:lvlText w:val="(%1)"/>
      <w:numFmt w:val="lowerLetter"/>
      <w:start w:val="5"/>
    </w:lvl>
  </w:abstractNum>
  <w:abstractNum w:abstractNumId="214">
    <w:nsid w:val="4A9554FE"/>
    <w:multiLevelType w:val="hybridMultilevel"/>
    <w:lvl w:ilvl="0">
      <w:lvlJc w:val="left"/>
      <w:lvlText w:val="(%1)"/>
      <w:numFmt w:val="lowerLetter"/>
      <w:start w:val="1"/>
    </w:lvl>
  </w:abstractNum>
  <w:abstractNum w:abstractNumId="215">
    <w:nsid w:val="392EDBE4"/>
    <w:multiLevelType w:val="hybridMultilevel"/>
    <w:lvl w:ilvl="0">
      <w:lvlJc w:val="left"/>
      <w:lvlText w:val="(%1)"/>
      <w:numFmt w:val="decimal"/>
      <w:start w:val="1"/>
    </w:lvl>
  </w:abstractNum>
  <w:abstractNum w:abstractNumId="216">
    <w:nsid w:val="3D1A2DD9"/>
    <w:multiLevelType w:val="hybridMultilevel"/>
    <w:lvl w:ilvl="0">
      <w:lvlJc w:val="left"/>
      <w:lvlText w:val="(%1)"/>
      <w:numFmt w:val="lowerLetter"/>
      <w:start w:val="1"/>
    </w:lvl>
  </w:abstractNum>
  <w:abstractNum w:abstractNumId="217">
    <w:nsid w:val="7F618FCD"/>
    <w:multiLevelType w:val="hybridMultilevel"/>
    <w:lvl w:ilvl="0">
      <w:lvlJc w:val="left"/>
      <w:lvlText w:val="(%1)"/>
      <w:numFmt w:val="lowerLetter"/>
      <w:start w:val="5"/>
    </w:lvl>
    <w:lvl w:ilvl="1">
      <w:lvlJc w:val="left"/>
      <w:lvlText w:val="(%2)"/>
      <w:numFmt w:val="decimal"/>
      <w:start w:val="1"/>
    </w:lvl>
  </w:abstractNum>
  <w:abstractNum w:abstractNumId="218">
    <w:nsid w:val="7843E45"/>
    <w:multiLevelType w:val="hybridMultilevel"/>
    <w:lvl w:ilvl="0">
      <w:lvlJc w:val="left"/>
      <w:lvlText w:val="%1"/>
      <w:numFmt w:val="lowerLetter"/>
      <w:start w:val="1"/>
    </w:lvl>
    <w:lvl w:ilvl="1">
      <w:lvlJc w:val="left"/>
      <w:lvlText w:val="(%2)"/>
      <w:numFmt w:val="decimal"/>
      <w:start w:val="3"/>
    </w:lvl>
  </w:abstractNum>
  <w:abstractNum w:abstractNumId="219">
    <w:nsid w:val="9815DA3"/>
    <w:multiLevelType w:val="hybridMultilevel"/>
    <w:lvl w:ilvl="0">
      <w:lvlJc w:val="left"/>
      <w:lvlText w:val="(%1)"/>
      <w:numFmt w:val="lowerLetter"/>
      <w:start w:val="6"/>
    </w:lvl>
    <w:lvl w:ilvl="1">
      <w:lvlJc w:val="left"/>
      <w:lvlText w:val="(%2)"/>
      <w:numFmt w:val="decimal"/>
      <w:start w:val="1"/>
    </w:lvl>
  </w:abstractNum>
  <w:abstractNum w:abstractNumId="220">
    <w:nsid w:val="5204A191"/>
    <w:multiLevelType w:val="hybridMultilevel"/>
    <w:lvl w:ilvl="0">
      <w:lvlJc w:val="left"/>
      <w:lvlText w:val="(%1)"/>
      <w:numFmt w:val="lowerLetter"/>
      <w:start w:val="25"/>
    </w:lvl>
  </w:abstractNum>
  <w:abstractNum w:abstractNumId="221">
    <w:nsid w:val="4C73A9C6"/>
    <w:multiLevelType w:val="hybridMultilevel"/>
    <w:lvl w:ilvl="0">
      <w:lvlJc w:val="left"/>
      <w:lvlText w:val="(%1)"/>
      <w:numFmt w:val="lowerLetter"/>
      <w:start w:val="1"/>
    </w:lvl>
  </w:abstractNum>
  <w:abstractNum w:abstractNumId="222">
    <w:nsid w:val="1C7E3C01"/>
    <w:multiLevelType w:val="hybridMultilevel"/>
    <w:lvl w:ilvl="0">
      <w:lvlJc w:val="left"/>
      <w:lvlText w:val="(%1)"/>
      <w:numFmt w:val="lowerLetter"/>
      <w:start w:val="2"/>
    </w:lvl>
  </w:abstractNum>
  <w:abstractNum w:abstractNumId="223">
    <w:nsid w:val="1C2201FF"/>
    <w:multiLevelType w:val="hybridMultilevel"/>
    <w:lvl w:ilvl="0">
      <w:lvlJc w:val="left"/>
      <w:lvlText w:val="(%1)"/>
      <w:numFmt w:val="lowerLetter"/>
      <w:start w:val="1"/>
    </w:lvl>
  </w:abstractNum>
  <w:abstractNum w:abstractNumId="224">
    <w:nsid w:val="50ABCEC9"/>
    <w:multiLevelType w:val="hybridMultilevel"/>
    <w:lvl w:ilvl="0">
      <w:lvlJc w:val="left"/>
      <w:lvlText w:val="(%1)"/>
      <w:numFmt w:val="decimal"/>
      <w:start w:val="1"/>
    </w:lvl>
  </w:abstractNum>
  <w:abstractNum w:abstractNumId="225">
    <w:nsid w:val="7635AA2A"/>
    <w:multiLevelType w:val="hybridMultilevel"/>
    <w:lvl w:ilvl="0">
      <w:lvlJc w:val="left"/>
      <w:lvlText w:val="(%1)"/>
      <w:numFmt w:val="lowerLetter"/>
      <w:start w:val="1"/>
    </w:lvl>
  </w:abstractNum>
  <w:abstractNum w:abstractNumId="226">
    <w:nsid w:val="5E74C4D9"/>
    <w:multiLevelType w:val="hybridMultilevel"/>
    <w:lvl w:ilvl="0">
      <w:lvlJc w:val="left"/>
      <w:lvlText w:val="(%1)"/>
      <w:numFmt w:val="lowerLetter"/>
      <w:start w:val="1"/>
    </w:lvl>
  </w:abstractNum>
  <w:abstractNum w:abstractNumId="227">
    <w:nsid w:val="3B3EBE15"/>
    <w:multiLevelType w:val="hybridMultilevel"/>
    <w:lvl w:ilvl="0">
      <w:lvlJc w:val="left"/>
      <w:lvlText w:val="(%1)"/>
      <w:numFmt w:val="lowerLetter"/>
      <w:start w:val="1"/>
    </w:lvl>
  </w:abstractNum>
  <w:abstractNum w:abstractNumId="228">
    <w:nsid w:val="3822CB01"/>
    <w:multiLevelType w:val="hybridMultilevel"/>
    <w:lvl w:ilvl="0">
      <w:lvlJc w:val="left"/>
      <w:lvlText w:val="(%1)"/>
      <w:numFmt w:val="decimal"/>
      <w:start w:val="1"/>
    </w:lvl>
  </w:abstractNum>
  <w:abstractNum w:abstractNumId="229">
    <w:nsid w:val="6CE00443"/>
    <w:multiLevelType w:val="hybridMultilevel"/>
    <w:lvl w:ilvl="0">
      <w:lvlJc w:val="left"/>
      <w:lvlText w:val="(%1)"/>
      <w:numFmt w:val="lowerLetter"/>
      <w:start w:val="3"/>
    </w:lvl>
  </w:abstractNum>
  <w:abstractNum w:abstractNumId="230">
    <w:nsid w:val="79F0D62F"/>
    <w:multiLevelType w:val="hybridMultilevel"/>
    <w:lvl w:ilvl="0">
      <w:lvlJc w:val="left"/>
      <w:lvlText w:val="(%1)"/>
      <w:numFmt w:val="decimal"/>
      <w:start w:val="1"/>
    </w:lvl>
  </w:abstractNum>
  <w:abstractNum w:abstractNumId="231">
    <w:nsid w:val="7975E8EE"/>
    <w:multiLevelType w:val="hybridMultilevel"/>
    <w:lvl w:ilvl="0">
      <w:lvlJc w:val="left"/>
      <w:lvlText w:val="(%1)"/>
      <w:numFmt w:val="decimal"/>
      <w:start w:val="2"/>
    </w:lvl>
  </w:abstractNum>
  <w:abstractNum w:abstractNumId="232">
    <w:nsid w:val="73154115"/>
    <w:multiLevelType w:val="hybridMultilevel"/>
    <w:lvl w:ilvl="0">
      <w:lvlJc w:val="left"/>
      <w:lvlText w:val="(%1)"/>
      <w:numFmt w:val="lowerLetter"/>
      <w:start w:val="4"/>
    </w:lvl>
  </w:abstractNum>
  <w:abstractNum w:abstractNumId="233">
    <w:nsid w:val="622D8102"/>
    <w:multiLevelType w:val="hybridMultilevel"/>
    <w:lvl w:ilvl="0">
      <w:lvlJc w:val="left"/>
      <w:lvlText w:val="(%1)"/>
      <w:numFmt w:val="lowerLetter"/>
      <w:start w:val="1"/>
    </w:lvl>
  </w:abstractNum>
  <w:abstractNum w:abstractNumId="234">
    <w:nsid w:val="2AB26587"/>
    <w:multiLevelType w:val="hybridMultilevel"/>
    <w:lvl w:ilvl="0">
      <w:lvlJc w:val="left"/>
      <w:lvlText w:val="(%1)"/>
      <w:numFmt w:val="lowerLetter"/>
      <w:start w:val="11"/>
    </w:lvl>
  </w:abstractNum>
  <w:abstractNum w:abstractNumId="235">
    <w:nsid w:val="44B3FA61"/>
    <w:multiLevelType w:val="hybridMultilevel"/>
    <w:lvl w:ilvl="0">
      <w:lvlJc w:val="left"/>
      <w:lvlText w:val="(%1)"/>
      <w:numFmt w:val="lowerLetter"/>
      <w:start w:val="1"/>
    </w:lvl>
  </w:abstractNum>
  <w:abstractNum w:abstractNumId="236">
    <w:nsid w:val="1C0CA67C"/>
    <w:multiLevelType w:val="hybridMultilevel"/>
    <w:lvl w:ilvl="0">
      <w:lvlJc w:val="left"/>
      <w:lvlText w:val="(%1)"/>
      <w:numFmt w:val="lowerLetter"/>
      <w:start w:val="1"/>
    </w:lvl>
  </w:abstractNum>
  <w:abstractNum w:abstractNumId="237">
    <w:nsid w:val="3D206613"/>
    <w:multiLevelType w:val="hybridMultilevel"/>
    <w:lvl w:ilvl="0">
      <w:lvlJc w:val="left"/>
      <w:lvlText w:val="(%1)"/>
      <w:numFmt w:val="lowerLetter"/>
      <w:start w:val="1"/>
    </w:lvl>
  </w:abstractNum>
  <w:abstractNum w:abstractNumId="238">
    <w:nsid w:val="7993B662"/>
    <w:multiLevelType w:val="hybridMultilevel"/>
    <w:lvl w:ilvl="0">
      <w:lvlJc w:val="left"/>
      <w:lvlText w:val="(%1)"/>
      <w:numFmt w:val="decimal"/>
      <w:start w:val="1"/>
    </w:lvl>
  </w:abstractNum>
  <w:abstractNum w:abstractNumId="239">
    <w:nsid w:val="3BAB699E"/>
    <w:multiLevelType w:val="hybridMultilevel"/>
    <w:lvl w:ilvl="0">
      <w:lvlJc w:val="left"/>
      <w:lvlText w:val="(%1)"/>
      <w:numFmt w:val="decimal"/>
      <w:start w:val="2"/>
    </w:lvl>
  </w:abstractNum>
  <w:abstractNum w:abstractNumId="240">
    <w:nsid w:val="71315369"/>
    <w:multiLevelType w:val="hybridMultilevel"/>
    <w:lvl w:ilvl="0">
      <w:lvlJc w:val="left"/>
      <w:lvlText w:val="(%1)"/>
      <w:numFmt w:val="decimal"/>
      <w:start w:val="3"/>
    </w:lvl>
  </w:abstractNum>
  <w:abstractNum w:abstractNumId="241">
    <w:nsid w:val="7BCFBAFC"/>
    <w:multiLevelType w:val="hybridMultilevel"/>
    <w:lvl w:ilvl="0">
      <w:lvlJc w:val="left"/>
      <w:lvlText w:val="(%1)"/>
      <w:numFmt w:val="lowerLetter"/>
      <w:start w:val="2"/>
    </w:lvl>
  </w:abstractNum>
  <w:abstractNum w:abstractNumId="242">
    <w:nsid w:val="17859F72"/>
    <w:multiLevelType w:val="hybridMultilevel"/>
    <w:lvl w:ilvl="0">
      <w:lvlJc w:val="left"/>
      <w:lvlText w:val="(%1)"/>
      <w:numFmt w:val="lowerLetter"/>
      <w:start w:val="1"/>
    </w:lvl>
  </w:abstractNum>
  <w:abstractNum w:abstractNumId="243">
    <w:nsid w:val="3AA10581"/>
    <w:multiLevelType w:val="hybridMultilevel"/>
    <w:lvl w:ilvl="0">
      <w:lvlJc w:val="left"/>
      <w:lvlText w:val="(%1)"/>
      <w:numFmt w:val="lowerLetter"/>
      <w:start w:val="1"/>
    </w:lvl>
  </w:abstractNum>
  <w:abstractNum w:abstractNumId="244">
    <w:nsid w:val="63DE60CD"/>
    <w:multiLevelType w:val="hybridMultilevel"/>
    <w:lvl w:ilvl="0">
      <w:lvlJc w:val="left"/>
      <w:lvlText w:val="(%1)"/>
      <w:numFmt w:val="decimal"/>
      <w:start w:val="1"/>
    </w:lvl>
  </w:abstractNum>
  <w:abstractNum w:abstractNumId="245">
    <w:nsid w:val="621AF471"/>
    <w:multiLevelType w:val="hybridMultilevel"/>
    <w:lvl w:ilvl="0">
      <w:lvlJc w:val="left"/>
      <w:lvlText w:val="(%1)"/>
      <w:numFmt w:val="lowerLetter"/>
      <w:start w:val="2"/>
    </w:lvl>
  </w:abstractNum>
  <w:abstractNum w:abstractNumId="246">
    <w:nsid w:val="73CFE165"/>
    <w:multiLevelType w:val="hybridMultilevel"/>
    <w:lvl w:ilvl="0">
      <w:lvlJc w:val="left"/>
      <w:lvlText w:val="(%1)"/>
      <w:numFmt w:val="lowerRoman"/>
      <w:start w:val="1"/>
    </w:lvl>
  </w:abstractNum>
  <w:abstractNum w:abstractNumId="247">
    <w:nsid w:val="20F88EA6"/>
    <w:multiLevelType w:val="hybridMultilevel"/>
    <w:lvl w:ilvl="0">
      <w:lvlJc w:val="left"/>
      <w:lvlText w:val="(%1)"/>
      <w:numFmt w:val="lowerRoman"/>
      <w:start w:val="5"/>
    </w:lvl>
  </w:abstractNum>
  <w:abstractNum w:abstractNumId="248">
    <w:nsid w:val="617C843E"/>
    <w:multiLevelType w:val="hybridMultilevel"/>
    <w:lvl w:ilvl="0">
      <w:lvlJc w:val="left"/>
      <w:lvlText w:val="(%1)"/>
      <w:numFmt w:val="lowerLetter"/>
      <w:start w:val="1"/>
    </w:lvl>
  </w:abstractNum>
  <w:abstractNum w:abstractNumId="249">
    <w:nsid w:val="7B541FAB"/>
    <w:multiLevelType w:val="hybridMultilevel"/>
    <w:lvl w:ilvl="0">
      <w:lvlJc w:val="left"/>
      <w:lvlText w:val="(%1)"/>
      <w:numFmt w:val="lowerLetter"/>
      <w:start w:val="1"/>
    </w:lvl>
  </w:abstractNum>
  <w:abstractNum w:abstractNumId="250">
    <w:nsid w:val="2A79EC49"/>
    <w:multiLevelType w:val="hybridMultilevel"/>
    <w:lvl w:ilvl="0">
      <w:lvlJc w:val="left"/>
      <w:lvlText w:val="(%1)"/>
      <w:numFmt w:val="lowerLetter"/>
      <w:start w:val="1"/>
    </w:lvl>
  </w:abstractNum>
  <w:abstractNum w:abstractNumId="251">
    <w:nsid w:val="338125CF"/>
    <w:multiLevelType w:val="hybridMultilevel"/>
    <w:lvl w:ilvl="0">
      <w:lvlJc w:val="left"/>
      <w:lvlText w:val="(%1)"/>
      <w:numFmt w:val="lowerLetter"/>
      <w:start w:val="9"/>
    </w:lvl>
  </w:abstractNum>
  <w:abstractNum w:abstractNumId="252">
    <w:nsid w:val="47C7C971"/>
    <w:multiLevelType w:val="hybridMultilevel"/>
    <w:lvl w:ilvl="0">
      <w:lvlJc w:val="left"/>
      <w:lvlText w:val="(%1)"/>
      <w:numFmt w:val="lowerLetter"/>
      <w:start w:val="11"/>
    </w:lvl>
  </w:abstractNum>
  <w:abstractNum w:abstractNumId="253">
    <w:nsid w:val="46F8284B"/>
    <w:multiLevelType w:val="hybridMultilevel"/>
    <w:lvl w:ilvl="0">
      <w:lvlJc w:val="left"/>
      <w:lvlText w:val="(%1)"/>
      <w:numFmt w:val="lowerLetter"/>
      <w:start w:val="1"/>
    </w:lvl>
  </w:abstractNum>
  <w:abstractNum w:abstractNumId="254">
    <w:nsid w:val="4FA327CE"/>
    <w:multiLevelType w:val="hybridMultilevel"/>
    <w:lvl w:ilvl="0">
      <w:lvlJc w:val="left"/>
      <w:lvlText w:val="(%1)"/>
      <w:numFmt w:val="lowerLetter"/>
      <w:start w:val="1"/>
    </w:lvl>
  </w:abstractNum>
  <w:abstractNum w:abstractNumId="255">
    <w:nsid w:val="1873983A"/>
    <w:multiLevelType w:val="hybridMultilevel"/>
    <w:lvl w:ilvl="0">
      <w:lvlJc w:val="left"/>
      <w:lvlText w:val="(%1)"/>
      <w:numFmt w:val="lowerLetter"/>
      <w:start w:val="2"/>
    </w:lvl>
  </w:abstractNum>
  <w:abstractNum w:abstractNumId="256">
    <w:nsid w:val="3D2DD275"/>
    <w:multiLevelType w:val="hybridMultilevel"/>
    <w:lvl w:ilvl="0">
      <w:lvlJc w:val="left"/>
      <w:lvlText w:val="(%1)"/>
      <w:numFmt w:val="lowerLetter"/>
      <w:start w:val="1"/>
    </w:lvl>
  </w:abstractNum>
  <w:abstractNum w:abstractNumId="257">
    <w:nsid w:val="2E17ECA7"/>
    <w:multiLevelType w:val="hybridMultilevel"/>
    <w:lvl w:ilvl="0">
      <w:lvlJc w:val="left"/>
      <w:lvlText w:val="%1"/>
      <w:numFmt w:val="decimal"/>
      <w:start w:val="1"/>
    </w:lvl>
    <w:lvl w:ilvl="1">
      <w:lvlJc w:val="left"/>
      <w:lvlText w:val="(%2)"/>
      <w:numFmt w:val="lowerLetter"/>
      <w:start w:val="1"/>
    </w:lvl>
  </w:abstractNum>
  <w:abstractNum w:abstractNumId="258">
    <w:nsid w:val="53B2564F"/>
    <w:multiLevelType w:val="hybridMultilevel"/>
    <w:lvl w:ilvl="0">
      <w:lvlJc w:val="left"/>
      <w:lvlText w:val="(%1)"/>
      <w:numFmt w:val="decimal"/>
      <w:start w:val="2"/>
    </w:lvl>
    <w:lvl w:ilvl="1">
      <w:lvlJc w:val="left"/>
      <w:lvlText w:val="%2"/>
      <w:numFmt w:val="lowerLetter"/>
      <w:start w:val="1"/>
    </w:lvl>
  </w:abstractNum>
  <w:abstractNum w:abstractNumId="259">
    <w:nsid w:val="75509D76"/>
    <w:multiLevelType w:val="hybridMultilevel"/>
    <w:lvl w:ilvl="0">
      <w:lvlJc w:val="left"/>
      <w:lvlText w:val="(%1)"/>
      <w:numFmt w:val="lowerLetter"/>
      <w:start w:val="2"/>
    </w:lvl>
  </w:abstractNum>
  <w:abstractNum w:abstractNumId="260">
    <w:nsid w:val="1AF7F0EA"/>
    <w:multiLevelType w:val="hybridMultilevel"/>
    <w:lvl w:ilvl="0">
      <w:lvlJc w:val="left"/>
      <w:lvlText w:val="(%1)"/>
      <w:numFmt w:val="lowerLetter"/>
      <w:start w:val="7"/>
    </w:lvl>
  </w:abstractNum>
  <w:abstractNum w:abstractNumId="261">
    <w:nsid w:val="4DA32C7E"/>
    <w:multiLevelType w:val="hybridMultilevel"/>
    <w:lvl w:ilvl="0">
      <w:lvlJc w:val="left"/>
      <w:lvlText w:val="(%1)"/>
      <w:numFmt w:val="decimal"/>
      <w:start w:val="1"/>
    </w:lvl>
  </w:abstractNum>
  <w:abstractNum w:abstractNumId="262">
    <w:nsid w:val="6EC68664"/>
    <w:multiLevelType w:val="hybridMultilevel"/>
    <w:lvl w:ilvl="0">
      <w:lvlJc w:val="left"/>
      <w:lvlText w:val="(%1)"/>
      <w:numFmt w:val="decimal"/>
      <w:start w:val="1"/>
    </w:lvl>
  </w:abstractNum>
  <w:abstractNum w:abstractNumId="263">
    <w:nsid w:val="E0D31FF"/>
    <w:multiLevelType w:val="hybridMultilevel"/>
    <w:lvl w:ilvl="0">
      <w:lvlJc w:val="left"/>
      <w:lvlText w:val="(%1)"/>
      <w:numFmt w:val="lowerLetter"/>
      <w:start w:val="1"/>
    </w:lvl>
  </w:abstractNum>
  <w:abstractNum w:abstractNumId="264">
    <w:nsid w:val="2FD0AD81"/>
    <w:multiLevelType w:val="hybridMultilevel"/>
    <w:lvl w:ilvl="0">
      <w:lvlJc w:val="left"/>
      <w:lvlText w:val="(%1)"/>
      <w:numFmt w:val="lowerLetter"/>
      <w:start w:val="1"/>
    </w:lvl>
  </w:abstractNum>
  <w:abstractNum w:abstractNumId="265">
    <w:nsid w:val="1978EBEB"/>
    <w:multiLevelType w:val="hybridMultilevel"/>
    <w:lvl w:ilvl="0">
      <w:lvlJc w:val="left"/>
      <w:lvlText w:val="(%1)"/>
      <w:numFmt w:val="lowerLetter"/>
      <w:start w:val="4"/>
    </w:lvl>
  </w:abstractNum>
  <w:abstractNum w:abstractNumId="266">
    <w:nsid w:val="52C12C61"/>
    <w:multiLevelType w:val="hybridMultilevel"/>
    <w:lvl w:ilvl="0">
      <w:lvlJc w:val="left"/>
      <w:lvlText w:val="(%1)"/>
      <w:numFmt w:val="lowerLetter"/>
      <w:start w:val="1"/>
    </w:lvl>
  </w:abstractNum>
  <w:abstractNum w:abstractNumId="267">
    <w:nsid w:val="4BDD53FD"/>
    <w:multiLevelType w:val="hybridMultilevel"/>
    <w:lvl w:ilvl="0">
      <w:lvlJc w:val="left"/>
      <w:lvlText w:val="(%1)"/>
      <w:numFmt w:val="lowerRoman"/>
      <w:start w:val="1"/>
    </w:lvl>
  </w:abstractNum>
  <w:abstractNum w:abstractNumId="268">
    <w:nsid w:val="569951FE"/>
    <w:multiLevelType w:val="hybridMultilevel"/>
    <w:lvl w:ilvl="0">
      <w:lvlJc w:val="left"/>
      <w:lvlText w:val="(%1)"/>
      <w:numFmt w:val="decimal"/>
      <w:start w:val="1"/>
    </w:lvl>
    <w:lvl w:ilvl="1">
      <w:lvlJc w:val="left"/>
      <w:lvlText w:val="(%2)"/>
      <w:numFmt w:val="upperLetter"/>
      <w:start w:val="1"/>
    </w:lvl>
  </w:abstractNum>
  <w:abstractNum w:abstractNumId="269">
    <w:nsid w:val="4C54E2C3"/>
    <w:multiLevelType w:val="hybridMultilevel"/>
    <w:lvl w:ilvl="0">
      <w:lvlJc w:val="left"/>
      <w:lvlText w:val="(%1)"/>
      <w:numFmt w:val="lowerLetter"/>
      <w:start w:val="2"/>
    </w:lvl>
  </w:abstractNum>
  <w:abstractNum w:abstractNumId="270">
    <w:nsid w:val="788BD9B"/>
    <w:multiLevelType w:val="hybridMultilevel"/>
    <w:lvl w:ilvl="0">
      <w:lvlJc w:val="left"/>
      <w:lvlText w:val="(%1)"/>
      <w:numFmt w:val="lowerRoman"/>
      <w:start w:val="1"/>
    </w:lvl>
  </w:abstractNum>
  <w:abstractNum w:abstractNumId="271">
    <w:nsid w:val="47CAA567"/>
    <w:multiLevelType w:val="hybridMultilevel"/>
    <w:lvl w:ilvl="0">
      <w:lvlJc w:val="left"/>
      <w:lvlText w:val="(%1)"/>
      <w:numFmt w:val="lowerLetter"/>
      <w:start w:val="3"/>
    </w:lvl>
  </w:abstractNum>
  <w:abstractNum w:abstractNumId="272">
    <w:nsid w:val="48249DBF"/>
    <w:multiLevelType w:val="hybridMultilevel"/>
    <w:lvl w:ilvl="0">
      <w:lvlJc w:val="left"/>
      <w:lvlText w:val="(%1)"/>
      <w:numFmt w:val="lowerRoman"/>
      <w:start w:val="2"/>
    </w:lvl>
  </w:abstractNum>
  <w:abstractNum w:abstractNumId="273">
    <w:nsid w:val="1F0E5D0D"/>
    <w:multiLevelType w:val="hybridMultilevel"/>
    <w:lvl w:ilvl="0">
      <w:lvlJc w:val="left"/>
      <w:lvlText w:val="(%1)"/>
      <w:numFmt w:val="lowerRoman"/>
      <w:start w:val="3"/>
    </w:lvl>
  </w:abstractNum>
  <w:abstractNum w:abstractNumId="274">
    <w:nsid w:val="26BAAE9"/>
    <w:multiLevelType w:val="hybridMultilevel"/>
    <w:lvl w:ilvl="0">
      <w:lvlJc w:val="left"/>
      <w:lvlText w:val="%1"/>
      <w:numFmt w:val="decimal"/>
      <w:start w:val="1"/>
    </w:lvl>
    <w:lvl w:ilvl="1">
      <w:lvlJc w:val="left"/>
      <w:lvlText w:val="(%2)"/>
      <w:numFmt w:val="lowerLetter"/>
      <w:start w:val="4"/>
    </w:lvl>
  </w:abstractNum>
  <w:abstractNum w:abstractNumId="275">
    <w:nsid w:val="2C02FE8C"/>
    <w:multiLevelType w:val="hybridMultilevel"/>
    <w:lvl w:ilvl="0">
      <w:lvlJc w:val="left"/>
      <w:lvlText w:val="(%1)"/>
      <w:numFmt w:val="decimal"/>
      <w:start w:val="1"/>
    </w:lvl>
    <w:lvl w:ilvl="1">
      <w:lvlJc w:val="left"/>
      <w:lvlText w:val="(%2)"/>
      <w:numFmt w:val="lowerLetter"/>
      <w:start w:val="35"/>
    </w:lvl>
  </w:abstractNum>
  <w:abstractNum w:abstractNumId="276">
    <w:nsid w:val="129517E"/>
    <w:multiLevelType w:val="hybridMultilevel"/>
    <w:lvl w:ilvl="0">
      <w:lvlJc w:val="left"/>
      <w:lvlText w:val="(%1)"/>
      <w:numFmt w:val="lowerLetter"/>
      <w:start w:val="5"/>
    </w:lvl>
  </w:abstractNum>
  <w:abstractNum w:abstractNumId="277">
    <w:nsid w:val="763B8C4E"/>
    <w:multiLevelType w:val="hybridMultilevel"/>
    <w:lvl w:ilvl="0">
      <w:lvlJc w:val="left"/>
      <w:lvlText w:val="(%1)"/>
      <w:numFmt w:val="lowerRoman"/>
      <w:start w:val="1"/>
    </w:lvl>
  </w:abstractNum>
  <w:abstractNum w:abstractNumId="278">
    <w:nsid w:val="4CFB8D32"/>
    <w:multiLevelType w:val="hybridMultilevel"/>
    <w:lvl w:ilvl="0">
      <w:lvlJc w:val="left"/>
      <w:lvlText w:val="(%1)"/>
      <w:numFmt w:val="decimal"/>
      <w:start w:val="1"/>
    </w:lvl>
  </w:abstractNum>
  <w:abstractNum w:abstractNumId="279">
    <w:nsid w:val="62A5D5BD"/>
    <w:multiLevelType w:val="hybridMultilevel"/>
    <w:lvl w:ilvl="0">
      <w:lvlJc w:val="left"/>
      <w:lvlText w:val="(%1)"/>
      <w:numFmt w:val="upperLetter"/>
      <w:start w:val="6"/>
    </w:lvl>
  </w:abstractNum>
  <w:abstractNum w:abstractNumId="280">
    <w:nsid w:val="718FABF9"/>
    <w:multiLevelType w:val="hybridMultilevel"/>
    <w:lvl w:ilvl="0">
      <w:lvlJc w:val="left"/>
      <w:lvlText w:val="(%1)"/>
      <w:numFmt w:val="decimal"/>
      <w:start w:val="3"/>
    </w:lvl>
  </w:abstractNum>
  <w:abstractNum w:abstractNumId="281">
    <w:nsid w:val="7775797C"/>
    <w:multiLevelType w:val="hybridMultilevel"/>
    <w:lvl w:ilvl="0">
      <w:lvlJc w:val="left"/>
      <w:lvlText w:val="(%1)"/>
      <w:numFmt w:val="lowerRoman"/>
      <w:start w:val="2"/>
    </w:lvl>
  </w:abstractNum>
  <w:abstractNum w:abstractNumId="282">
    <w:nsid w:val="1626FB8C"/>
    <w:multiLevelType w:val="hybridMultilevel"/>
    <w:lvl w:ilvl="0">
      <w:lvlJc w:val="left"/>
      <w:lvlText w:val="(%1)"/>
      <w:numFmt w:val="lowerLetter"/>
      <w:start w:val="25"/>
    </w:lvl>
    <w:lvl w:ilvl="1">
      <w:lvlJc w:val="left"/>
      <w:lvlText w:val="(%2)"/>
      <w:numFmt w:val="lowerRoman"/>
      <w:start w:val="8"/>
    </w:lvl>
  </w:abstractNum>
  <w:abstractNum w:abstractNumId="283">
    <w:nsid w:val="3957756A"/>
    <w:multiLevelType w:val="hybridMultilevel"/>
    <w:lvl w:ilvl="0">
      <w:lvlJc w:val="left"/>
      <w:lvlText w:val="%1"/>
      <w:numFmt w:val="lowerLetter"/>
      <w:start w:val="1"/>
    </w:lvl>
    <w:lvl w:ilvl="1">
      <w:lvlJc w:val="left"/>
      <w:lvlText w:val="(%2)"/>
      <w:numFmt w:val="upperLetter"/>
      <w:start w:val="1"/>
    </w:lvl>
  </w:abstractNum>
  <w:abstractNum w:abstractNumId="284">
    <w:nsid w:val="3E6DA1C7"/>
    <w:multiLevelType w:val="hybridMultilevel"/>
    <w:lvl w:ilvl="0">
      <w:lvlJc w:val="left"/>
      <w:lvlText w:val="(%1)"/>
      <w:numFmt w:val="lowerLetter"/>
      <w:start w:val="6"/>
    </w:lvl>
    <w:lvl w:ilvl="1">
      <w:lvlJc w:val="left"/>
      <w:lvlText w:val="%2"/>
      <w:numFmt w:val="upperLetter"/>
      <w:start w:val="1"/>
    </w:lvl>
  </w:abstractNum>
  <w:abstractNum w:abstractNumId="285">
    <w:nsid w:val="65CA235B"/>
    <w:multiLevelType w:val="hybridMultilevel"/>
    <w:lvl w:ilvl="0">
      <w:lvlJc w:val="left"/>
      <w:lvlText w:val="(%1)"/>
      <w:numFmt w:val="lowerRoman"/>
      <w:start w:val="1"/>
    </w:lvl>
  </w:abstractNum>
  <w:abstractNum w:abstractNumId="286">
    <w:nsid w:val="51CB0DA4"/>
    <w:multiLevelType w:val="hybridMultilevel"/>
    <w:lvl w:ilvl="0">
      <w:lvlJc w:val="left"/>
      <w:lvlText w:val="(%1)"/>
      <w:numFmt w:val="lowerRoman"/>
      <w:start w:val="2"/>
    </w:lvl>
  </w:abstractNum>
  <w:abstractNum w:abstractNumId="287">
    <w:nsid w:val="7B9B743C"/>
    <w:multiLevelType w:val="hybridMultilevel"/>
    <w:lvl w:ilvl="0">
      <w:lvlJc w:val="left"/>
      <w:lvlText w:val="(%1)"/>
      <w:numFmt w:val="lowerLetter"/>
      <w:start w:val="8"/>
    </w:lvl>
  </w:abstractNum>
  <w:abstractNum w:abstractNumId="288">
    <w:nsid w:val="13E21002"/>
    <w:multiLevelType w:val="hybridMultilevel"/>
    <w:lvl w:ilvl="0">
      <w:lvlJc w:val="left"/>
      <w:lvlText w:val="(%1)"/>
      <w:numFmt w:val="lowerRoman"/>
      <w:start w:val="2"/>
    </w:lvl>
  </w:abstractNum>
  <w:abstractNum w:abstractNumId="289">
    <w:nsid w:val="257D63F4"/>
    <w:multiLevelType w:val="hybridMultilevel"/>
    <w:lvl w:ilvl="0">
      <w:lvlJc w:val="left"/>
      <w:lvlText w:val="(%1)"/>
      <w:numFmt w:val="lowerLetter"/>
      <w:start w:val="1"/>
    </w:lvl>
  </w:abstractNum>
  <w:abstractNum w:abstractNumId="290">
    <w:nsid w:val="70EC11B2"/>
    <w:multiLevelType w:val="hybridMultilevel"/>
    <w:lvl w:ilvl="0">
      <w:lvlJc w:val="left"/>
      <w:lvlText w:val="(%1)"/>
      <w:numFmt w:val="lowerLetter"/>
      <w:start w:val="2"/>
    </w:lvl>
  </w:abstractNum>
  <w:abstractNum w:abstractNumId="291">
    <w:nsid w:val="2EDA00ED"/>
    <w:multiLevelType w:val="hybridMultilevel"/>
    <w:lvl w:ilvl="0">
      <w:lvlJc w:val="left"/>
      <w:lvlText w:val="(%1)"/>
      <w:numFmt w:val="decimal"/>
      <w:start w:val="1"/>
    </w:lvl>
  </w:abstractNum>
  <w:abstractNum w:abstractNumId="292">
    <w:nsid w:val="73209072"/>
    <w:multiLevelType w:val="hybridMultilevel"/>
    <w:lvl w:ilvl="0">
      <w:lvlJc w:val="left"/>
      <w:lvlText w:val="%1"/>
      <w:numFmt w:val="decimal"/>
      <w:start w:val="1"/>
    </w:lvl>
    <w:lvl w:ilvl="1">
      <w:lvlJc w:val="left"/>
      <w:lvlText w:val="%2."/>
      <w:numFmt w:val="decimal"/>
      <w:start w:val="1"/>
    </w:lvl>
  </w:abstractNum>
  <w:abstractNum w:abstractNumId="293">
    <w:nsid w:val="5FB29816"/>
    <w:multiLevelType w:val="hybridMultilevel"/>
    <w:lvl w:ilvl="0">
      <w:lvlJc w:val="left"/>
      <w:lvlText w:val="(%1)"/>
      <w:numFmt w:val="decimal"/>
      <w:start w:val="2"/>
    </w:lvl>
    <w:lvl w:ilvl="1">
      <w:lvlJc w:val="left"/>
      <w:lvlText w:val="%2"/>
      <w:numFmt w:val="decimal"/>
      <w:start w:val="1"/>
    </w:lvl>
  </w:abstractNum>
  <w:abstractNum w:abstractNumId="294">
    <w:nsid w:val="3CE732EC"/>
    <w:multiLevelType w:val="hybridMultilevel"/>
    <w:lvl w:ilvl="0">
      <w:lvlJc w:val="left"/>
      <w:lvlText w:val="%1."/>
      <w:numFmt w:val="decimal"/>
      <w:start w:val="4"/>
    </w:lvl>
  </w:abstractNum>
  <w:abstractNum w:abstractNumId="295">
    <w:nsid w:val="22F13DF3"/>
    <w:multiLevelType w:val="hybridMultilevel"/>
    <w:lvl w:ilvl="0">
      <w:lvlJc w:val="left"/>
      <w:lvlText w:val="%1."/>
      <w:numFmt w:val="decimal"/>
      <w:start w:val="6"/>
    </w:lvl>
  </w:abstractNum>
  <w:abstractNum w:abstractNumId="296">
    <w:nsid w:val="792B8401"/>
    <w:multiLevelType w:val="hybridMultilevel"/>
    <w:lvl w:ilvl="0">
      <w:lvlJc w:val="left"/>
      <w:lvlText w:val="%1."/>
      <w:numFmt w:val="decimal"/>
      <w:start w:val="7"/>
    </w:lvl>
  </w:abstractNum>
  <w:abstractNum w:abstractNumId="297">
    <w:nsid w:val="FA85F4D"/>
    <w:multiLevelType w:val="hybridMultilevel"/>
    <w:lvl w:ilvl="0">
      <w:lvlJc w:val="left"/>
      <w:lvlText w:val="%1."/>
      <w:numFmt w:val="decimal"/>
      <w:start w:val="9"/>
    </w:lvl>
  </w:abstractNum>
  <w:abstractNum w:abstractNumId="298">
    <w:nsid w:val="6ECE91F0"/>
    <w:multiLevelType w:val="hybridMultilevel"/>
    <w:lvl w:ilvl="0">
      <w:lvlJc w:val="left"/>
      <w:lvlText w:val="*"/>
      <w:numFmt w:val="bullet"/>
      <w:start w:val="1"/>
    </w:lvl>
  </w:abstractNum>
  <w:abstractNum w:abstractNumId="299">
    <w:nsid w:val="4FC4D600"/>
    <w:multiLevelType w:val="hybridMultilevel"/>
    <w:lvl w:ilvl="0">
      <w:lvlJc w:val="left"/>
      <w:lvlText w:val="·"/>
      <w:numFmt w:val="bullet"/>
      <w:start w:val="1"/>
    </w:lvl>
  </w:abstractNum>
  <w:abstractNum w:abstractNumId="300">
    <w:nsid w:val="5BFD4210"/>
    <w:multiLevelType w:val="hybridMultilevel"/>
    <w:lvl w:ilvl="0">
      <w:lvlJc w:val="left"/>
      <w:lvlText w:val="·"/>
      <w:numFmt w:val="bullet"/>
      <w:start w:val="1"/>
    </w:lvl>
  </w:abstractNum>
  <w:abstractNum w:abstractNumId="301">
    <w:nsid w:val="76574F8B"/>
    <w:multiLevelType w:val="hybridMultilevel"/>
    <w:lvl w:ilvl="0">
      <w:lvlJc w:val="left"/>
      <w:lvlText w:val="*"/>
      <w:numFmt w:val="bullet"/>
      <w:start w:val="1"/>
    </w:lvl>
  </w:abstractNum>
  <w:abstractNum w:abstractNumId="302">
    <w:nsid w:val="178F7B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3">
    <w:nsid w:val="2421DFCF"/>
    <w:multiLevelType w:val="hybridMultilevel"/>
    <w:lvl w:ilvl="0">
      <w:lvlJc w:val="left"/>
      <w:lvlText w:val="%1"/>
      <w:numFmt w:val="lowerLetter"/>
      <w:start w:val="1"/>
    </w:lvl>
    <w:lvl w:ilvl="1">
      <w:lvlJc w:val="left"/>
      <w:lvlText w:val="(%2)"/>
      <w:numFmt w:val="lowerRoman"/>
      <w:start w:val="3"/>
    </w:lvl>
  </w:abstractNum>
  <w:abstractNum w:abstractNumId="304">
    <w:nsid w:val="1565AC99"/>
    <w:multiLevelType w:val="hybridMultilevel"/>
    <w:lvl w:ilvl="0">
      <w:lvlJc w:val="left"/>
      <w:lvlText w:val="(%1)"/>
      <w:numFmt w:val="lowerLetter"/>
      <w:start w:val="3"/>
    </w:lvl>
    <w:lvl w:ilvl="1">
      <w:lvlJc w:val="left"/>
      <w:lvlText w:val="%2"/>
      <w:numFmt w:val="lowerRoman"/>
      <w:start w:val="1"/>
    </w:lvl>
  </w:abstractNum>
  <w:abstractNum w:abstractNumId="305">
    <w:nsid w:val="19FB2650"/>
    <w:multiLevelType w:val="hybridMultilevel"/>
    <w:lvl w:ilvl="0">
      <w:lvlJc w:val="left"/>
      <w:lvlText w:val="(%1)"/>
      <w:numFmt w:val="lowerLetter"/>
      <w:start w:val="7"/>
    </w:lvl>
  </w:abstractNum>
  <w:abstractNum w:abstractNumId="306">
    <w:nsid w:val="5024DE5B"/>
    <w:multiLevelType w:val="hybridMultilevel"/>
    <w:lvl w:ilvl="0">
      <w:lvlJc w:val="left"/>
      <w:lvlText w:val="%1."/>
      <w:numFmt w:val="decimal"/>
      <w:start w:val="3"/>
    </w:lvl>
  </w:abstractNum>
  <w:abstractNum w:abstractNumId="307">
    <w:nsid w:val="168EFE17"/>
    <w:multiLevelType w:val="hybridMultilevel"/>
    <w:lvl w:ilvl="0">
      <w:lvlJc w:val="left"/>
      <w:lvlText w:val="%1."/>
      <w:numFmt w:val="decimal"/>
      <w:start w:val="12"/>
    </w:lvl>
  </w:abstractNum>
  <w:abstractNum w:abstractNumId="308">
    <w:nsid w:val="1036B29F"/>
    <w:multiLevelType w:val="hybridMultilevel"/>
    <w:lvl w:ilvl="0">
      <w:lvlJc w:val="left"/>
      <w:lvlText w:val="%1"/>
      <w:numFmt w:val="lowerLetter"/>
      <w:start w:val="1"/>
    </w:lvl>
    <w:lvl w:ilvl="1">
      <w:lvlJc w:val="left"/>
      <w:lvlText w:val="%2."/>
      <w:numFmt w:val="decimal"/>
      <w:start w:val="1"/>
    </w:lvl>
  </w:abstractNum>
  <w:abstractNum w:abstractNumId="309">
    <w:nsid w:val="1D206B8E"/>
    <w:multiLevelType w:val="hybridMultilevel"/>
    <w:lvl w:ilvl="0">
      <w:lvlJc w:val="left"/>
      <w:lvlText w:val="(%1)"/>
      <w:numFmt w:val="lowerLetter"/>
      <w:start w:val="2"/>
    </w:lvl>
    <w:lvl w:ilvl="1">
      <w:lvlJc w:val="left"/>
      <w:lvlText w:val="%2"/>
      <w:numFmt w:val="decimal"/>
      <w:start w:val="1"/>
    </w:lvl>
  </w:abstractNum>
  <w:abstractNum w:abstractNumId="310">
    <w:nsid w:val="7934D3D4"/>
    <w:multiLevelType w:val="hybridMultilevel"/>
    <w:lvl w:ilvl="0">
      <w:lvlJc w:val="left"/>
      <w:lvlText w:val="%1."/>
      <w:numFmt w:val="decimal"/>
      <w:start w:val="1"/>
    </w:lvl>
    <w:lvl w:ilvl="1">
      <w:lvlJc w:val="left"/>
      <w:lvlText w:val="(%2)"/>
      <w:numFmt w:val="lowerLetter"/>
      <w:start w:val="1"/>
    </w:lvl>
  </w:abstractNum>
  <w:abstractNum w:abstractNumId="311">
    <w:nsid w:val="1C65E98"/>
    <w:multiLevelType w:val="hybridMultilevel"/>
    <w:lvl w:ilvl="0">
      <w:lvlJc w:val="left"/>
      <w:lvlText w:val="(%1)"/>
      <w:numFmt w:val="lowerLetter"/>
      <w:start w:val="2"/>
    </w:lvl>
  </w:abstractNum>
  <w:abstractNum w:abstractNumId="312">
    <w:nsid w:val="1495E50A"/>
    <w:multiLevelType w:val="hybridMultilevel"/>
    <w:lvl w:ilvl="0">
      <w:lvlJc w:val="left"/>
      <w:lvlText w:val="(%1)"/>
      <w:numFmt w:val="lowerLetter"/>
      <w:start w:val="4"/>
    </w:lvl>
  </w:abstractNum>
  <w:abstractNum w:abstractNumId="313">
    <w:nsid w:val="F5BCF61"/>
    <w:multiLevelType w:val="hybridMultilevel"/>
    <w:lvl w:ilvl="0">
      <w:lvlJc w:val="left"/>
      <w:lvlText w:val="(%1)"/>
      <w:numFmt w:val="lowerLetter"/>
      <w:start w:val="9"/>
    </w:lvl>
  </w:abstractNum>
  <w:abstractNum w:abstractNumId="314">
    <w:nsid w:val="3B1DD403"/>
    <w:multiLevelType w:val="hybridMultilevel"/>
    <w:lvl w:ilvl="0">
      <w:lvlJc w:val="left"/>
      <w:lvlText w:val="(%1)"/>
      <w:numFmt w:val="lowerLetter"/>
      <w:start w:val="13"/>
    </w:lvl>
  </w:abstractNum>
  <w:abstractNum w:abstractNumId="315">
    <w:nsid w:val="530386D1"/>
    <w:multiLevelType w:val="hybridMultilevel"/>
    <w:lvl w:ilvl="0">
      <w:lvlJc w:val="left"/>
      <w:lvlText w:val="(%1)"/>
      <w:numFmt w:val="lowerLetter"/>
      <w:start w:val="17"/>
    </w:lvl>
  </w:abstractNum>
  <w:abstractNum w:abstractNumId="316">
    <w:nsid w:val="7525F2BC"/>
    <w:multiLevelType w:val="hybridMultilevel"/>
    <w:lvl w:ilvl="0">
      <w:lvlJc w:val="left"/>
      <w:lvlText w:val="(%1)"/>
      <w:numFmt w:val="lowerLetter"/>
      <w:start w:val="22"/>
    </w:lvl>
  </w:abstractNum>
  <w:abstractNum w:abstractNumId="317">
    <w:nsid w:val="CE8E1A7"/>
    <w:multiLevelType w:val="hybridMultilevel"/>
    <w:lvl w:ilvl="0">
      <w:lvlJc w:val="left"/>
      <w:lvlText w:val="(%1)"/>
      <w:numFmt w:val="lowerLetter"/>
      <w:start w:val="25"/>
    </w:lvl>
  </w:abstractNum>
  <w:abstractNum w:abstractNumId="318">
    <w:nsid w:val="4E9EFB0D"/>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319">
    <w:nsid w:val="90802BE"/>
    <w:multiLevelType w:val="hybridMultilevel"/>
    <w:lvl w:ilvl="0">
      <w:lvlJc w:val="left"/>
      <w:lvlText w:val="%1"/>
      <w:numFmt w:val="decimal"/>
      <w:start w:val="1"/>
    </w:lvl>
    <w:lvl w:ilvl="1">
      <w:lvlJc w:val="left"/>
      <w:lvlText w:val="(%2)"/>
      <w:numFmt w:val="lowerLetter"/>
      <w:start w:val="27"/>
    </w:lvl>
  </w:abstractNum>
  <w:abstractNum w:abstractNumId="320">
    <w:nsid w:val="3266459B"/>
    <w:multiLevelType w:val="hybridMultilevel"/>
    <w:lvl w:ilvl="0">
      <w:lvlJc w:val="left"/>
      <w:lvlText w:val="%1."/>
      <w:numFmt w:val="decimal"/>
      <w:start w:val="2"/>
    </w:lvl>
    <w:lvl w:ilvl="1">
      <w:lvlJc w:val="left"/>
      <w:lvlText w:val="%2"/>
      <w:numFmt w:val="lowerLetter"/>
      <w:start w:val="1"/>
    </w:lvl>
  </w:abstractNum>
  <w:abstractNum w:abstractNumId="321">
    <w:nsid w:val="3F8B0CBF"/>
    <w:multiLevelType w:val="hybridMultilevel"/>
    <w:lvl w:ilvl="0">
      <w:lvlJc w:val="left"/>
      <w:lvlText w:val="%1."/>
      <w:numFmt w:val="decimal"/>
      <w:start w:val="3"/>
    </w:lvl>
  </w:abstractNum>
  <w:abstractNum w:abstractNumId="322">
    <w:nsid w:val="37E203A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23">
    <w:nsid w:val="2586D60E"/>
    <w:multiLevelType w:val="hybridMultilevel"/>
    <w:lvl w:ilvl="0">
      <w:lvlJc w:val="left"/>
      <w:lvlText w:val="(%1)"/>
      <w:numFmt w:val="lowerRoman"/>
      <w:start w:val="2"/>
    </w:lvl>
  </w:abstractNum>
  <w:abstractNum w:abstractNumId="324">
    <w:nsid w:val="1F3DA4D5"/>
    <w:multiLevelType w:val="hybridMultilevel"/>
    <w:lvl w:ilvl="0">
      <w:lvlJc w:val="left"/>
      <w:lvlText w:val="(%1)"/>
      <w:numFmt w:val="lowerLetter"/>
      <w:start w:val="2"/>
    </w:lvl>
  </w:abstractNum>
  <w:abstractNum w:abstractNumId="325">
    <w:nsid w:val="74C93698"/>
    <w:multiLevelType w:val="hybridMultilevel"/>
    <w:lvl w:ilvl="0">
      <w:lvlJc w:val="left"/>
      <w:lvlText w:val="(%1)"/>
      <w:numFmt w:val="lowerLetter"/>
      <w:start w:val="3"/>
    </w:lvl>
  </w:abstractNum>
  <w:abstractNum w:abstractNumId="326">
    <w:nsid w:val="48781401"/>
    <w:multiLevelType w:val="hybridMultilevel"/>
    <w:lvl w:ilvl="0">
      <w:lvlJc w:val="left"/>
      <w:lvlText w:val="%1"/>
      <w:numFmt w:val="decimal"/>
      <w:start w:val="1"/>
    </w:lvl>
    <w:lvl w:ilvl="1">
      <w:lvlJc w:val="left"/>
      <w:lvlText w:val="(%2)"/>
      <w:numFmt w:val="lowerLetter"/>
      <w:start w:val="7"/>
    </w:lvl>
  </w:abstractNum>
  <w:abstractNum w:abstractNumId="327">
    <w:nsid w:val="186928D6"/>
    <w:multiLevelType w:val="hybridMultilevel"/>
    <w:lvl w:ilvl="0">
      <w:lvlJc w:val="left"/>
      <w:lvlText w:val="%1."/>
      <w:numFmt w:val="decimal"/>
      <w:start w:val="6"/>
    </w:lvl>
    <w:lvl w:ilvl="1">
      <w:lvlJc w:val="left"/>
      <w:lvlText w:val="(%2)"/>
      <w:numFmt w:val="lowerLetter"/>
      <w:start w:val="1"/>
    </w:lvl>
  </w:abstractNum>
  <w:abstractNum w:abstractNumId="328">
    <w:nsid w:val="47195E5"/>
    <w:multiLevelType w:val="hybridMultilevel"/>
    <w:lvl w:ilvl="0">
      <w:lvlJc w:val="left"/>
      <w:lvlText w:val="(%1)"/>
      <w:numFmt w:val="lowerLetter"/>
      <w:start w:val="5"/>
    </w:lvl>
  </w:abstractNum>
  <w:abstractNum w:abstractNumId="329">
    <w:nsid w:val="3746A5F2"/>
    <w:multiLevelType w:val="hybridMultilevel"/>
    <w:lvl w:ilvl="0">
      <w:lvlJc w:val="left"/>
      <w:lvlText w:val="(%1)"/>
      <w:numFmt w:val="lowerLetter"/>
      <w:start w:val="8"/>
    </w:lvl>
  </w:abstractNum>
  <w:abstractNum w:abstractNumId="330">
    <w:nsid w:val="682DFED6"/>
    <w:multiLevelType w:val="hybridMultilevel"/>
    <w:lvl w:ilvl="0">
      <w:lvlJc w:val="left"/>
      <w:lvlText w:val="(%1)"/>
      <w:numFmt w:val="lowerLetter"/>
      <w:start w:val="11"/>
    </w:lvl>
  </w:abstractNum>
  <w:abstractNum w:abstractNumId="331">
    <w:nsid w:val="606ED7F6"/>
    <w:multiLevelType w:val="hybridMultilevel"/>
    <w:lvl w:ilvl="0">
      <w:lvlJc w:val="left"/>
      <w:lvlText w:val="%1."/>
      <w:numFmt w:val="decimal"/>
      <w:start w:val="7"/>
    </w:lvl>
  </w:abstractNum>
  <w:abstractNum w:abstractNumId="332">
    <w:nsid w:val="2D9DF57D"/>
    <w:multiLevelType w:val="hybridMultilevel"/>
    <w:lvl w:ilvl="0">
      <w:lvlJc w:val="left"/>
      <w:lvlText w:val="(%1)"/>
      <w:numFmt w:val="lowerLetter"/>
      <w:start w:val="2"/>
    </w:lvl>
    <w:lvl w:ilvl="1">
      <w:lvlJc w:val="left"/>
      <w:lvlText w:val="(%2)"/>
      <w:numFmt w:val="lowerRoman"/>
      <w:start w:val="1"/>
    </w:lvl>
  </w:abstractNum>
  <w:abstractNum w:abstractNumId="333">
    <w:nsid w:val="7FBD7A3E"/>
    <w:multiLevelType w:val="hybridMultilevel"/>
    <w:lvl w:ilvl="0">
      <w:lvlJc w:val="left"/>
      <w:lvlText w:val="(%1)"/>
      <w:numFmt w:val="lowerRoman"/>
      <w:start w:val="5"/>
    </w:lvl>
    <w:lvl w:ilvl="1">
      <w:lvlJc w:val="left"/>
      <w:lvlText w:val="(%2)"/>
      <w:numFmt w:val="upperLetter"/>
      <w:start w:val="1"/>
    </w:lvl>
  </w:abstractNum>
  <w:abstractNum w:abstractNumId="334">
    <w:nsid w:val="490B7C5"/>
    <w:multiLevelType w:val="hybridMultilevel"/>
    <w:lvl w:ilvl="0">
      <w:lvlJc w:val="left"/>
      <w:lvlText w:val="(%1)"/>
      <w:numFmt w:val="lowerRoman"/>
      <w:start w:val="6"/>
    </w:lvl>
  </w:abstractNum>
  <w:abstractNum w:abstractNumId="335">
    <w:nsid w:val="4303A216"/>
    <w:multiLevelType w:val="hybridMultilevel"/>
    <w:lvl w:ilvl="0">
      <w:lvlJc w:val="left"/>
      <w:lvlText w:val="%1"/>
      <w:numFmt w:val="lowerRoman"/>
      <w:start w:val="1"/>
    </w:lvl>
    <w:lvl w:ilvl="1">
      <w:lvlJc w:val="left"/>
      <w:lvlText w:val="(%2)"/>
      <w:numFmt w:val="lowerRoman"/>
      <w:start w:val="7"/>
    </w:lvl>
  </w:abstractNum>
  <w:abstractNum w:abstractNumId="336">
    <w:nsid w:val="19B8A08E"/>
    <w:multiLevelType w:val="hybridMultilevel"/>
    <w:lvl w:ilvl="0">
      <w:lvlJc w:val="left"/>
      <w:lvlText w:val="(%1)"/>
      <w:numFmt w:val="lowerRoman"/>
      <w:start w:val="3"/>
    </w:lvl>
    <w:lvl w:ilvl="1">
      <w:lvlJc w:val="left"/>
      <w:lvlText w:val="%2"/>
      <w:numFmt w:val="lowerRoman"/>
      <w:start w:val="1"/>
    </w:lvl>
  </w:abstractNum>
  <w:abstractNum w:abstractNumId="337">
    <w:nsid w:val="54B59621"/>
    <w:multiLevelType w:val="hybridMultilevel"/>
    <w:lvl w:ilvl="0">
      <w:lvlJc w:val="left"/>
      <w:lvlText w:val="(%1)"/>
      <w:numFmt w:val="decimal"/>
      <w:start w:val="1"/>
    </w:lvl>
    <w:lvl w:ilvl="1">
      <w:lvlJc w:val="left"/>
      <w:lvlText w:val="(%2)"/>
      <w:numFmt w:val="lowerRoman"/>
      <w:start w:val="9"/>
    </w:lvl>
  </w:abstractNum>
  <w:abstractNum w:abstractNumId="338">
    <w:nsid w:val="5992A02E"/>
    <w:multiLevelType w:val="hybridMultilevel"/>
    <w:lvl w:ilvl="0">
      <w:lvlJc w:val="left"/>
      <w:lvlText w:val="%1."/>
      <w:numFmt w:val="decimal"/>
      <w:start w:val="8"/>
    </w:lvl>
  </w:abstractNum>
  <w:abstractNum w:abstractNumId="339">
    <w:nsid w:val="29EF532D"/>
    <w:multiLevelType w:val="hybridMultilevel"/>
    <w:lvl w:ilvl="0">
      <w:lvlJc w:val="left"/>
      <w:lvlText w:val="(%1)"/>
      <w:numFmt w:val="lowerLetter"/>
      <w:start w:val="2"/>
    </w:lvl>
  </w:abstractNum>
  <w:abstractNum w:abstractNumId="340">
    <w:nsid w:val="71D601AF"/>
    <w:multiLevelType w:val="hybridMultilevel"/>
    <w:lvl w:ilvl="0">
      <w:lvlJc w:val="left"/>
      <w:lvlText w:val="(%1)"/>
      <w:numFmt w:val="lowerLetter"/>
      <w:start w:val="4"/>
    </w:lvl>
  </w:abstractNum>
  <w:abstractNum w:abstractNumId="341">
    <w:nsid w:val="52C77402"/>
    <w:multiLevelType w:val="hybridMultilevel"/>
    <w:lvl w:ilvl="0">
      <w:lvlJc w:val="left"/>
      <w:lvlText w:val="(%1)"/>
      <w:numFmt w:val="lowerLetter"/>
      <w:start w:val="5"/>
    </w:lvl>
  </w:abstractNum>
  <w:abstractNum w:abstractNumId="342">
    <w:nsid w:val="2BB5B1C6"/>
    <w:multiLevelType w:val="hybridMultilevel"/>
    <w:lvl w:ilvl="0">
      <w:lvlJc w:val="left"/>
      <w:lvlText w:val="%1."/>
      <w:numFmt w:val="decimal"/>
      <w:start w:val="9"/>
    </w:lvl>
  </w:abstractNum>
  <w:abstractNum w:abstractNumId="343">
    <w:nsid w:val="66BE6B9"/>
    <w:multiLevelType w:val="hybridMultilevel"/>
    <w:lvl w:ilvl="0">
      <w:lvlJc w:val="left"/>
      <w:lvlText w:val="%1."/>
      <w:numFmt w:val="decimal"/>
      <w:start w:val="11"/>
    </w:lvl>
    <w:lvl w:ilvl="1">
      <w:lvlJc w:val="left"/>
      <w:lvlText w:val="(%2)"/>
      <w:numFmt w:val="lowerLetter"/>
      <w:start w:val="2"/>
    </w:lvl>
  </w:abstractNum>
  <w:abstractNum w:abstractNumId="344">
    <w:nsid w:val="62234363"/>
    <w:multiLevelType w:val="hybridMultilevel"/>
    <w:lvl w:ilvl="0">
      <w:lvlJc w:val="left"/>
      <w:lvlText w:val="%1."/>
      <w:numFmt w:val="decimal"/>
      <w:start w:val="13"/>
    </w:lvl>
  </w:abstractNum>
  <w:abstractNum w:abstractNumId="345">
    <w:nsid w:val="66D385C9"/>
    <w:multiLevelType w:val="hybridMultilevel"/>
    <w:lvl w:ilvl="0">
      <w:lvlJc w:val="left"/>
      <w:lvlText w:val="%1."/>
      <w:numFmt w:val="decimal"/>
      <w:start w:val="1"/>
    </w:lvl>
  </w:abstractNum>
  <w:abstractNum w:abstractNumId="346">
    <w:nsid w:val="596F6D8A"/>
    <w:multiLevelType w:val="hybridMultilevel"/>
    <w:lvl w:ilvl="0">
      <w:lvlJc w:val="left"/>
      <w:lvlText w:val="%1."/>
      <w:numFmt w:val="decimal"/>
      <w:start w:val="1"/>
    </w:lvl>
  </w:abstractNum>
  <w:abstractNum w:abstractNumId="347">
    <w:nsid w:val="5749361F"/>
    <w:multiLevelType w:val="hybridMultilevel"/>
    <w:lvl w:ilvl="0">
      <w:lvlJc w:val="left"/>
      <w:lvlText w:val="%1."/>
      <w:numFmt w:val="decimal"/>
      <w:start w:val="6"/>
    </w:lvl>
  </w:abstractNum>
  <w:abstractNum w:abstractNumId="348">
    <w:nsid w:val="73BC6770"/>
    <w:multiLevelType w:val="hybridMultilevel"/>
    <w:lvl w:ilvl="0">
      <w:lvlJc w:val="left"/>
      <w:lvlText w:val="%1."/>
      <w:numFmt w:val="decimal"/>
      <w:start w:val="7"/>
    </w:lvl>
  </w:abstractNum>
  <w:abstractNum w:abstractNumId="349">
    <w:nsid w:val="280E6897"/>
    <w:multiLevelType w:val="hybridMultilevel"/>
    <w:lvl w:ilvl="0">
      <w:lvlJc w:val="left"/>
      <w:lvlText w:val="(%1)"/>
      <w:numFmt w:val="lowerRoman"/>
      <w:start w:val="1"/>
    </w:lvl>
  </w:abstractNum>
  <w:abstractNum w:abstractNumId="350">
    <w:nsid w:val="605138DE"/>
    <w:multiLevelType w:val="hybridMultilevel"/>
    <w:lvl w:ilvl="0">
      <w:lvlJc w:val="left"/>
      <w:lvlText w:val="(%1)"/>
      <w:numFmt w:val="lowerRoman"/>
      <w:start w:val="2"/>
    </w:lvl>
  </w:abstractNum>
  <w:abstractNum w:abstractNumId="351">
    <w:nsid w:val="2622AD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2019-12-05T21:31:16Z</dcterms:created>
  <dcterms:modified xsi:type="dcterms:W3CDTF">2019-12-05T21:31:16Z</dcterms:modified>
</cp:coreProperties>
</file>