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June 29, 2006</w:t>
      </w:r>
    </w:p>
    <w:p>
      <w:pPr>
        <w:spacing w:after="0" w:line="22"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2950845</wp:posOffset>
            </wp:positionH>
            <wp:positionV relativeFrom="paragraph">
              <wp:posOffset>137160</wp:posOffset>
            </wp:positionV>
            <wp:extent cx="1363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REGISTRATION STATEMENT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UNDER</w:t>
      </w:r>
    </w:p>
    <w:p>
      <w:pPr>
        <w:jc w:val="center"/>
        <w:ind w:right="-19"/>
        <w:spacing w:after="0"/>
        <w:rPr>
          <w:sz w:val="20"/>
          <w:szCs w:val="20"/>
          <w:color w:val="auto"/>
        </w:rPr>
      </w:pPr>
      <w:r>
        <w:rPr>
          <w:rFonts w:ascii="Arial" w:cs="Arial" w:eastAsia="Arial" w:hAnsi="Arial"/>
          <w:sz w:val="21"/>
          <w:szCs w:val="21"/>
          <w:b w:val="1"/>
          <w:bCs w:val="1"/>
          <w:color w:val="auto"/>
        </w:rPr>
        <w:t>THE SECURITIES ACT OF 1933</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7" w:lineRule="exact"/>
        <w:rPr>
          <w:sz w:val="24"/>
          <w:szCs w:val="24"/>
          <w:color w:val="auto"/>
        </w:rPr>
      </w:pPr>
    </w:p>
    <w:tbl>
      <w:tblPr>
        <w:tblLayout w:type="fixed"/>
        <w:tblInd w:w="940" w:type="dxa"/>
        <w:tblCellMar>
          <w:top w:w="0" w:type="dxa"/>
          <w:left w:w="0" w:type="dxa"/>
          <w:bottom w:w="0" w:type="dxa"/>
          <w:right w:w="0" w:type="dxa"/>
        </w:tblCellMar>
      </w:tblPr>
      <w:tr>
        <w:trPr>
          <w:trHeight w:val="218"/>
        </w:trPr>
        <w:tc>
          <w:tcPr>
            <w:tcW w:w="5060" w:type="dxa"/>
            <w:vAlign w:val="bottom"/>
          </w:tcPr>
          <w:p>
            <w:pPr>
              <w:jc w:val="center"/>
              <w:ind w:right="1332"/>
              <w:spacing w:after="0"/>
              <w:rPr>
                <w:sz w:val="20"/>
                <w:szCs w:val="20"/>
                <w:color w:val="auto"/>
              </w:rPr>
            </w:pPr>
            <w:r>
              <w:rPr>
                <w:rFonts w:ascii="Arial" w:cs="Arial" w:eastAsia="Arial" w:hAnsi="Arial"/>
                <w:sz w:val="18"/>
                <w:szCs w:val="18"/>
                <w:b w:val="1"/>
                <w:bCs w:val="1"/>
                <w:color w:val="auto"/>
                <w:w w:val="91"/>
              </w:rPr>
              <w:t>Delaware</w:t>
            </w:r>
          </w:p>
        </w:tc>
        <w:tc>
          <w:tcPr>
            <w:tcW w:w="394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75-1618004</w:t>
            </w:r>
          </w:p>
        </w:tc>
      </w:tr>
      <w:tr>
        <w:trPr>
          <w:trHeight w:val="223"/>
        </w:trPr>
        <w:tc>
          <w:tcPr>
            <w:tcW w:w="5060" w:type="dxa"/>
            <w:vAlign w:val="bottom"/>
          </w:tcPr>
          <w:p>
            <w:pPr>
              <w:jc w:val="center"/>
              <w:ind w:right="1312"/>
              <w:spacing w:after="0"/>
              <w:rPr>
                <w:sz w:val="20"/>
                <w:szCs w:val="20"/>
                <w:color w:val="auto"/>
              </w:rPr>
            </w:pPr>
            <w:r>
              <w:rPr>
                <w:rFonts w:ascii="Arial" w:cs="Arial" w:eastAsia="Arial" w:hAnsi="Arial"/>
                <w:sz w:val="18"/>
                <w:szCs w:val="18"/>
                <w:color w:val="auto"/>
                <w:w w:val="91"/>
              </w:rPr>
              <w:t>(State or other jurisdiction of incorporation)</w:t>
            </w:r>
          </w:p>
        </w:tc>
        <w:tc>
          <w:tcPr>
            <w:tcW w:w="3940" w:type="dxa"/>
            <w:vAlign w:val="bottom"/>
          </w:tcPr>
          <w:p>
            <w:pPr>
              <w:jc w:val="center"/>
              <w:ind w:left="1272"/>
              <w:spacing w:after="0"/>
              <w:rPr>
                <w:sz w:val="20"/>
                <w:szCs w:val="20"/>
                <w:color w:val="auto"/>
              </w:rPr>
            </w:pPr>
            <w:r>
              <w:rPr>
                <w:rFonts w:ascii="Arial" w:cs="Arial" w:eastAsia="Arial" w:hAnsi="Arial"/>
                <w:sz w:val="18"/>
                <w:szCs w:val="18"/>
                <w:color w:val="auto"/>
                <w:w w:val="93"/>
              </w:rPr>
              <w:t>(I.R.S. Employer Identification No.)</w:t>
            </w:r>
          </w:p>
        </w:tc>
      </w:tr>
      <w:tr>
        <w:trPr>
          <w:trHeight w:val="466"/>
        </w:trPr>
        <w:tc>
          <w:tcPr>
            <w:tcW w:w="5060" w:type="dxa"/>
            <w:vAlign w:val="bottom"/>
          </w:tcPr>
          <w:p>
            <w:pPr>
              <w:spacing w:after="0"/>
              <w:rPr>
                <w:sz w:val="20"/>
                <w:szCs w:val="20"/>
                <w:color w:val="auto"/>
              </w:rPr>
            </w:pPr>
            <w:r>
              <w:rPr>
                <w:rFonts w:ascii="Arial" w:cs="Arial" w:eastAsia="Arial" w:hAnsi="Arial"/>
                <w:sz w:val="18"/>
                <w:szCs w:val="18"/>
                <w:b w:val="1"/>
                <w:bCs w:val="1"/>
                <w:color w:val="auto"/>
              </w:rPr>
              <w:t>8000 South Federal Way, P.O. Box 6, Boise, Idaho</w:t>
            </w:r>
          </w:p>
        </w:tc>
        <w:tc>
          <w:tcPr>
            <w:tcW w:w="394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83707-0006</w:t>
            </w:r>
          </w:p>
        </w:tc>
      </w:tr>
      <w:tr>
        <w:trPr>
          <w:trHeight w:val="223"/>
        </w:trPr>
        <w:tc>
          <w:tcPr>
            <w:tcW w:w="5060" w:type="dxa"/>
            <w:vAlign w:val="bottom"/>
          </w:tcPr>
          <w:p>
            <w:pPr>
              <w:jc w:val="center"/>
              <w:ind w:right="1292"/>
              <w:spacing w:after="0"/>
              <w:rPr>
                <w:sz w:val="20"/>
                <w:szCs w:val="20"/>
                <w:color w:val="auto"/>
              </w:rPr>
            </w:pPr>
            <w:r>
              <w:rPr>
                <w:rFonts w:ascii="Arial" w:cs="Arial" w:eastAsia="Arial" w:hAnsi="Arial"/>
                <w:sz w:val="18"/>
                <w:szCs w:val="18"/>
                <w:color w:val="auto"/>
                <w:w w:val="90"/>
              </w:rPr>
              <w:t>(Address of principal executive offices)</w:t>
            </w:r>
          </w:p>
        </w:tc>
        <w:tc>
          <w:tcPr>
            <w:tcW w:w="3940" w:type="dxa"/>
            <w:vAlign w:val="bottom"/>
          </w:tcPr>
          <w:p>
            <w:pPr>
              <w:jc w:val="center"/>
              <w:ind w:left="1272"/>
              <w:spacing w:after="0"/>
              <w:rPr>
                <w:sz w:val="20"/>
                <w:szCs w:val="20"/>
                <w:color w:val="auto"/>
              </w:rPr>
            </w:pPr>
            <w:r>
              <w:rPr>
                <w:rFonts w:ascii="Arial" w:cs="Arial" w:eastAsia="Arial" w:hAnsi="Arial"/>
                <w:sz w:val="18"/>
                <w:szCs w:val="18"/>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2950845</wp:posOffset>
            </wp:positionH>
            <wp:positionV relativeFrom="paragraph">
              <wp:posOffset>168910</wp:posOffset>
            </wp:positionV>
            <wp:extent cx="1363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Lexar Media, Inc. 2000 Equity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2950845</wp:posOffset>
            </wp:positionH>
            <wp:positionV relativeFrom="paragraph">
              <wp:posOffset>161290</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 G. Stover, Jr.</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V.P. of Finance and Chief Financial Officer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of agent for service)</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208-368-4000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4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vMerge w:val="restart"/>
          </w:tcPr>
          <w:p>
            <w:pPr>
              <w:jc w:val="center"/>
              <w:ind w:right="326"/>
              <w:spacing w:after="0"/>
              <w:rPr>
                <w:sz w:val="20"/>
                <w:szCs w:val="20"/>
                <w:color w:val="auto"/>
              </w:rPr>
            </w:pPr>
            <w:r>
              <w:rPr>
                <w:rFonts w:ascii="Arial" w:cs="Arial" w:eastAsia="Arial" w:hAnsi="Arial"/>
                <w:sz w:val="14"/>
                <w:szCs w:val="14"/>
                <w:b w:val="1"/>
                <w:bCs w:val="1"/>
                <w:color w:val="auto"/>
                <w:w w:val="86"/>
              </w:rPr>
              <w:t>Proposed</w:t>
            </w:r>
          </w:p>
        </w:tc>
        <w:tc>
          <w:tcPr>
            <w:tcW w:w="2620" w:type="dxa"/>
            <w:vAlign w:val="bottom"/>
            <w:tcBorders>
              <w:top w:val="single" w:sz="8" w:color="auto"/>
            </w:tcBorders>
          </w:tcPr>
          <w:p>
            <w:pPr>
              <w:jc w:val="center"/>
              <w:ind w:right="266"/>
              <w:spacing w:after="0" w:line="126" w:lineRule="exact"/>
              <w:rPr>
                <w:sz w:val="20"/>
                <w:szCs w:val="20"/>
                <w:color w:val="auto"/>
              </w:rPr>
            </w:pPr>
            <w:r>
              <w:rPr>
                <w:rFonts w:ascii="Arial" w:cs="Arial" w:eastAsia="Arial" w:hAnsi="Arial"/>
                <w:sz w:val="14"/>
                <w:szCs w:val="14"/>
                <w:b w:val="1"/>
                <w:bCs w:val="1"/>
                <w:color w:val="auto"/>
                <w:w w:val="86"/>
              </w:rPr>
              <w:t>Proposed</w:t>
            </w: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2620" w:type="dxa"/>
            <w:vAlign w:val="bottom"/>
          </w:tcPr>
          <w:p>
            <w:pPr>
              <w:jc w:val="center"/>
              <w:ind w:right="266"/>
              <w:spacing w:after="0" w:line="133" w:lineRule="exact"/>
              <w:rPr>
                <w:sz w:val="20"/>
                <w:szCs w:val="20"/>
                <w:color w:val="auto"/>
              </w:rPr>
            </w:pPr>
            <w:r>
              <w:rPr>
                <w:rFonts w:ascii="Arial" w:cs="Arial" w:eastAsia="Arial" w:hAnsi="Arial"/>
                <w:sz w:val="14"/>
                <w:szCs w:val="14"/>
                <w:b w:val="1"/>
                <w:bCs w:val="1"/>
                <w:color w:val="auto"/>
                <w:w w:val="91"/>
              </w:rPr>
              <w:t>maximum</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8"/>
              </w:rPr>
              <w:t>Title of each class of</w:t>
            </w:r>
          </w:p>
        </w:tc>
        <w:tc>
          <w:tcPr>
            <w:tcW w:w="17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 to be</w:t>
            </w:r>
          </w:p>
        </w:tc>
        <w:tc>
          <w:tcPr>
            <w:tcW w:w="2080" w:type="dxa"/>
            <w:vAlign w:val="bottom"/>
          </w:tcPr>
          <w:p>
            <w:pPr>
              <w:jc w:val="center"/>
              <w:ind w:right="326"/>
              <w:spacing w:after="0" w:line="133" w:lineRule="exact"/>
              <w:rPr>
                <w:sz w:val="20"/>
                <w:szCs w:val="20"/>
                <w:color w:val="auto"/>
              </w:rPr>
            </w:pPr>
            <w:r>
              <w:rPr>
                <w:rFonts w:ascii="Arial" w:cs="Arial" w:eastAsia="Arial" w:hAnsi="Arial"/>
                <w:sz w:val="14"/>
                <w:szCs w:val="14"/>
                <w:b w:val="1"/>
                <w:bCs w:val="1"/>
                <w:color w:val="auto"/>
                <w:w w:val="91"/>
              </w:rPr>
              <w:t>maximum</w:t>
            </w:r>
          </w:p>
        </w:tc>
        <w:tc>
          <w:tcPr>
            <w:tcW w:w="2620" w:type="dxa"/>
            <w:vAlign w:val="bottom"/>
          </w:tcPr>
          <w:p>
            <w:pPr>
              <w:jc w:val="center"/>
              <w:ind w:right="266"/>
              <w:spacing w:after="0" w:line="133" w:lineRule="exact"/>
              <w:rPr>
                <w:sz w:val="20"/>
                <w:szCs w:val="20"/>
                <w:color w:val="auto"/>
              </w:rPr>
            </w:pPr>
            <w:r>
              <w:rPr>
                <w:rFonts w:ascii="Arial" w:cs="Arial" w:eastAsia="Arial" w:hAnsi="Arial"/>
                <w:sz w:val="14"/>
                <w:szCs w:val="14"/>
                <w:b w:val="1"/>
                <w:bCs w:val="1"/>
                <w:color w:val="auto"/>
                <w:w w:val="89"/>
              </w:rPr>
              <w:t>aggregate</w:t>
            </w:r>
          </w:p>
        </w:tc>
        <w:tc>
          <w:tcPr>
            <w:tcW w:w="1140" w:type="dxa"/>
            <w:vAlign w:val="bottom"/>
            <w:vMerge w:val="restart"/>
          </w:tcPr>
          <w:p>
            <w:pPr>
              <w:jc w:val="center"/>
              <w:ind w:left="83"/>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080" w:type="dxa"/>
            <w:vAlign w:val="bottom"/>
          </w:tcPr>
          <w:p>
            <w:pPr>
              <w:jc w:val="center"/>
              <w:ind w:right="346"/>
              <w:spacing w:after="0" w:line="133" w:lineRule="exact"/>
              <w:rPr>
                <w:sz w:val="20"/>
                <w:szCs w:val="20"/>
                <w:color w:val="auto"/>
              </w:rPr>
            </w:pPr>
            <w:r>
              <w:rPr>
                <w:rFonts w:ascii="Arial" w:cs="Arial" w:eastAsia="Arial" w:hAnsi="Arial"/>
                <w:sz w:val="14"/>
                <w:szCs w:val="14"/>
                <w:b w:val="1"/>
                <w:bCs w:val="1"/>
                <w:color w:val="auto"/>
                <w:w w:val="91"/>
              </w:rPr>
              <w:t>offering price</w:t>
            </w:r>
          </w:p>
        </w:tc>
        <w:tc>
          <w:tcPr>
            <w:tcW w:w="2620" w:type="dxa"/>
            <w:vAlign w:val="bottom"/>
          </w:tcPr>
          <w:p>
            <w:pPr>
              <w:jc w:val="center"/>
              <w:ind w:right="266"/>
              <w:spacing w:after="0" w:line="133" w:lineRule="exact"/>
              <w:rPr>
                <w:sz w:val="20"/>
                <w:szCs w:val="20"/>
                <w:color w:val="auto"/>
              </w:rPr>
            </w:pPr>
            <w:r>
              <w:rPr>
                <w:rFonts w:ascii="Arial" w:cs="Arial" w:eastAsia="Arial" w:hAnsi="Arial"/>
                <w:sz w:val="14"/>
                <w:szCs w:val="14"/>
                <w:b w:val="1"/>
                <w:bCs w:val="1"/>
                <w:color w:val="auto"/>
                <w:w w:val="92"/>
              </w:rPr>
              <w:t>offering</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b w:val="1"/>
                <w:bCs w:val="1"/>
                <w:color w:val="auto"/>
                <w:w w:val="88"/>
              </w:rPr>
              <w:t>securities to be registered</w:t>
            </w:r>
          </w:p>
        </w:tc>
        <w:tc>
          <w:tcPr>
            <w:tcW w:w="17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9"/>
              </w:rPr>
              <w:t>registered(2)</w:t>
            </w:r>
          </w:p>
        </w:tc>
        <w:tc>
          <w:tcPr>
            <w:tcW w:w="2080" w:type="dxa"/>
            <w:vAlign w:val="bottom"/>
            <w:tcBorders>
              <w:bottom w:val="single" w:sz="8" w:color="auto"/>
            </w:tcBorders>
          </w:tcPr>
          <w:p>
            <w:pPr>
              <w:jc w:val="center"/>
              <w:ind w:right="326"/>
              <w:spacing w:after="0" w:line="159" w:lineRule="exact"/>
              <w:rPr>
                <w:sz w:val="20"/>
                <w:szCs w:val="20"/>
                <w:color w:val="auto"/>
              </w:rPr>
            </w:pPr>
            <w:r>
              <w:rPr>
                <w:rFonts w:ascii="Arial" w:cs="Arial" w:eastAsia="Arial" w:hAnsi="Arial"/>
                <w:sz w:val="14"/>
                <w:szCs w:val="14"/>
                <w:b w:val="1"/>
                <w:bCs w:val="1"/>
                <w:color w:val="auto"/>
                <w:w w:val="89"/>
              </w:rPr>
              <w:t>per share(3)</w:t>
            </w:r>
          </w:p>
        </w:tc>
        <w:tc>
          <w:tcPr>
            <w:tcW w:w="2620" w:type="dxa"/>
            <w:vAlign w:val="bottom"/>
            <w:tcBorders>
              <w:bottom w:val="single" w:sz="8" w:color="auto"/>
            </w:tcBorders>
          </w:tcPr>
          <w:p>
            <w:pPr>
              <w:jc w:val="center"/>
              <w:ind w:right="266"/>
              <w:spacing w:after="0" w:line="159" w:lineRule="exact"/>
              <w:rPr>
                <w:sz w:val="20"/>
                <w:szCs w:val="20"/>
                <w:color w:val="auto"/>
              </w:rPr>
            </w:pPr>
            <w:r>
              <w:rPr>
                <w:rFonts w:ascii="Arial" w:cs="Arial" w:eastAsia="Arial" w:hAnsi="Arial"/>
                <w:sz w:val="14"/>
                <w:szCs w:val="14"/>
                <w:b w:val="1"/>
                <w:bCs w:val="1"/>
                <w:color w:val="auto"/>
                <w:w w:val="94"/>
              </w:rPr>
              <w:t>price(3)</w:t>
            </w:r>
          </w:p>
        </w:tc>
        <w:tc>
          <w:tcPr>
            <w:tcW w:w="1140" w:type="dxa"/>
            <w:vAlign w:val="bottom"/>
            <w:tcBorders>
              <w:bottom w:val="single" w:sz="8" w:color="auto"/>
            </w:tcBorders>
          </w:tcPr>
          <w:p>
            <w:pPr>
              <w:jc w:val="center"/>
              <w:ind w:left="83"/>
              <w:spacing w:after="0" w:line="159" w:lineRule="exact"/>
              <w:rPr>
                <w:sz w:val="20"/>
                <w:szCs w:val="20"/>
                <w:color w:val="auto"/>
              </w:rPr>
            </w:pPr>
            <w:r>
              <w:rPr>
                <w:rFonts w:ascii="Arial" w:cs="Arial" w:eastAsia="Arial" w:hAnsi="Arial"/>
                <w:sz w:val="14"/>
                <w:szCs w:val="14"/>
                <w:b w:val="1"/>
                <w:bCs w:val="1"/>
                <w:color w:val="auto"/>
                <w:w w:val="88"/>
              </w:rPr>
              <w:t>registration fee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tcPr>
          <w:p>
            <w:pPr>
              <w:spacing w:after="0" w:line="193" w:lineRule="exact"/>
              <w:rPr>
                <w:sz w:val="20"/>
                <w:szCs w:val="20"/>
                <w:color w:val="auto"/>
              </w:rPr>
            </w:pPr>
            <w:r>
              <w:rPr>
                <w:rFonts w:ascii="Arial" w:cs="Arial" w:eastAsia="Arial" w:hAnsi="Arial"/>
                <w:sz w:val="18"/>
                <w:szCs w:val="18"/>
                <w:color w:val="auto"/>
              </w:rPr>
              <w:t>Common Stock $.10 par value per share, to be</w:t>
            </w:r>
          </w:p>
        </w:tc>
        <w:tc>
          <w:tcPr>
            <w:tcW w:w="17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issued pursuant to the Lexar Media, Inc. 2000</w:t>
            </w: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Equity Incentive Plan(1)</w:t>
            </w:r>
          </w:p>
        </w:tc>
        <w:tc>
          <w:tcPr>
            <w:tcW w:w="17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color w:val="auto"/>
              </w:rPr>
              <w:t>6,759,783</w:t>
            </w:r>
          </w:p>
        </w:tc>
        <w:tc>
          <w:tcPr>
            <w:tcW w:w="2080" w:type="dxa"/>
            <w:vAlign w:val="bottom"/>
            <w:tcBorders>
              <w:bottom w:val="single" w:sz="8" w:color="auto"/>
            </w:tcBorders>
          </w:tcPr>
          <w:p>
            <w:pPr>
              <w:jc w:val="center"/>
              <w:ind w:right="326"/>
              <w:spacing w:after="0"/>
              <w:rPr>
                <w:sz w:val="20"/>
                <w:szCs w:val="20"/>
                <w:color w:val="auto"/>
              </w:rPr>
            </w:pPr>
            <w:r>
              <w:rPr>
                <w:rFonts w:ascii="Arial" w:cs="Arial" w:eastAsia="Arial" w:hAnsi="Arial"/>
                <w:sz w:val="18"/>
                <w:szCs w:val="18"/>
                <w:color w:val="auto"/>
                <w:w w:val="87"/>
              </w:rPr>
              <w:t>$16.45</w:t>
            </w:r>
          </w:p>
        </w:tc>
        <w:tc>
          <w:tcPr>
            <w:tcW w:w="262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color w:val="auto"/>
              </w:rPr>
              <w:t>$111,198,430.35</w:t>
            </w:r>
          </w:p>
        </w:tc>
        <w:tc>
          <w:tcPr>
            <w:tcW w:w="1140" w:type="dxa"/>
            <w:vAlign w:val="bottom"/>
            <w:tcBorders>
              <w:bottom w:val="single" w:sz="8" w:color="auto"/>
            </w:tcBorders>
          </w:tcPr>
          <w:p>
            <w:pPr>
              <w:jc w:val="center"/>
              <w:ind w:left="123"/>
              <w:spacing w:after="0"/>
              <w:rPr>
                <w:sz w:val="20"/>
                <w:szCs w:val="20"/>
                <w:color w:val="auto"/>
              </w:rPr>
            </w:pPr>
            <w:r>
              <w:rPr>
                <w:rFonts w:ascii="Arial" w:cs="Arial" w:eastAsia="Arial" w:hAnsi="Arial"/>
                <w:sz w:val="18"/>
                <w:szCs w:val="18"/>
                <w:color w:val="auto"/>
                <w:w w:val="86"/>
              </w:rPr>
              <w:t>$11,898.23</w:t>
            </w:r>
          </w:p>
        </w:tc>
        <w:tc>
          <w:tcPr>
            <w:tcW w:w="0" w:type="dxa"/>
            <w:vAlign w:val="bottom"/>
          </w:tcPr>
          <w:p>
            <w:pPr>
              <w:spacing w:after="0"/>
              <w:rPr>
                <w:sz w:val="1"/>
                <w:szCs w:val="1"/>
                <w:color w:val="auto"/>
              </w:rPr>
            </w:pPr>
          </w:p>
        </w:tc>
      </w:tr>
    </w:tbl>
    <w:p>
      <w:pPr>
        <w:spacing w:after="0" w:line="253" w:lineRule="exact"/>
        <w:rPr>
          <w:sz w:val="24"/>
          <w:szCs w:val="24"/>
          <w:color w:val="auto"/>
        </w:rPr>
      </w:pPr>
    </w:p>
    <w:p>
      <w:pPr>
        <w:ind w:left="360" w:right="20" w:hanging="354"/>
        <w:spacing w:after="0" w:line="318" w:lineRule="auto"/>
        <w:tabs>
          <w:tab w:leader="none" w:pos="385" w:val="left"/>
        </w:tabs>
        <w:numPr>
          <w:ilvl w:val="0"/>
          <w:numId w:val="1"/>
        </w:numPr>
        <w:rPr>
          <w:rFonts w:ascii="Arial" w:cs="Arial" w:eastAsia="Arial" w:hAnsi="Arial"/>
          <w:sz w:val="15"/>
          <w:szCs w:val="15"/>
          <w:color w:val="auto"/>
        </w:rPr>
      </w:pPr>
      <w:r>
        <w:rPr>
          <w:rFonts w:ascii="Arial" w:cs="Arial" w:eastAsia="Arial" w:hAnsi="Arial"/>
          <w:sz w:val="15"/>
          <w:szCs w:val="15"/>
          <w:color w:val="auto"/>
        </w:rPr>
        <w:t>Common stock to be issued pursuant to options granted under the Lexar Media, Inc. 2000 Equity Incentive Plan pursuant to the Agreement and Plan of Merger, dated as of March 8, 2006, by and among Micron Technology, Inc., March 2006 Merger Corp. and Lexar Media, Inc., as amended. As of the effective time of the merger, the options issued by Lexar pursuant to the Plan were converted automatically into options to purchase Micron common stock (after applying the conversion ratio of 0.5925 of a share of Micron common stock for each share of Lexar common stock issuable pursuant to such options).</w:t>
      </w:r>
    </w:p>
    <w:p>
      <w:pPr>
        <w:spacing w:after="0" w:line="146" w:lineRule="exact"/>
        <w:rPr>
          <w:rFonts w:ascii="Arial" w:cs="Arial" w:eastAsia="Arial" w:hAnsi="Arial"/>
          <w:sz w:val="15"/>
          <w:szCs w:val="15"/>
          <w:color w:val="auto"/>
        </w:rPr>
      </w:pPr>
    </w:p>
    <w:p>
      <w:pPr>
        <w:ind w:left="360" w:right="320" w:hanging="354"/>
        <w:spacing w:after="0" w:line="277" w:lineRule="auto"/>
        <w:tabs>
          <w:tab w:leader="none" w:pos="385"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71" w:lineRule="exact"/>
        <w:rPr>
          <w:rFonts w:ascii="Arial" w:cs="Arial" w:eastAsia="Arial" w:hAnsi="Arial"/>
          <w:sz w:val="17"/>
          <w:szCs w:val="17"/>
          <w:color w:val="auto"/>
        </w:rPr>
      </w:pPr>
    </w:p>
    <w:p>
      <w:pPr>
        <w:ind w:left="380" w:hanging="374"/>
        <w:spacing w:after="0"/>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in accordance with Rules 457(c) and 457(h) under the Securities Act, solely for the purpose of calculating the registration fee on the basis of</w:t>
      </w:r>
    </w:p>
    <w:p>
      <w:pPr>
        <w:spacing w:after="0" w:line="51" w:lineRule="exact"/>
        <w:rPr>
          <w:sz w:val="24"/>
          <w:szCs w:val="24"/>
          <w:color w:val="auto"/>
        </w:rPr>
      </w:pPr>
    </w:p>
    <w:p>
      <w:pPr>
        <w:ind w:left="360" w:right="580"/>
        <w:spacing w:after="0" w:line="251" w:lineRule="auto"/>
        <w:rPr>
          <w:sz w:val="20"/>
          <w:szCs w:val="20"/>
          <w:color w:val="auto"/>
        </w:rPr>
      </w:pPr>
      <w:r>
        <w:rPr>
          <w:rFonts w:ascii="Arial" w:cs="Arial" w:eastAsia="Arial" w:hAnsi="Arial"/>
          <w:sz w:val="18"/>
          <w:szCs w:val="18"/>
          <w:color w:val="auto"/>
        </w:rPr>
        <w:t>$16.45 per share, which is the average of the high and low price of the Company’s Common Stock as reported on the New York Stock Exchange on June 26,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172085</wp:posOffset>
            </wp:positionV>
            <wp:extent cx="72491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414020</wp:posOffset>
            </wp:positionV>
            <wp:extent cx="727011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3"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The documents containing the information specified in Part I of Form S-8 will be sent or given to employees of the Company as specified by</w:t>
      </w:r>
    </w:p>
    <w:p>
      <w:pPr>
        <w:spacing w:after="0" w:line="16" w:lineRule="exact"/>
        <w:rPr>
          <w:sz w:val="24"/>
          <w:szCs w:val="24"/>
          <w:color w:val="auto"/>
        </w:rPr>
      </w:pPr>
    </w:p>
    <w:p>
      <w:pPr>
        <w:ind w:right="120"/>
        <w:spacing w:after="0" w:line="350" w:lineRule="auto"/>
        <w:rPr>
          <w:sz w:val="20"/>
          <w:szCs w:val="20"/>
          <w:color w:val="auto"/>
        </w:rPr>
      </w:pPr>
      <w:r>
        <w:rPr>
          <w:rFonts w:ascii="Arial" w:cs="Arial" w:eastAsia="Arial" w:hAnsi="Arial"/>
          <w:sz w:val="15"/>
          <w:szCs w:val="15"/>
          <w:color w:val="auto"/>
        </w:rPr>
        <w:t>Rule 428(b)(1) of the Securities Act. Such documents need not be filed with the Securities and Exchange Commission (the “Commission”) either as part of this Registration Statement or as prospectuses or prospectus supplements pursuant to the Note to Part I of Form S-8 and Rule 424 under the Securities Act. These</w:t>
      </w:r>
    </w:p>
    <w:p>
      <w:pPr>
        <w:sectPr>
          <w:pgSz w:w="11900" w:h="16838" w:orient="portrait"/>
          <w:cols w:equalWidth="0" w:num="1">
            <w:col w:w="11400"/>
          </w:cols>
          <w:pgMar w:left="240" w:top="227" w:right="259" w:bottom="0" w:gutter="0" w:footer="0" w:header="0"/>
        </w:sectPr>
      </w:pPr>
    </w:p>
    <w:bookmarkStart w:id="1" w:name="page2"/>
    <w:bookmarkEnd w:id="1"/>
    <w:p>
      <w:pPr>
        <w:ind w:right="620"/>
        <w:spacing w:after="0" w:line="265" w:lineRule="auto"/>
        <w:rPr>
          <w:sz w:val="20"/>
          <w:szCs w:val="20"/>
          <w:color w:val="auto"/>
        </w:rPr>
      </w:pPr>
      <w:r>
        <w:rPr>
          <w:rFonts w:ascii="Arial" w:cs="Arial" w:eastAsia="Arial" w:hAnsi="Arial"/>
          <w:sz w:val="18"/>
          <w:szCs w:val="18"/>
          <w:color w:val="auto"/>
        </w:rPr>
        <w:t>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23" w:lineRule="exact"/>
        <w:rPr>
          <w:sz w:val="20"/>
          <w:szCs w:val="20"/>
          <w:color w:val="auto"/>
        </w:rPr>
      </w:pPr>
    </w:p>
    <w:p>
      <w:pPr>
        <w:ind w:right="520" w:firstLine="636"/>
        <w:spacing w:after="0" w:line="265" w:lineRule="auto"/>
        <w:rPr>
          <w:sz w:val="20"/>
          <w:szCs w:val="20"/>
          <w:color w:val="auto"/>
        </w:rPr>
      </w:pPr>
      <w:r>
        <w:rPr>
          <w:rFonts w:ascii="Arial" w:cs="Arial" w:eastAsia="Arial" w:hAnsi="Arial"/>
          <w:sz w:val="18"/>
          <w:szCs w:val="18"/>
          <w:color w:val="auto"/>
        </w:rPr>
        <w:t>The following documents filed by the Company with the Securities and Exchange Commission are incorporated by reference in this Registration Statement:</w:t>
      </w:r>
    </w:p>
    <w:p>
      <w:pPr>
        <w:spacing w:after="0" w:line="179" w:lineRule="exact"/>
        <w:rPr>
          <w:sz w:val="20"/>
          <w:szCs w:val="20"/>
          <w:color w:val="auto"/>
        </w:rPr>
      </w:pPr>
    </w:p>
    <w:p>
      <w:pPr>
        <w:ind w:right="100" w:firstLine="642"/>
        <w:spacing w:after="0" w:line="265" w:lineRule="auto"/>
        <w:tabs>
          <w:tab w:leader="none" w:pos="105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fiscal year ended September 1, 2005, filed pursuant to Section 13(a) of the Securities Exchange Act of 1934, as amended (the “Exchange Act”) (File No. 1-10658).</w:t>
      </w:r>
    </w:p>
    <w:p>
      <w:pPr>
        <w:spacing w:after="0" w:line="179" w:lineRule="exact"/>
        <w:rPr>
          <w:rFonts w:ascii="Arial" w:cs="Arial" w:eastAsia="Arial" w:hAnsi="Arial"/>
          <w:sz w:val="18"/>
          <w:szCs w:val="18"/>
          <w:color w:val="auto"/>
        </w:rPr>
      </w:pPr>
    </w:p>
    <w:p>
      <w:pPr>
        <w:ind w:left="1060" w:hanging="418"/>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quarterly period ended December 1, 2005, filed pursuant to Section 13(a) of the</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Exchange Act.</w:t>
      </w:r>
    </w:p>
    <w:p>
      <w:pPr>
        <w:spacing w:after="0" w:line="205" w:lineRule="exact"/>
        <w:rPr>
          <w:rFonts w:ascii="Arial" w:cs="Arial" w:eastAsia="Arial" w:hAnsi="Arial"/>
          <w:sz w:val="17"/>
          <w:szCs w:val="17"/>
          <w:color w:val="auto"/>
        </w:rPr>
      </w:pPr>
    </w:p>
    <w:p>
      <w:pPr>
        <w:ind w:left="1060" w:hanging="418"/>
        <w:spacing w:after="0"/>
        <w:tabs>
          <w:tab w:leader="none" w:pos="10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Company’s Quarterly Report on Form 10-Q for the quarterly period ended March 2, 2006, filed pursuant to Section 13(a) of the Exchange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Act.</w:t>
      </w:r>
    </w:p>
    <w:p>
      <w:pPr>
        <w:spacing w:after="0" w:line="205" w:lineRule="exact"/>
        <w:rPr>
          <w:rFonts w:ascii="Arial" w:cs="Arial" w:eastAsia="Arial" w:hAnsi="Arial"/>
          <w:sz w:val="15"/>
          <w:szCs w:val="15"/>
          <w:color w:val="auto"/>
        </w:rPr>
      </w:pPr>
    </w:p>
    <w:p>
      <w:pPr>
        <w:ind w:left="1060" w:hanging="418"/>
        <w:spacing w:after="0"/>
        <w:tabs>
          <w:tab w:leader="none" w:pos="10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Company’s amended Quarterly Report on Form 10-Q for the quarterly period ended December 1, 2005, filed pursuant to Section 13(a) of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Exchange Act.</w:t>
      </w:r>
    </w:p>
    <w:p>
      <w:pPr>
        <w:spacing w:after="0" w:line="205" w:lineRule="exact"/>
        <w:rPr>
          <w:rFonts w:ascii="Arial" w:cs="Arial" w:eastAsia="Arial" w:hAnsi="Arial"/>
          <w:sz w:val="15"/>
          <w:szCs w:val="15"/>
          <w:color w:val="auto"/>
        </w:rPr>
      </w:pPr>
    </w:p>
    <w:p>
      <w:pPr>
        <w:ind w:left="1060" w:hanging="418"/>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November 21, 2005.</w:t>
      </w:r>
    </w:p>
    <w:p>
      <w:pPr>
        <w:spacing w:after="0" w:line="217" w:lineRule="exact"/>
        <w:rPr>
          <w:rFonts w:ascii="Arial" w:cs="Arial" w:eastAsia="Arial" w:hAnsi="Arial"/>
          <w:sz w:val="18"/>
          <w:szCs w:val="18"/>
          <w:color w:val="auto"/>
        </w:rPr>
      </w:pPr>
    </w:p>
    <w:p>
      <w:pPr>
        <w:ind w:left="1080" w:hanging="438"/>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December 21, 2005.</w:t>
      </w:r>
    </w:p>
    <w:p>
      <w:pPr>
        <w:spacing w:after="0" w:line="217" w:lineRule="exact"/>
        <w:rPr>
          <w:rFonts w:ascii="Arial" w:cs="Arial" w:eastAsia="Arial" w:hAnsi="Arial"/>
          <w:sz w:val="18"/>
          <w:szCs w:val="18"/>
          <w:color w:val="auto"/>
        </w:rPr>
      </w:pPr>
    </w:p>
    <w:p>
      <w:pPr>
        <w:ind w:left="1060" w:hanging="418"/>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February 10, 2006.</w:t>
      </w:r>
    </w:p>
    <w:p>
      <w:pPr>
        <w:spacing w:after="0" w:line="217" w:lineRule="exact"/>
        <w:rPr>
          <w:rFonts w:ascii="Arial" w:cs="Arial" w:eastAsia="Arial" w:hAnsi="Arial"/>
          <w:sz w:val="18"/>
          <w:szCs w:val="18"/>
          <w:color w:val="auto"/>
        </w:rPr>
      </w:pPr>
    </w:p>
    <w:p>
      <w:pPr>
        <w:ind w:left="1060" w:hanging="418"/>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February 14, 2006.</w:t>
      </w:r>
    </w:p>
    <w:p>
      <w:pPr>
        <w:spacing w:after="0" w:line="217" w:lineRule="exact"/>
        <w:rPr>
          <w:rFonts w:ascii="Arial" w:cs="Arial" w:eastAsia="Arial" w:hAnsi="Arial"/>
          <w:sz w:val="18"/>
          <w:szCs w:val="18"/>
          <w:color w:val="auto"/>
        </w:rPr>
      </w:pPr>
    </w:p>
    <w:p>
      <w:pPr>
        <w:ind w:left="1080" w:hanging="438"/>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February 22, 2006.</w:t>
      </w:r>
    </w:p>
    <w:p>
      <w:pPr>
        <w:spacing w:after="0" w:line="217" w:lineRule="exact"/>
        <w:rPr>
          <w:rFonts w:ascii="Arial" w:cs="Arial" w:eastAsia="Arial" w:hAnsi="Arial"/>
          <w:sz w:val="18"/>
          <w:szCs w:val="18"/>
          <w:color w:val="auto"/>
        </w:rPr>
      </w:pPr>
    </w:p>
    <w:p>
      <w:pPr>
        <w:ind w:left="1080" w:hanging="438"/>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March 7, 2006.</w:t>
      </w:r>
    </w:p>
    <w:p>
      <w:pPr>
        <w:spacing w:after="0" w:line="217" w:lineRule="exact"/>
        <w:rPr>
          <w:rFonts w:ascii="Arial" w:cs="Arial" w:eastAsia="Arial" w:hAnsi="Arial"/>
          <w:sz w:val="18"/>
          <w:szCs w:val="18"/>
          <w:color w:val="auto"/>
        </w:rPr>
      </w:pPr>
    </w:p>
    <w:p>
      <w:pPr>
        <w:ind w:left="1060" w:hanging="418"/>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March 10, 2006.</w:t>
      </w:r>
    </w:p>
    <w:p>
      <w:pPr>
        <w:spacing w:after="0" w:line="217" w:lineRule="exact"/>
        <w:rPr>
          <w:rFonts w:ascii="Arial" w:cs="Arial" w:eastAsia="Arial" w:hAnsi="Arial"/>
          <w:sz w:val="18"/>
          <w:szCs w:val="18"/>
          <w:color w:val="auto"/>
        </w:rPr>
      </w:pPr>
    </w:p>
    <w:p>
      <w:pPr>
        <w:ind w:left="1080" w:hanging="438"/>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April 10, 2006.</w:t>
      </w:r>
    </w:p>
    <w:p>
      <w:pPr>
        <w:spacing w:after="0" w:line="217" w:lineRule="exact"/>
        <w:rPr>
          <w:rFonts w:ascii="Arial" w:cs="Arial" w:eastAsia="Arial" w:hAnsi="Arial"/>
          <w:sz w:val="18"/>
          <w:szCs w:val="18"/>
          <w:color w:val="auto"/>
        </w:rPr>
      </w:pPr>
    </w:p>
    <w:p>
      <w:pPr>
        <w:ind w:left="1080" w:hanging="438"/>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May 31, 2006.</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60" w:hanging="41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June 2, 2006.</w:t>
      </w:r>
    </w:p>
    <w:p>
      <w:pPr>
        <w:spacing w:after="0" w:line="217" w:lineRule="exact"/>
        <w:rPr>
          <w:rFonts w:ascii="Arial" w:cs="Arial" w:eastAsia="Arial" w:hAnsi="Arial"/>
          <w:sz w:val="18"/>
          <w:szCs w:val="18"/>
          <w:color w:val="auto"/>
        </w:rPr>
      </w:pPr>
    </w:p>
    <w:p>
      <w:pPr>
        <w:ind w:left="1060" w:hanging="41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June 5, 2006.</w:t>
      </w:r>
    </w:p>
    <w:p>
      <w:pPr>
        <w:spacing w:after="0" w:line="217" w:lineRule="exact"/>
        <w:rPr>
          <w:rFonts w:ascii="Arial" w:cs="Arial" w:eastAsia="Arial" w:hAnsi="Arial"/>
          <w:sz w:val="18"/>
          <w:szCs w:val="18"/>
          <w:color w:val="auto"/>
        </w:rPr>
      </w:pPr>
    </w:p>
    <w:p>
      <w:pPr>
        <w:ind w:left="1060" w:hanging="41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June 12, 2006.</w:t>
      </w:r>
    </w:p>
    <w:p>
      <w:pPr>
        <w:spacing w:after="0" w:line="217" w:lineRule="exact"/>
        <w:rPr>
          <w:rFonts w:ascii="Arial" w:cs="Arial" w:eastAsia="Arial" w:hAnsi="Arial"/>
          <w:sz w:val="18"/>
          <w:szCs w:val="18"/>
          <w:color w:val="auto"/>
        </w:rPr>
      </w:pPr>
    </w:p>
    <w:p>
      <w:pPr>
        <w:ind w:left="1060" w:hanging="41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June 28, 2006.</w:t>
      </w:r>
    </w:p>
    <w:p>
      <w:pPr>
        <w:spacing w:after="0" w:line="217" w:lineRule="exact"/>
        <w:rPr>
          <w:rFonts w:ascii="Arial" w:cs="Arial" w:eastAsia="Arial" w:hAnsi="Arial"/>
          <w:sz w:val="18"/>
          <w:szCs w:val="18"/>
          <w:color w:val="auto"/>
        </w:rPr>
      </w:pPr>
    </w:p>
    <w:p>
      <w:pPr>
        <w:ind w:right="200" w:firstLine="642"/>
        <w:spacing w:after="0" w:line="255" w:lineRule="auto"/>
        <w:tabs>
          <w:tab w:leader="none" w:pos="107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89"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ectPr>
          <w:pgSz w:w="11900" w:h="16838" w:orient="portrait"/>
          <w:cols w:equalWidth="0" w:num="1">
            <w:col w:w="11400"/>
          </w:cols>
          <w:pgMar w:left="240" w:top="127" w:right="259" w:bottom="0" w:gutter="0" w:footer="0" w:header="0"/>
        </w:sectPr>
      </w:pPr>
    </w:p>
    <w:bookmarkStart w:id="2" w:name="page3"/>
    <w:bookmarkEnd w:id="2"/>
    <w:p>
      <w:pPr>
        <w:ind w:right="80" w:firstLine="636"/>
        <w:spacing w:after="0" w:line="267"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Restated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Exemption from Registration Claimed.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Number</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4640" w:type="dxa"/>
            <w:vAlign w:val="bottom"/>
          </w:tcPr>
          <w:p>
            <w:pPr>
              <w:ind w:left="360"/>
              <w:spacing w:after="0"/>
              <w:rPr>
                <w:sz w:val="20"/>
                <w:szCs w:val="20"/>
                <w:color w:val="auto"/>
              </w:rPr>
            </w:pPr>
            <w:r>
              <w:rPr>
                <w:rFonts w:ascii="Arial" w:cs="Arial" w:eastAsia="Arial" w:hAnsi="Arial"/>
                <w:sz w:val="18"/>
                <w:szCs w:val="18"/>
                <w:color w:val="auto"/>
              </w:rPr>
              <w:t>Lexar Media, Inc. 2000 Equity Incentive Plan.</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640" w:type="dxa"/>
            <w:vAlign w:val="bottom"/>
          </w:tcPr>
          <w:p>
            <w:pPr>
              <w:ind w:left="360"/>
              <w:spacing w:after="0"/>
              <w:rPr>
                <w:sz w:val="20"/>
                <w:szCs w:val="20"/>
                <w:color w:val="auto"/>
              </w:rPr>
            </w:pPr>
            <w:r>
              <w:rPr>
                <w:rFonts w:ascii="Arial" w:cs="Arial" w:eastAsia="Arial" w:hAnsi="Arial"/>
                <w:sz w:val="18"/>
                <w:szCs w:val="18"/>
                <w:color w:val="auto"/>
              </w:rPr>
              <w:t>Opinion of Counsel.</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640" w:type="dxa"/>
            <w:vAlign w:val="bottom"/>
          </w:tcPr>
          <w:p>
            <w:pPr>
              <w:ind w:left="360"/>
              <w:spacing w:after="0"/>
              <w:rPr>
                <w:sz w:val="20"/>
                <w:szCs w:val="20"/>
                <w:color w:val="auto"/>
              </w:rPr>
            </w:pPr>
            <w:r>
              <w:rPr>
                <w:rFonts w:ascii="Arial" w:cs="Arial" w:eastAsia="Arial" w:hAnsi="Arial"/>
                <w:sz w:val="18"/>
                <w:szCs w:val="18"/>
                <w:color w:val="auto"/>
                <w:w w:val="89"/>
              </w:rPr>
              <w:t>Consent of Independent Registered Public Accounting Firm.</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4640" w:type="dxa"/>
            <w:vAlign w:val="bottom"/>
          </w:tcPr>
          <w:p>
            <w:pPr>
              <w:ind w:left="360"/>
              <w:spacing w:after="0"/>
              <w:rPr>
                <w:sz w:val="20"/>
                <w:szCs w:val="20"/>
                <w:color w:val="auto"/>
              </w:rPr>
            </w:pPr>
            <w:r>
              <w:rPr>
                <w:rFonts w:ascii="Arial" w:cs="Arial" w:eastAsia="Arial" w:hAnsi="Arial"/>
                <w:sz w:val="18"/>
                <w:szCs w:val="18"/>
                <w:color w:val="auto"/>
              </w:rPr>
              <w:t>Consent of Counsel (contained in Exhibit 5.1).</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4640" w:type="dxa"/>
            <w:vAlign w:val="bottom"/>
          </w:tcPr>
          <w:p>
            <w:pPr>
              <w:ind w:left="36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223" w:lineRule="exact"/>
        <w:rPr>
          <w:sz w:val="20"/>
          <w:szCs w:val="20"/>
          <w:color w:val="auto"/>
        </w:rPr>
      </w:pPr>
    </w:p>
    <w:p>
      <w:pPr>
        <w:ind w:left="920" w:hanging="27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28" w:lineRule="exact"/>
        <w:rPr>
          <w:rFonts w:ascii="Arial" w:cs="Arial" w:eastAsia="Arial" w:hAnsi="Arial"/>
          <w:sz w:val="17"/>
          <w:szCs w:val="17"/>
          <w:color w:val="auto"/>
        </w:rPr>
      </w:pPr>
    </w:p>
    <w:p>
      <w:pPr>
        <w:ind w:left="2620" w:hanging="705"/>
        <w:spacing w:after="0"/>
        <w:tabs>
          <w:tab w:leader="none" w:pos="2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17" w:lineRule="exact"/>
        <w:rPr>
          <w:rFonts w:ascii="Arial" w:cs="Arial" w:eastAsia="Arial" w:hAnsi="Arial"/>
          <w:sz w:val="18"/>
          <w:szCs w:val="18"/>
          <w:color w:val="auto"/>
        </w:rPr>
      </w:pPr>
    </w:p>
    <w:p>
      <w:pPr>
        <w:ind w:left="1280" w:right="120" w:firstLine="635"/>
        <w:spacing w:after="0" w:line="266" w:lineRule="auto"/>
        <w:tabs>
          <w:tab w:leader="none" w:pos="2618"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0" w:lineRule="exact"/>
        <w:rPr>
          <w:rFonts w:ascii="Arial" w:cs="Arial" w:eastAsia="Arial" w:hAnsi="Arial"/>
          <w:sz w:val="17"/>
          <w:szCs w:val="17"/>
          <w:color w:val="auto"/>
        </w:rPr>
      </w:pPr>
    </w:p>
    <w:p>
      <w:pPr>
        <w:ind w:left="1280" w:right="440" w:firstLine="635"/>
        <w:spacing w:after="0" w:line="265" w:lineRule="auto"/>
        <w:tabs>
          <w:tab w:leader="none" w:pos="2623"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sz w:val="20"/>
          <w:szCs w:val="20"/>
          <w:color w:val="auto"/>
        </w:rPr>
      </w:pPr>
    </w:p>
    <w:p>
      <w:pPr>
        <w:ind w:left="1280"/>
        <w:spacing w:after="0" w:line="330" w:lineRule="auto"/>
        <w:rPr>
          <w:sz w:val="20"/>
          <w:szCs w:val="20"/>
          <w:color w:val="auto"/>
        </w:rPr>
      </w:pPr>
      <w:r>
        <w:rPr>
          <w:rFonts w:ascii="Arial" w:cs="Arial" w:eastAsia="Arial" w:hAnsi="Arial"/>
          <w:sz w:val="15"/>
          <w:szCs w:val="15"/>
          <w:i w:val="1"/>
          <w:iCs w:val="1"/>
          <w:color w:val="auto"/>
        </w:rPr>
        <w:t>provided, however</w:t>
      </w:r>
      <w:r>
        <w:rPr>
          <w:rFonts w:ascii="Arial" w:cs="Arial" w:eastAsia="Arial" w:hAnsi="Arial"/>
          <w:sz w:val="15"/>
          <w:szCs w:val="15"/>
          <w:color w:val="auto"/>
        </w:rPr>
        <w:t>, that paragraphs (a)(1)(i) and (a)(1)(ii) do not apply if the information required to be included in a post-effective amendment</w:t>
      </w:r>
      <w:r>
        <w:rPr>
          <w:rFonts w:ascii="Arial" w:cs="Arial" w:eastAsia="Arial" w:hAnsi="Arial"/>
          <w:sz w:val="15"/>
          <w:szCs w:val="15"/>
          <w:i w:val="1"/>
          <w:iCs w:val="1"/>
          <w:color w:val="auto"/>
        </w:rPr>
        <w:t xml:space="preserve"> </w:t>
      </w:r>
      <w:r>
        <w:rPr>
          <w:rFonts w:ascii="Arial" w:cs="Arial" w:eastAsia="Arial" w:hAnsi="Arial"/>
          <w:sz w:val="15"/>
          <w:szCs w:val="15"/>
          <w:color w:val="auto"/>
        </w:rPr>
        <w:t>by those paragraphs is contained in periodic reports filed with or furnished to the Securities and Exchange Commission by the Company pursuant to Section 13 or Section 15(d) of the Exchange Act that are incorporated by reference in the Registration Statement.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firstLine="639"/>
        <w:spacing w:after="0" w:line="255" w:lineRule="auto"/>
        <w:tabs>
          <w:tab w:leader="none" w:pos="196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640" w:right="200" w:firstLine="639"/>
        <w:spacing w:after="0" w:line="265" w:lineRule="auto"/>
        <w:tabs>
          <w:tab w:leader="none" w:pos="1969"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8"/>
          <w:szCs w:val="18"/>
          <w:color w:val="auto"/>
        </w:rPr>
      </w:pPr>
    </w:p>
    <w:p>
      <w:pPr>
        <w:ind w:right="140" w:firstLine="642"/>
        <w:spacing w:after="0" w:line="250" w:lineRule="auto"/>
        <w:tabs>
          <w:tab w:leader="none" w:pos="9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firstLine="642"/>
        <w:spacing w:after="0" w:line="309" w:lineRule="auto"/>
        <w:tabs>
          <w:tab w:leader="none" w:pos="921" w:val="left"/>
        </w:tabs>
        <w:numPr>
          <w:ilvl w:val="0"/>
          <w:numId w:val="6"/>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w:t>
      </w:r>
    </w:p>
    <w:p>
      <w:pPr>
        <w:sectPr>
          <w:pgSz w:w="11900" w:h="16838" w:orient="portrait"/>
          <w:cols w:equalWidth="0" w:num="1">
            <w:col w:w="11420"/>
          </w:cols>
          <w:pgMar w:left="240" w:top="127" w:right="239" w:bottom="0" w:gutter="0" w:footer="0" w:header="0"/>
        </w:sectPr>
      </w:pPr>
    </w:p>
    <w:bookmarkStart w:id="3" w:name="page4"/>
    <w:bookmarkEnd w:id="3"/>
    <w:p>
      <w:pPr>
        <w:ind w:right="400"/>
        <w:spacing w:after="0" w:line="265" w:lineRule="auto"/>
        <w:rPr>
          <w:sz w:val="20"/>
          <w:szCs w:val="20"/>
          <w:color w:val="auto"/>
        </w:rPr>
      </w:pPr>
      <w:r>
        <w:rPr>
          <w:rFonts w:ascii="Arial" w:cs="Arial" w:eastAsia="Arial" w:hAnsi="Arial"/>
          <w:sz w:val="18"/>
          <w:szCs w:val="18"/>
          <w:color w:val="auto"/>
        </w:rPr>
        <w:t>question whether such indemnification by it is against public policy as expressed in the Securities Act and will be governed by the final adjudication of such issue.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right="220" w:firstLine="636"/>
        <w:spacing w:after="0" w:line="255"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29th day of June, 2006.</w:t>
      </w:r>
    </w:p>
    <w:p>
      <w:pPr>
        <w:spacing w:after="0" w:line="29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MICRON TECHNOLOGY, INC.</w:t>
      </w:r>
    </w:p>
    <w:p>
      <w:pPr>
        <w:spacing w:after="0" w:line="21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11430</wp:posOffset>
            </wp:positionV>
            <wp:extent cx="38055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5555" cy="8255"/>
                    </a:xfrm>
                    <a:prstGeom prst="rect">
                      <a:avLst/>
                    </a:prstGeom>
                    <a:noFill/>
                  </pic:spPr>
                </pic:pic>
              </a:graphicData>
            </a:graphic>
          </wp:anchor>
        </w:drawing>
      </w:r>
    </w:p>
    <w:p>
      <w:pPr>
        <w:ind w:left="5420"/>
        <w:spacing w:after="0"/>
        <w:tabs>
          <w:tab w:leader="none" w:pos="5880" w:val="left"/>
        </w:tabs>
        <w:rPr>
          <w:sz w:val="20"/>
          <w:szCs w:val="20"/>
          <w:color w:val="auto"/>
        </w:rPr>
      </w:pPr>
      <w:r>
        <w:rPr>
          <w:rFonts w:ascii="Arial" w:cs="Arial" w:eastAsia="Arial" w:hAnsi="Arial"/>
          <w:sz w:val="18"/>
          <w:szCs w:val="18"/>
          <w:color w:val="auto"/>
        </w:rPr>
        <w:t>By:</w:t>
        <w:tab/>
        <w:t>W. G. Stover, Jr.</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Vice President of Finance</w:t>
      </w:r>
    </w:p>
    <w:p>
      <w:pPr>
        <w:spacing w:after="0" w:line="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3" w:lineRule="exact"/>
        <w:rPr>
          <w:sz w:val="20"/>
          <w:szCs w:val="20"/>
          <w:color w:val="auto"/>
        </w:rPr>
      </w:pPr>
    </w:p>
    <w:p>
      <w:pPr>
        <w:ind w:right="80" w:firstLine="636"/>
        <w:spacing w:after="0" w:line="318"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47" w:lineRule="exact"/>
        <w:rPr>
          <w:sz w:val="20"/>
          <w:szCs w:val="20"/>
          <w:color w:val="auto"/>
        </w:rPr>
      </w:pPr>
    </w:p>
    <w:p>
      <w:pPr>
        <w:ind w:right="380" w:firstLine="636"/>
        <w:spacing w:after="0" w:line="265"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56" w:lineRule="exact"/>
        <w:rPr>
          <w:sz w:val="20"/>
          <w:szCs w:val="20"/>
          <w:color w:val="auto"/>
        </w:rPr>
      </w:pPr>
    </w:p>
    <w:p>
      <w:pPr>
        <w:spacing w:after="0"/>
        <w:tabs>
          <w:tab w:leader="none" w:pos="7340" w:val="left"/>
          <w:tab w:leader="none" w:pos="104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Steven R. Appleton</w:t>
            </w:r>
          </w:p>
        </w:tc>
        <w:tc>
          <w:tcPr>
            <w:tcW w:w="1820" w:type="dxa"/>
            <w:vAlign w:val="bottom"/>
            <w:tcBorders>
              <w:bottom w:val="single" w:sz="8" w:color="auto"/>
            </w:tcBorders>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Chairman of the Board, Chief</w:t>
            </w: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spacing w:after="0" w:line="195" w:lineRule="exact"/>
              <w:rPr>
                <w:sz w:val="20"/>
                <w:szCs w:val="20"/>
                <w:color w:val="auto"/>
              </w:rPr>
            </w:pPr>
            <w:r>
              <w:rPr>
                <w:rFonts w:ascii="Arial" w:cs="Arial" w:eastAsia="Arial" w:hAnsi="Arial"/>
                <w:sz w:val="18"/>
                <w:szCs w:val="18"/>
                <w:color w:val="auto"/>
              </w:rPr>
              <w:t>Steven R. Appleton</w:t>
            </w:r>
          </w:p>
        </w:tc>
        <w:tc>
          <w:tcPr>
            <w:tcW w:w="1820" w:type="dxa"/>
            <w:vAlign w:val="bottom"/>
          </w:tcPr>
          <w:p>
            <w:pPr>
              <w:spacing w:after="0"/>
              <w:rPr>
                <w:sz w:val="16"/>
                <w:szCs w:val="16"/>
                <w:color w:val="auto"/>
              </w:rPr>
            </w:pPr>
          </w:p>
        </w:tc>
        <w:tc>
          <w:tcPr>
            <w:tcW w:w="3620" w:type="dxa"/>
            <w:vAlign w:val="bottom"/>
          </w:tcPr>
          <w:p>
            <w:pPr>
              <w:ind w:left="240"/>
              <w:spacing w:after="0" w:line="195" w:lineRule="exact"/>
              <w:rPr>
                <w:sz w:val="20"/>
                <w:szCs w:val="20"/>
                <w:color w:val="auto"/>
              </w:rPr>
            </w:pPr>
            <w:r>
              <w:rPr>
                <w:rFonts w:ascii="Arial" w:cs="Arial" w:eastAsia="Arial" w:hAnsi="Arial"/>
                <w:sz w:val="18"/>
                <w:szCs w:val="18"/>
                <w:color w:val="auto"/>
              </w:rPr>
              <w:t>Executive Officer and President</w:t>
            </w:r>
          </w:p>
        </w:tc>
        <w:tc>
          <w:tcPr>
            <w:tcW w:w="2640" w:type="dxa"/>
            <w:vAlign w:val="bottom"/>
            <w:gridSpan w:val="2"/>
          </w:tcPr>
          <w:p>
            <w:pPr>
              <w:ind w:left="960"/>
              <w:spacing w:after="0" w:line="195" w:lineRule="exact"/>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W. G. Stover, Jr.</w:t>
            </w:r>
          </w:p>
        </w:tc>
        <w:tc>
          <w:tcPr>
            <w:tcW w:w="1820" w:type="dxa"/>
            <w:vAlign w:val="bottom"/>
            <w:tcBorders>
              <w:bottom w:val="single" w:sz="8" w:color="auto"/>
            </w:tcBorders>
          </w:tcPr>
          <w:p>
            <w:pPr>
              <w:spacing w:after="0"/>
              <w:rPr>
                <w:sz w:val="24"/>
                <w:szCs w:val="24"/>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Vice President of Finance and</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spacing w:after="0" w:line="195" w:lineRule="exact"/>
              <w:rPr>
                <w:sz w:val="20"/>
                <w:szCs w:val="20"/>
                <w:color w:val="auto"/>
              </w:rPr>
            </w:pPr>
            <w:r>
              <w:rPr>
                <w:rFonts w:ascii="Arial" w:cs="Arial" w:eastAsia="Arial" w:hAnsi="Arial"/>
                <w:sz w:val="18"/>
                <w:szCs w:val="18"/>
                <w:color w:val="auto"/>
              </w:rPr>
              <w:t>W. G. Stover, Jr.</w:t>
            </w:r>
          </w:p>
        </w:tc>
        <w:tc>
          <w:tcPr>
            <w:tcW w:w="1820" w:type="dxa"/>
            <w:vAlign w:val="bottom"/>
          </w:tcPr>
          <w:p>
            <w:pPr>
              <w:spacing w:after="0"/>
              <w:rPr>
                <w:sz w:val="16"/>
                <w:szCs w:val="16"/>
                <w:color w:val="auto"/>
              </w:rPr>
            </w:pPr>
          </w:p>
        </w:tc>
        <w:tc>
          <w:tcPr>
            <w:tcW w:w="3620" w:type="dxa"/>
            <w:vAlign w:val="bottom"/>
          </w:tcPr>
          <w:p>
            <w:pPr>
              <w:ind w:left="240"/>
              <w:spacing w:after="0" w:line="195" w:lineRule="exact"/>
              <w:rPr>
                <w:sz w:val="20"/>
                <w:szCs w:val="20"/>
                <w:color w:val="auto"/>
              </w:rPr>
            </w:pPr>
            <w:r>
              <w:rPr>
                <w:rFonts w:ascii="Arial" w:cs="Arial" w:eastAsia="Arial" w:hAnsi="Arial"/>
                <w:sz w:val="18"/>
                <w:szCs w:val="18"/>
                <w:color w:val="auto"/>
              </w:rPr>
              <w:t>Chief Financial Officer (Principal</w:t>
            </w:r>
          </w:p>
        </w:tc>
        <w:tc>
          <w:tcPr>
            <w:tcW w:w="2640" w:type="dxa"/>
            <w:vAlign w:val="bottom"/>
            <w:gridSpan w:val="2"/>
          </w:tcPr>
          <w:p>
            <w:pPr>
              <w:ind w:left="960"/>
              <w:spacing w:after="0" w:line="195" w:lineRule="exact"/>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Financial and Accounting Officer)</w:t>
            </w: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Teruaki Aoki</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Teruaki Aoki</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James W. Bagley</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Mercedes Johnson</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Mercedes Johnson</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Robert A. Lothrop</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Robert A. Lothrop</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Lawrence N. Mondry</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Lawrence N. Mondry</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Gordon C. Smith</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Gordon C. Smith</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Robert E. Switz</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Robert E. Switz</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William P. Weber</w:t>
            </w:r>
          </w:p>
        </w:tc>
        <w:tc>
          <w:tcPr>
            <w:tcW w:w="1820" w:type="dxa"/>
            <w:vAlign w:val="bottom"/>
            <w:tcBorders>
              <w:bottom w:val="single" w:sz="8" w:color="auto"/>
            </w:tcBorders>
          </w:tcPr>
          <w:p>
            <w:pPr>
              <w:spacing w:after="0"/>
              <w:rPr>
                <w:sz w:val="24"/>
                <w:szCs w:val="24"/>
                <w:color w:val="auto"/>
              </w:rPr>
            </w:pPr>
          </w:p>
        </w:tc>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2640" w:type="dxa"/>
            <w:vAlign w:val="bottom"/>
            <w:gridSpan w:val="2"/>
            <w:vMerge w:val="restart"/>
          </w:tcPr>
          <w:p>
            <w:pPr>
              <w:ind w:left="960"/>
              <w:spacing w:after="0"/>
              <w:rPr>
                <w:sz w:val="20"/>
                <w:szCs w:val="20"/>
                <w:color w:val="auto"/>
              </w:rPr>
            </w:pPr>
            <w:r>
              <w:rPr>
                <w:rFonts w:ascii="Arial" w:cs="Arial" w:eastAsia="Arial" w:hAnsi="Arial"/>
                <w:sz w:val="18"/>
                <w:szCs w:val="18"/>
                <w:color w:val="auto"/>
              </w:rPr>
              <w:t>June 29, 2006</w:t>
            </w:r>
          </w:p>
        </w:tc>
        <w:tc>
          <w:tcPr>
            <w:tcW w:w="0" w:type="dxa"/>
            <w:vAlign w:val="bottom"/>
          </w:tcPr>
          <w:p>
            <w:pPr>
              <w:spacing w:after="0"/>
              <w:rPr>
                <w:sz w:val="1"/>
                <w:szCs w:val="1"/>
                <w:color w:val="auto"/>
              </w:rPr>
            </w:pPr>
          </w:p>
        </w:tc>
      </w:tr>
      <w:tr>
        <w:trPr>
          <w:trHeight w:val="217"/>
        </w:trPr>
        <w:tc>
          <w:tcPr>
            <w:tcW w:w="3380" w:type="dxa"/>
            <w:vAlign w:val="bottom"/>
            <w:gridSpan w:val="3"/>
          </w:tcPr>
          <w:p>
            <w:pPr>
              <w:spacing w:after="0"/>
              <w:rPr>
                <w:sz w:val="20"/>
                <w:szCs w:val="20"/>
                <w:color w:val="auto"/>
              </w:rPr>
            </w:pPr>
            <w:r>
              <w:rPr>
                <w:rFonts w:ascii="Arial" w:cs="Arial" w:eastAsia="Arial" w:hAnsi="Arial"/>
                <w:sz w:val="18"/>
                <w:szCs w:val="18"/>
                <w:color w:val="auto"/>
              </w:rPr>
              <w:t>William P. Weber</w:t>
            </w:r>
          </w:p>
        </w:tc>
        <w:tc>
          <w:tcPr>
            <w:tcW w:w="18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4"/>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40" w:type="dxa"/>
            <w:vAlign w:val="bottom"/>
            <w:gridSpan w:val="2"/>
          </w:tcPr>
          <w:p>
            <w:pPr>
              <w:jc w:val="right"/>
              <w:ind w:right="2972"/>
              <w:spacing w:after="0"/>
              <w:rPr>
                <w:sz w:val="20"/>
                <w:szCs w:val="20"/>
                <w:color w:val="auto"/>
              </w:rPr>
            </w:pPr>
            <w:r>
              <w:rPr>
                <w:rFonts w:ascii="Arial" w:cs="Arial" w:eastAsia="Arial" w:hAnsi="Arial"/>
                <w:sz w:val="18"/>
                <w:szCs w:val="18"/>
                <w:color w:val="auto"/>
              </w:rPr>
              <w:t>7</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gridSpan w:val="2"/>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40" w:type="dxa"/>
            <w:vAlign w:val="bottom"/>
            <w:gridSpan w:val="2"/>
          </w:tcPr>
          <w:p>
            <w:pPr>
              <w:jc w:val="center"/>
              <w:ind w:right="692"/>
              <w:spacing w:after="0"/>
              <w:rPr>
                <w:sz w:val="20"/>
                <w:szCs w:val="20"/>
                <w:color w:val="auto"/>
              </w:rPr>
            </w:pPr>
            <w:r>
              <w:rPr>
                <w:rFonts w:ascii="Arial" w:cs="Arial" w:eastAsia="Arial" w:hAnsi="Arial"/>
                <w:sz w:val="18"/>
                <w:szCs w:val="18"/>
                <w:b w:val="1"/>
                <w:bCs w:val="1"/>
                <w:color w:val="auto"/>
              </w:rPr>
              <w:t>EXHIBIT INDEX</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-742315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-742315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-3964940</wp:posOffset>
            </wp:positionV>
            <wp:extent cx="4763"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4720" w:type="dxa"/>
            <w:vAlign w:val="bottom"/>
          </w:tcPr>
          <w:p>
            <w:pPr>
              <w:ind w:left="420"/>
              <w:spacing w:after="0"/>
              <w:rPr>
                <w:sz w:val="20"/>
                <w:szCs w:val="20"/>
                <w:color w:val="auto"/>
              </w:rPr>
            </w:pPr>
            <w:r>
              <w:rPr>
                <w:rFonts w:ascii="Arial" w:cs="Arial" w:eastAsia="Arial" w:hAnsi="Arial"/>
                <w:sz w:val="18"/>
                <w:szCs w:val="18"/>
                <w:color w:val="auto"/>
              </w:rPr>
              <w:t>Lexar Media, Inc. 2000 Equity Incentive Plan.</w:t>
            </w:r>
          </w:p>
        </w:tc>
      </w:tr>
      <w:tr>
        <w:trPr>
          <w:trHeight w:val="424"/>
        </w:trPr>
        <w:tc>
          <w:tcPr>
            <w:tcW w:w="760" w:type="dxa"/>
            <w:vAlign w:val="bottom"/>
          </w:tcPr>
          <w:p>
            <w:pPr>
              <w:spacing w:after="0"/>
              <w:rPr>
                <w:sz w:val="20"/>
                <w:szCs w:val="20"/>
                <w:color w:val="auto"/>
              </w:rPr>
            </w:pPr>
            <w:r>
              <w:rPr>
                <w:rFonts w:ascii="Arial" w:cs="Arial" w:eastAsia="Arial" w:hAnsi="Arial"/>
                <w:sz w:val="18"/>
                <w:szCs w:val="18"/>
                <w:color w:val="auto"/>
              </w:rPr>
              <w:t>5.1</w:t>
            </w:r>
          </w:p>
        </w:tc>
        <w:tc>
          <w:tcPr>
            <w:tcW w:w="4720" w:type="dxa"/>
            <w:vAlign w:val="bottom"/>
          </w:tcPr>
          <w:p>
            <w:pPr>
              <w:ind w:left="420"/>
              <w:spacing w:after="0"/>
              <w:rPr>
                <w:sz w:val="20"/>
                <w:szCs w:val="20"/>
                <w:color w:val="auto"/>
              </w:rPr>
            </w:pPr>
            <w:r>
              <w:rPr>
                <w:rFonts w:ascii="Arial" w:cs="Arial" w:eastAsia="Arial" w:hAnsi="Arial"/>
                <w:sz w:val="18"/>
                <w:szCs w:val="18"/>
                <w:color w:val="auto"/>
              </w:rPr>
              <w:t>Opinion of Counsel.</w:t>
            </w:r>
          </w:p>
        </w:tc>
      </w:tr>
      <w:tr>
        <w:trPr>
          <w:trHeight w:val="424"/>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4720" w:type="dxa"/>
            <w:vAlign w:val="bottom"/>
          </w:tcPr>
          <w:p>
            <w:pPr>
              <w:ind w:left="420"/>
              <w:spacing w:after="0"/>
              <w:rPr>
                <w:sz w:val="20"/>
                <w:szCs w:val="20"/>
                <w:color w:val="auto"/>
              </w:rPr>
            </w:pPr>
            <w:r>
              <w:rPr>
                <w:rFonts w:ascii="Arial" w:cs="Arial" w:eastAsia="Arial" w:hAnsi="Arial"/>
                <w:sz w:val="18"/>
                <w:szCs w:val="18"/>
                <w:color w:val="auto"/>
                <w:w w:val="89"/>
              </w:rPr>
              <w:t>Consent of Independent Registered Public Accounting Firm.</w:t>
            </w:r>
          </w:p>
        </w:tc>
      </w:tr>
      <w:tr>
        <w:trPr>
          <w:trHeight w:val="424"/>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4720" w:type="dxa"/>
            <w:vAlign w:val="bottom"/>
          </w:tcPr>
          <w:p>
            <w:pPr>
              <w:ind w:left="420"/>
              <w:spacing w:after="0"/>
              <w:rPr>
                <w:sz w:val="20"/>
                <w:szCs w:val="20"/>
                <w:color w:val="auto"/>
              </w:rPr>
            </w:pPr>
            <w:r>
              <w:rPr>
                <w:rFonts w:ascii="Arial" w:cs="Arial" w:eastAsia="Arial" w:hAnsi="Arial"/>
                <w:sz w:val="18"/>
                <w:szCs w:val="18"/>
                <w:color w:val="auto"/>
              </w:rPr>
              <w:t>Consent of Counsel (contained in Exhibit 5.1).</w:t>
            </w:r>
          </w:p>
        </w:tc>
      </w:tr>
      <w:tr>
        <w:trPr>
          <w:trHeight w:val="424"/>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4720" w:type="dxa"/>
            <w:vAlign w:val="bottom"/>
          </w:tcPr>
          <w:p>
            <w:pPr>
              <w:ind w:left="4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LEXAR MEDIA,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January 21, 2000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April 20, 2004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February 10, 2006</w:t>
      </w:r>
    </w:p>
    <w:p>
      <w:pPr>
        <w:spacing w:after="0" w:line="200" w:lineRule="exact"/>
        <w:rPr>
          <w:sz w:val="20"/>
          <w:szCs w:val="20"/>
          <w:color w:val="auto"/>
        </w:rPr>
      </w:pPr>
    </w:p>
    <w:p>
      <w:pPr>
        <w:ind w:right="260" w:firstLine="642"/>
        <w:spacing w:after="0" w:line="334" w:lineRule="auto"/>
        <w:tabs>
          <w:tab w:leader="none" w:pos="1343"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PURPOSE</w:t>
      </w:r>
      <w:r>
        <w:rPr>
          <w:rFonts w:ascii="Arial" w:cs="Arial" w:eastAsia="Arial" w:hAnsi="Arial"/>
          <w:sz w:val="15"/>
          <w:szCs w:val="15"/>
          <w:color w:val="auto"/>
        </w:rPr>
        <w:t>. The purpose of this Plan is to provide incentives to attract, retain and motivate eligible persons whose present and potential</w:t>
      </w:r>
      <w:r>
        <w:rPr>
          <w:rFonts w:ascii="Arial" w:cs="Arial" w:eastAsia="Arial" w:hAnsi="Arial"/>
          <w:sz w:val="15"/>
          <w:szCs w:val="15"/>
          <w:b w:val="1"/>
          <w:bCs w:val="1"/>
          <w:color w:val="auto"/>
        </w:rPr>
        <w:t xml:space="preserve"> </w:t>
      </w:r>
      <w:r>
        <w:rPr>
          <w:rFonts w:ascii="Arial" w:cs="Arial" w:eastAsia="Arial" w:hAnsi="Arial"/>
          <w:sz w:val="15"/>
          <w:szCs w:val="15"/>
          <w:color w:val="auto"/>
        </w:rPr>
        <w:t>contributions are important to the success of the Company, its Parent and Subsidiaries, by offering them an opportunity to participate in the Company’s future performance through awards of Options, Restricted Stock and Stock Bonuses. Capitalized terms not defined in the text are defined in Section 23.</w:t>
      </w:r>
    </w:p>
    <w:p>
      <w:pPr>
        <w:spacing w:after="0" w:line="128" w:lineRule="exact"/>
        <w:rPr>
          <w:rFonts w:ascii="Arial" w:cs="Arial" w:eastAsia="Arial" w:hAnsi="Arial"/>
          <w:sz w:val="15"/>
          <w:szCs w:val="15"/>
          <w:b w:val="1"/>
          <w:bCs w:val="1"/>
          <w:color w:val="auto"/>
        </w:rPr>
      </w:pPr>
    </w:p>
    <w:p>
      <w:pPr>
        <w:ind w:left="1340" w:hanging="698"/>
        <w:spacing w:after="0"/>
        <w:tabs>
          <w:tab w:leader="none" w:pos="1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223" w:lineRule="exact"/>
        <w:rPr>
          <w:sz w:val="20"/>
          <w:szCs w:val="20"/>
          <w:color w:val="auto"/>
        </w:rPr>
      </w:pPr>
    </w:p>
    <w:p>
      <w:pPr>
        <w:ind w:right="20" w:firstLine="1273"/>
        <w:spacing w:after="0" w:line="302"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Number of Shares Available</w:t>
      </w:r>
      <w:r>
        <w:rPr>
          <w:rFonts w:ascii="Arial" w:cs="Arial" w:eastAsia="Arial" w:hAnsi="Arial"/>
          <w:sz w:val="15"/>
          <w:szCs w:val="15"/>
          <w:color w:val="auto"/>
        </w:rPr>
        <w:t>. Subject to Sections 2.2 and 18, the total number of Shares reserved and available for grant and issuance pursuant to this Plan will be 8,000,000 Shares plus Shares that are subject to: (a) issuance upon exercise of an Option but cease to be subject to such Option for any reason other than exercise of such Option; (b) an Award granted hereunder but are forfeited or are repurchased by the Company at the original issue price; and (c) an Award that otherwise terminates without Shares being issued. In addition, any authorized shares not issued or subject to outstanding grants under the Company’s 1996 Stock Option/Stock Issuance Plan (the “</w:t>
      </w:r>
      <w:r>
        <w:rPr>
          <w:rFonts w:ascii="Arial" w:cs="Arial" w:eastAsia="Arial" w:hAnsi="Arial"/>
          <w:sz w:val="15"/>
          <w:szCs w:val="15"/>
          <w:b w:val="1"/>
          <w:bCs w:val="1"/>
          <w:i w:val="1"/>
          <w:iCs w:val="1"/>
          <w:color w:val="auto"/>
        </w:rPr>
        <w:t>Prior Plan</w:t>
      </w:r>
      <w:r>
        <w:rPr>
          <w:rFonts w:ascii="Arial" w:cs="Arial" w:eastAsia="Arial" w:hAnsi="Arial"/>
          <w:sz w:val="15"/>
          <w:szCs w:val="15"/>
          <w:color w:val="auto"/>
        </w:rPr>
        <w:t>”) on the Effective Date (as defined below) and any shares issued under the Prior Plan that are forfeited or repurchased by the Company or that are issuable upon exercise of options granted pursuant to the Prior Plan that expire or become unexercisable for any reason without having been exercised in full, will no longer be available for grant and issuance under the Prior Plan, but will be available for grant and issuance under this Plan. In addition, on each January 1, the aggregate number of Shares reserved and available for grant and issuance pursuant to this Plan will be increased automatically by a number of Shares equal to 5% of the total outstanding shares of the Company as of the immediately preceding December 31, provided that no more than 50,000,000 shares shall be issued as ISOs (as defined in Section 5 below). At all times the Company shall reserve and keep available a sufficient number of Shares as shall be required to satisfy the requirements of all outstanding Options granted under this Plan and all other outstanding but unvested Awards granted under this Plan.</w:t>
      </w:r>
    </w:p>
    <w:p>
      <w:pPr>
        <w:spacing w:after="0" w:line="370" w:lineRule="exact"/>
        <w:rPr>
          <w:sz w:val="20"/>
          <w:szCs w:val="20"/>
          <w:color w:val="auto"/>
        </w:rPr>
      </w:pPr>
    </w:p>
    <w:p>
      <w:pPr>
        <w:ind w:right="40" w:firstLine="1273"/>
        <w:spacing w:after="0" w:line="312"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Adjustment of Shares</w:t>
      </w:r>
      <w:r>
        <w:rPr>
          <w:rFonts w:ascii="Arial" w:cs="Arial" w:eastAsia="Arial" w:hAnsi="Arial"/>
          <w:sz w:val="15"/>
          <w:szCs w:val="15"/>
          <w:color w:val="auto"/>
        </w:rPr>
        <w:t>. In the event that the number of outstanding shares is changed by a stock dividend, recapitalization, stock split, reverse stock split, subdivision, combination, reclassification or similar change in the capital structure of the Company without consideration, then (a) the number of Shares reserved for issuance under this Plan, (b) the number of Shares that may be granted pursuant to Sections 3 and 9 below, (c) the Exercise Prices of and number of Shares subject to outstanding Options, and (d) the number of Shares subject to other outstanding Awards will be proportionately adjusted, subject to any required action by the Board or the stockholders of the Company and compliance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727011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fractions of a Share will not be issued but will either be replaced by a cash payment equal to the Fair Market Value of such fraction of a Share or will be rounded up to the nearest whole Share, as determined by the Committee.</w:t>
      </w:r>
    </w:p>
    <w:p>
      <w:pPr>
        <w:spacing w:after="0" w:line="173" w:lineRule="exact"/>
        <w:rPr>
          <w:sz w:val="20"/>
          <w:szCs w:val="20"/>
          <w:color w:val="auto"/>
        </w:rPr>
      </w:pPr>
    </w:p>
    <w:p>
      <w:pPr>
        <w:ind w:firstLine="642"/>
        <w:spacing w:after="0" w:line="266" w:lineRule="auto"/>
        <w:tabs>
          <w:tab w:leader="none" w:pos="1343"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color w:val="auto"/>
        </w:rPr>
        <w:t>. ISOs (as defined in Section 5 below) may be granted only to employees (including officers and directors who are also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of the Company or of a Parent or Subsidiary of the Company. All other Awards may be granted to employees, officers, directors, consultants, independent contractors and advisors of the Company or any Parent or Subsidiary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consultants, contractors and advisors render bona fide services not in connection with the offer and sale of securities in a capital-raising transaction. No person will be eligible to receive more than 2,000,000 Shares in any calendar year under this Plan pursuant to the grant of Awards hereunder, other than new employees of the Company or of a Parent or Subsidiary of the Company (including new employees who are also officers and directors of the Company or any Parent or Subsidiary of the Company), who are eligible to receive up to a maximum of 3,000,000 Shares in the calendar year in which they commence their employment. A person may be granted more than one Award under this Plan.</w:t>
      </w:r>
    </w:p>
    <w:p>
      <w:pPr>
        <w:spacing w:after="0" w:line="176" w:lineRule="exact"/>
        <w:rPr>
          <w:rFonts w:ascii="Arial" w:cs="Arial" w:eastAsia="Arial" w:hAnsi="Arial"/>
          <w:sz w:val="17"/>
          <w:szCs w:val="17"/>
          <w:b w:val="1"/>
          <w:bCs w:val="1"/>
          <w:color w:val="auto"/>
        </w:rPr>
      </w:pPr>
    </w:p>
    <w:p>
      <w:pPr>
        <w:ind w:left="1340" w:hanging="698"/>
        <w:spacing w:after="0"/>
        <w:tabs>
          <w:tab w:leader="none" w:pos="1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3" w:lineRule="exact"/>
        <w:rPr>
          <w:sz w:val="20"/>
          <w:szCs w:val="20"/>
          <w:color w:val="auto"/>
        </w:rPr>
      </w:pPr>
    </w:p>
    <w:p>
      <w:pPr>
        <w:ind w:right="100" w:firstLine="1273"/>
        <w:spacing w:after="0" w:line="25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Committee Authority</w:t>
      </w:r>
      <w:r>
        <w:rPr>
          <w:rFonts w:ascii="Arial" w:cs="Arial" w:eastAsia="Arial" w:hAnsi="Arial"/>
          <w:sz w:val="18"/>
          <w:szCs w:val="18"/>
          <w:color w:val="auto"/>
        </w:rPr>
        <w:t>. This Plan will be administered by the Committee or by the Board acting as the Committee. Except for automatic grants to Outside Directors pursuant to Section 9 hereof, and subject to the general purposes, terms and conditions of this Plan, and to the direction of the Board, the Committee will have full power to implement and carry out this Plan. Except for automatic grants to Outside Directors pursuant to Section 9 hereof, the Committee will have the authority to:</w:t>
      </w:r>
    </w:p>
    <w:p>
      <w:pPr>
        <w:spacing w:after="0" w:line="191" w:lineRule="exact"/>
        <w:rPr>
          <w:sz w:val="20"/>
          <w:szCs w:val="20"/>
          <w:color w:val="auto"/>
        </w:rPr>
      </w:pPr>
    </w:p>
    <w:p>
      <w:pPr>
        <w:ind w:left="1600" w:hanging="321"/>
        <w:spacing w:after="0"/>
        <w:tabs>
          <w:tab w:leader="none" w:pos="1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228" w:lineRule="exact"/>
        <w:rPr>
          <w:rFonts w:ascii="Arial" w:cs="Arial" w:eastAsia="Arial" w:hAnsi="Arial"/>
          <w:sz w:val="17"/>
          <w:szCs w:val="17"/>
          <w:color w:val="auto"/>
        </w:rPr>
      </w:pPr>
    </w:p>
    <w:p>
      <w:pPr>
        <w:ind w:left="1980" w:hanging="701"/>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217" w:lineRule="exact"/>
        <w:rPr>
          <w:rFonts w:ascii="Arial" w:cs="Arial" w:eastAsia="Arial" w:hAnsi="Arial"/>
          <w:sz w:val="18"/>
          <w:szCs w:val="18"/>
          <w:color w:val="auto"/>
        </w:rPr>
      </w:pPr>
    </w:p>
    <w:p>
      <w:pPr>
        <w:ind w:left="1960" w:hanging="68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spacing w:after="0" w:line="217" w:lineRule="exact"/>
        <w:rPr>
          <w:rFonts w:ascii="Arial" w:cs="Arial" w:eastAsia="Arial" w:hAnsi="Arial"/>
          <w:sz w:val="18"/>
          <w:szCs w:val="18"/>
          <w:color w:val="auto"/>
        </w:rPr>
      </w:pPr>
    </w:p>
    <w:p>
      <w:pPr>
        <w:ind w:left="1960" w:hanging="68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217" w:lineRule="exact"/>
        <w:rPr>
          <w:rFonts w:ascii="Arial" w:cs="Arial" w:eastAsia="Arial" w:hAnsi="Arial"/>
          <w:sz w:val="18"/>
          <w:szCs w:val="18"/>
          <w:color w:val="auto"/>
        </w:rPr>
      </w:pPr>
    </w:p>
    <w:p>
      <w:pPr>
        <w:ind w:left="1920" w:right="120" w:hanging="641"/>
        <w:spacing w:after="0" w:line="366" w:lineRule="auto"/>
        <w:tabs>
          <w:tab w:leader="none" w:pos="1942" w:val="left"/>
        </w:tabs>
        <w:numPr>
          <w:ilvl w:val="0"/>
          <w:numId w:val="9"/>
        </w:numPr>
        <w:rPr>
          <w:rFonts w:ascii="Arial" w:cs="Arial" w:eastAsia="Arial" w:hAnsi="Arial"/>
          <w:sz w:val="15"/>
          <w:szCs w:val="15"/>
          <w:color w:val="auto"/>
        </w:rPr>
      </w:pPr>
      <w:r>
        <w:rPr>
          <w:rFonts w:ascii="Arial" w:cs="Arial" w:eastAsia="Arial" w:hAnsi="Arial"/>
          <w:sz w:val="15"/>
          <w:szCs w:val="15"/>
          <w:color w:val="auto"/>
        </w:rPr>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110" w:lineRule="exact"/>
        <w:rPr>
          <w:rFonts w:ascii="Arial" w:cs="Arial" w:eastAsia="Arial" w:hAnsi="Arial"/>
          <w:sz w:val="15"/>
          <w:szCs w:val="15"/>
          <w:color w:val="auto"/>
        </w:rPr>
      </w:pPr>
    </w:p>
    <w:p>
      <w:pPr>
        <w:ind w:left="1980" w:hanging="701"/>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7011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121" w:right="239" w:bottom="572" w:gutter="0" w:footer="0" w:header="0"/>
        </w:sectPr>
      </w:pPr>
    </w:p>
    <w:bookmarkStart w:id="6" w:name="page7"/>
    <w:bookmarkEnd w:id="6"/>
    <w:p>
      <w:pPr>
        <w:spacing w:after="0" w:line="112" w:lineRule="exact"/>
        <w:rPr>
          <w:sz w:val="20"/>
          <w:szCs w:val="20"/>
          <w:color w:val="auto"/>
        </w:rPr>
      </w:pPr>
    </w:p>
    <w:p>
      <w:pPr>
        <w:ind w:left="1980" w:hanging="701"/>
        <w:spacing w:after="0"/>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or any Award Agreement;</w:t>
      </w:r>
    </w:p>
    <w:p>
      <w:pPr>
        <w:spacing w:after="0" w:line="228" w:lineRule="exact"/>
        <w:rPr>
          <w:rFonts w:ascii="Arial" w:cs="Arial" w:eastAsia="Arial" w:hAnsi="Arial"/>
          <w:sz w:val="17"/>
          <w:szCs w:val="17"/>
          <w:color w:val="auto"/>
        </w:rPr>
      </w:pPr>
    </w:p>
    <w:p>
      <w:pPr>
        <w:ind w:left="1980" w:hanging="701"/>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 whether an Award has been earned; and</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w:t>
      </w:r>
    </w:p>
    <w:p>
      <w:pPr>
        <w:spacing w:after="0" w:line="217" w:lineRule="exact"/>
        <w:rPr>
          <w:sz w:val="20"/>
          <w:szCs w:val="20"/>
          <w:color w:val="auto"/>
        </w:rPr>
      </w:pPr>
    </w:p>
    <w:p>
      <w:pPr>
        <w:ind w:right="40" w:firstLine="1273"/>
        <w:spacing w:after="0" w:line="25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Except for automatic grants to Outside Directors pursuant to Section 9 hereof, 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on all persons having an interest in any Award under this Plan. The Committee may delegate to one or more officers of the Company the authority to grant an Award under this Plan to Participants who are not Insiders of the Company.</w:t>
      </w:r>
    </w:p>
    <w:p>
      <w:pPr>
        <w:spacing w:after="0" w:line="189" w:lineRule="exact"/>
        <w:rPr>
          <w:sz w:val="20"/>
          <w:szCs w:val="20"/>
          <w:color w:val="auto"/>
        </w:rPr>
      </w:pPr>
    </w:p>
    <w:p>
      <w:pPr>
        <w:ind w:right="140" w:firstLine="642"/>
        <w:spacing w:after="0" w:line="281" w:lineRule="auto"/>
        <w:tabs>
          <w:tab w:leader="none" w:pos="1343"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The Committee may grant Options to eligible persons and will determine whether such Options will be Incentive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meaning of the Code (“</w:t>
      </w:r>
      <w:r>
        <w:rPr>
          <w:rFonts w:ascii="Arial" w:cs="Arial" w:eastAsia="Arial" w:hAnsi="Arial"/>
          <w:sz w:val="17"/>
          <w:szCs w:val="17"/>
          <w:b w:val="1"/>
          <w:bCs w:val="1"/>
          <w:i w:val="1"/>
          <w:iCs w:val="1"/>
          <w:color w:val="auto"/>
        </w:rPr>
        <w:t>ISO</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NQSOs</w:t>
      </w:r>
      <w:r>
        <w:rPr>
          <w:rFonts w:ascii="Arial" w:cs="Arial" w:eastAsia="Arial" w:hAnsi="Arial"/>
          <w:sz w:val="17"/>
          <w:szCs w:val="17"/>
          <w:color w:val="auto"/>
        </w:rPr>
        <w:t>”), the number of Shares subject to the Option, the Exercise Price of the Option, the period during which the Option may be exercised, and all other terms and conditions of the Option, subject to the following:</w:t>
      </w:r>
    </w:p>
    <w:p>
      <w:pPr>
        <w:spacing w:after="0" w:line="168" w:lineRule="exact"/>
        <w:rPr>
          <w:sz w:val="20"/>
          <w:szCs w:val="20"/>
          <w:color w:val="auto"/>
        </w:rPr>
      </w:pPr>
    </w:p>
    <w:p>
      <w:pPr>
        <w:ind w:right="60" w:firstLine="1273"/>
        <w:spacing w:after="0" w:line="25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Form of Option Grant</w:t>
      </w:r>
      <w:r>
        <w:rPr>
          <w:rFonts w:ascii="Arial" w:cs="Arial" w:eastAsia="Arial" w:hAnsi="Arial"/>
          <w:sz w:val="18"/>
          <w:szCs w:val="18"/>
          <w:color w:val="auto"/>
        </w:rPr>
        <w:t>. Each Option granted under this Plan will be evidenced by an Award Agreement which will expressly identify the Option as an ISO or an NQSO (“</w:t>
      </w:r>
      <w:r>
        <w:rPr>
          <w:rFonts w:ascii="Arial" w:cs="Arial" w:eastAsia="Arial" w:hAnsi="Arial"/>
          <w:sz w:val="18"/>
          <w:szCs w:val="18"/>
          <w:b w:val="1"/>
          <w:bCs w:val="1"/>
          <w:i w:val="1"/>
          <w:iCs w:val="1"/>
          <w:color w:val="auto"/>
        </w:rPr>
        <w:t>Stock Option Agreement</w:t>
      </w:r>
      <w:r>
        <w:rPr>
          <w:rFonts w:ascii="Arial" w:cs="Arial" w:eastAsia="Arial" w:hAnsi="Arial"/>
          <w:sz w:val="18"/>
          <w:szCs w:val="18"/>
          <w:color w:val="auto"/>
        </w:rPr>
        <w:t>”), and, except as otherwise required by the terms of Section 9 hereof, will be in such form and contain such provisions (which need not be the same for each Participant) as the Committee may from time to time approve, and which will comply with and be subject to the terms and conditions of this Plan.</w:t>
      </w:r>
    </w:p>
    <w:p>
      <w:pPr>
        <w:spacing w:after="0" w:line="191" w:lineRule="exact"/>
        <w:rPr>
          <w:sz w:val="20"/>
          <w:szCs w:val="20"/>
          <w:color w:val="auto"/>
        </w:rPr>
      </w:pPr>
    </w:p>
    <w:p>
      <w:pPr>
        <w:ind w:right="580" w:firstLine="127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 such Option, unless otherwise specified by the Committee. The Stock Option Agreement and a copy of this Plan will be delivered to the Participant within a reasonable time after the granting of the Option.</w:t>
      </w:r>
    </w:p>
    <w:p>
      <w:pPr>
        <w:spacing w:after="0" w:line="189" w:lineRule="exact"/>
        <w:rPr>
          <w:sz w:val="20"/>
          <w:szCs w:val="20"/>
          <w:color w:val="auto"/>
        </w:rPr>
      </w:pPr>
    </w:p>
    <w:p>
      <w:pPr>
        <w:ind w:right="220" w:firstLine="1273"/>
        <w:spacing w:after="0" w:line="309"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Exercise Period</w:t>
      </w:r>
      <w:r>
        <w:rPr>
          <w:rFonts w:ascii="Arial" w:cs="Arial" w:eastAsia="Arial" w:hAnsi="Arial"/>
          <w:sz w:val="15"/>
          <w:szCs w:val="15"/>
          <w:color w:val="auto"/>
        </w:rPr>
        <w:t xml:space="preserve">. Options may be exercisable within the times or upon the events determined by the Committee as set forth in the Stock Option Agreement governing such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 Option will be exercisable after the expiration of ten (10) years from the date the Option is granted;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ISO granted to a person who directly or by attribution owns more than ten percent (10%) of the total combined voting power of all classes of stock of the Company or of any Parent or Subsidiary of the Company (“</w:t>
      </w:r>
      <w:r>
        <w:rPr>
          <w:rFonts w:ascii="Arial" w:cs="Arial" w:eastAsia="Arial" w:hAnsi="Arial"/>
          <w:sz w:val="15"/>
          <w:szCs w:val="15"/>
          <w:b w:val="1"/>
          <w:bCs w:val="1"/>
          <w:i w:val="1"/>
          <w:iCs w:val="1"/>
          <w:color w:val="auto"/>
        </w:rPr>
        <w:t>Ten Percent Stockholder</w:t>
      </w:r>
      <w:r>
        <w:rPr>
          <w:rFonts w:ascii="Arial" w:cs="Arial" w:eastAsia="Arial" w:hAnsi="Arial"/>
          <w:sz w:val="15"/>
          <w:szCs w:val="15"/>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727011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220" w:firstLine="1273"/>
        <w:spacing w:after="0" w:line="31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of an Option will be determined by the Committee when the Option is granted and may be not less than 85% of the Fair Market Value of the Shares on the date of grant; provided that: (i) the Exercise Price of an ISO will be not less than 100% of the Fair Market Value of the Shares on the date of grant; and (ii) the Exercise Price of any ISO granted to a Ten Percent Stockholder will not be less than 110% of the Fair Market Value of the Shares on the date of grant. Payment for the Shares purchased may be made in accordance with Section 8 of this Plan.</w:t>
      </w:r>
    </w:p>
    <w:p>
      <w:pPr>
        <w:spacing w:after="0" w:line="147" w:lineRule="exact"/>
        <w:rPr>
          <w:sz w:val="20"/>
          <w:szCs w:val="20"/>
          <w:color w:val="auto"/>
        </w:rPr>
      </w:pPr>
    </w:p>
    <w:p>
      <w:pPr>
        <w:ind w:right="60" w:firstLine="1273"/>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Options may be exercised only by delivery to the Company of a written stock option exercise agreement (the “</w:t>
      </w:r>
      <w:r>
        <w:rPr>
          <w:rFonts w:ascii="Arial" w:cs="Arial" w:eastAsia="Arial" w:hAnsi="Arial"/>
          <w:sz w:val="17"/>
          <w:szCs w:val="17"/>
          <w:b w:val="1"/>
          <w:bCs w:val="1"/>
          <w:i w:val="1"/>
          <w:iCs w:val="1"/>
          <w:color w:val="auto"/>
        </w:rPr>
        <w:t>Exercise Agreement</w:t>
      </w:r>
      <w:r>
        <w:rPr>
          <w:rFonts w:ascii="Arial" w:cs="Arial" w:eastAsia="Arial" w:hAnsi="Arial"/>
          <w:sz w:val="17"/>
          <w:szCs w:val="17"/>
          <w:color w:val="auto"/>
        </w:rPr>
        <w:t>”) in a form approved by the Committee (which need not be the same for each Participant), stating the number of Shares being purchased, the restrictions imposed on the Shares purchased under such Exercise Agreement, if any, and such representations and agreements regarding Participant’s investment intent and access to information and other matters, if any, as may be required or desirable by the Company to comply with applicable securities laws, together with payment in full of the Exercise Price for the number of Shares being purchased.</w:t>
      </w:r>
    </w:p>
    <w:p>
      <w:pPr>
        <w:spacing w:after="0" w:line="177" w:lineRule="exact"/>
        <w:rPr>
          <w:sz w:val="20"/>
          <w:szCs w:val="20"/>
          <w:color w:val="auto"/>
        </w:rPr>
      </w:pPr>
    </w:p>
    <w:p>
      <w:pPr>
        <w:ind w:right="300" w:firstLine="1273"/>
        <w:spacing w:after="0" w:line="26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Termination</w:t>
      </w:r>
      <w:r>
        <w:rPr>
          <w:rFonts w:ascii="Arial" w:cs="Arial" w:eastAsia="Arial" w:hAnsi="Arial"/>
          <w:sz w:val="18"/>
          <w:szCs w:val="18"/>
          <w:color w:val="auto"/>
        </w:rPr>
        <w:t>. Notwithstanding the exercise periods set forth in the Stock Option Agreement, exercise of an Option will always be subject to the following:</w:t>
      </w:r>
    </w:p>
    <w:p>
      <w:pPr>
        <w:spacing w:after="0" w:line="179" w:lineRule="exact"/>
        <w:rPr>
          <w:sz w:val="20"/>
          <w:szCs w:val="20"/>
          <w:color w:val="auto"/>
        </w:rPr>
      </w:pPr>
    </w:p>
    <w:p>
      <w:pPr>
        <w:ind w:left="1920" w:right="60" w:hanging="641"/>
        <w:spacing w:after="0" w:line="250" w:lineRule="auto"/>
        <w:tabs>
          <w:tab w:leader="none" w:pos="1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Participant is Terminated for any reason except death or Disability, then the Participant may exercise such Participant’s Options only to the extent that such Options would have been exercisable upon the Termination Date no later than three (3) months after the Termination Date (or such shorter or longer time period not exceeding five (5) years as may be determined by the Committee, with any exercise beyond three (3) months after the Termination Date deemed to be an NQSO), but in any event, no later than the expiration date of the Options.</w:t>
      </w:r>
    </w:p>
    <w:p>
      <w:pPr>
        <w:spacing w:after="0" w:line="194" w:lineRule="exact"/>
        <w:rPr>
          <w:rFonts w:ascii="Arial" w:cs="Arial" w:eastAsia="Arial" w:hAnsi="Arial"/>
          <w:sz w:val="18"/>
          <w:szCs w:val="18"/>
          <w:color w:val="auto"/>
        </w:rPr>
      </w:pPr>
    </w:p>
    <w:p>
      <w:pPr>
        <w:ind w:left="1920" w:right="20" w:hanging="641"/>
        <w:spacing w:after="0" w:line="298" w:lineRule="auto"/>
        <w:tabs>
          <w:tab w:leader="none" w:pos="1962"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the Participant is Terminated because of Participant’s death or Disability (or the Participant dies within three (3) months after a Termination other than for Cause or because of Participant’s Disability), then Participant’s Options may be exercised only to the extent that such Options would have been exercisable by Participant on the Termination Date and must be exercised by Participant (or Participant’s legal representative or authorized assignee) no later than twelve (12) months after the Termination Date (or such shorter or longer time period not exceeding five (5) years as may be determined by the Committee, with any such exercise beyond (a) three</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(3) months after the Termination Date when the Termination is for any reason other than the Participant’s death or Disability, or</w:t>
      </w:r>
    </w:p>
    <w:p>
      <w:pPr>
        <w:spacing w:after="0" w:line="39" w:lineRule="exact"/>
        <w:rPr>
          <w:sz w:val="20"/>
          <w:szCs w:val="20"/>
          <w:color w:val="auto"/>
        </w:rPr>
      </w:pPr>
    </w:p>
    <w:p>
      <w:pPr>
        <w:ind w:left="1920" w:right="440"/>
        <w:spacing w:after="0" w:line="251" w:lineRule="auto"/>
        <w:rPr>
          <w:sz w:val="20"/>
          <w:szCs w:val="20"/>
          <w:color w:val="auto"/>
        </w:rPr>
      </w:pPr>
      <w:r>
        <w:rPr>
          <w:rFonts w:ascii="Arial" w:cs="Arial" w:eastAsia="Arial" w:hAnsi="Arial"/>
          <w:sz w:val="18"/>
          <w:szCs w:val="18"/>
          <w:color w:val="auto"/>
        </w:rPr>
        <w:t>(b) twelve (12) months after the Termination Date when the Termination is for Participant’s death or Disability, deemed to be an NQSO), but in any event no later than the expiration date of the Options.</w:t>
      </w:r>
    </w:p>
    <w:p>
      <w:pPr>
        <w:spacing w:after="0" w:line="165" w:lineRule="exact"/>
        <w:rPr>
          <w:sz w:val="20"/>
          <w:szCs w:val="20"/>
          <w:color w:val="auto"/>
        </w:rPr>
      </w:pPr>
    </w:p>
    <w:p>
      <w:pPr>
        <w:ind w:left="1920" w:right="640" w:hanging="641"/>
        <w:spacing w:after="0" w:line="221" w:lineRule="auto"/>
        <w:tabs>
          <w:tab w:leader="none" w:pos="19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Notwithstanding the provisions in paragraph 5.6(a) above, if a Participant is terminated for Cause, neither the Participant, the Participant’s estate nor such other person who may then hold the Option shall be entitled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920"/>
        <w:spacing w:after="0" w:line="196" w:lineRule="auto"/>
        <w:rPr>
          <w:rFonts w:ascii="Arial" w:cs="Arial" w:eastAsia="Arial" w:hAnsi="Arial"/>
          <w:sz w:val="18"/>
          <w:szCs w:val="18"/>
          <w:color w:val="auto"/>
        </w:rPr>
      </w:pPr>
      <w:r>
        <w:rPr>
          <w:rFonts w:ascii="Arial" w:cs="Arial" w:eastAsia="Arial" w:hAnsi="Arial"/>
          <w:sz w:val="18"/>
          <w:szCs w:val="18"/>
          <w:color w:val="auto"/>
        </w:rPr>
        <w:t>exercise any Option with respect to any Shares whatsoever, after termination of service, whether or not after termination of service the Participant may receive payment from the Company or Subsidiary for vacation pay, for services rendered prior to termination, for services rendered for the day on which termination occurs, for salary in lieu of notice, or for any other benefits. In making such determination, the Board shall give the Participant an opportunity to present to the Board evidence on his behalf. For the purpose of this paragraph, termination of service shall be deemed to occur on the date when the Company dispatches notice or advice to the Participant that his service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-864870</wp:posOffset>
            </wp:positionV>
            <wp:extent cx="727011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159" w:lineRule="exact"/>
        <w:rPr>
          <w:sz w:val="20"/>
          <w:szCs w:val="20"/>
          <w:color w:val="auto"/>
        </w:rPr>
      </w:pPr>
    </w:p>
    <w:p>
      <w:pPr>
        <w:ind w:right="140" w:firstLine="1273"/>
        <w:spacing w:after="0" w:line="366"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Limitations on Exercise</w:t>
      </w:r>
      <w:r>
        <w:rPr>
          <w:rFonts w:ascii="Arial" w:cs="Arial" w:eastAsia="Arial" w:hAnsi="Arial"/>
          <w:sz w:val="15"/>
          <w:szCs w:val="15"/>
          <w:color w:val="auto"/>
        </w:rPr>
        <w:t>. The Committee may specify a reasonable minimum number of Shares that may be purchased on any exercise of an Option, provided that such minimum number will not prevent Participant from exercising the Option for the full number of Shares for which it is</w:t>
      </w:r>
    </w:p>
    <w:p>
      <w:pPr>
        <w:sectPr>
          <w:pgSz w:w="11900" w:h="16950" w:orient="portrait"/>
          <w:cols w:equalWidth="0" w:num="1">
            <w:col w:w="11420"/>
          </w:cols>
          <w:pgMar w:left="240" w:top="127" w:right="239" w:bottom="0" w:gutter="0" w:footer="0" w:header="0"/>
        </w:sectPr>
      </w:pPr>
    </w:p>
    <w:bookmarkStart w:id="7" w:name="page8"/>
    <w:bookmarkEnd w:id="7"/>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then exercisable.</w:t>
      </w:r>
    </w:p>
    <w:p>
      <w:pPr>
        <w:spacing w:after="0" w:line="217" w:lineRule="exact"/>
        <w:rPr>
          <w:sz w:val="20"/>
          <w:szCs w:val="20"/>
          <w:color w:val="auto"/>
        </w:rPr>
      </w:pPr>
    </w:p>
    <w:p>
      <w:pPr>
        <w:ind w:right="40" w:firstLine="1273"/>
        <w:spacing w:after="0" w:line="24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Limitations on ISO</w:t>
      </w:r>
      <w:r>
        <w:rPr>
          <w:rFonts w:ascii="Arial" w:cs="Arial" w:eastAsia="Arial" w:hAnsi="Arial"/>
          <w:sz w:val="18"/>
          <w:szCs w:val="18"/>
          <w:color w:val="auto"/>
        </w:rPr>
        <w:t>. The aggregate Fair Market Value (determined as of the date of grant) of Shares with respect to which ISO are exercisable for the first time by a Participant during any calendar year (under this Plan or under any other incentive stock option plan of the Company, Parent or Subsidiary of the Company) will not exceed $100,000. If the Fair Market Value of Shares on the date of grant with respect to which ISO are exercisable for the first time by a Participant during any calendar year exceeds $100,000, then the Options for the first $100,000 worth of Shares to become exercisable in such calendar year will be ISO and the Options for the amount in excess of $100,000 that become exercisable in that calendar year will be NQSOs. In the event that the Code or the regulations promulgated thereunder are amended after the Effective Date of this Plan to provide for a different limit on the Fair Market Value of Shares permitted to be subject to ISO, such different limit will be automatically incorporated herein and will apply to any Options granted after the effective date of such amendment.</w:t>
      </w:r>
    </w:p>
    <w:p>
      <w:pPr>
        <w:spacing w:after="0" w:line="198" w:lineRule="exact"/>
        <w:rPr>
          <w:sz w:val="20"/>
          <w:szCs w:val="20"/>
          <w:color w:val="auto"/>
        </w:rPr>
      </w:pPr>
    </w:p>
    <w:p>
      <w:pPr>
        <w:ind w:right="140" w:firstLine="1273"/>
        <w:spacing w:after="0" w:line="267"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Modification, Extension or Renewal</w:t>
      </w:r>
      <w:r>
        <w:rPr>
          <w:rFonts w:ascii="Arial" w:cs="Arial" w:eastAsia="Arial" w:hAnsi="Arial"/>
          <w:sz w:val="17"/>
          <w:szCs w:val="17"/>
          <w:color w:val="auto"/>
        </w:rPr>
        <w:t xml:space="preserve">.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The Committee may reduce the Exercise Price of outstanding Options without the consent of Participants affected by a written notice to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Exercise Price may not be reduced below the minimum Exercise Price that would be permitted under Section 5.4 of this Plan for Options granted on the date the action is taken to reduce the Exercise Price.</w:t>
      </w:r>
    </w:p>
    <w:p>
      <w:pPr>
        <w:spacing w:after="0" w:line="180" w:lineRule="exact"/>
        <w:rPr>
          <w:sz w:val="20"/>
          <w:szCs w:val="20"/>
          <w:color w:val="auto"/>
        </w:rPr>
      </w:pPr>
    </w:p>
    <w:p>
      <w:pPr>
        <w:ind w:right="440" w:firstLine="1273"/>
        <w:spacing w:after="0" w:line="255"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83" w:lineRule="exact"/>
        <w:rPr>
          <w:sz w:val="20"/>
          <w:szCs w:val="20"/>
          <w:color w:val="auto"/>
        </w:rPr>
      </w:pPr>
    </w:p>
    <w:p>
      <w:pPr>
        <w:ind w:right="600" w:firstLine="642"/>
        <w:spacing w:after="0" w:line="272" w:lineRule="auto"/>
        <w:tabs>
          <w:tab w:leader="none" w:pos="134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A Restricted Stock Award is an offer by the Company to sell to an eligible person Shares that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The Committee will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27011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to whom an offer will be made, the number of Shares the person may purchase, the price to be paid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the restrictions to which the Shares will be subject, and all other terms and conditions of the Restricted Stock Award, subject to the following:</w:t>
      </w:r>
    </w:p>
    <w:p>
      <w:pPr>
        <w:spacing w:after="0" w:line="179" w:lineRule="exact"/>
        <w:rPr>
          <w:sz w:val="20"/>
          <w:szCs w:val="20"/>
          <w:color w:val="auto"/>
        </w:rPr>
      </w:pPr>
    </w:p>
    <w:p>
      <w:pPr>
        <w:ind w:right="140" w:firstLine="1273"/>
        <w:spacing w:after="0" w:line="24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Form of Restricted Stock Award</w:t>
      </w:r>
      <w:r>
        <w:rPr>
          <w:rFonts w:ascii="Arial" w:cs="Arial" w:eastAsia="Arial" w:hAnsi="Arial"/>
          <w:sz w:val="18"/>
          <w:szCs w:val="18"/>
          <w:color w:val="auto"/>
        </w:rPr>
        <w:t>. All purchases under a Restricted Stock Award made pursuant to this Plan will be evidenced by an Award Agreement (“</w:t>
      </w:r>
      <w:r>
        <w:rPr>
          <w:rFonts w:ascii="Arial" w:cs="Arial" w:eastAsia="Arial" w:hAnsi="Arial"/>
          <w:sz w:val="18"/>
          <w:szCs w:val="18"/>
          <w:b w:val="1"/>
          <w:bCs w:val="1"/>
          <w:i w:val="1"/>
          <w:iCs w:val="1"/>
          <w:color w:val="auto"/>
        </w:rPr>
        <w:t>Restricted Stock Purchase Agreement</w:t>
      </w:r>
      <w:r>
        <w:rPr>
          <w:rFonts w:ascii="Arial" w:cs="Arial" w:eastAsia="Arial" w:hAnsi="Arial"/>
          <w:sz w:val="18"/>
          <w:szCs w:val="18"/>
          <w:color w:val="auto"/>
        </w:rPr>
        <w:t>”) that will be in such form (which need not be the same for each Participant) as the Committee will from time to time approve, and will comply with and be subject to the terms and conditions of this Plan. The offer of Restricted Stock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thirty (30) days, then the offer will terminate, unless otherwise determined by the Committee.</w:t>
      </w:r>
    </w:p>
    <w:p>
      <w:pPr>
        <w:spacing w:after="0" w:line="194" w:lineRule="exact"/>
        <w:rPr>
          <w:sz w:val="20"/>
          <w:szCs w:val="20"/>
          <w:color w:val="auto"/>
        </w:rPr>
      </w:pPr>
    </w:p>
    <w:p>
      <w:pPr>
        <w:ind w:right="60" w:firstLine="1273"/>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of Shares sold pursuant to a Restricted Stock Award will be determined by the Committee on the date the Restricted Stock Award is granted, except in the case of a sale to a Ten Percent Stockholder, in which case the Purchase Price will be 100% of the Fair Market Value. Payment of the Purchase Price may be made in accordance with Section 8 of this Plan.</w:t>
      </w:r>
    </w:p>
    <w:p>
      <w:pPr>
        <w:spacing w:after="0" w:line="189" w:lineRule="exact"/>
        <w:rPr>
          <w:sz w:val="20"/>
          <w:szCs w:val="20"/>
          <w:color w:val="auto"/>
        </w:rPr>
      </w:pPr>
    </w:p>
    <w:p>
      <w:pPr>
        <w:ind w:right="220" w:firstLine="1273"/>
        <w:spacing w:after="0" w:line="298"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Terms of Restricted Stock Awards</w:t>
      </w:r>
      <w:r>
        <w:rPr>
          <w:rFonts w:ascii="Arial" w:cs="Arial" w:eastAsia="Arial" w:hAnsi="Arial"/>
          <w:sz w:val="15"/>
          <w:szCs w:val="15"/>
          <w:color w:val="auto"/>
        </w:rPr>
        <w:t>. Restricted Stock Awards shall be subject to such restrictions as the Committee may impose. These restrictions may be based upon completion of a specified number of years of service with the Company or upon completion of the performance goals as set out in advance in the Participant’s individual Restricted Stock Purchase Agreement. Restricted Stock Awards may vary from Participant to Participant and between groups of Participants. Prior to the grant of a Restricted Stock Award, the Committee shall: (a) determine the nature, length and starting date of any Performance Period for the Restricted Stock Award; (b) select from among the Performance Factors to be used to measure performance goals, if any; and</w:t>
      </w:r>
    </w:p>
    <w:p>
      <w:pPr>
        <w:spacing w:after="0" w:line="1" w:lineRule="exact"/>
        <w:rPr>
          <w:sz w:val="20"/>
          <w:szCs w:val="20"/>
          <w:color w:val="auto"/>
        </w:rPr>
      </w:pPr>
    </w:p>
    <w:p>
      <w:pPr>
        <w:ind w:right="140" w:firstLine="6"/>
        <w:spacing w:after="0" w:line="322" w:lineRule="auto"/>
        <w:tabs>
          <w:tab w:leader="none" w:pos="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determine the number of Shares that may be awarded to the Participant. Prior to the payment of any Restricted Stock Award, the Committee shall determine the extent to which such Restricted Stock Award has been earned. Performance Periods may overlap and Participants may participate simultaneously with respect to Restricted Stock Awards that are subject to different Performance Periods and having different performance goals and other criteria.</w:t>
      </w:r>
    </w:p>
    <w:p>
      <w:pPr>
        <w:spacing w:after="0" w:line="143" w:lineRule="exact"/>
        <w:rPr>
          <w:sz w:val="20"/>
          <w:szCs w:val="20"/>
          <w:color w:val="auto"/>
        </w:rPr>
      </w:pPr>
    </w:p>
    <w:p>
      <w:pPr>
        <w:ind w:right="120" w:firstLine="1273"/>
        <w:spacing w:after="0" w:line="27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Termination During Performance Period</w:t>
      </w:r>
      <w:r>
        <w:rPr>
          <w:rFonts w:ascii="Arial" w:cs="Arial" w:eastAsia="Arial" w:hAnsi="Arial"/>
          <w:sz w:val="17"/>
          <w:szCs w:val="17"/>
          <w:color w:val="auto"/>
        </w:rPr>
        <w:t>. If a Participant is Terminated during a Performance Period for any reason, then such Participant will be entitled to payment (whether in Shares, cash or otherwise) with respect to the Restricted Stock Award only to the extent earned as of the date of Termination in accordance with the Restricted Stock Purchase Agreement, unless the Committee will determine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7011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80" w:hanging="701"/>
        <w:spacing w:after="0"/>
        <w:tabs>
          <w:tab w:leader="none" w:pos="1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BONUSES</w:t>
      </w:r>
      <w:r>
        <w:rPr>
          <w:rFonts w:ascii="Arial" w:cs="Arial" w:eastAsia="Arial" w:hAnsi="Arial"/>
          <w:sz w:val="18"/>
          <w:szCs w:val="18"/>
          <w:color w:val="auto"/>
        </w:rPr>
        <w:t>.</w:t>
      </w:r>
    </w:p>
    <w:p>
      <w:pPr>
        <w:spacing w:after="0" w:line="223" w:lineRule="exact"/>
        <w:rPr>
          <w:sz w:val="20"/>
          <w:szCs w:val="20"/>
          <w:color w:val="auto"/>
        </w:rPr>
      </w:pPr>
    </w:p>
    <w:p>
      <w:pPr>
        <w:ind w:right="60" w:firstLine="1273"/>
        <w:spacing w:after="0" w:line="264"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Awards of Stock Bonuses</w:t>
      </w:r>
      <w:r>
        <w:rPr>
          <w:rFonts w:ascii="Arial" w:cs="Arial" w:eastAsia="Arial" w:hAnsi="Arial"/>
          <w:sz w:val="17"/>
          <w:szCs w:val="17"/>
          <w:color w:val="auto"/>
        </w:rPr>
        <w:t>. A Stock Bonus is an award of Shares (which may consist of Restricted Stock) for services rendered to the Company or any Parent or Subsidiary of the Company. A Stock Bonus may be awarded for past services already rendered to the Company, or any Parent or Subsidiary of the Company pursuant to an Award Agreement (the “</w:t>
      </w:r>
      <w:r>
        <w:rPr>
          <w:rFonts w:ascii="Arial" w:cs="Arial" w:eastAsia="Arial" w:hAnsi="Arial"/>
          <w:sz w:val="17"/>
          <w:szCs w:val="17"/>
          <w:b w:val="1"/>
          <w:bCs w:val="1"/>
          <w:i w:val="1"/>
          <w:iCs w:val="1"/>
          <w:color w:val="auto"/>
        </w:rPr>
        <w:t>Stock Bonus Agreement</w:t>
      </w:r>
      <w:r>
        <w:rPr>
          <w:rFonts w:ascii="Arial" w:cs="Arial" w:eastAsia="Arial" w:hAnsi="Arial"/>
          <w:sz w:val="17"/>
          <w:szCs w:val="17"/>
          <w:color w:val="auto"/>
        </w:rPr>
        <w:t>”) that will be in such form (which need not be the same for each Participant) as the Committee will from time to time approve, and will comply with and be subject to the terms and conditions of this Plan. A Stock Bonus may be awarded upon satisfaction of such performance goals as are set out in advance in the Participant’s individual Award Agreement (the “</w:t>
      </w:r>
      <w:r>
        <w:rPr>
          <w:rFonts w:ascii="Arial" w:cs="Arial" w:eastAsia="Arial" w:hAnsi="Arial"/>
          <w:sz w:val="17"/>
          <w:szCs w:val="17"/>
          <w:b w:val="1"/>
          <w:bCs w:val="1"/>
          <w:i w:val="1"/>
          <w:iCs w:val="1"/>
          <w:color w:val="auto"/>
        </w:rPr>
        <w:t>Performance Stock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Bonus Agreement</w:t>
      </w:r>
      <w:r>
        <w:rPr>
          <w:rFonts w:ascii="Arial" w:cs="Arial" w:eastAsia="Arial" w:hAnsi="Arial"/>
          <w:sz w:val="17"/>
          <w:szCs w:val="17"/>
          <w:color w:val="auto"/>
        </w:rPr>
        <w:t>”) that will be in such form (which need not be the same for each Participant) as the Committee will from time to time approve, and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comply with and be subject to the terms and conditions of this Plan. Stock Bonuses may vary from Participant to Participant and between groups of Participants, and may be based upon the achievement of the Company, Parent or Subsidiary and/or individual performance factors or upon such other criteria as the Committee may determine.</w:t>
      </w:r>
    </w:p>
    <w:p>
      <w:pPr>
        <w:spacing w:after="0" w:line="186" w:lineRule="exact"/>
        <w:rPr>
          <w:sz w:val="20"/>
          <w:szCs w:val="20"/>
          <w:color w:val="auto"/>
        </w:rPr>
      </w:pPr>
    </w:p>
    <w:p>
      <w:pPr>
        <w:ind w:firstLine="1273"/>
        <w:spacing w:after="0" w:line="309"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Terms of Stock Bonuses</w:t>
      </w:r>
      <w:r>
        <w:rPr>
          <w:rFonts w:ascii="Arial" w:cs="Arial" w:eastAsia="Arial" w:hAnsi="Arial"/>
          <w:sz w:val="15"/>
          <w:szCs w:val="15"/>
          <w:color w:val="auto"/>
        </w:rPr>
        <w:t>. The Committee will determine the number of Shares to be awarded to the Participant. If the Stock Bonus is being earned upon the satisfaction of performance goals pursuant to a Performance Stock Bonus Agreement, then the Committee will: (a) determine the nature, length and starting date of any Performance Period for each Stock Bonus; (b) select from among the Performance Factors to be used to measure the performance, if any; and (c) determine the number of Shares that may be awarded to the Participant. Prior to the payment of any Stock Bonus, the Committee shall determine the extent to which such Stock Bonuses have been earned. Performance Periods may overlap and Participants may participate simultaneously with respect to Stock Bonuses that are subject to different Performance Periods and different performance goals and other criteria. The number of Shares may be fixed or may</w:t>
      </w:r>
    </w:p>
    <w:p>
      <w:pPr>
        <w:sectPr>
          <w:pgSz w:w="11900" w:h="16908" w:orient="portrait"/>
          <w:cols w:equalWidth="0" w:num="1">
            <w:col w:w="11420"/>
          </w:cols>
          <w:pgMar w:left="240" w:top="127" w:right="239" w:bottom="0" w:gutter="0" w:footer="0" w:header="0"/>
        </w:sectPr>
      </w:pPr>
    </w:p>
    <w:bookmarkStart w:id="8" w:name="page9"/>
    <w:bookmarkEnd w:id="8"/>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vary in accordance with such performance goals and criteria as may be determined by the Committee. The Committee may adjust the performance goals applicable to the Stock Bonuses to take into account changes in law and accounting or tax rules and to make such adjustments as the Committee deems necessary or appropriate to reflect the impact of extraordinary or unusual items, events or circumstances to avoid windfalls or hardships.</w:t>
      </w:r>
    </w:p>
    <w:p>
      <w:pPr>
        <w:spacing w:after="0" w:line="172" w:lineRule="exact"/>
        <w:rPr>
          <w:sz w:val="20"/>
          <w:szCs w:val="20"/>
          <w:color w:val="auto"/>
        </w:rPr>
      </w:pPr>
    </w:p>
    <w:p>
      <w:pPr>
        <w:jc w:val="both"/>
        <w:ind w:right="180" w:firstLine="1273"/>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of Payment</w:t>
      </w:r>
      <w:r>
        <w:rPr>
          <w:rFonts w:ascii="Arial" w:cs="Arial" w:eastAsia="Arial" w:hAnsi="Arial"/>
          <w:sz w:val="18"/>
          <w:szCs w:val="18"/>
          <w:color w:val="auto"/>
        </w:rPr>
        <w:t>. The earned portion of a Stock Bonus may be paid currently or on a deferred basis with such interest or dividend equivalent, if any, as the Committee may determine. Payment may be made in the form of cash or whole Shares or a combination thereof, either in a lump sum payment or in installments, all as the Committee will determine.</w:t>
      </w:r>
    </w:p>
    <w:p>
      <w:pPr>
        <w:spacing w:after="0" w:line="183" w:lineRule="exact"/>
        <w:rPr>
          <w:sz w:val="20"/>
          <w:szCs w:val="20"/>
          <w:color w:val="auto"/>
        </w:rPr>
      </w:pPr>
    </w:p>
    <w:p>
      <w:pPr>
        <w:ind w:left="1340" w:hanging="698"/>
        <w:spacing w:after="0"/>
        <w:tabs>
          <w:tab w:leader="none" w:pos="1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w:t>
      </w:r>
    </w:p>
    <w:p>
      <w:pPr>
        <w:spacing w:after="0" w:line="223"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 Payment for Shares purchased pursuant to this Plan may be made in cash (by check) or, where expressly approved for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Participant by the Committee and where permitted by law:</w:t>
      </w:r>
    </w:p>
    <w:p>
      <w:pPr>
        <w:spacing w:after="0" w:line="206" w:lineRule="exact"/>
        <w:rPr>
          <w:sz w:val="20"/>
          <w:szCs w:val="20"/>
          <w:color w:val="auto"/>
        </w:rPr>
      </w:pPr>
    </w:p>
    <w:p>
      <w:pPr>
        <w:ind w:left="1940" w:hanging="66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ind w:left="1920" w:right="100" w:hanging="641"/>
        <w:spacing w:after="0" w:line="277" w:lineRule="auto"/>
        <w:tabs>
          <w:tab w:leader="none" w:pos="19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by surrender of shares that either: (1) have been owned by Participant for more than six (6) months and have been paid for within the meaning of SEC Rule 144 (and, if such shares were purchased from the Company by use of a promissory note, such note has been fully paid with respect to such shares); or (2) were obtained by Participant in the public market;</w:t>
      </w:r>
    </w:p>
    <w:p>
      <w:pPr>
        <w:spacing w:after="0" w:line="171" w:lineRule="exact"/>
        <w:rPr>
          <w:rFonts w:ascii="Arial" w:cs="Arial" w:eastAsia="Arial" w:hAnsi="Arial"/>
          <w:sz w:val="17"/>
          <w:szCs w:val="17"/>
          <w:color w:val="auto"/>
        </w:rPr>
      </w:pPr>
    </w:p>
    <w:p>
      <w:pPr>
        <w:ind w:left="1920" w:right="160" w:hanging="641"/>
        <w:spacing w:after="0" w:line="252" w:lineRule="auto"/>
        <w:tabs>
          <w:tab w:leader="none" w:pos="1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Participants who are not employees or directors of the Company will not be entitled to purchase Shares with a promissory note unless the note is adequately secured by collateral other than the Shares;</w:t>
      </w:r>
    </w:p>
    <w:p>
      <w:pPr>
        <w:spacing w:after="0" w:line="191" w:lineRule="exact"/>
        <w:rPr>
          <w:rFonts w:ascii="Arial" w:cs="Arial" w:eastAsia="Arial" w:hAnsi="Arial"/>
          <w:sz w:val="18"/>
          <w:szCs w:val="18"/>
          <w:color w:val="auto"/>
        </w:rPr>
      </w:pPr>
    </w:p>
    <w:p>
      <w:pPr>
        <w:ind w:left="1920" w:hanging="641"/>
        <w:spacing w:after="0"/>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for services rendered;</w:t>
      </w:r>
    </w:p>
    <w:p>
      <w:pPr>
        <w:spacing w:after="0" w:line="217" w:lineRule="exact"/>
        <w:rPr>
          <w:rFonts w:ascii="Arial" w:cs="Arial" w:eastAsia="Arial" w:hAnsi="Arial"/>
          <w:sz w:val="18"/>
          <w:szCs w:val="18"/>
          <w:color w:val="auto"/>
        </w:rPr>
      </w:pPr>
    </w:p>
    <w:p>
      <w:pPr>
        <w:ind w:left="1940" w:hanging="661"/>
        <w:spacing w:after="0"/>
        <w:tabs>
          <w:tab w:leader="none" w:pos="1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respect only to purchases upon exercise of an Option, and provided that a public market for the Company’s stock exists:</w:t>
      </w:r>
    </w:p>
    <w:p>
      <w:pPr>
        <w:spacing w:after="0" w:line="228" w:lineRule="exact"/>
        <w:rPr>
          <w:rFonts w:ascii="Arial" w:cs="Arial" w:eastAsia="Arial" w:hAnsi="Arial"/>
          <w:sz w:val="17"/>
          <w:szCs w:val="17"/>
          <w:color w:val="auto"/>
        </w:rPr>
      </w:pPr>
    </w:p>
    <w:p>
      <w:pPr>
        <w:ind w:left="2560" w:right="60" w:hanging="645"/>
        <w:spacing w:after="0" w:line="271" w:lineRule="auto"/>
        <w:tabs>
          <w:tab w:leader="none" w:pos="2585" w:val="left"/>
        </w:tabs>
        <w:numPr>
          <w:ilvl w:val="2"/>
          <w:numId w:val="18"/>
        </w:numPr>
        <w:rPr>
          <w:rFonts w:ascii="Arial" w:cs="Arial" w:eastAsia="Arial" w:hAnsi="Arial"/>
          <w:sz w:val="17"/>
          <w:szCs w:val="17"/>
          <w:color w:val="auto"/>
        </w:rPr>
      </w:pPr>
      <w:r>
        <w:rPr>
          <w:rFonts w:ascii="Arial" w:cs="Arial" w:eastAsia="Arial" w:hAnsi="Arial"/>
          <w:sz w:val="17"/>
          <w:szCs w:val="17"/>
          <w:color w:val="auto"/>
        </w:rPr>
        <w:t>through a “same day sale” commitment from the Participant and a broker-dealer that is a member of the National Association of Securities Dealers (an “</w:t>
      </w:r>
      <w:r>
        <w:rPr>
          <w:rFonts w:ascii="Arial" w:cs="Arial" w:eastAsia="Arial" w:hAnsi="Arial"/>
          <w:sz w:val="17"/>
          <w:szCs w:val="17"/>
          <w:b w:val="1"/>
          <w:bCs w:val="1"/>
          <w:i w:val="1"/>
          <w:iCs w:val="1"/>
          <w:color w:val="auto"/>
        </w:rPr>
        <w:t>NASD Dealer</w:t>
      </w:r>
      <w:r>
        <w:rPr>
          <w:rFonts w:ascii="Arial" w:cs="Arial" w:eastAsia="Arial" w:hAnsi="Arial"/>
          <w:sz w:val="17"/>
          <w:szCs w:val="17"/>
          <w:color w:val="auto"/>
        </w:rPr>
        <w:t>”) whereby the Participant irrevocably elects to exercise the Option and to sell a portion of the Shares so purchased to pay for the Exercise Price, and whereby the NASD Dealer irrevocably commits upon receipt of such Shares to forward the Exercise Price directly to the Company; or</w:t>
      </w:r>
    </w:p>
    <w:p>
      <w:pPr>
        <w:spacing w:after="0" w:line="177" w:lineRule="exact"/>
        <w:rPr>
          <w:rFonts w:ascii="Arial" w:cs="Arial" w:eastAsia="Arial" w:hAnsi="Arial"/>
          <w:sz w:val="17"/>
          <w:szCs w:val="17"/>
          <w:color w:val="auto"/>
        </w:rPr>
      </w:pPr>
    </w:p>
    <w:p>
      <w:pPr>
        <w:ind w:left="2560" w:right="320" w:hanging="645"/>
        <w:spacing w:after="0" w:line="271" w:lineRule="auto"/>
        <w:tabs>
          <w:tab w:leader="none" w:pos="2585" w:val="left"/>
        </w:tabs>
        <w:numPr>
          <w:ilvl w:val="2"/>
          <w:numId w:val="18"/>
        </w:numPr>
        <w:rPr>
          <w:rFonts w:ascii="Arial" w:cs="Arial" w:eastAsia="Arial" w:hAnsi="Arial"/>
          <w:sz w:val="17"/>
          <w:szCs w:val="17"/>
          <w:color w:val="auto"/>
        </w:rPr>
      </w:pPr>
      <w:r>
        <w:rPr>
          <w:rFonts w:ascii="Arial" w:cs="Arial" w:eastAsia="Arial" w:hAnsi="Arial"/>
          <w:sz w:val="17"/>
          <w:szCs w:val="17"/>
          <w:color w:val="auto"/>
        </w:rPr>
        <w:t>through a “margin” commitment from the Participant and a NASD Dealer whereby the Participant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w:t>
      </w:r>
    </w:p>
    <w:p>
      <w:pPr>
        <w:spacing w:after="0" w:line="177" w:lineRule="exact"/>
        <w:rPr>
          <w:rFonts w:ascii="Arial" w:cs="Arial" w:eastAsia="Arial" w:hAnsi="Arial"/>
          <w:sz w:val="17"/>
          <w:szCs w:val="17"/>
          <w:color w:val="auto"/>
        </w:rPr>
      </w:pPr>
    </w:p>
    <w:p>
      <w:pPr>
        <w:ind w:left="1940" w:hanging="617"/>
        <w:spacing w:after="0"/>
        <w:tabs>
          <w:tab w:leader="none" w:pos="1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-3467735</wp:posOffset>
            </wp:positionV>
            <wp:extent cx="727011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197" w:lineRule="exact"/>
        <w:rPr>
          <w:sz w:val="20"/>
          <w:szCs w:val="20"/>
          <w:color w:val="auto"/>
        </w:rPr>
      </w:pPr>
    </w:p>
    <w:p>
      <w:pPr>
        <w:ind w:right="200" w:firstLine="1273"/>
        <w:spacing w:after="0" w:line="26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Loan Guarantees</w:t>
      </w:r>
      <w:r>
        <w:rPr>
          <w:rFonts w:ascii="Arial" w:cs="Arial" w:eastAsia="Arial" w:hAnsi="Arial"/>
          <w:sz w:val="18"/>
          <w:szCs w:val="18"/>
          <w:color w:val="auto"/>
        </w:rPr>
        <w:t>. The Committee may help the Participant pay for Shares purchased under this Plan by authorizing a guarantee by the Company of a third-party loan to the Participant.</w:t>
      </w:r>
    </w:p>
    <w:p>
      <w:pPr>
        <w:spacing w:after="0" w:line="173" w:lineRule="exact"/>
        <w:rPr>
          <w:sz w:val="20"/>
          <w:szCs w:val="20"/>
          <w:color w:val="auto"/>
        </w:rPr>
      </w:pPr>
    </w:p>
    <w:p>
      <w:pPr>
        <w:ind w:left="1340" w:hanging="698"/>
        <w:spacing w:after="0"/>
        <w:tabs>
          <w:tab w:leader="none" w:pos="1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AUTOMATIC GRANTS TO OUTSIDE DIRECTORS.</w:t>
      </w:r>
    </w:p>
    <w:p>
      <w:pPr>
        <w:spacing w:after="0" w:line="223"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u w:val="single" w:color="auto"/>
          <w:color w:val="auto"/>
        </w:rPr>
        <w:t xml:space="preserve">Types of Options and Shares. </w:t>
      </w:r>
      <w:r>
        <w:rPr>
          <w:rFonts w:ascii="Arial" w:cs="Arial" w:eastAsia="Arial" w:hAnsi="Arial"/>
          <w:sz w:val="15"/>
          <w:szCs w:val="15"/>
          <w:color w:val="auto"/>
        </w:rPr>
        <w:t>Options granted under this Plan and subject to this Section 9 shall be NQSOs.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7011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Eligibility</w:t>
      </w:r>
      <w:r>
        <w:rPr>
          <w:rFonts w:ascii="Arial" w:cs="Arial" w:eastAsia="Arial" w:hAnsi="Arial"/>
          <w:sz w:val="15"/>
          <w:szCs w:val="15"/>
          <w:color w:val="auto"/>
        </w:rPr>
        <w:t>. Options subject to this Section 9 shall be granted only to Outside Directors.</w:t>
      </w:r>
    </w:p>
    <w:p>
      <w:pPr>
        <w:spacing w:after="0" w:line="217" w:lineRule="exact"/>
        <w:rPr>
          <w:sz w:val="20"/>
          <w:szCs w:val="20"/>
          <w:color w:val="auto"/>
        </w:rPr>
      </w:pPr>
    </w:p>
    <w:p>
      <w:pPr>
        <w:ind w:right="120" w:firstLine="1273"/>
        <w:spacing w:after="0" w:line="330"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Initial Grant</w:t>
      </w:r>
      <w:r>
        <w:rPr>
          <w:rFonts w:ascii="Arial" w:cs="Arial" w:eastAsia="Arial" w:hAnsi="Arial"/>
          <w:sz w:val="15"/>
          <w:szCs w:val="15"/>
          <w:color w:val="auto"/>
        </w:rPr>
        <w:t>. Each Outside Director who first becomes a member of the Board on or after the Effective Date will automatically be granted an Option for 50,000 Shares (an “</w:t>
      </w:r>
      <w:r>
        <w:rPr>
          <w:rFonts w:ascii="Arial" w:cs="Arial" w:eastAsia="Arial" w:hAnsi="Arial"/>
          <w:sz w:val="15"/>
          <w:szCs w:val="15"/>
          <w:b w:val="1"/>
          <w:bCs w:val="1"/>
          <w:i w:val="1"/>
          <w:iCs w:val="1"/>
          <w:color w:val="auto"/>
        </w:rPr>
        <w:t>Initial Grant</w:t>
      </w:r>
      <w:r>
        <w:rPr>
          <w:rFonts w:ascii="Arial" w:cs="Arial" w:eastAsia="Arial" w:hAnsi="Arial"/>
          <w:sz w:val="15"/>
          <w:szCs w:val="15"/>
          <w:color w:val="auto"/>
        </w:rPr>
        <w:t>”) on the date such Outside Director first becomes a member of the Board. Each Outside Director who became a member of the Board prior to the Effective Date will automatically be granted an Option for 25,000 Shares immediately following the Effective Date.</w:t>
      </w:r>
    </w:p>
    <w:p>
      <w:pPr>
        <w:spacing w:after="0" w:line="137" w:lineRule="exact"/>
        <w:rPr>
          <w:sz w:val="20"/>
          <w:szCs w:val="20"/>
          <w:color w:val="auto"/>
        </w:rPr>
      </w:pPr>
    </w:p>
    <w:p>
      <w:pPr>
        <w:ind w:right="20" w:firstLine="1273"/>
        <w:spacing w:after="0" w:line="312"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Succeeding Grant</w:t>
      </w:r>
      <w:r>
        <w:rPr>
          <w:rFonts w:ascii="Arial" w:cs="Arial" w:eastAsia="Arial" w:hAnsi="Arial"/>
          <w:sz w:val="15"/>
          <w:szCs w:val="15"/>
          <w:color w:val="auto"/>
        </w:rPr>
        <w:t>. Immediately following each Annual Meeting of stockholders, each Outside Director will automatically be granted an Option for 20,000 Shares (a “</w:t>
      </w:r>
      <w:r>
        <w:rPr>
          <w:rFonts w:ascii="Arial" w:cs="Arial" w:eastAsia="Arial" w:hAnsi="Arial"/>
          <w:sz w:val="15"/>
          <w:szCs w:val="15"/>
          <w:b w:val="1"/>
          <w:bCs w:val="1"/>
          <w:i w:val="1"/>
          <w:iCs w:val="1"/>
          <w:color w:val="auto"/>
        </w:rPr>
        <w:t>Succeeding Grant</w:t>
      </w:r>
      <w:r>
        <w:rPr>
          <w:rFonts w:ascii="Arial" w:cs="Arial" w:eastAsia="Arial" w:hAnsi="Arial"/>
          <w:sz w:val="15"/>
          <w:szCs w:val="15"/>
          <w:color w:val="auto"/>
        </w:rPr>
        <w:t xml:space="preserve">”), provided the Outside Director is a member of the Board on such date and has served continuously as a member of the Board for a period of at least one year since the date of such Outside Director’s Initial Grant. Notwithstanding anything in this Section 9.4 to the contrary, the Board may make discretionary supplemental grants to an Outside Director who has served for less than one year from the date of such Outside Director’s Initial Grant,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Outside Director may receive more than 70,000 Shares in any calendar year pursuant to this Section 9.</w:t>
      </w:r>
    </w:p>
    <w:p>
      <w:pPr>
        <w:spacing w:after="0" w:line="152"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u w:val="single" w:color="auto"/>
          <w:color w:val="auto"/>
        </w:rPr>
        <w:t>Vesting</w:t>
      </w:r>
      <w:r>
        <w:rPr>
          <w:rFonts w:ascii="Arial" w:cs="Arial" w:eastAsia="Arial" w:hAnsi="Arial"/>
          <w:sz w:val="15"/>
          <w:szCs w:val="15"/>
          <w:color w:val="auto"/>
        </w:rPr>
        <w:t>. The date an Outside Director receives an Initial Grant or a Succeeding Grant is referred to in this Plan as the “</w:t>
      </w:r>
      <w:r>
        <w:rPr>
          <w:rFonts w:ascii="Arial" w:cs="Arial" w:eastAsia="Arial" w:hAnsi="Arial"/>
          <w:sz w:val="15"/>
          <w:szCs w:val="15"/>
          <w:b w:val="1"/>
          <w:bCs w:val="1"/>
          <w:i w:val="1"/>
          <w:iCs w:val="1"/>
          <w:color w:val="auto"/>
        </w:rPr>
        <w:t>Start Date</w:t>
      </w:r>
      <w:r>
        <w:rPr>
          <w:rFonts w:ascii="Arial" w:cs="Arial" w:eastAsia="Arial" w:hAnsi="Arial"/>
          <w:sz w:val="15"/>
          <w:szCs w:val="15"/>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such Option.</w:t>
      </w:r>
    </w:p>
    <w:p>
      <w:pPr>
        <w:spacing w:after="0" w:line="206" w:lineRule="exact"/>
        <w:rPr>
          <w:sz w:val="20"/>
          <w:szCs w:val="20"/>
          <w:color w:val="auto"/>
        </w:rPr>
      </w:pPr>
    </w:p>
    <w:p>
      <w:pPr>
        <w:ind w:left="1920" w:right="300" w:hanging="641"/>
        <w:spacing w:after="0" w:line="269" w:lineRule="auto"/>
        <w:tabs>
          <w:tab w:leader="none" w:pos="193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Initial Grants</w:t>
      </w:r>
      <w:r>
        <w:rPr>
          <w:rFonts w:ascii="Arial" w:cs="Arial" w:eastAsia="Arial" w:hAnsi="Arial"/>
          <w:sz w:val="17"/>
          <w:szCs w:val="17"/>
          <w:color w:val="auto"/>
        </w:rPr>
        <w:t>. Each Initial Grant will vest (i) as to twenty-five percent (25%) of the Shares on the earlier of (A) the one (1) year anniversary of the Start Date or (B) the next succeeding Annual Meeting where such Outside Director is not serving as an Outside Director following such Annual Meeting but such person is an Outside Director on the day immediately preceding such Annual Meeting and (ii) as to 2.08333% of the Shares on each subsequent monthly anniversary thereafter, so long as the Outside Director continuously remains a director or consultant of the Company.</w:t>
      </w:r>
    </w:p>
    <w:p>
      <w:pPr>
        <w:spacing w:after="0" w:line="177" w:lineRule="exact"/>
        <w:rPr>
          <w:rFonts w:ascii="Arial" w:cs="Arial" w:eastAsia="Arial" w:hAnsi="Arial"/>
          <w:sz w:val="17"/>
          <w:szCs w:val="17"/>
          <w:color w:val="auto"/>
        </w:rPr>
      </w:pPr>
    </w:p>
    <w:p>
      <w:pPr>
        <w:ind w:left="1920" w:hanging="641"/>
        <w:spacing w:after="0"/>
        <w:tabs>
          <w:tab w:leader="none" w:pos="192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Succeeding Grants</w:t>
      </w:r>
      <w:r>
        <w:rPr>
          <w:rFonts w:ascii="Arial" w:cs="Arial" w:eastAsia="Arial" w:hAnsi="Arial"/>
          <w:sz w:val="15"/>
          <w:szCs w:val="15"/>
          <w:color w:val="auto"/>
        </w:rPr>
        <w:t>. Each Succeeding Grant will vest (i) as to twenty-five percent (25%) of the Shares on the earlier of (A) the one</w:t>
      </w:r>
    </w:p>
    <w:p>
      <w:pPr>
        <w:spacing w:after="0" w:line="50" w:lineRule="exact"/>
        <w:rPr>
          <w:rFonts w:ascii="Arial" w:cs="Arial" w:eastAsia="Arial" w:hAnsi="Arial"/>
          <w:sz w:val="15"/>
          <w:szCs w:val="15"/>
          <w:color w:val="auto"/>
        </w:rPr>
      </w:pPr>
    </w:p>
    <w:p>
      <w:pPr>
        <w:ind w:left="1920" w:right="300"/>
        <w:spacing w:after="0" w:line="350" w:lineRule="auto"/>
        <w:rPr>
          <w:rFonts w:ascii="Arial" w:cs="Arial" w:eastAsia="Arial" w:hAnsi="Arial"/>
          <w:sz w:val="15"/>
          <w:szCs w:val="15"/>
          <w:color w:val="auto"/>
        </w:rPr>
      </w:pPr>
      <w:r>
        <w:rPr>
          <w:rFonts w:ascii="Arial" w:cs="Arial" w:eastAsia="Arial" w:hAnsi="Arial"/>
          <w:sz w:val="15"/>
          <w:szCs w:val="15"/>
          <w:color w:val="auto"/>
        </w:rPr>
        <w:t>(1) year anniversary of the Start Date or (B) the next succeeding Annual Meeting where such Outside Director is not serving as an Outside Director following such Annual Meeting but such person is an Outside Director on the day immediately preceding such</w:t>
      </w:r>
    </w:p>
    <w:p>
      <w:pPr>
        <w:sectPr>
          <w:pgSz w:w="11900" w:h="16938" w:orient="portrait"/>
          <w:cols w:equalWidth="0" w:num="1">
            <w:col w:w="11420"/>
          </w:cols>
          <w:pgMar w:left="240" w:top="127" w:right="239" w:bottom="0" w:gutter="0" w:footer="0" w:header="0"/>
        </w:sectPr>
      </w:pPr>
    </w:p>
    <w:bookmarkStart w:id="9" w:name="page10"/>
    <w:bookmarkEnd w:id="9"/>
    <w:p>
      <w:pPr>
        <w:spacing w:after="0" w:line="87" w:lineRule="exact"/>
        <w:rPr>
          <w:sz w:val="20"/>
          <w:szCs w:val="20"/>
          <w:color w:val="auto"/>
        </w:rPr>
      </w:pPr>
    </w:p>
    <w:p>
      <w:pPr>
        <w:ind w:left="1920" w:right="400"/>
        <w:spacing w:after="0" w:line="265" w:lineRule="auto"/>
        <w:rPr>
          <w:sz w:val="20"/>
          <w:szCs w:val="20"/>
          <w:color w:val="auto"/>
        </w:rPr>
      </w:pPr>
      <w:r>
        <w:rPr>
          <w:rFonts w:ascii="Arial" w:cs="Arial" w:eastAsia="Arial" w:hAnsi="Arial"/>
          <w:sz w:val="18"/>
          <w:szCs w:val="18"/>
          <w:color w:val="auto"/>
        </w:rPr>
        <w:t>Annual Meeting and (ii) as to 2.08333% of the Shares on each subsequent monthly anniversary thereafter, so long as the Outside Director continuously remains a director or consultant of the Company.</w:t>
      </w:r>
    </w:p>
    <w:p>
      <w:pPr>
        <w:spacing w:after="0" w:line="1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Notwithstanding any provision to the contrary, in the event of a Corporate Transaction described in Section 18.1, the vesting of all options granted to Outside Directors pursuant to this Section 9 will accelerate and such options will become exercisable in full prior to the consummation of such event at such times and on such conditions as the Committee determines, and must be exercised, if at all, within three months of the consummation of said event. Any options not exercised within such three-month period shall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346075</wp:posOffset>
            </wp:positionV>
            <wp:extent cx="727011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1273"/>
        <w:spacing w:after="0" w:line="26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pursuant to an Initial Grant and Succeeding Grant shall be the Fair Market Value of the Shares, at the time that the Option is granted.</w:t>
      </w:r>
    </w:p>
    <w:p>
      <w:pPr>
        <w:spacing w:after="0" w:line="173" w:lineRule="exact"/>
        <w:rPr>
          <w:sz w:val="20"/>
          <w:szCs w:val="20"/>
          <w:color w:val="auto"/>
        </w:rPr>
      </w:pPr>
    </w:p>
    <w:p>
      <w:pPr>
        <w:ind w:left="1300" w:hanging="658"/>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223" w:lineRule="exact"/>
        <w:rPr>
          <w:sz w:val="20"/>
          <w:szCs w:val="20"/>
          <w:color w:val="auto"/>
        </w:rPr>
      </w:pPr>
    </w:p>
    <w:p>
      <w:pPr>
        <w:ind w:right="160" w:firstLine="1273"/>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Whenever Shares are to be issued in satisfaction of Awards granted under this Plan, the Company may require the Participant to remit to the Company an amount sufficient to satisfy federal, state and local withholding tax requirements prior to the delivery of any certificate or certificates for such Shares. Whenever, under this Plan, payments in satisfaction of Awards are to be made in cash, such payment will be net of an amount sufficient to satisfy federal, state, and local withholding tax requirements.</w:t>
      </w:r>
    </w:p>
    <w:p>
      <w:pPr>
        <w:spacing w:after="0" w:line="178" w:lineRule="exact"/>
        <w:rPr>
          <w:sz w:val="20"/>
          <w:szCs w:val="20"/>
          <w:color w:val="auto"/>
        </w:rPr>
      </w:pPr>
    </w:p>
    <w:p>
      <w:pPr>
        <w:ind w:right="200" w:firstLine="1273"/>
        <w:spacing w:after="0" w:line="26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Stock Withholding</w:t>
      </w:r>
      <w:r>
        <w:rPr>
          <w:rFonts w:ascii="Arial" w:cs="Arial" w:eastAsia="Arial" w:hAnsi="Arial"/>
          <w:sz w:val="17"/>
          <w:szCs w:val="17"/>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the minimum withholding tax obligation by electing to have the Company withhold from the Shares to be issued that number of Shares having a Fair Market Value equal to the minimum amount required to be withheld, determined on the date that the amount of tax to be withheld is to be determined. All elections by a Participant to have Shares withheld for this purpose will be made in accordance with the requirements established by the Committee and be in writing in a form acceptable to the Committee.</w:t>
      </w:r>
    </w:p>
    <w:p>
      <w:pPr>
        <w:spacing w:after="0" w:line="174" w:lineRule="exact"/>
        <w:rPr>
          <w:sz w:val="20"/>
          <w:szCs w:val="20"/>
          <w:color w:val="auto"/>
        </w:rPr>
      </w:pPr>
    </w:p>
    <w:p>
      <w:pPr>
        <w:ind w:left="1300" w:hanging="658"/>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223" w:lineRule="exact"/>
        <w:rPr>
          <w:sz w:val="20"/>
          <w:szCs w:val="20"/>
          <w:color w:val="auto"/>
        </w:rPr>
      </w:pPr>
    </w:p>
    <w:p>
      <w:pPr>
        <w:ind w:right="140" w:firstLine="1273"/>
        <w:spacing w:after="0" w:line="277" w:lineRule="auto"/>
        <w:rPr>
          <w:sz w:val="20"/>
          <w:szCs w:val="20"/>
          <w:color w:val="auto"/>
        </w:rPr>
      </w:pPr>
      <w:r>
        <w:rPr>
          <w:rFonts w:ascii="Arial" w:cs="Arial" w:eastAsia="Arial" w:hAnsi="Arial"/>
          <w:sz w:val="17"/>
          <w:szCs w:val="17"/>
          <w:color w:val="auto"/>
        </w:rPr>
        <w:t>11.1 Except as otherwise provided in this Section 11, Awards granted under this Plan, and any interest therein, will not be transferable or assignable by Participant, and may not be made subject to execution, attachment or similar process, otherwise than by will or by the laws of descent and distribution or as determined by the Committee and set forth in the Award Agreement with respect to Awards that are not ISOs.</w:t>
      </w:r>
    </w:p>
    <w:p>
      <w:pPr>
        <w:spacing w:after="0" w:line="172"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 xml:space="preserve">All Awards other than NQSO’s. </w:t>
      </w:r>
      <w:r>
        <w:rPr>
          <w:rFonts w:ascii="Arial" w:cs="Arial" w:eastAsia="Arial" w:hAnsi="Arial"/>
          <w:sz w:val="15"/>
          <w:szCs w:val="15"/>
          <w:color w:val="auto"/>
        </w:rPr>
        <w:t>All Awards other than NQSO’s shall be exercisable: (i) during the Participant’s lifetime, only by</w:t>
      </w:r>
    </w:p>
    <w:p>
      <w:pPr>
        <w:spacing w:after="0" w:line="16" w:lineRule="exact"/>
        <w:rPr>
          <w:sz w:val="20"/>
          <w:szCs w:val="20"/>
          <w:color w:val="auto"/>
        </w:rPr>
      </w:pPr>
    </w:p>
    <w:p>
      <w:pPr>
        <w:ind w:right="80" w:firstLine="6"/>
        <w:spacing w:after="0" w:line="251" w:lineRule="auto"/>
        <w:tabs>
          <w:tab w:leader="none" w:pos="2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Participant, or (B) the Participant’s guardian or legal representative; and (ii) after Participant’s death, by the legal representative of the Participant’s heirs or legatees.</w:t>
      </w:r>
    </w:p>
    <w:p>
      <w:pPr>
        <w:spacing w:after="0" w:line="192"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u w:val="single" w:color="auto"/>
          <w:color w:val="auto"/>
        </w:rPr>
        <w:t>NQSOs</w:t>
      </w:r>
      <w:r>
        <w:rPr>
          <w:rFonts w:ascii="Arial" w:cs="Arial" w:eastAsia="Arial" w:hAnsi="Arial"/>
          <w:sz w:val="15"/>
          <w:szCs w:val="15"/>
          <w:color w:val="auto"/>
        </w:rPr>
        <w:t>. Unless otherwise restricted by the Committee, an NQSO shall be exercisable: (i) during the Participant’s lifetime only by</w:t>
      </w:r>
    </w:p>
    <w:p>
      <w:pPr>
        <w:spacing w:after="0" w:line="16" w:lineRule="exact"/>
        <w:rPr>
          <w:sz w:val="20"/>
          <w:szCs w:val="20"/>
          <w:color w:val="auto"/>
        </w:rPr>
      </w:pPr>
    </w:p>
    <w:p>
      <w:pPr>
        <w:ind w:left="300" w:hanging="294"/>
        <w:spacing w:after="0"/>
        <w:tabs>
          <w:tab w:leader="none" w:pos="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Participant, (B) the Participant’s guardian or legal representative, (C) a Family Member of the Participant who has acquired the NQSO by “permitted</w:t>
      </w:r>
    </w:p>
    <w:p>
      <w:pPr>
        <w:spacing w:after="0" w:line="39" w:lineRule="exact"/>
        <w:rPr>
          <w:rFonts w:ascii="Arial" w:cs="Arial" w:eastAsia="Arial" w:hAnsi="Arial"/>
          <w:sz w:val="15"/>
          <w:szCs w:val="15"/>
          <w:color w:val="auto"/>
        </w:rPr>
      </w:pPr>
    </w:p>
    <w:p>
      <w:pPr>
        <w:ind w:right="20"/>
        <w:spacing w:after="0" w:line="295" w:lineRule="auto"/>
        <w:rPr>
          <w:rFonts w:ascii="Arial" w:cs="Arial" w:eastAsia="Arial" w:hAnsi="Arial"/>
          <w:sz w:val="15"/>
          <w:szCs w:val="15"/>
          <w:color w:val="auto"/>
        </w:rPr>
      </w:pPr>
      <w:r>
        <w:rPr>
          <w:rFonts w:ascii="Arial" w:cs="Arial" w:eastAsia="Arial" w:hAnsi="Arial"/>
          <w:sz w:val="15"/>
          <w:szCs w:val="15"/>
          <w:color w:val="auto"/>
        </w:rPr>
        <w:t>transfer;” and (ii) after Participant’s death, by the legal representative of the Participant’s heirs or legatees. “Permitted transfer” means, as authorized by this Plan and the Committee in an NQSO, any transfer effected by the Participant during the Participant’s lifetime of an interest in such NQSO but only such transfers which are by gift or domestic relations order. A permitted transfer does not include any transfer for value and neither of the following are transfers for value:</w:t>
      </w:r>
    </w:p>
    <w:p>
      <w:pPr>
        <w:spacing w:after="0"/>
        <w:rPr>
          <w:rFonts w:ascii="Arial" w:cs="Arial" w:eastAsia="Arial" w:hAnsi="Arial"/>
          <w:sz w:val="15"/>
          <w:szCs w:val="15"/>
          <w:color w:val="auto"/>
        </w:rPr>
      </w:pPr>
      <w:r>
        <w:rPr>
          <w:rFonts w:ascii="Arial" w:cs="Arial" w:eastAsia="Arial" w:hAnsi="Arial"/>
          <w:sz w:val="18"/>
          <w:szCs w:val="18"/>
          <w:color w:val="auto"/>
        </w:rPr>
        <w:t>(a) a transfer of under a domestic relations order in settlement of marital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7011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property rights or (b) a transfer to an entity in which more than fifty percent of the voting interests are owned by Family Members or the Participant in exchange for an interest in that entity.</w:t>
      </w:r>
    </w:p>
    <w:p>
      <w:pPr>
        <w:spacing w:after="0" w:line="173" w:lineRule="exact"/>
        <w:rPr>
          <w:sz w:val="20"/>
          <w:szCs w:val="20"/>
          <w:color w:val="auto"/>
        </w:rPr>
      </w:pPr>
    </w:p>
    <w:p>
      <w:pPr>
        <w:ind w:left="1300" w:hanging="658"/>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223" w:lineRule="exact"/>
        <w:rPr>
          <w:sz w:val="20"/>
          <w:szCs w:val="20"/>
          <w:color w:val="auto"/>
        </w:rPr>
      </w:pPr>
    </w:p>
    <w:p>
      <w:pPr>
        <w:ind w:right="20" w:firstLine="1273"/>
        <w:spacing w:after="0" w:line="26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Voting and Dividends</w:t>
      </w:r>
      <w:r>
        <w:rPr>
          <w:rFonts w:ascii="Arial" w:cs="Arial" w:eastAsia="Arial" w:hAnsi="Arial"/>
          <w:sz w:val="17"/>
          <w:szCs w:val="17"/>
          <w:color w:val="auto"/>
        </w:rPr>
        <w:t xml:space="preserve">. No Participant will have any of the rights of a stockholder with respect to any Shares until the 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Participant will have no right to retain such stock dividends or stock distributions with respect to Shares that are repurchased at the Participant’s Purchase Price or Exercise Price pursuant to Section 12.</w:t>
      </w:r>
    </w:p>
    <w:p>
      <w:pPr>
        <w:spacing w:after="0" w:line="181" w:lineRule="exact"/>
        <w:rPr>
          <w:sz w:val="20"/>
          <w:szCs w:val="20"/>
          <w:color w:val="auto"/>
        </w:rPr>
      </w:pPr>
    </w:p>
    <w:p>
      <w:pPr>
        <w:ind w:right="60" w:firstLine="1273"/>
        <w:spacing w:after="0" w:line="330"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The Company will provide financial statements to each Participant prior to such Participant’s purchase of Shares under this Plan, and to each Participant annually during the period such Participant has Awards outstanding;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Company will not be required to provide such financial statements to Participants whose services in connection with the Company assure them access to equivalent information.</w:t>
      </w:r>
    </w:p>
    <w:p>
      <w:pPr>
        <w:spacing w:after="0" w:line="137" w:lineRule="exact"/>
        <w:rPr>
          <w:sz w:val="20"/>
          <w:szCs w:val="20"/>
          <w:color w:val="auto"/>
        </w:rPr>
      </w:pPr>
    </w:p>
    <w:p>
      <w:pPr>
        <w:ind w:right="40" w:firstLine="1273"/>
        <w:spacing w:after="0" w:line="25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xml:space="preserve"> At the discretion of the Committee, the Company may reserve to itself and/or its assignee(s) in the Award Agreement a right to repurchase a portion of or all Unvested Shares held by a Participant following such Participant’s Termination at any time within ninety (90) days after the later of Participant’s Termination Date and the date Participant purchases Shares under this Plan, for cash and/or cancellation of purchase money indebtedness, at the Participant’s Exercise Price or Purchase Price, as the case may be.</w:t>
      </w:r>
    </w:p>
    <w:p>
      <w:pPr>
        <w:spacing w:after="0" w:line="185" w:lineRule="exact"/>
        <w:rPr>
          <w:sz w:val="20"/>
          <w:szCs w:val="20"/>
          <w:color w:val="auto"/>
        </w:rPr>
      </w:pPr>
    </w:p>
    <w:p>
      <w:pPr>
        <w:ind w:right="60" w:firstLine="642"/>
        <w:spacing w:after="0" w:line="334" w:lineRule="auto"/>
        <w:tabs>
          <w:tab w:leader="none" w:pos="1299"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CERTIFICATES</w:t>
      </w:r>
      <w:r>
        <w:rPr>
          <w:rFonts w:ascii="Arial" w:cs="Arial" w:eastAsia="Arial" w:hAnsi="Arial"/>
          <w:sz w:val="15"/>
          <w:szCs w:val="15"/>
          <w:color w:val="auto"/>
        </w:rPr>
        <w:t>. All certificates for Shares or other securities delivered under this Plan will be subject to such stock transfer orders, legends</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28" w:lineRule="exact"/>
        <w:rPr>
          <w:rFonts w:ascii="Arial" w:cs="Arial" w:eastAsia="Arial" w:hAnsi="Arial"/>
          <w:sz w:val="15"/>
          <w:szCs w:val="15"/>
          <w:b w:val="1"/>
          <w:bCs w:val="1"/>
          <w:color w:val="auto"/>
        </w:rPr>
      </w:pPr>
    </w:p>
    <w:p>
      <w:pPr>
        <w:ind w:right="280" w:firstLine="642"/>
        <w:spacing w:after="0" w:line="334" w:lineRule="auto"/>
        <w:tabs>
          <w:tab w:leader="none" w:pos="1299"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ESCROW; PLEDGE OF SHARES</w:t>
      </w:r>
      <w:r>
        <w:rPr>
          <w:rFonts w:ascii="Arial" w:cs="Arial" w:eastAsia="Arial" w:hAnsi="Arial"/>
          <w:sz w:val="15"/>
          <w:szCs w:val="15"/>
          <w:color w:val="auto"/>
        </w:rPr>
        <w:t>. To enforce any restrictions on a Participant’s Shares, the Committee may require the Participant to</w:t>
      </w:r>
      <w:r>
        <w:rPr>
          <w:rFonts w:ascii="Arial" w:cs="Arial" w:eastAsia="Arial" w:hAnsi="Arial"/>
          <w:sz w:val="15"/>
          <w:szCs w:val="15"/>
          <w:b w:val="1"/>
          <w:bCs w:val="1"/>
          <w:color w:val="auto"/>
        </w:rPr>
        <w:t xml:space="preserve"> </w:t>
      </w:r>
      <w:r>
        <w:rPr>
          <w:rFonts w:ascii="Arial" w:cs="Arial" w:eastAsia="Arial" w:hAnsi="Arial"/>
          <w:sz w:val="15"/>
          <w:szCs w:val="15"/>
          <w:color w:val="auto"/>
        </w:rPr>
        <w:t>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w:t>
      </w:r>
    </w:p>
    <w:p>
      <w:pPr>
        <w:sectPr>
          <w:pgSz w:w="11900" w:h="16926" w:orient="portrait"/>
          <w:cols w:equalWidth="0" w:num="1">
            <w:col w:w="11420"/>
          </w:cols>
          <w:pgMar w:left="240" w:top="127" w:right="239" w:bottom="0" w:gutter="0" w:footer="0" w:header="0"/>
        </w:sectPr>
      </w:pPr>
    </w:p>
    <w:bookmarkStart w:id="10" w:name="page11"/>
    <w:bookmarkEnd w:id="10"/>
    <w:p>
      <w:pPr>
        <w:ind w:right="80"/>
        <w:spacing w:after="0" w:line="330" w:lineRule="auto"/>
        <w:rPr>
          <w:sz w:val="20"/>
          <w:szCs w:val="20"/>
          <w:color w:val="auto"/>
        </w:rPr>
      </w:pPr>
      <w:r>
        <w:rPr>
          <w:rFonts w:ascii="Arial" w:cs="Arial" w:eastAsia="Arial" w:hAnsi="Arial"/>
          <w:sz w:val="15"/>
          <w:szCs w:val="15"/>
          <w:color w:val="auto"/>
        </w:rPr>
        <w:t xml:space="preserve">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Committee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311785</wp:posOffset>
            </wp:positionV>
            <wp:extent cx="727011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72" w:lineRule="exact"/>
        <w:rPr>
          <w:sz w:val="20"/>
          <w:szCs w:val="20"/>
          <w:color w:val="auto"/>
        </w:rPr>
      </w:pPr>
    </w:p>
    <w:p>
      <w:pPr>
        <w:ind w:right="40" w:firstLine="722"/>
        <w:spacing w:after="0" w:line="254" w:lineRule="auto"/>
        <w:tabs>
          <w:tab w:leader="none" w:pos="129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AND BUYOUT OF AWARDS</w:t>
      </w:r>
      <w:r>
        <w:rPr>
          <w:rFonts w:ascii="Arial" w:cs="Arial" w:eastAsia="Arial" w:hAnsi="Arial"/>
          <w:sz w:val="18"/>
          <w:szCs w:val="18"/>
          <w:color w:val="auto"/>
        </w:rPr>
        <w:t>. The Committee may, at any time or from time to time, authorize the Company,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respective Participants, to issue new Awards in exchange for the surrender and cancellation of any or all outstanding Awards.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4" w:lineRule="exact"/>
        <w:rPr>
          <w:rFonts w:ascii="Arial" w:cs="Arial" w:eastAsia="Arial" w:hAnsi="Arial"/>
          <w:sz w:val="18"/>
          <w:szCs w:val="18"/>
          <w:b w:val="1"/>
          <w:bCs w:val="1"/>
          <w:color w:val="auto"/>
        </w:rPr>
      </w:pPr>
    </w:p>
    <w:p>
      <w:pPr>
        <w:ind w:right="40" w:firstLine="722"/>
        <w:spacing w:after="0" w:line="249" w:lineRule="auto"/>
        <w:tabs>
          <w:tab w:leader="none" w:pos="129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 AND OTHER REGULATORY COMPLIANCE</w:t>
      </w:r>
      <w:r>
        <w:rPr>
          <w:rFonts w:ascii="Arial" w:cs="Arial" w:eastAsia="Arial" w:hAnsi="Arial"/>
          <w:sz w:val="18"/>
          <w:szCs w:val="18"/>
          <w:color w:val="auto"/>
        </w:rPr>
        <w:t>. An Award will not be effective unless such Award is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registration, qualification or listing requirements of any state securities laws, stock exchange or automated quotation system, and the Company will have no liability for any inability or failure to do so.</w:t>
      </w:r>
    </w:p>
    <w:p>
      <w:pPr>
        <w:spacing w:after="0" w:line="188" w:lineRule="exact"/>
        <w:rPr>
          <w:rFonts w:ascii="Arial" w:cs="Arial" w:eastAsia="Arial" w:hAnsi="Arial"/>
          <w:sz w:val="18"/>
          <w:szCs w:val="18"/>
          <w:b w:val="1"/>
          <w:bCs w:val="1"/>
          <w:color w:val="auto"/>
        </w:rPr>
      </w:pPr>
    </w:p>
    <w:p>
      <w:pPr>
        <w:ind w:firstLine="722"/>
        <w:spacing w:after="0" w:line="254" w:lineRule="auto"/>
        <w:tabs>
          <w:tab w:leader="none" w:pos="129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EMPLOY</w:t>
      </w:r>
      <w:r>
        <w:rPr>
          <w:rFonts w:ascii="Arial" w:cs="Arial" w:eastAsia="Arial" w:hAnsi="Arial"/>
          <w:sz w:val="18"/>
          <w:szCs w:val="18"/>
          <w:color w:val="auto"/>
        </w:rPr>
        <w:t>. Nothing in this Plan or any Award granted under this Plan will confer or be deemed to confer on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any right to continue in the employ of, or to continue any 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184" w:lineRule="exact"/>
        <w:rPr>
          <w:rFonts w:ascii="Arial" w:cs="Arial" w:eastAsia="Arial" w:hAnsi="Arial"/>
          <w:sz w:val="18"/>
          <w:szCs w:val="18"/>
          <w:b w:val="1"/>
          <w:bCs w:val="1"/>
          <w:color w:val="auto"/>
        </w:rPr>
      </w:pPr>
    </w:p>
    <w:p>
      <w:pPr>
        <w:ind w:left="1300" w:hanging="658"/>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223" w:lineRule="exact"/>
        <w:rPr>
          <w:sz w:val="20"/>
          <w:szCs w:val="20"/>
          <w:color w:val="auto"/>
        </w:rPr>
      </w:pPr>
    </w:p>
    <w:p>
      <w:pPr>
        <w:ind w:firstLine="1273"/>
        <w:spacing w:after="0" w:line="269"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Assumption or Replacement of Awards by Successor</w:t>
      </w:r>
      <w:r>
        <w:rPr>
          <w:rFonts w:ascii="Arial" w:cs="Arial" w:eastAsia="Arial" w:hAnsi="Arial"/>
          <w:sz w:val="17"/>
          <w:szCs w:val="17"/>
          <w:color w:val="auto"/>
        </w:rPr>
        <w:t>. Except for automatic grants to Outside Directors pursuant to Section 9 hereof, in the event of (a) a dissolution or liquidation of the Company, (b)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Awards granted under this Plan are assumed, converted or replaced by the successor corporation, which assumption will be binding on all Participants), (c) a merger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27011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 (d) the sale of substantially all of the assets of the Company, or (e) the acquisition, sale, or transfer of more than 50% of the outstanding shares of the Company by tender offer or similar transaction (each, a “</w:t>
      </w:r>
      <w:r>
        <w:rPr>
          <w:rFonts w:ascii="Arial" w:cs="Arial" w:eastAsia="Arial" w:hAnsi="Arial"/>
          <w:sz w:val="15"/>
          <w:szCs w:val="15"/>
          <w:b w:val="1"/>
          <w:bCs w:val="1"/>
          <w:i w:val="1"/>
          <w:iCs w:val="1"/>
          <w:color w:val="auto"/>
        </w:rPr>
        <w:t>Corporate Transaction</w:t>
      </w:r>
      <w:r>
        <w:rPr>
          <w:rFonts w:ascii="Arial" w:cs="Arial" w:eastAsia="Arial" w:hAnsi="Arial"/>
          <w:sz w:val="15"/>
          <w:szCs w:val="15"/>
          <w:color w:val="auto"/>
        </w:rPr>
        <w:t>”), (i) the vesting of all outstanding Awards will accelerate as to an additional 25% of the Shares that are unvested on the date of the Corporate Transaction and, (ii) thereafter, unless otherwise set forth below, all unvested shares subject to outstanding Awards will continue to vest in equal monthly installments over the remaining original vesting term as set forth in the Award Agreement. Upon a Corporate Transaction, all outstanding Awards shall be assumed by the successor or acquiring corporation (if any), which assumption will be binding on all Participants. In the alternative, the successor or acquiring corporation may substitute equivalent Awards or provide substantially similar consideration to Participants as was provided to shareholders (after taking into account the existing provisions of the Awards). The successor corporation may also issue, in place of outstanding unvested Shares of the Company held by the Participants, substantially similar shares or other property subject to repurchase restrictions no less favorable to the Participant. In the event such successor corporation (if any) refuses to assume or substitute Awards, as provided above, pursuant to a Corporate Transaction described in this Subsection 18.1, such Awards will expire on such Corporate Transaction at such time and on such conditions as the Committee will determine. Notwithstanding anything in this Plan to the contrary, the Committee may, in its sole discretion, provide that the vesting of any or all Awards granted pursuant to this Plan will accelerate upon a Corporate Transaction described in this Section 18. If the Committee exercises such discretion with respect to Options, such Options will become exercisable in full prior to the consummation of such event at such time and on such conditions as the Committee determines, and if such Options are not exercised prior to the consummation of the Corporate Transaction, they shall terminate at such time as determined by the Committee.</w:t>
      </w:r>
    </w:p>
    <w:p>
      <w:pPr>
        <w:spacing w:after="0" w:line="168" w:lineRule="exact"/>
        <w:rPr>
          <w:sz w:val="20"/>
          <w:szCs w:val="20"/>
          <w:color w:val="auto"/>
        </w:rPr>
      </w:pPr>
    </w:p>
    <w:p>
      <w:pPr>
        <w:ind w:right="60" w:firstLine="1273"/>
        <w:spacing w:after="0" w:line="255"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Other Treatment of Awards</w:t>
      </w:r>
      <w:r>
        <w:rPr>
          <w:rFonts w:ascii="Arial" w:cs="Arial" w:eastAsia="Arial" w:hAnsi="Arial"/>
          <w:sz w:val="18"/>
          <w:szCs w:val="18"/>
          <w:color w:val="auto"/>
        </w:rPr>
        <w:t>. Subject to any greater rights granted to Participants under the foregoing provisions of this Section 18, in the event of the occurrence of any Corporate Transaction described in Section 18.1, any outstanding Awards will be treated as provided in the applicable agreement or plan of merger, consolidation, dissolution, liquidation, or sale of assets.</w:t>
      </w:r>
    </w:p>
    <w:p>
      <w:pPr>
        <w:spacing w:after="0" w:line="189" w:lineRule="exact"/>
        <w:rPr>
          <w:sz w:val="20"/>
          <w:szCs w:val="20"/>
          <w:color w:val="auto"/>
        </w:rPr>
      </w:pPr>
    </w:p>
    <w:p>
      <w:pPr>
        <w:ind w:firstLine="1273"/>
        <w:spacing w:after="0" w:line="265"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Assumption of Awards by the Company</w:t>
      </w:r>
      <w:r>
        <w:rPr>
          <w:rFonts w:ascii="Arial" w:cs="Arial" w:eastAsia="Arial" w:hAnsi="Arial"/>
          <w:sz w:val="17"/>
          <w:szCs w:val="17"/>
          <w:color w:val="auto"/>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the exercise price and the number and nature of Shares issuable upon exercise of any such option will be adjusted appropriately pursuant to Section 424(a) of the Code). In the event the Company elects to grant a new Option rather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727011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127" w:right="239" w:bottom="657"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assuming an existing option, such new Option may be granted with a similarly adjusted Exercise Price.</w:t>
      </w:r>
    </w:p>
    <w:p>
      <w:pPr>
        <w:spacing w:after="0" w:line="211" w:lineRule="exact"/>
        <w:rPr>
          <w:sz w:val="20"/>
          <w:szCs w:val="20"/>
          <w:color w:val="auto"/>
        </w:rPr>
      </w:pPr>
    </w:p>
    <w:p>
      <w:pPr>
        <w:ind w:right="140" w:firstLine="642"/>
        <w:spacing w:after="0" w:line="298" w:lineRule="auto"/>
        <w:tabs>
          <w:tab w:leader="none" w:pos="1299" w:val="left"/>
        </w:tabs>
        <w:numPr>
          <w:ilvl w:val="1"/>
          <w:numId w:val="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ADOPTION AND STOCKHOLDER APPROVAL</w:t>
      </w:r>
      <w:r>
        <w:rPr>
          <w:rFonts w:ascii="Arial" w:cs="Arial" w:eastAsia="Arial" w:hAnsi="Arial"/>
          <w:sz w:val="15"/>
          <w:szCs w:val="15"/>
          <w:color w:val="auto"/>
        </w:rPr>
        <w:t>. This Plan will become effective on the date on which the registration statement filed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with the SEC under the Securities Act registering the initial public offering of the Company’s Common Stock is declared effective by the SEC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xml:space="preserve">”). This Plan shall be approved by the stockholders of the Company (excluding Shares issued pursuant to this Plan), consistent with applicable laws, within twelve (12) months before or after the date this Plan is adopted by the Board. Upon the Effective Date, the Committee may grant Awards pursuant to this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no Option may be exercised prior to initial stockholder approval of this Plan; (b) no Option granted pursuant to an increase in the number of Shares subject to this Plan approved by the Board will be exercised prior to the time such increase has been approved by the stockholders of the Company; (c) in the event that initial stockholder approval is not obtained within the time period provided herein, all Awards granted hereunder shall be cancelled, any Shares issued pursuant to any Awards shall be cancelled and any purchase of Shares issued hereunder shall be rescinded; and</w:t>
      </w:r>
    </w:p>
    <w:p>
      <w:pPr>
        <w:spacing w:after="0" w:line="1" w:lineRule="exact"/>
        <w:rPr>
          <w:rFonts w:ascii="Arial" w:cs="Arial" w:eastAsia="Arial" w:hAnsi="Arial"/>
          <w:sz w:val="15"/>
          <w:szCs w:val="15"/>
          <w:b w:val="1"/>
          <w:bCs w:val="1"/>
          <w:color w:val="auto"/>
        </w:rPr>
      </w:pPr>
    </w:p>
    <w:p>
      <w:pPr>
        <w:ind w:right="320" w:firstLine="6"/>
        <w:spacing w:after="0" w:line="248" w:lineRule="auto"/>
        <w:tabs>
          <w:tab w:leader="none" w:pos="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stockholder approval of such increase is not obtained within the time period provided herein, all Awards granted pursuant to such increase will be cancelled, any Shares issued pursuant to any Award granted pursuant to such increase will be cancelled, and any purchase of Shares pursuant to such increase will be rescinded.</w:t>
      </w:r>
    </w:p>
    <w:p>
      <w:pPr>
        <w:spacing w:after="0" w:line="189" w:lineRule="exact"/>
        <w:rPr>
          <w:rFonts w:ascii="Arial" w:cs="Arial" w:eastAsia="Arial" w:hAnsi="Arial"/>
          <w:sz w:val="18"/>
          <w:szCs w:val="18"/>
          <w:color w:val="auto"/>
        </w:rPr>
      </w:pPr>
    </w:p>
    <w:p>
      <w:pPr>
        <w:jc w:val="both"/>
        <w:ind w:right="300" w:firstLine="642"/>
        <w:spacing w:after="0" w:line="259" w:lineRule="auto"/>
        <w:tabs>
          <w:tab w:leader="none" w:pos="1299"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terminate ten (10) years from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is adopted by the Board or, if earlier, the date of stockholder approval. This Plan and all agreements thereunder shall be governed by and construed in accordance with the laws of the State of California.</w:t>
      </w:r>
    </w:p>
    <w:p>
      <w:pPr>
        <w:spacing w:after="0" w:line="178" w:lineRule="exact"/>
        <w:rPr>
          <w:rFonts w:ascii="Arial" w:cs="Arial" w:eastAsia="Arial" w:hAnsi="Arial"/>
          <w:sz w:val="18"/>
          <w:szCs w:val="18"/>
          <w:b w:val="1"/>
          <w:bCs w:val="1"/>
          <w:color w:val="auto"/>
        </w:rPr>
      </w:pPr>
    </w:p>
    <w:p>
      <w:pPr>
        <w:ind w:right="100" w:firstLine="642"/>
        <w:spacing w:after="0" w:line="281" w:lineRule="auto"/>
        <w:tabs>
          <w:tab w:leader="none" w:pos="1299"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OR TERMINATION OF PLAN</w:t>
      </w:r>
      <w:r>
        <w:rPr>
          <w:rFonts w:ascii="Arial" w:cs="Arial" w:eastAsia="Arial" w:hAnsi="Arial"/>
          <w:sz w:val="17"/>
          <w:szCs w:val="17"/>
          <w:color w:val="auto"/>
        </w:rPr>
        <w:t>. The Board may at any time terminate or amend this Plan in any respect,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limitation amendment of any form of Award Agreement or instrument to be executed pursuant to this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will not, without the approval of the stockholders of the Company, amend this Plan in any manner that requires such stockholder approval.</w:t>
      </w:r>
    </w:p>
    <w:p>
      <w:pPr>
        <w:spacing w:after="0" w:line="161" w:lineRule="exact"/>
        <w:rPr>
          <w:rFonts w:ascii="Arial" w:cs="Arial" w:eastAsia="Arial" w:hAnsi="Arial"/>
          <w:sz w:val="17"/>
          <w:szCs w:val="17"/>
          <w:b w:val="1"/>
          <w:bCs w:val="1"/>
          <w:color w:val="auto"/>
        </w:rPr>
      </w:pPr>
    </w:p>
    <w:p>
      <w:pPr>
        <w:ind w:right="200" w:firstLine="642"/>
        <w:spacing w:after="0" w:line="274" w:lineRule="auto"/>
        <w:tabs>
          <w:tab w:leader="none" w:pos="1299"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bonuses otherwise than under this Plan, and such arrangements may be either generally applicable or applicable only in specific cases.</w:t>
      </w:r>
    </w:p>
    <w:p>
      <w:pPr>
        <w:spacing w:after="0" w:line="168" w:lineRule="exact"/>
        <w:rPr>
          <w:rFonts w:ascii="Arial" w:cs="Arial" w:eastAsia="Arial" w:hAnsi="Arial"/>
          <w:sz w:val="17"/>
          <w:szCs w:val="17"/>
          <w:b w:val="1"/>
          <w:bCs w:val="1"/>
          <w:color w:val="auto"/>
        </w:rPr>
      </w:pPr>
    </w:p>
    <w:p>
      <w:pPr>
        <w:ind w:left="1300" w:hanging="658"/>
        <w:spacing w:after="0"/>
        <w:tabs>
          <w:tab w:leader="none" w:pos="130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the following terms will have the following meanings:</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this Plan, including any Option, Restricted Stock or Stock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7011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signed written agreement between the Company and the Participant setting forth the terms and conditions of the Award.</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7" w:lineRule="exact"/>
        <w:rPr>
          <w:sz w:val="20"/>
          <w:szCs w:val="20"/>
          <w:color w:val="auto"/>
        </w:rPr>
      </w:pPr>
    </w:p>
    <w:p>
      <w:pPr>
        <w:ind w:right="120"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the commission of an act of theft, embezzlement, fraud, dishonesty or a breach of fiduciary duty to the Company or a Parent or Subsidiary of the Company.</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Lexar Media, Inc. or any successor corporation.</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the price at which a holder of an Option may purchase the Shares issuable upon exercise of the Option.</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17" w:lineRule="exact"/>
        <w:rPr>
          <w:sz w:val="20"/>
          <w:szCs w:val="20"/>
          <w:color w:val="auto"/>
        </w:rPr>
      </w:pPr>
    </w:p>
    <w:p>
      <w:pPr>
        <w:ind w:left="1920" w:right="200" w:hanging="641"/>
        <w:spacing w:after="0" w:line="265" w:lineRule="auto"/>
        <w:tabs>
          <w:tab w:leader="none" w:pos="19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such Common Stock is then quoted on the Nasdaq National Market, its closing price on the Nasdaq National Market on the date of determination as reported in </w:t>
      </w:r>
      <w:r>
        <w:rPr>
          <w:rFonts w:ascii="Arial" w:cs="Arial" w:eastAsia="Arial" w:hAnsi="Arial"/>
          <w:sz w:val="18"/>
          <w:szCs w:val="18"/>
          <w:u w:val="single" w:color="auto"/>
          <w:color w:val="auto"/>
        </w:rPr>
        <w:t>The Wall Street Journal</w:t>
      </w:r>
      <w:r>
        <w:rPr>
          <w:rFonts w:ascii="Arial" w:cs="Arial" w:eastAsia="Arial" w:hAnsi="Arial"/>
          <w:sz w:val="18"/>
          <w:szCs w:val="18"/>
          <w:b w:val="1"/>
          <w:bCs w:val="1"/>
          <w:i w:val="1"/>
          <w:iCs w:val="1"/>
          <w:color w:val="auto"/>
        </w:rPr>
        <w:t>;</w:t>
      </w:r>
    </w:p>
    <w:p>
      <w:pPr>
        <w:spacing w:after="0" w:line="179" w:lineRule="exact"/>
        <w:rPr>
          <w:rFonts w:ascii="Arial" w:cs="Arial" w:eastAsia="Arial" w:hAnsi="Arial"/>
          <w:sz w:val="18"/>
          <w:szCs w:val="18"/>
          <w:color w:val="auto"/>
        </w:rPr>
      </w:pPr>
    </w:p>
    <w:p>
      <w:pPr>
        <w:ind w:left="1920" w:right="160" w:hanging="641"/>
        <w:spacing w:after="0" w:line="255" w:lineRule="auto"/>
        <w:tabs>
          <w:tab w:leader="none" w:pos="19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920" w:right="500" w:hanging="641"/>
        <w:spacing w:after="0" w:line="255" w:lineRule="auto"/>
        <w:tabs>
          <w:tab w:leader="none" w:pos="19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not quoted on the Nasdaq National Market nor listed or admitted to trading on a national securities exchange, the average of the closing bid and asked prices on the date of determination as reported in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920" w:right="140" w:hanging="597"/>
        <w:spacing w:after="0" w:line="255" w:lineRule="auto"/>
        <w:tabs>
          <w:tab w:leader="none" w:pos="19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an Award made on the Effective Date, the price per share at which shares of the Company’s Common Stock are initially offered for sale to the public by the Company’s underwriters in the initial public offering of the Company’s Common Stock pursuant to a registration statement filed with the SEC under the Securities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727011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520"/>
          </w:cols>
          <w:pgMar w:left="240" w:top="127"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20" w:hanging="641"/>
        <w:spacing w:after="0"/>
        <w:tabs>
          <w:tab w:leader="none" w:pos="19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none of the foregoing is applicable, by the Committee in good faith.</w:t>
      </w:r>
    </w:p>
    <w:p>
      <w:pPr>
        <w:sectPr>
          <w:pgSz w:w="11900" w:h="16838" w:orient="portrait"/>
          <w:cols w:equalWidth="0" w:num="1">
            <w:col w:w="11520"/>
          </w:cols>
          <w:pgMar w:left="240" w:top="127" w:right="139" w:bottom="0" w:gutter="0" w:footer="0" w:header="0"/>
          <w:type w:val="continuous"/>
        </w:sectPr>
      </w:pPr>
    </w:p>
    <w:bookmarkStart w:id="12" w:name="page13"/>
    <w:bookmarkEnd w:id="12"/>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includes any of the following:</w:t>
      </w:r>
    </w:p>
    <w:p>
      <w:pPr>
        <w:spacing w:after="0" w:line="217" w:lineRule="exact"/>
        <w:rPr>
          <w:sz w:val="20"/>
          <w:szCs w:val="20"/>
          <w:color w:val="auto"/>
        </w:rPr>
      </w:pPr>
    </w:p>
    <w:p>
      <w:pPr>
        <w:jc w:val="both"/>
        <w:ind w:left="1920" w:right="80" w:hanging="641"/>
        <w:spacing w:after="0" w:line="255" w:lineRule="auto"/>
        <w:tabs>
          <w:tab w:leader="none" w:pos="19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child, stepchild, grandchild, parent, stepparent, grandparent, spouse, former spouse, sibling, niece, nephew, mother-in-law, father-in-law, son-in-law, daughter-in-law, brother-in-law, or sister-in-law of the Participant, including any such person with such relationship to the Participant by adoption;</w:t>
      </w:r>
    </w:p>
    <w:p>
      <w:pPr>
        <w:spacing w:after="0" w:line="188" w:lineRule="exact"/>
        <w:rPr>
          <w:rFonts w:ascii="Arial" w:cs="Arial" w:eastAsia="Arial" w:hAnsi="Arial"/>
          <w:sz w:val="18"/>
          <w:szCs w:val="18"/>
          <w:color w:val="auto"/>
        </w:rPr>
      </w:pPr>
    </w:p>
    <w:p>
      <w:pPr>
        <w:ind w:left="1920" w:hanging="641"/>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(other than a tenant or employee) sharing the Participant’s household;</w:t>
      </w:r>
    </w:p>
    <w:p>
      <w:pPr>
        <w:spacing w:after="0" w:line="217" w:lineRule="exact"/>
        <w:rPr>
          <w:rFonts w:ascii="Arial" w:cs="Arial" w:eastAsia="Arial" w:hAnsi="Arial"/>
          <w:sz w:val="18"/>
          <w:szCs w:val="18"/>
          <w:color w:val="auto"/>
        </w:rPr>
      </w:pPr>
    </w:p>
    <w:p>
      <w:pPr>
        <w:ind w:left="1920" w:hanging="641"/>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in which the persons in (a) and (b) have more than fifty percent of the beneficial interest;</w:t>
      </w:r>
    </w:p>
    <w:p>
      <w:pPr>
        <w:spacing w:after="0" w:line="217" w:lineRule="exact"/>
        <w:rPr>
          <w:rFonts w:ascii="Arial" w:cs="Arial" w:eastAsia="Arial" w:hAnsi="Arial"/>
          <w:sz w:val="18"/>
          <w:szCs w:val="18"/>
          <w:color w:val="auto"/>
        </w:rPr>
      </w:pPr>
    </w:p>
    <w:p>
      <w:pPr>
        <w:ind w:left="1920" w:hanging="641"/>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foundation in which the persons in (a) and (b) or the Participant control the management of assets; or</w:t>
      </w:r>
    </w:p>
    <w:p>
      <w:pPr>
        <w:spacing w:after="0" w:line="217" w:lineRule="exact"/>
        <w:rPr>
          <w:rFonts w:ascii="Arial" w:cs="Arial" w:eastAsia="Arial" w:hAnsi="Arial"/>
          <w:sz w:val="18"/>
          <w:szCs w:val="18"/>
          <w:color w:val="auto"/>
        </w:rPr>
      </w:pPr>
    </w:p>
    <w:p>
      <w:pPr>
        <w:ind w:left="1940" w:hanging="661"/>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entity in which the persons in (a) and (b) or the Participant own more than fifty percent of the voting interest.</w:t>
      </w:r>
    </w:p>
    <w:p>
      <w:pPr>
        <w:spacing w:after="0" w:line="217"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 Section 16 of the Exchange Act.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Outside Director</w:t>
      </w:r>
      <w:r>
        <w:rPr>
          <w:rFonts w:ascii="Arial" w:cs="Arial" w:eastAsia="Arial" w:hAnsi="Arial"/>
          <w:sz w:val="15"/>
          <w:szCs w:val="15"/>
          <w:color w:val="auto"/>
        </w:rPr>
        <w:t>” means a member of the Board who is not an employee of the Company or any Parent, Subsidiary or Affiliate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6" w:lineRule="exact"/>
        <w:rPr>
          <w:sz w:val="20"/>
          <w:szCs w:val="20"/>
          <w:color w:val="auto"/>
        </w:rPr>
      </w:pPr>
    </w:p>
    <w:p>
      <w:pPr>
        <w:ind w:right="320" w:firstLine="127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50% or more of the total combined voting power of all classes of stock in one of the other corporations in such chain.</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17" w:lineRule="exact"/>
        <w:rPr>
          <w:sz w:val="20"/>
          <w:szCs w:val="20"/>
          <w:color w:val="auto"/>
        </w:rPr>
      </w:pPr>
    </w:p>
    <w:p>
      <w:pPr>
        <w:ind w:right="760"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the factors selected by the Committee from among the following measures to determine whether the performance goals established by the Committee and applicable to Awards have been satisfied:</w:t>
      </w:r>
    </w:p>
    <w:p>
      <w:pPr>
        <w:spacing w:after="0" w:line="179" w:lineRule="exact"/>
        <w:rPr>
          <w:sz w:val="20"/>
          <w:szCs w:val="20"/>
          <w:color w:val="auto"/>
        </w:rPr>
      </w:pPr>
    </w:p>
    <w:p>
      <w:pPr>
        <w:ind w:left="1960" w:hanging="681"/>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revenue and/or net revenue growth;</w:t>
      </w:r>
    </w:p>
    <w:p>
      <w:pPr>
        <w:spacing w:after="0" w:line="217" w:lineRule="exact"/>
        <w:rPr>
          <w:rFonts w:ascii="Arial" w:cs="Arial" w:eastAsia="Arial" w:hAnsi="Arial"/>
          <w:sz w:val="18"/>
          <w:szCs w:val="18"/>
          <w:color w:val="auto"/>
        </w:rPr>
      </w:pPr>
    </w:p>
    <w:p>
      <w:pPr>
        <w:ind w:left="1920" w:hanging="641"/>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before income taxes and amortization and/or earnings before income taxes and amortization growth;</w:t>
      </w:r>
    </w:p>
    <w:p>
      <w:pPr>
        <w:spacing w:after="0" w:line="217" w:lineRule="exact"/>
        <w:rPr>
          <w:rFonts w:ascii="Arial" w:cs="Arial" w:eastAsia="Arial" w:hAnsi="Arial"/>
          <w:sz w:val="18"/>
          <w:szCs w:val="18"/>
          <w:color w:val="auto"/>
        </w:rPr>
      </w:pPr>
    </w:p>
    <w:p>
      <w:pPr>
        <w:ind w:left="1960" w:hanging="681"/>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income and/or operating income growth;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 and/or net income growth;</w:t>
      </w:r>
    </w:p>
    <w:p>
      <w:pPr>
        <w:spacing w:after="0" w:line="217" w:lineRule="exact"/>
        <w:rPr>
          <w:rFonts w:ascii="Arial" w:cs="Arial" w:eastAsia="Arial" w:hAnsi="Arial"/>
          <w:sz w:val="18"/>
          <w:szCs w:val="18"/>
          <w:color w:val="auto"/>
        </w:rPr>
      </w:pPr>
    </w:p>
    <w:p>
      <w:pPr>
        <w:ind w:left="1960" w:hanging="681"/>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per share and/or earnings per share growth;</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stockholder return and/or total stockholder return growth;</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cash flow return on income;</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operating cash flow return on income;</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217" w:lineRule="exact"/>
        <w:rPr>
          <w:rFonts w:ascii="Arial" w:cs="Arial" w:eastAsia="Arial" w:hAnsi="Arial"/>
          <w:sz w:val="18"/>
          <w:szCs w:val="18"/>
          <w:color w:val="auto"/>
        </w:rPr>
      </w:pPr>
    </w:p>
    <w:p>
      <w:pPr>
        <w:ind w:left="1980" w:hanging="701"/>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-2254885</wp:posOffset>
            </wp:positionV>
            <wp:extent cx="727011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197" w:lineRule="exact"/>
        <w:rPr>
          <w:sz w:val="20"/>
          <w:szCs w:val="20"/>
          <w:color w:val="auto"/>
        </w:rPr>
      </w:pPr>
    </w:p>
    <w:p>
      <w:pPr>
        <w:jc w:val="both"/>
        <w:ind w:right="180"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service determined by the Committee, not to exceed five years, during which years of service or performance is to be measured for Restricted Stock Awards or Stock Bonuses.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Lexar Media, Inc. 2000 Equity Incentive Plan, as amended from time to time.</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7" w:lineRule="exact"/>
        <w:rPr>
          <w:sz w:val="20"/>
          <w:szCs w:val="20"/>
          <w:color w:val="auto"/>
        </w:rPr>
      </w:pPr>
    </w:p>
    <w:p>
      <w:pPr>
        <w:ind w:right="20"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reserved for issuance under this Plan, as adjusted pursuant to Sections 2 and 18, and any successor security.</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means an award of Shares, or cash in lieu of Shares, pursuant to Section 7.</w:t>
      </w:r>
    </w:p>
    <w:p>
      <w:pPr>
        <w:spacing w:after="0" w:line="217" w:lineRule="exact"/>
        <w:rPr>
          <w:sz w:val="20"/>
          <w:szCs w:val="20"/>
          <w:color w:val="auto"/>
        </w:rPr>
      </w:pPr>
    </w:p>
    <w:p>
      <w:pPr>
        <w:jc w:val="both"/>
        <w:ind w:right="160" w:firstLine="127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ectPr>
          <w:pgSz w:w="11900" w:h="16838" w:orient="portrait"/>
          <w:cols w:equalWidth="0" w:num="1">
            <w:col w:w="11360"/>
          </w:cols>
          <w:pgMar w:left="240" w:top="127" w:right="299" w:bottom="120" w:gutter="0" w:footer="0" w:header="0"/>
        </w:sectPr>
      </w:pPr>
    </w:p>
    <w:bookmarkStart w:id="13" w:name="page14"/>
    <w:bookmarkEnd w:id="13"/>
    <w:p>
      <w:pPr>
        <w:ind w:right="40" w:firstLine="127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Terminated</w:t>
      </w:r>
      <w:r>
        <w:rPr>
          <w:rFonts w:ascii="Arial" w:cs="Arial" w:eastAsia="Arial" w:hAnsi="Arial"/>
          <w:sz w:val="17"/>
          <w:szCs w:val="17"/>
          <w:color w:val="auto"/>
        </w:rPr>
        <w:t>” means, for purposes of this Plan with respect to a Participant, that the Participant has for any reason ceased to provide services as an employee, officer, director, consultant, independent contractor, or advisor to the Company or a Parent or Subsidiary of the Company. An employee will not be deemed to have ceased to provide services in the case of (i) sick leave, (ii) military leave, or (iii) any other leave of absence approved by the Committee, provided, that such leave is for a period of not more than 90 days,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727011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 Subsidiary as it may deem appropriate, except that in no event may an Option be exercised after the expiration of the term set forth in the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“Unvested Shares” as defined in the Award Agreement.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means “Vested Shares” as defined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631825</wp:posOffset>
            </wp:positionV>
            <wp:extent cx="727011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LETTERHEAD]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29, 2006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340" w:type="dxa"/>
            <w:vAlign w:val="bottom"/>
          </w:tcPr>
          <w:p>
            <w:pPr>
              <w:spacing w:after="0"/>
              <w:rPr>
                <w:sz w:val="20"/>
                <w:szCs w:val="20"/>
                <w:color w:val="auto"/>
              </w:rPr>
            </w:pPr>
            <w:r>
              <w:rPr>
                <w:rFonts w:ascii="Arial" w:cs="Arial" w:eastAsia="Arial" w:hAnsi="Arial"/>
                <w:sz w:val="18"/>
                <w:szCs w:val="18"/>
                <w:color w:val="auto"/>
              </w:rPr>
              <w:t>Micron Technology, Inc.</w:t>
            </w:r>
          </w:p>
        </w:tc>
      </w:tr>
      <w:tr>
        <w:trPr>
          <w:trHeight w:val="185"/>
        </w:trPr>
        <w:tc>
          <w:tcPr>
            <w:tcW w:w="640" w:type="dxa"/>
            <w:vAlign w:val="bottom"/>
          </w:tcPr>
          <w:p>
            <w:pPr>
              <w:spacing w:after="0"/>
              <w:rPr>
                <w:sz w:val="16"/>
                <w:szCs w:val="16"/>
                <w:color w:val="auto"/>
              </w:rPr>
            </w:pPr>
          </w:p>
        </w:tc>
        <w:tc>
          <w:tcPr>
            <w:tcW w:w="234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color w:val="auto"/>
                <w:w w:val="88"/>
              </w:rPr>
              <w:t>Form S-8 Registration Statement</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7" w:lineRule="exact"/>
        <w:rPr>
          <w:sz w:val="20"/>
          <w:szCs w:val="20"/>
          <w:color w:val="auto"/>
        </w:rPr>
      </w:pPr>
    </w:p>
    <w:p>
      <w:pPr>
        <w:ind w:right="320" w:firstLine="636"/>
        <w:spacing w:after="0" w:line="255" w:lineRule="auto"/>
        <w:rPr>
          <w:sz w:val="20"/>
          <w:szCs w:val="20"/>
          <w:color w:val="auto"/>
        </w:rPr>
      </w:pPr>
      <w:r>
        <w:rPr>
          <w:rFonts w:ascii="Arial" w:cs="Arial" w:eastAsia="Arial" w:hAnsi="Arial"/>
          <w:sz w:val="18"/>
          <w:szCs w:val="18"/>
          <w:color w:val="auto"/>
        </w:rPr>
        <w:t>We have acted as special counsel to Micron Technology, Inc., a Delaware corporation (the "Company"), in connection with the registration of an additional 6,759,783 shares (the "Shares") of the Company's common stock, par value $0.10 per share (the "Common Stock"), issuable pursuant to the Lexar Media, Inc. 2000 Equity Incentive Plan (the "Plan").</w:t>
      </w:r>
    </w:p>
    <w:p>
      <w:pPr>
        <w:spacing w:after="0" w:line="189" w:lineRule="exact"/>
        <w:rPr>
          <w:sz w:val="20"/>
          <w:szCs w:val="20"/>
          <w:color w:val="auto"/>
        </w:rPr>
      </w:pPr>
    </w:p>
    <w:p>
      <w:pPr>
        <w:ind w:right="80" w:firstLine="636"/>
        <w:spacing w:after="0" w:line="265"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"Act").</w:t>
      </w:r>
    </w:p>
    <w:p>
      <w:pPr>
        <w:spacing w:after="0" w:line="179" w:lineRule="exact"/>
        <w:rPr>
          <w:sz w:val="20"/>
          <w:szCs w:val="20"/>
          <w:color w:val="auto"/>
        </w:rPr>
      </w:pPr>
    </w:p>
    <w:p>
      <w:pPr>
        <w:ind w:firstLine="636"/>
        <w:spacing w:after="0" w:line="248"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(i) the Company's Registration Statement on Form S-8 (the "Registration Statement") as filed with the Securities and Exchange Commission (the "Commission") on the date hereof (the "Registration Statement"); (ii) a specimen certificate representing the Common Stock; (iii) the Restated Certificate of Incorporation of the Company, as presently in effect; (iv) the Amended Bylaws of the Company, as presently in effect; (v) the Plan; and (vi) certain resolutions of the Board of Directors of the Company relating to the issuance and sale of the Shares and related matters.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opinions set forth herein.</w:t>
      </w:r>
    </w:p>
    <w:p>
      <w:pPr>
        <w:spacing w:after="0" w:line="198" w:lineRule="exact"/>
        <w:rPr>
          <w:sz w:val="20"/>
          <w:szCs w:val="20"/>
          <w:color w:val="auto"/>
        </w:rPr>
      </w:pPr>
    </w:p>
    <w:p>
      <w:pPr>
        <w:ind w:right="200" w:firstLine="636"/>
        <w:spacing w:after="0" w:line="255"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conformed or photostatic copies and the authenticity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27011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29, 2006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originals of such copies. In making our examination of documents executed or to be executed by parties other than the Company, we have assumed that the parties thereto had or will have the power, corporate or other, to enter into and perform all obligations thereunder, and we have also assumed the due authorization by all requisite action, corporate or other, and execution and delivery by such parties of such documents and the validity and binding effect thereof on such parties. As to any facts material to the opinions expressed herein that we have not independently established or verified, we have relied upon statements and representations of officers and other representatives of the Company and others and of public officials.</w:t>
      </w:r>
    </w:p>
    <w:p>
      <w:pPr>
        <w:spacing w:after="0" w:line="177" w:lineRule="exact"/>
        <w:rPr>
          <w:sz w:val="20"/>
          <w:szCs w:val="20"/>
          <w:color w:val="auto"/>
        </w:rPr>
      </w:pPr>
    </w:p>
    <w:p>
      <w:pPr>
        <w:jc w:val="both"/>
        <w:ind w:right="200" w:firstLine="636"/>
        <w:spacing w:after="0" w:line="265" w:lineRule="auto"/>
        <w:rPr>
          <w:sz w:val="20"/>
          <w:szCs w:val="20"/>
          <w:color w:val="auto"/>
        </w:rPr>
      </w:pPr>
      <w:r>
        <w:rPr>
          <w:rFonts w:ascii="Arial" w:cs="Arial" w:eastAsia="Arial" w:hAnsi="Arial"/>
          <w:sz w:val="18"/>
          <w:szCs w:val="18"/>
          <w:color w:val="auto"/>
        </w:rPr>
        <w:t>We have also assumed that each award agreement setting forth the terms of each grant of options or other awards under the Plan is consistent with the Plan and has been duly authorized and validly executed and delivered by the parties thereto.</w:t>
      </w:r>
    </w:p>
    <w:p>
      <w:pPr>
        <w:spacing w:after="0" w:line="179" w:lineRule="exact"/>
        <w:rPr>
          <w:sz w:val="20"/>
          <w:szCs w:val="20"/>
          <w:color w:val="auto"/>
        </w:rPr>
      </w:pPr>
    </w:p>
    <w:p>
      <w:pPr>
        <w:jc w:val="both"/>
        <w:ind w:right="180" w:firstLine="636"/>
        <w:spacing w:after="0" w:line="252" w:lineRule="auto"/>
        <w:rPr>
          <w:sz w:val="20"/>
          <w:szCs w:val="20"/>
          <w:color w:val="auto"/>
        </w:rPr>
      </w:pPr>
      <w:r>
        <w:rPr>
          <w:rFonts w:ascii="Arial" w:cs="Arial" w:eastAsia="Arial" w:hAnsi="Arial"/>
          <w:sz w:val="18"/>
          <w:szCs w:val="18"/>
          <w:color w:val="auto"/>
        </w:rPr>
        <w:t>We do not express any opinion as to any laws other than the corporate law of the State of Delaware. Insofar as the opinions expressed herein relate to matters governed by laws other than those set forth in the preceding sentence, we have assumed, without having made any independent investigation, that such laws do not affect any of the opinions set forth herein. The opinions expressed herein are based on laws in effect on the date hereof, which laws are subject to change with possible retroactive effect.</w:t>
      </w:r>
    </w:p>
    <w:p>
      <w:pPr>
        <w:spacing w:after="0" w:line="191" w:lineRule="exact"/>
        <w:rPr>
          <w:sz w:val="20"/>
          <w:szCs w:val="20"/>
          <w:color w:val="auto"/>
        </w:rPr>
      </w:pPr>
    </w:p>
    <w:p>
      <w:pPr>
        <w:jc w:val="both"/>
        <w:ind w:right="20" w:firstLine="636"/>
        <w:spacing w:after="0" w:line="269" w:lineRule="auto"/>
        <w:rPr>
          <w:sz w:val="20"/>
          <w:szCs w:val="20"/>
          <w:color w:val="auto"/>
        </w:rPr>
      </w:pPr>
      <w:r>
        <w:rPr>
          <w:rFonts w:ascii="Arial" w:cs="Arial" w:eastAsia="Arial" w:hAnsi="Arial"/>
          <w:sz w:val="17"/>
          <w:szCs w:val="17"/>
          <w:color w:val="auto"/>
        </w:rPr>
        <w:t>Based upon and subject to the foregoing, we are of the opinion that when (i) the Registration Statement becomes effective under the Act, (ii) certificates representing the Shares to be issued under the Plan in the form of the specimen certificate examined by us have been manually signed by an authorized officer of the transfer agent and registrar for the Common Stock and registered by such transfer agent and registrar, and (iii) such certificates have been delivered and paid for in accordance with the terms and conditions of the Plan at a price per share not less than the per share par value of the Common Stock, the issuance and sale of such Shares will be validly issued, fully paid and nonassessable.</w:t>
      </w:r>
    </w:p>
    <w:p>
      <w:pPr>
        <w:spacing w:after="0" w:line="177" w:lineRule="exact"/>
        <w:rPr>
          <w:sz w:val="20"/>
          <w:szCs w:val="20"/>
          <w:color w:val="auto"/>
        </w:rPr>
      </w:pPr>
    </w:p>
    <w:p>
      <w:pPr>
        <w:ind w:right="380" w:firstLine="636"/>
        <w:spacing w:after="0" w:line="255" w:lineRule="auto"/>
        <w:rPr>
          <w:sz w:val="20"/>
          <w:szCs w:val="20"/>
          <w:color w:val="auto"/>
        </w:rPr>
      </w:pPr>
      <w:r>
        <w:rPr>
          <w:rFonts w:ascii="Arial" w:cs="Arial" w:eastAsia="Arial" w:hAnsi="Arial"/>
          <w:sz w:val="18"/>
          <w:szCs w:val="18"/>
          <w:color w:val="auto"/>
        </w:rPr>
        <w:t>We hereby consent to the filing of this opinion with the Commission as Exhibit 5.1 to the Registration Statement. In giving this consent, we do not thereby admit that we are included in the category of persons whose consent is required under Section 7 of the Act or the rules and regulations of the Commission.</w:t>
      </w:r>
    </w:p>
    <w:p>
      <w:pPr>
        <w:spacing w:after="0" w:line="18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540"/>
        <w:spacing w:after="0"/>
        <w:tabs>
          <w:tab w:leader="none" w:pos="58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7011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121" w:right="239" w:bottom="572"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We hereby consent to the incorporation by reference in this Registration Statement on Form S-8 of Micron Technology, Inc. of our report dated November 3, 2005, except as to the “Segment Information” footnote, as to which the date is February 9, 2006, relating to the financial statements, financial statement schedule, management’s assessment of the effectiveness of internal control over financial reporting and the effectiveness of internal control over financial reporting, which appears in Micron Technology, Inc.’s Current Report on Form 8-K filed on February 10,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7011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14"/>
    </w:lvl>
  </w:abstractNum>
  <w:abstractNum w:abstractNumId="3">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57130A3"/>
    <w:multiLevelType w:val="hybridMultilevel"/>
    <w:lvl w:ilvl="0">
      <w:lvlJc w:val="left"/>
      <w:lvlText w:val="%1"/>
      <w:numFmt w:val="lowerLetter"/>
      <w:start w:val="1"/>
    </w:lvl>
    <w:lvl w:ilvl="1">
      <w:lvlJc w:val="left"/>
      <w:lvlText w:val="(%2)"/>
      <w:numFmt w:val="decimal"/>
      <w:start w:val="2"/>
    </w:lvl>
  </w:abstractNum>
  <w:abstractNum w:abstractNumId="5">
    <w:nsid w:val="62BBD95A"/>
    <w:multiLevelType w:val="hybridMultilevel"/>
    <w:lvl w:ilvl="0">
      <w:lvlJc w:val="left"/>
      <w:lvlText w:val="(%1)"/>
      <w:numFmt w:val="lowerLetter"/>
      <w:start w:val="2"/>
    </w:lvl>
    <w:lvl w:ilvl="1">
      <w:lvlJc w:val="left"/>
      <w:lvlText w:val="%2"/>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9"/>
    </w:lvl>
  </w:abstractNum>
  <w:abstractNum w:abstractNumId="10">
    <w:nsid w:val="2443A858"/>
    <w:multiLevelType w:val="hybridMultilevel"/>
    <w:lvl w:ilvl="0">
      <w:lvlJc w:val="left"/>
      <w:lvlText w:val="%1."/>
      <w:numFmt w:val="decimal"/>
      <w:start w:val="5"/>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3"/>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lowerLetter"/>
      <w:start w:val="3"/>
    </w:lvl>
  </w:abstractNum>
  <w:abstractNum w:abstractNumId="15">
    <w:nsid w:val="79838CB2"/>
    <w:multiLevelType w:val="hybridMultilevel"/>
    <w:lvl w:ilvl="0">
      <w:lvlJc w:val="left"/>
      <w:lvlText w:val="%1."/>
      <w:numFmt w:val="decimal"/>
      <w:start w:val="7"/>
    </w:lvl>
  </w:abstractNum>
  <w:abstractNum w:abstractNumId="16">
    <w:nsid w:val="4353D0CD"/>
    <w:multiLevelType w:val="hybridMultilevel"/>
    <w:lvl w:ilvl="0">
      <w:lvlJc w:val="left"/>
      <w:lvlText w:val="%1."/>
      <w:numFmt w:val="decimal"/>
      <w:start w:val="8"/>
    </w:lvl>
  </w:abstractNum>
  <w:abstractNum w:abstractNumId="17">
    <w:nsid w:val="B03E0C6"/>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8">
    <w:nsid w:val="189A769B"/>
    <w:multiLevelType w:val="hybridMultilevel"/>
    <w:lvl w:ilvl="0">
      <w:lvlJc w:val="left"/>
      <w:lvlText w:val="%1."/>
      <w:numFmt w:val="decimal"/>
      <w:start w:val="9"/>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1."/>
      <w:numFmt w:val="decimal"/>
      <w:start w:val="11"/>
    </w:lvl>
  </w:abstractNum>
  <w:abstractNum w:abstractNumId="22">
    <w:nsid w:val="836C40E"/>
    <w:multiLevelType w:val="hybridMultilevel"/>
    <w:lvl w:ilvl="0">
      <w:lvlJc w:val="left"/>
      <w:lvlText w:val="(%1)"/>
      <w:numFmt w:val="upperLetter"/>
      <w:start w:val="1"/>
    </w:lvl>
  </w:abstractNum>
  <w:abstractNum w:abstractNumId="23">
    <w:nsid w:val="2901D82"/>
    <w:multiLevelType w:val="hybridMultilevel"/>
    <w:lvl w:ilvl="0">
      <w:lvlJc w:val="left"/>
      <w:lvlText w:val="(%1)"/>
      <w:numFmt w:val="upperLetter"/>
      <w:start w:val="1"/>
    </w:lvl>
  </w:abstractNum>
  <w:abstractNum w:abstractNumId="24">
    <w:nsid w:val="3A95F874"/>
    <w:multiLevelType w:val="hybridMultilevel"/>
    <w:lvl w:ilvl="0">
      <w:lvlJc w:val="left"/>
      <w:lvlText w:val="%1."/>
      <w:numFmt w:val="decimal"/>
      <w:start w:val="12"/>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decimal"/>
      <w:start w:val="1"/>
    </w:lvl>
    <w:lvl w:ilvl="1">
      <w:lvlJc w:val="left"/>
      <w:lvlText w:val="%2."/>
      <w:numFmt w:val="decimal"/>
      <w:start w:val="15"/>
    </w:lvl>
  </w:abstractNum>
  <w:abstractNum w:abstractNumId="27">
    <w:nsid w:val="7C3DBD3D"/>
    <w:multiLevelType w:val="hybridMultilevel"/>
    <w:lvl w:ilvl="0">
      <w:lvlJc w:val="left"/>
      <w:lvlText w:val="%1."/>
      <w:numFmt w:val="decimal"/>
      <w:start w:val="18"/>
    </w:lvl>
    <w:lvl w:ilvl="1">
      <w:lvlJc w:val="left"/>
      <w:lvlText w:val="%2"/>
      <w:numFmt w:val="decimal"/>
      <w:start w:val="1"/>
    </w:lvl>
  </w:abstractNum>
  <w:abstractNum w:abstractNumId="28">
    <w:nsid w:val="737B8DDC"/>
    <w:multiLevelType w:val="hybridMultilevel"/>
    <w:lvl w:ilvl="0">
      <w:lvlJc w:val="left"/>
      <w:lvlText w:val="%1"/>
      <w:numFmt w:val="lowerLetter"/>
      <w:start w:val="1"/>
    </w:lvl>
    <w:lvl w:ilvl="1">
      <w:lvlJc w:val="left"/>
      <w:lvlText w:val="%2."/>
      <w:numFmt w:val="decimal"/>
      <w:start w:val="19"/>
    </w:lvl>
  </w:abstractNum>
  <w:abstractNum w:abstractNumId="29">
    <w:nsid w:val="6CEAF087"/>
    <w:multiLevelType w:val="hybridMultilevel"/>
    <w:lvl w:ilvl="0">
      <w:lvlJc w:val="left"/>
      <w:lvlText w:val="(%1)"/>
      <w:numFmt w:val="lowerLetter"/>
      <w:start w:val="4"/>
    </w:lvl>
    <w:lvl w:ilvl="1">
      <w:lvlJc w:val="left"/>
      <w:lvlText w:val="%2."/>
      <w:numFmt w:val="decimal"/>
      <w:start w:val="20"/>
    </w:lvl>
  </w:abstractNum>
  <w:abstractNum w:abstractNumId="30">
    <w:nsid w:val="22221A70"/>
    <w:multiLevelType w:val="hybridMultilevel"/>
    <w:lvl w:ilvl="0">
      <w:lvlJc w:val="left"/>
      <w:lvlText w:val="(%1)"/>
      <w:numFmt w:val="lowerLetter"/>
      <w:start w:val="1"/>
    </w:lvl>
    <w:lvl w:ilvl="1">
      <w:lvlJc w:val="left"/>
      <w:lvlText w:val="(%2)"/>
      <w:numFmt w:val="lowerLetter"/>
      <w:start w:val="4"/>
    </w:lvl>
  </w:abstractNum>
  <w:abstractNum w:abstractNumId="31">
    <w:nsid w:val="4516DDE9"/>
    <w:multiLevelType w:val="hybridMultilevel"/>
    <w:lvl w:ilvl="0">
      <w:lvlJc w:val="left"/>
      <w:lvlText w:val="(%1)"/>
      <w:numFmt w:val="lowerLetter"/>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2019-12-13T13:14:12Z</dcterms:created>
  <dcterms:modified xsi:type="dcterms:W3CDTF">2019-12-13T13:14:12Z</dcterms:modified>
</cp:coreProperties>
</file>