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9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0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843,156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835,256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819,556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811,463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17,873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793,590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20,814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772,776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772,376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760,319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753,519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716,119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20,928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695,191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695,091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675,591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664,856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31,808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633,048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9,283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623,765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29,817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593,948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575,948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572,898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572,813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571,222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570,060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568,960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568,520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2,741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96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Sales pursuant to 10b5-1 Trading Plan entered into on May 13, 2013.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10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 xml:space="preserve">Robert Case, Attorney-in-fact  </w:t>
            </w:r>
            <w:r>
              <w:rPr>
                <w:rFonts w:ascii="Arial" w:cs="Arial" w:eastAsia="Arial" w:hAnsi="Arial"/>
                <w:sz w:val="2"/>
                <w:szCs w:val="2"/>
                <w:color w:val="0000FF"/>
                <w:highlight w:val="white"/>
              </w:rPr>
              <w:t>07/02/2012</w:t>
            </w: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2019-12-16T04:11:43Z</dcterms:created>
  <dcterms:modified xsi:type="dcterms:W3CDTF">2019-12-16T04:11:43Z</dcterms:modified>
</cp:coreProperties>
</file>