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333-71620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No. 1, dated April 12, 2002,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filed on January 10, 2002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29,069,767 Shares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4"/>
          <w:szCs w:val="24"/>
          <w:color w:val="auto"/>
        </w:rPr>
      </w:pPr>
    </w:p>
    <w:p>
      <w:pPr>
        <w:ind w:right="100" w:firstLine="720"/>
        <w:spacing w:after="0" w:line="277" w:lineRule="auto"/>
        <w:rPr>
          <w:sz w:val="20"/>
          <w:szCs w:val="20"/>
          <w:color w:val="auto"/>
        </w:rPr>
      </w:pPr>
      <w:r>
        <w:rPr>
          <w:rFonts w:ascii="Arial" w:cs="Arial" w:eastAsia="Arial" w:hAnsi="Arial"/>
          <w:sz w:val="18"/>
          <w:szCs w:val="18"/>
          <w:color w:val="auto"/>
        </w:rPr>
        <w:t>This prospectus supplement relates to the resale by the selling security holders of 29,069,767 shares of our common stock, $0.10 par value, that are issuable upon the exercise of warrants sold initially by us in private placements in July 2001 and August 2001.</w:t>
      </w:r>
    </w:p>
    <w:p>
      <w:pPr>
        <w:spacing w:after="0" w:line="170" w:lineRule="exact"/>
        <w:rPr>
          <w:sz w:val="24"/>
          <w:szCs w:val="24"/>
          <w:color w:val="auto"/>
        </w:rPr>
      </w:pPr>
    </w:p>
    <w:p>
      <w:pPr>
        <w:ind w:right="340" w:firstLine="720"/>
        <w:spacing w:after="0" w:line="264" w:lineRule="auto"/>
        <w:rPr>
          <w:sz w:val="20"/>
          <w:szCs w:val="20"/>
          <w:color w:val="auto"/>
        </w:rPr>
      </w:pPr>
      <w:r>
        <w:rPr>
          <w:rFonts w:ascii="Arial" w:cs="Arial" w:eastAsia="Arial" w:hAnsi="Arial"/>
          <w:sz w:val="18"/>
          <w:szCs w:val="18"/>
          <w:color w:val="auto"/>
        </w:rPr>
        <w:t>This prospectus supplement should be read in conjunction with the prospectus filed on January 10, 2002, which is to be delivered with this prospectus supplement. The table captioned “Selling Stockholders” commencing on page 12 of the prospectus is hereby amended to reflect the following additions and changes.</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2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Number of Shares</w:t>
            </w:r>
          </w:p>
        </w:tc>
      </w:tr>
      <w:tr>
        <w:trPr>
          <w:trHeight w:val="149"/>
        </w:trPr>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That</w:t>
            </w: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r>
      <w:tr>
        <w:trPr>
          <w:trHeight w:val="149"/>
        </w:trPr>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Owned Prior to the</w:t>
            </w:r>
          </w:p>
        </w:tc>
        <w:tc>
          <w:tcPr>
            <w:tcW w:w="2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May</w:t>
            </w:r>
          </w:p>
        </w:tc>
        <w:tc>
          <w:tcPr>
            <w:tcW w:w="940" w:type="dxa"/>
            <w:vAlign w:val="bottom"/>
          </w:tcPr>
          <w:p>
            <w:pPr>
              <w:spacing w:after="0"/>
              <w:rPr>
                <w:sz w:val="12"/>
                <w:szCs w:val="12"/>
                <w:color w:val="auto"/>
              </w:rPr>
            </w:pPr>
          </w:p>
        </w:tc>
        <w:tc>
          <w:tcPr>
            <w:tcW w:w="1320" w:type="dxa"/>
            <w:vAlign w:val="bottom"/>
            <w:gridSpan w:val="2"/>
          </w:tcPr>
          <w:p>
            <w:pPr>
              <w:jc w:val="center"/>
              <w:ind w:right="879"/>
              <w:spacing w:after="0" w:line="149" w:lineRule="exact"/>
              <w:rPr>
                <w:sz w:val="20"/>
                <w:szCs w:val="20"/>
                <w:color w:val="auto"/>
              </w:rPr>
            </w:pPr>
            <w:r>
              <w:rPr>
                <w:rFonts w:ascii="Arial" w:cs="Arial" w:eastAsia="Arial" w:hAnsi="Arial"/>
                <w:sz w:val="14"/>
                <w:szCs w:val="14"/>
                <w:b w:val="1"/>
                <w:bCs w:val="1"/>
                <w:color w:val="auto"/>
                <w:w w:val="97"/>
              </w:rPr>
              <w:t>After</w:t>
            </w:r>
          </w:p>
        </w:tc>
      </w:tr>
      <w:tr>
        <w:trPr>
          <w:trHeight w:val="162"/>
        </w:trPr>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Offering (1)</w:t>
            </w:r>
          </w:p>
        </w:tc>
        <w:tc>
          <w:tcPr>
            <w:tcW w:w="2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Be Sold in the</w:t>
            </w: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the Offering(3)</w:t>
            </w:r>
          </w:p>
        </w:tc>
      </w:tr>
      <w:tr>
        <w:trPr>
          <w:trHeight w:val="142"/>
        </w:trPr>
        <w:tc>
          <w:tcPr>
            <w:tcW w:w="4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Number</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Percentage</w:t>
            </w:r>
          </w:p>
        </w:tc>
        <w:tc>
          <w:tcPr>
            <w:tcW w:w="280" w:type="dxa"/>
            <w:vAlign w:val="bottom"/>
          </w:tcPr>
          <w:p>
            <w:pPr>
              <w:spacing w:after="0"/>
              <w:rPr>
                <w:sz w:val="12"/>
                <w:szCs w:val="12"/>
                <w:color w:val="auto"/>
              </w:rPr>
            </w:pPr>
          </w:p>
        </w:tc>
        <w:tc>
          <w:tcPr>
            <w:tcW w:w="16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7"/>
              </w:rPr>
              <w:t>Offering(2)</w:t>
            </w: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Percentage</w:t>
            </w: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Austria Cayman Islands, Ltd.</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151,200</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First Union International Capital Markets Inc. (4)</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tcPr>
          <w:p>
            <w:pPr>
              <w:jc w:val="center"/>
              <w:ind w:left="17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Union National Bank (4)</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First Union Securities Inc.</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458,365</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300"/>
              <w:spacing w:after="0"/>
              <w:rPr>
                <w:sz w:val="20"/>
                <w:szCs w:val="20"/>
                <w:color w:val="auto"/>
              </w:rPr>
            </w:pPr>
            <w:r>
              <w:rPr>
                <w:rFonts w:ascii="Arial" w:cs="Arial" w:eastAsia="Arial" w:hAnsi="Arial"/>
                <w:sz w:val="18"/>
                <w:szCs w:val="18"/>
                <w:color w:val="auto"/>
              </w:rPr>
              <w:t>458,365</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tcPr>
          <w:p>
            <w:pPr>
              <w:jc w:val="center"/>
              <w:ind w:left="17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and Company (4)</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91,687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91,687</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Janus Global Technology Fund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891,818</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300"/>
              <w:spacing w:after="0"/>
              <w:rPr>
                <w:sz w:val="20"/>
                <w:szCs w:val="20"/>
                <w:color w:val="auto"/>
              </w:rPr>
            </w:pPr>
            <w:r>
              <w:rPr>
                <w:rFonts w:ascii="Arial" w:cs="Arial" w:eastAsia="Arial" w:hAnsi="Arial"/>
                <w:sz w:val="18"/>
                <w:szCs w:val="18"/>
                <w:color w:val="auto"/>
              </w:rPr>
              <w:t>891,818</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tcPr>
          <w:p>
            <w:pPr>
              <w:jc w:val="center"/>
              <w:ind w:left="17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MSD TCB, L.P.</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447,500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447,500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PVI-J Investments, L.P. (4)</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tcPr>
          <w:p>
            <w:pPr>
              <w:jc w:val="center"/>
              <w:ind w:left="17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Ramius Capital Group</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25,775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25,775</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RCG Halifax Master Fund, LTD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31,300</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300"/>
              <w:spacing w:after="0"/>
              <w:rPr>
                <w:sz w:val="20"/>
                <w:szCs w:val="20"/>
                <w:color w:val="auto"/>
              </w:rPr>
            </w:pPr>
            <w:r>
              <w:rPr>
                <w:rFonts w:ascii="Arial" w:cs="Arial" w:eastAsia="Arial" w:hAnsi="Arial"/>
                <w:sz w:val="18"/>
                <w:szCs w:val="18"/>
                <w:color w:val="auto"/>
              </w:rPr>
              <w:t>31,300</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tcPr>
          <w:p>
            <w:pPr>
              <w:jc w:val="center"/>
              <w:ind w:left="17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RCG Latitude, Master Fund, LTD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87,825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87,825</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RCG Multi Strategy, LP</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63,900</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300"/>
              <w:spacing w:after="0"/>
              <w:rPr>
                <w:sz w:val="20"/>
                <w:szCs w:val="20"/>
                <w:color w:val="auto"/>
              </w:rPr>
            </w:pPr>
            <w:r>
              <w:rPr>
                <w:rFonts w:ascii="Arial" w:cs="Arial" w:eastAsia="Arial" w:hAnsi="Arial"/>
                <w:sz w:val="18"/>
                <w:szCs w:val="18"/>
                <w:color w:val="auto"/>
              </w:rPr>
              <w:t>63,900</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tcPr>
          <w:p>
            <w:pPr>
              <w:jc w:val="center"/>
              <w:ind w:left="17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Bank National Association</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525,000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Wachovia Securities International Limited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380,698</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300"/>
              <w:spacing w:after="0"/>
              <w:rPr>
                <w:sz w:val="20"/>
                <w:szCs w:val="20"/>
                <w:color w:val="auto"/>
              </w:rPr>
            </w:pPr>
            <w:r>
              <w:rPr>
                <w:rFonts w:ascii="Arial" w:cs="Arial" w:eastAsia="Arial" w:hAnsi="Arial"/>
                <w:sz w:val="18"/>
                <w:szCs w:val="18"/>
                <w:color w:val="auto"/>
              </w:rPr>
              <w:t>380,698</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20" w:type="dxa"/>
            <w:vAlign w:val="bottom"/>
            <w:gridSpan w:val="2"/>
          </w:tcPr>
          <w:p>
            <w:pPr>
              <w:jc w:val="center"/>
              <w:ind w:left="171"/>
              <w:spacing w:after="0"/>
              <w:rPr>
                <w:sz w:val="20"/>
                <w:szCs w:val="20"/>
                <w:color w:val="auto"/>
              </w:rPr>
            </w:pPr>
            <w:r>
              <w:rPr>
                <w:rFonts w:ascii="Arial" w:cs="Arial" w:eastAsia="Arial" w:hAnsi="Arial"/>
                <w:sz w:val="18"/>
                <w:szCs w:val="18"/>
                <w:color w:val="auto"/>
              </w:rPr>
              <w: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represents less than 1% of the shares of common stock outstanding.</w:t>
      </w:r>
    </w:p>
    <w:p>
      <w:pPr>
        <w:spacing w:after="0" w:line="225" w:lineRule="exact"/>
        <w:rPr>
          <w:sz w:val="24"/>
          <w:szCs w:val="24"/>
          <w:color w:val="auto"/>
        </w:rPr>
      </w:pPr>
    </w:p>
    <w:p>
      <w:pPr>
        <w:ind w:left="340" w:right="680" w:hanging="332"/>
        <w:spacing w:after="0" w:line="264"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based on Rule 13d-3(d)(1)(i) of the Exchange Act using 601,621,882 shares of common stock outstanding as of April 10, 2002. In calculating this amount, we treated as outstanding the number of shares of common stock issuable upon exercise of all of that particular holder’s warrants. However, we did not assume the exercise of any other holder’s warrants.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jc w:val="both"/>
        <w:ind w:left="340" w:right="80" w:hanging="332"/>
        <w:spacing w:after="0" w:line="264"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exercise of all of the holder’s warrants and that one share of common stock is issuable upon exercise of each warrant. However, the number of shares of common stock issuable upon exercise of a warrant is subject to adjustment. As a result, the amount of common stock issuable upon exercise of the warrants may increase or decrease in the future.</w:t>
      </w:r>
    </w:p>
    <w:p>
      <w:pPr>
        <w:spacing w:after="0" w:line="181"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the sale of all shares that may be sold in the offering.</w:t>
      </w:r>
    </w:p>
    <w:p>
      <w:pPr>
        <w:spacing w:after="0" w:line="225" w:lineRule="exact"/>
        <w:rPr>
          <w:rFonts w:ascii="Arial" w:cs="Arial" w:eastAsia="Arial" w:hAnsi="Arial"/>
          <w:sz w:val="18"/>
          <w:szCs w:val="18"/>
          <w:color w:val="auto"/>
        </w:rPr>
      </w:pPr>
    </w:p>
    <w:p>
      <w:pPr>
        <w:ind w:left="340" w:right="760" w:hanging="332"/>
        <w:spacing w:after="0" w:line="277"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Reflects a reduction in such holder’s warrants due to sales after the date of the prospectus filed on January 10, 2002 and prior to the date of this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-1616710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50" w:lineRule="exact"/>
        <w:rPr>
          <w:sz w:val="24"/>
          <w:szCs w:val="24"/>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prospectus and this prospectus supplement No. 1 constitute the prospectus required to be delivered by Section 5(b) of the Securities Actof 1933, as amended, with respect to offers and sales of the shares of common stock. All references in the prospectus to “this prospectus” are hereby amended to read “this prospectus, as supplemented and amended.”</w:t>
      </w:r>
    </w:p>
    <w:p>
      <w:pPr>
        <w:spacing w:after="0" w:line="181" w:lineRule="exact"/>
        <w:rPr>
          <w:sz w:val="24"/>
          <w:szCs w:val="24"/>
          <w:color w:val="auto"/>
        </w:rPr>
      </w:pPr>
    </w:p>
    <w:p>
      <w:pPr>
        <w:ind w:right="480" w:firstLine="648"/>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1143000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2019-12-13T13:14:40Z</dcterms:created>
  <dcterms:modified xsi:type="dcterms:W3CDTF">2019-12-13T13:14:40Z</dcterms:modified>
</cp:coreProperties>
</file>