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November 17, 2015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right"/>
              <w:ind w:right="1250"/>
              <w:spacing w:after="0"/>
              <w:rPr>
                <w:sz w:val="20"/>
                <w:szCs w:val="20"/>
                <w:color w:val="auto"/>
              </w:rPr>
            </w:pPr>
            <w:r>
              <w:rPr>
                <w:rFonts w:ascii="Arial" w:cs="Arial" w:eastAsia="Arial" w:hAnsi="Arial"/>
                <w:sz w:val="18"/>
                <w:szCs w:val="18"/>
                <w:b w:val="1"/>
                <w:bCs w:val="1"/>
                <w:color w:val="auto"/>
              </w:rPr>
              <w:t>1-10658</w:t>
            </w:r>
          </w:p>
        </w:tc>
        <w:tc>
          <w:tcPr>
            <w:tcW w:w="4000" w:type="dxa"/>
            <w:vAlign w:val="bottom"/>
          </w:tcPr>
          <w:p>
            <w:pPr>
              <w:jc w:val="right"/>
              <w:ind w:right="153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42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3180" w:type="dxa"/>
            <w:vAlign w:val="bottom"/>
          </w:tcPr>
          <w:p>
            <w:pPr>
              <w:jc w:val="center"/>
              <w:ind w:right="10"/>
              <w:spacing w:after="0"/>
              <w:rPr>
                <w:sz w:val="20"/>
                <w:szCs w:val="20"/>
                <w:color w:val="auto"/>
              </w:rPr>
            </w:pPr>
            <w:r>
              <w:rPr>
                <w:rFonts w:ascii="Arial" w:cs="Arial" w:eastAsia="Arial" w:hAnsi="Arial"/>
                <w:sz w:val="18"/>
                <w:szCs w:val="18"/>
                <w:color w:val="auto"/>
                <w:w w:val="93"/>
              </w:rPr>
              <w:t>(Commission File Number)</w:t>
            </w:r>
          </w:p>
        </w:tc>
        <w:tc>
          <w:tcPr>
            <w:tcW w:w="4000" w:type="dxa"/>
            <w:vAlign w:val="bottom"/>
          </w:tcPr>
          <w:p>
            <w:pPr>
              <w:jc w:val="center"/>
              <w:ind w:right="10"/>
              <w:spacing w:after="0"/>
              <w:rPr>
                <w:sz w:val="20"/>
                <w:szCs w:val="20"/>
                <w:color w:val="auto"/>
              </w:rPr>
            </w:pPr>
            <w:r>
              <w:rPr>
                <w:rFonts w:ascii="Arial" w:cs="Arial" w:eastAsia="Arial" w:hAnsi="Arial"/>
                <w:sz w:val="18"/>
                <w:szCs w:val="18"/>
                <w:color w:val="auto"/>
                <w:w w:val="94"/>
              </w:rPr>
              <w:t>(I.R.S. Employer 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67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314960</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332105</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ind w:left="40"/>
        <w:spacing w:after="0"/>
        <w:tabs>
          <w:tab w:leader="none" w:pos="11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00" w:lineRule="exact"/>
        <w:rPr>
          <w:sz w:val="20"/>
          <w:szCs w:val="20"/>
          <w:color w:val="auto"/>
        </w:rPr>
      </w:pPr>
    </w:p>
    <w:p>
      <w:pPr>
        <w:spacing w:after="0" w:line="21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On November 17, 2015, Scott J. DeBoer, an executive officer of the Company, entered into a prearranged trading plan under Rule 10b5-1 of the Securities and Exchange Act of 1934. Rule 10b5-1 permits officers and directors of public companies to adopt predetermined plans for selling specified amounts of stock. Mr. DeBoer's trading plan provides for the sale of up to 111,250 shares of the Company's stock over a 12-month period beginning in January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940"/>
          </w:cols>
          <w:pgMar w:left="240" w:top="742" w:right="719"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6960" w:type="dxa"/>
            <w:vAlign w:val="bottom"/>
            <w:gridSpan w:val="2"/>
          </w:tcPr>
          <w:p>
            <w:pPr>
              <w:ind w:left="168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864"/>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280" w:type="dxa"/>
            <w:vAlign w:val="bottom"/>
          </w:tcPr>
          <w:p>
            <w:pPr>
              <w:ind w:left="180"/>
              <w:spacing w:after="0"/>
              <w:rPr>
                <w:sz w:val="20"/>
                <w:szCs w:val="20"/>
                <w:color w:val="auto"/>
              </w:rPr>
            </w:pPr>
            <w:r>
              <w:rPr>
                <w:rFonts w:ascii="Arial" w:cs="Arial" w:eastAsia="Arial" w:hAnsi="Arial"/>
                <w:sz w:val="18"/>
                <w:szCs w:val="18"/>
                <w:color w:val="auto"/>
              </w:rPr>
              <w:t>November 23, 2015</w:t>
            </w:r>
          </w:p>
        </w:tc>
        <w:tc>
          <w:tcPr>
            <w:tcW w:w="2620" w:type="dxa"/>
            <w:vAlign w:val="bottom"/>
          </w:tcPr>
          <w:p>
            <w:pPr>
              <w:ind w:left="1680"/>
              <w:spacing w:after="0"/>
              <w:rPr>
                <w:sz w:val="20"/>
                <w:szCs w:val="20"/>
                <w:color w:val="auto"/>
              </w:rPr>
            </w:pPr>
            <w:r>
              <w:rPr>
                <w:rFonts w:ascii="Arial" w:cs="Arial" w:eastAsia="Arial" w:hAnsi="Arial"/>
                <w:sz w:val="18"/>
                <w:szCs w:val="18"/>
                <w:color w:val="auto"/>
              </w:rPr>
              <w:t>By:</w:t>
            </w:r>
          </w:p>
        </w:tc>
        <w:tc>
          <w:tcPr>
            <w:tcW w:w="4340" w:type="dxa"/>
            <w:vAlign w:val="bottom"/>
          </w:tcPr>
          <w:p>
            <w:pPr>
              <w:ind w:left="20"/>
              <w:spacing w:after="0"/>
              <w:rPr>
                <w:sz w:val="20"/>
                <w:szCs w:val="20"/>
                <w:color w:val="auto"/>
              </w:rPr>
            </w:pPr>
            <w:r>
              <w:rPr>
                <w:rFonts w:ascii="Arial" w:cs="Arial" w:eastAsia="Arial" w:hAnsi="Arial"/>
                <w:sz w:val="18"/>
                <w:szCs w:val="18"/>
                <w:i w:val="1"/>
                <w:iCs w:val="1"/>
                <w:color w:val="auto"/>
              </w:rPr>
              <w:t>/s/ Ernest E. Maddock</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620" w:type="dxa"/>
            <w:vAlign w:val="bottom"/>
            <w:vMerge w:val="restart"/>
          </w:tcPr>
          <w:p>
            <w:pPr>
              <w:ind w:left="1680"/>
              <w:spacing w:after="0"/>
              <w:rPr>
                <w:sz w:val="20"/>
                <w:szCs w:val="20"/>
                <w:color w:val="auto"/>
              </w:rPr>
            </w:pPr>
            <w:r>
              <w:rPr>
                <w:rFonts w:ascii="Arial" w:cs="Arial" w:eastAsia="Arial" w:hAnsi="Arial"/>
                <w:sz w:val="18"/>
                <w:szCs w:val="18"/>
                <w:color w:val="auto"/>
              </w:rPr>
              <w:t>Name:</w:t>
            </w:r>
          </w:p>
        </w:tc>
        <w:tc>
          <w:tcPr>
            <w:tcW w:w="4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620" w:type="dxa"/>
            <w:vAlign w:val="bottom"/>
            <w:vMerge w:val="continue"/>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Ernest E. Maddock</w:t>
            </w:r>
          </w:p>
        </w:tc>
        <w:tc>
          <w:tcPr>
            <w:tcW w:w="0" w:type="dxa"/>
            <w:vAlign w:val="bottom"/>
          </w:tcPr>
          <w:p>
            <w:pPr>
              <w:spacing w:after="0"/>
              <w:rPr>
                <w:sz w:val="1"/>
                <w:szCs w:val="1"/>
                <w:color w:val="auto"/>
              </w:rPr>
            </w:pPr>
          </w:p>
        </w:tc>
      </w:tr>
      <w:tr>
        <w:trPr>
          <w:trHeight w:val="256"/>
        </w:trPr>
        <w:tc>
          <w:tcPr>
            <w:tcW w:w="58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2620" w:type="dxa"/>
            <w:vAlign w:val="bottom"/>
          </w:tcPr>
          <w:p>
            <w:pPr>
              <w:ind w:left="1680"/>
              <w:spacing w:after="0"/>
              <w:rPr>
                <w:sz w:val="20"/>
                <w:szCs w:val="20"/>
                <w:color w:val="auto"/>
              </w:rPr>
            </w:pPr>
            <w:r>
              <w:rPr>
                <w:rFonts w:ascii="Arial" w:cs="Arial" w:eastAsia="Arial" w:hAnsi="Arial"/>
                <w:sz w:val="18"/>
                <w:szCs w:val="18"/>
                <w:color w:val="auto"/>
              </w:rPr>
              <w:t>Title:</w:t>
            </w:r>
          </w:p>
        </w:tc>
        <w:tc>
          <w:tcPr>
            <w:tcW w:w="4340" w:type="dxa"/>
            <w:vAlign w:val="bottom"/>
          </w:tcPr>
          <w:p>
            <w:pPr>
              <w:ind w:left="20"/>
              <w:spacing w:after="0"/>
              <w:rPr>
                <w:sz w:val="20"/>
                <w:szCs w:val="20"/>
                <w:color w:val="auto"/>
              </w:rPr>
            </w:pPr>
            <w:r>
              <w:rPr>
                <w:rFonts w:ascii="Arial" w:cs="Arial" w:eastAsia="Arial" w:hAnsi="Arial"/>
                <w:sz w:val="18"/>
                <w:szCs w:val="18"/>
                <w:color w:val="auto"/>
              </w:rPr>
              <w:t>Chief Financial Officer and</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Vice President, Finance</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860"/>
      </w:cols>
      <w:pgMar w:left="240" w:top="796"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2019-12-05T21:07:58Z</dcterms:created>
  <dcterms:modified xsi:type="dcterms:W3CDTF">2019-12-05T21:07:58Z</dcterms:modified>
</cp:coreProperties>
</file>