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FORM 10-Q</w:t>
      </w: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51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500" w:right="3779" w:hanging="2147"/>
        <w:spacing w:after="0" w:line="255" w:lineRule="auto"/>
        <w:tabs>
          <w:tab w:leader="none" w:pos="777"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quarterly period ended May 29, 1997</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jc w:val="center"/>
        <w:ind w:left="2500" w:right="3779" w:hanging="2233"/>
        <w:spacing w:after="0" w:line="255" w:lineRule="auto"/>
        <w:tabs>
          <w:tab w:leader="none" w:pos="43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60"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1980"/>
        <w:spacing w:after="0"/>
        <w:tabs>
          <w:tab w:leader="none" w:pos="4120" w:val="left"/>
        </w:tabs>
        <w:rPr>
          <w:sz w:val="20"/>
          <w:szCs w:val="20"/>
          <w:color w:val="auto"/>
        </w:rPr>
      </w:pPr>
      <w:r>
        <w:rPr>
          <w:rFonts w:ascii="Courier New" w:cs="Courier New" w:eastAsia="Courier New" w:hAnsi="Courier New"/>
          <w:sz w:val="14"/>
          <w:szCs w:val="14"/>
          <w:color w:val="auto"/>
        </w:rPr>
        <w:t>Commission File Number:</w:t>
        <w:tab/>
        <w:t>1-10658</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4"/>
          <w:szCs w:val="24"/>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State or other jurisdiction of incorporation or organization:</w:t>
        <w:tab/>
        <w:t>Delaware</w:t>
      </w:r>
    </w:p>
    <w:p>
      <w:pPr>
        <w:spacing w:after="0" w:line="173"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Internal Revenue Service -- Employer Identification No. 75-1618004</w:t>
      </w:r>
    </w:p>
    <w:p>
      <w:pPr>
        <w:spacing w:after="0" w:line="338" w:lineRule="exact"/>
        <w:rPr>
          <w:sz w:val="24"/>
          <w:szCs w:val="24"/>
          <w:color w:val="auto"/>
        </w:rPr>
      </w:pPr>
    </w:p>
    <w:p>
      <w:pPr>
        <w:ind w:left="1480"/>
        <w:spacing w:after="0"/>
        <w:tabs>
          <w:tab w:leader="none" w:pos="4460" w:val="left"/>
        </w:tabs>
        <w:rPr>
          <w:sz w:val="20"/>
          <w:szCs w:val="20"/>
          <w:color w:val="auto"/>
        </w:rPr>
      </w:pPr>
      <w:r>
        <w:rPr>
          <w:rFonts w:ascii="Courier New" w:cs="Courier New" w:eastAsia="Courier New" w:hAnsi="Courier New"/>
          <w:sz w:val="14"/>
          <w:szCs w:val="14"/>
          <w:color w:val="auto"/>
        </w:rPr>
        <w:t>8000 S. Federal Way, Boise, Idaho</w:t>
        <w:tab/>
        <w:t>83706-9632</w:t>
      </w:r>
    </w:p>
    <w:p>
      <w:pPr>
        <w:spacing w:after="0" w:line="7" w:lineRule="exact"/>
        <w:rPr>
          <w:sz w:val="24"/>
          <w:szCs w:val="24"/>
          <w:color w:val="auto"/>
        </w:rPr>
      </w:pPr>
    </w:p>
    <w:p>
      <w:pPr>
        <w:ind w:left="3280" w:hanging="515"/>
        <w:spacing w:after="0"/>
        <w:tabs>
          <w:tab w:leader="none" w:pos="32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368-4000</w:t>
      </w:r>
    </w:p>
    <w:p>
      <w:pPr>
        <w:spacing w:after="0" w:line="172" w:lineRule="exact"/>
        <w:rPr>
          <w:rFonts w:ascii="Courier New" w:cs="Courier New" w:eastAsia="Courier New" w:hAnsi="Courier New"/>
          <w:sz w:val="14"/>
          <w:szCs w:val="14"/>
          <w:color w:val="auto"/>
        </w:rPr>
      </w:pPr>
    </w:p>
    <w:p>
      <w:pPr>
        <w:ind w:left="3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419" w:firstLine="861"/>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tabs>
          <w:tab w:leader="none" w:pos="680" w:val="left"/>
          <w:tab w:leader="none" w:pos="110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w:t>
      </w:r>
    </w:p>
    <w:p>
      <w:pPr>
        <w:spacing w:after="0" w:line="7" w:lineRule="exact"/>
        <w:rPr>
          <w:sz w:val="24"/>
          <w:szCs w:val="24"/>
          <w:color w:val="auto"/>
        </w:rPr>
      </w:pPr>
    </w:p>
    <w:p>
      <w:pPr>
        <w:ind w:left="520"/>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4"/>
          <w:szCs w:val="24"/>
          <w:color w:val="auto"/>
        </w:rPr>
      </w:pPr>
    </w:p>
    <w:p>
      <w:pPr>
        <w:ind w:right="3519" w:firstLine="861"/>
        <w:spacing w:after="0" w:line="255" w:lineRule="auto"/>
        <w:rPr>
          <w:sz w:val="20"/>
          <w:szCs w:val="20"/>
          <w:color w:val="auto"/>
        </w:rPr>
      </w:pPr>
      <w:r>
        <w:rPr>
          <w:rFonts w:ascii="Courier New" w:cs="Courier New" w:eastAsia="Courier New" w:hAnsi="Courier New"/>
          <w:sz w:val="14"/>
          <w:szCs w:val="14"/>
          <w:color w:val="auto"/>
        </w:rPr>
        <w:t>The number of outstanding shares of the registrant's common stock as of June 12, 1997 was 210,675,633.</w:t>
      </w:r>
    </w:p>
    <w:p>
      <w:pPr>
        <w:sectPr>
          <w:pgSz w:w="11900" w:h="16838" w:orient="portrait"/>
          <w:cols w:equalWidth="0" w:num="1">
            <w:col w:w="10239"/>
          </w:cols>
          <w:pgMar w:left="220" w:top="561" w:right="1440" w:bottom="1440" w:gutter="0" w:footer="0" w:header="0"/>
        </w:sectPr>
      </w:pPr>
    </w:p>
    <w:bookmarkStart w:id="1" w:name="page2"/>
    <w:bookmarkEnd w:id="1"/>
    <w:p>
      <w:pPr>
        <w:ind w:left="2080"/>
        <w:spacing w:after="0"/>
        <w:tabs>
          <w:tab w:leader="none" w:pos="284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(Dollars in millions, except for par value data)</w:t>
      </w:r>
    </w:p>
    <w:p>
      <w:pPr>
        <w:spacing w:after="0" w:line="200" w:lineRule="exact"/>
        <w:rPr>
          <w:sz w:val="20"/>
          <w:szCs w:val="20"/>
          <w:color w:val="auto"/>
        </w:rPr>
      </w:pPr>
    </w:p>
    <w:p>
      <w:pPr>
        <w:spacing w:after="0" w:line="304" w:lineRule="exact"/>
        <w:rPr>
          <w:sz w:val="20"/>
          <w:szCs w:val="20"/>
          <w:color w:val="auto"/>
        </w:rPr>
      </w:pPr>
    </w:p>
    <w:p>
      <w:pPr>
        <w:ind w:left="6900"/>
        <w:spacing w:after="0"/>
        <w:tabs>
          <w:tab w:leader="none" w:pos="7740" w:val="left"/>
        </w:tabs>
        <w:rPr>
          <w:sz w:val="20"/>
          <w:szCs w:val="20"/>
          <w:color w:val="auto"/>
        </w:rPr>
      </w:pP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August 29,</w:t>
      </w:r>
    </w:p>
    <w:p>
      <w:pPr>
        <w:spacing w:after="0" w:line="7" w:lineRule="exact"/>
        <w:rPr>
          <w:sz w:val="20"/>
          <w:szCs w:val="20"/>
          <w:color w:val="auto"/>
        </w:rPr>
      </w:pPr>
    </w:p>
    <w:p>
      <w:pPr>
        <w:spacing w:after="0"/>
        <w:tabs>
          <w:tab w:leader="none" w:pos="6960" w:val="left"/>
          <w:tab w:leader="none" w:pos="8000" w:val="left"/>
        </w:tabs>
        <w:rPr>
          <w:sz w:val="20"/>
          <w:szCs w:val="20"/>
          <w:color w:val="auto"/>
        </w:rPr>
      </w:pPr>
      <w:r>
        <w:rPr>
          <w:rFonts w:ascii="Courier New" w:cs="Courier New" w:eastAsia="Courier New" w:hAnsi="Courier New"/>
          <w:sz w:val="14"/>
          <w:szCs w:val="14"/>
          <w:color w:val="auto"/>
        </w:rPr>
        <w:t>As of</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5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(Unaudited)</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Cash and equivalents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433.5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276.1</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Liquid investments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367.3</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347.4</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376.6</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251.4</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65.0</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Total current assets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1,338.2</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964.0</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net</w:t>
            </w:r>
          </w:p>
        </w:tc>
        <w:tc>
          <w:tcPr>
            <w:tcW w:w="7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43.2</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2,713.0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2,708.1</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Total assets</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$4,154.5</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$3,751.5</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26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expenses</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466.1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423.7</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Equipment purchase contracts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647.3</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664.5</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7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281.2</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224.6</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Non-current product and process technology</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43.5</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860"/>
              <w:spacing w:after="0"/>
              <w:rPr>
                <w:sz w:val="20"/>
                <w:szCs w:val="20"/>
                <w:color w:val="auto"/>
              </w:rPr>
            </w:pPr>
            <w:r>
              <w:rPr>
                <w:rFonts w:ascii="Courier New" w:cs="Courier New" w:eastAsia="Courier New" w:hAnsi="Courier New"/>
                <w:sz w:val="14"/>
                <w:szCs w:val="14"/>
                <w:color w:val="auto"/>
              </w:rPr>
              <w:t>Total liabilities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1,232.5</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1,195.7</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Minority interests</w:t>
            </w:r>
          </w:p>
        </w:tc>
        <w:tc>
          <w:tcPr>
            <w:tcW w:w="7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132.9</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53.8</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Common stock, $0.10 par value, authorized 1.0 billion shares,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issued and outstanding 210.5 million and 208.8 million</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shares, respectively</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Additional capital</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461.6</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434.7</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2,306.4</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2,046.4</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Total shareholders' equity</w:t>
            </w:r>
          </w:p>
        </w:tc>
        <w:tc>
          <w:tcPr>
            <w:tcW w:w="7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2,789.1</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2,502.0</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minority interests and shareholders' equity</w:t>
            </w: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$4,154.5</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$3,751.5</w:t>
            </w:r>
          </w:p>
        </w:tc>
      </w:tr>
      <w:tr>
        <w:trPr>
          <w:trHeight w:val="166"/>
        </w:trPr>
        <w:tc>
          <w:tcPr>
            <w:tcW w:w="6260" w:type="dxa"/>
            <w:vAlign w:val="bottom"/>
          </w:tcPr>
          <w:p>
            <w:pPr>
              <w:spacing w:after="0"/>
              <w:rPr>
                <w:sz w:val="14"/>
                <w:szCs w:val="14"/>
                <w:color w:val="auto"/>
              </w:rPr>
            </w:pPr>
          </w:p>
        </w:tc>
        <w:tc>
          <w:tcPr>
            <w:tcW w:w="15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6" w:right="1440" w:bottom="1440" w:gutter="0" w:footer="0" w:header="0"/>
        </w:sectPr>
      </w:pPr>
    </w:p>
    <w:bookmarkStart w:id="2" w:name="page3"/>
    <w:bookmarkEnd w:id="2"/>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80"/>
        <w:spacing w:after="0"/>
        <w:tabs>
          <w:tab w:leader="none" w:pos="6020" w:val="left"/>
        </w:tabs>
        <w:rPr>
          <w:sz w:val="20"/>
          <w:szCs w:val="20"/>
          <w:color w:val="auto"/>
        </w:rPr>
      </w:pP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May 30,</w:t>
      </w:r>
    </w:p>
    <w:p>
      <w:pPr>
        <w:spacing w:after="0" w:line="7" w:lineRule="exact"/>
        <w:rPr>
          <w:sz w:val="20"/>
          <w:szCs w:val="20"/>
          <w:color w:val="auto"/>
        </w:rPr>
      </w:pPr>
    </w:p>
    <w:p>
      <w:pPr>
        <w:spacing w:after="0"/>
        <w:tabs>
          <w:tab w:leader="none" w:pos="5240" w:val="left"/>
          <w:tab w:leader="none" w:pos="6100" w:val="left"/>
        </w:tabs>
        <w:rPr>
          <w:sz w:val="20"/>
          <w:szCs w:val="20"/>
          <w:color w:val="auto"/>
        </w:rPr>
      </w:pPr>
      <w:r>
        <w:rPr>
          <w:rFonts w:ascii="Courier New" w:cs="Courier New" w:eastAsia="Courier New" w:hAnsi="Courier New"/>
          <w:sz w:val="14"/>
          <w:szCs w:val="14"/>
          <w:color w:val="auto"/>
        </w:rPr>
        <w:t>For the quarter ended</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$965.0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$771.0</w:t>
            </w:r>
          </w:p>
        </w:tc>
      </w:tr>
      <w:tr>
        <w:trPr>
          <w:trHeight w:val="166"/>
        </w:trPr>
        <w:tc>
          <w:tcPr>
            <w:tcW w:w="48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Cost of goods sold</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558.0</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Research and development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w:t>
            </w:r>
          </w:p>
        </w:tc>
      </w:tr>
      <w:tr>
        <w:trPr>
          <w:trHeight w:val="166"/>
        </w:trPr>
        <w:tc>
          <w:tcPr>
            <w:tcW w:w="48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ind w:left="860"/>
              <w:spacing w:after="0"/>
              <w:rPr>
                <w:sz w:val="20"/>
                <w:szCs w:val="20"/>
                <w:color w:val="auto"/>
              </w:rPr>
            </w:pPr>
            <w:r>
              <w:rPr>
                <w:rFonts w:ascii="Courier New" w:cs="Courier New" w:eastAsia="Courier New" w:hAnsi="Courier New"/>
                <w:sz w:val="14"/>
                <w:szCs w:val="14"/>
                <w:color w:val="auto"/>
              </w:rPr>
              <w:t>Total costs and expenses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796.0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672.8</w:t>
            </w:r>
          </w:p>
        </w:tc>
      </w:tr>
      <w:tr>
        <w:trPr>
          <w:trHeight w:val="166"/>
        </w:trPr>
        <w:tc>
          <w:tcPr>
            <w:tcW w:w="48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98.2</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Loss on sale of investments and subsidiary stock, net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Interest income, net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6"/>
        </w:trPr>
        <w:tc>
          <w:tcPr>
            <w:tcW w:w="48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 interests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(38.6)</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48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$ 96.8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$ 58.2</w:t>
            </w:r>
          </w:p>
        </w:tc>
      </w:tr>
      <w:tr>
        <w:trPr>
          <w:trHeight w:val="166"/>
        </w:trPr>
        <w:tc>
          <w:tcPr>
            <w:tcW w:w="48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88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Primary</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Fully diluted</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0.27</w:t>
            </w:r>
          </w:p>
        </w:tc>
      </w:tr>
      <w:tr>
        <w:trPr>
          <w:trHeight w:val="166"/>
        </w:trPr>
        <w:tc>
          <w:tcPr>
            <w:tcW w:w="488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Primary</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217.5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Fully diluted</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218.4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w:t>
            </w:r>
          </w:p>
        </w:tc>
      </w:tr>
      <w:tr>
        <w:trPr>
          <w:trHeight w:val="331"/>
        </w:trPr>
        <w:tc>
          <w:tcPr>
            <w:tcW w:w="4880" w:type="dxa"/>
            <w:vAlign w:val="bottom"/>
          </w:tcPr>
          <w:p>
            <w:pPr>
              <w:spacing w:after="0"/>
              <w:rPr>
                <w:sz w:val="20"/>
                <w:szCs w:val="20"/>
                <w:color w:val="auto"/>
              </w:rPr>
            </w:pPr>
            <w:r>
              <w:rPr>
                <w:rFonts w:ascii="Courier New" w:cs="Courier New" w:eastAsia="Courier New" w:hAnsi="Courier New"/>
                <w:sz w:val="14"/>
                <w:szCs w:val="14"/>
                <w:color w:val="auto"/>
              </w:rPr>
              <w:t>Cash dividend declared per share</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80"/>
        <w:spacing w:after="0"/>
        <w:tabs>
          <w:tab w:leader="none" w:pos="6200" w:val="left"/>
        </w:tabs>
        <w:rPr>
          <w:sz w:val="20"/>
          <w:szCs w:val="20"/>
          <w:color w:val="auto"/>
        </w:rPr>
      </w:pP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May 30,</w:t>
      </w:r>
    </w:p>
    <w:p>
      <w:pPr>
        <w:spacing w:after="0" w:line="7" w:lineRule="exact"/>
        <w:rPr>
          <w:sz w:val="20"/>
          <w:szCs w:val="20"/>
          <w:color w:val="auto"/>
        </w:rPr>
      </w:pPr>
    </w:p>
    <w:p>
      <w:pPr>
        <w:spacing w:after="0"/>
        <w:tabs>
          <w:tab w:leader="none" w:pos="5240" w:val="left"/>
          <w:tab w:leader="none" w:pos="6280" w:val="left"/>
        </w:tabs>
        <w:rPr>
          <w:sz w:val="20"/>
          <w:szCs w:val="20"/>
          <w:color w:val="auto"/>
        </w:rPr>
      </w:pPr>
      <w:r>
        <w:rPr>
          <w:rFonts w:ascii="Courier New" w:cs="Courier New" w:eastAsia="Courier New" w:hAnsi="Courier New"/>
          <w:sz w:val="14"/>
          <w:szCs w:val="14"/>
          <w:color w:val="auto"/>
        </w:rPr>
        <w:t>For the nine months ended</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$2,569.3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$2,953.3</w:t>
            </w:r>
          </w:p>
        </w:tc>
      </w:tr>
      <w:tr>
        <w:trPr>
          <w:trHeight w:val="166"/>
        </w:trPr>
        <w:tc>
          <w:tcPr>
            <w:tcW w:w="48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Cost of goods sold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1,880.3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1,648.2</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Selling, general and administrative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212.2</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Research and development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145.8</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Restructuring charge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w:t>
            </w:r>
          </w:p>
        </w:tc>
      </w:tr>
      <w:tr>
        <w:trPr>
          <w:trHeight w:val="166"/>
        </w:trPr>
        <w:tc>
          <w:tcPr>
            <w:tcW w:w="48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860"/>
              <w:spacing w:after="0"/>
              <w:rPr>
                <w:sz w:val="20"/>
                <w:szCs w:val="20"/>
                <w:color w:val="auto"/>
              </w:rPr>
            </w:pPr>
            <w:r>
              <w:rPr>
                <w:rFonts w:ascii="Courier New" w:cs="Courier New" w:eastAsia="Courier New" w:hAnsi="Courier New"/>
                <w:sz w:val="14"/>
                <w:szCs w:val="14"/>
                <w:color w:val="auto"/>
              </w:rPr>
              <w:t>Total costs and expenses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2,291.1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2,036.1</w:t>
            </w:r>
          </w:p>
        </w:tc>
      </w:tr>
      <w:tr>
        <w:trPr>
          <w:trHeight w:val="166"/>
        </w:trPr>
        <w:tc>
          <w:tcPr>
            <w:tcW w:w="48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917.2</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Gain on sale of investments and subsidiary stock, net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Interest (expense) income, net</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48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490.1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934.1</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Income tax provision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(355.5)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Minority interests in net income</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48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260.2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574.9</w:t>
            </w:r>
          </w:p>
        </w:tc>
      </w:tr>
      <w:tr>
        <w:trPr>
          <w:trHeight w:val="166"/>
        </w:trPr>
        <w:tc>
          <w:tcPr>
            <w:tcW w:w="484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8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Primary</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Fully diluted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Number of shares used in per share calculations:</w:t>
            </w: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Primary</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215.9</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Fully diluted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215.9</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Cash dividend declared per share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4" w:name="page5"/>
    <w:bookmarkEnd w:id="4"/>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820"/>
        <w:spacing w:after="0"/>
        <w:tabs>
          <w:tab w:leader="none" w:pos="7820" w:val="left"/>
        </w:tabs>
        <w:rPr>
          <w:sz w:val="20"/>
          <w:szCs w:val="20"/>
          <w:color w:val="auto"/>
        </w:rPr>
      </w:pP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May 30,</w:t>
      </w:r>
    </w:p>
    <w:p>
      <w:pPr>
        <w:spacing w:after="0" w:line="7" w:lineRule="exact"/>
        <w:rPr>
          <w:sz w:val="20"/>
          <w:szCs w:val="20"/>
          <w:color w:val="auto"/>
        </w:rPr>
      </w:pPr>
    </w:p>
    <w:p>
      <w:pPr>
        <w:spacing w:after="0"/>
        <w:tabs>
          <w:tab w:leader="none" w:pos="6880" w:val="left"/>
          <w:tab w:leader="none" w:pos="7920" w:val="left"/>
        </w:tabs>
        <w:rPr>
          <w:sz w:val="20"/>
          <w:szCs w:val="20"/>
          <w:color w:val="auto"/>
        </w:rPr>
      </w:pPr>
      <w:r>
        <w:rPr>
          <w:rFonts w:ascii="Courier New" w:cs="Courier New" w:eastAsia="Courier New" w:hAnsi="Courier New"/>
          <w:sz w:val="14"/>
          <w:szCs w:val="14"/>
          <w:color w:val="auto"/>
        </w:rPr>
        <w:t>For the nine months ended</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$ 260.2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operating activities: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Depreciation and amortization</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350.3</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274.6</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Restructuring charge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(Increase) decrease in receivables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(19.6)</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156.1</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Increase in inventories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(104.0)</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Increase (decrease) in accounts payable and accrued expenses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Increase in deferred income taxes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72.3</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36.7</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Increase in non-current product and process technology</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Net gains from subsidiary stock and investment sales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(214.2)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6380" w:type="dxa"/>
            <w:vAlign w:val="bottom"/>
          </w:tcPr>
          <w:p>
            <w:pPr>
              <w:ind w:left="860"/>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70.2</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436.4</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951.2</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Purchase of available-for-sale and held-to-maturity securities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(188.5)</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sales and maturities of securities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611.5</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(368.4)</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(1,275.9)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sale of equipment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sale of subsidiary stock</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used for investing activities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(216.3)</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(838.9)</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Payments on equipment purchase contracts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(178.7)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repayments on lines of credit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issuance of debt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568.0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Repayments of long-term debt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issuance of common stock</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Payment of dividends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Proceeds from issuance of stock by subsidiary</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53.6</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cash (used for) provided by financing activities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(62.7)</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152.6</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increase in cash and equivalents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157.4</w:t>
            </w: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equivalents at beginning of period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276.1</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128.1</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Cash and equivalents at end of period</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$ 433.5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393.0</w:t>
            </w:r>
          </w:p>
        </w:tc>
      </w:tr>
      <w:tr>
        <w:trPr>
          <w:trHeight w:val="166"/>
        </w:trPr>
        <w:tc>
          <w:tcPr>
            <w:tcW w:w="63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SUPPLEMENTAL DISCLOSURES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taxes paid, net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(79.6)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(417.5)</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paid</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Equipment acquisitions on contracts payable and capital leases</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206.4</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Long-term debt offset against accounts receivable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0.1</w:t>
            </w:r>
          </w:p>
        </w:tc>
        <w:tc>
          <w:tcPr>
            <w:tcW w:w="22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5" w:name="page6"/>
    <w:bookmarkEnd w:id="5"/>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(All tabular dollar amounts are stated in millions)</w:t>
      </w:r>
    </w:p>
    <w:p>
      <w:pPr>
        <w:spacing w:after="0" w:line="173"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Unaudited interim financial statements</w:t>
      </w:r>
    </w:p>
    <w:p>
      <w:pPr>
        <w:spacing w:after="0" w:line="17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w:t>
      </w:r>
    </w:p>
    <w:p>
      <w:pPr>
        <w:spacing w:after="0" w:line="165"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This report on Form 10-Q for the quarter ended May 29, 1997, should be read in conjunction with the Company's Annual Report to Shareholders and/or Form 10-K, as amended, for the year ended August 29, 1996.</w:t>
      </w:r>
    </w:p>
    <w:p>
      <w:pPr>
        <w:spacing w:after="0" w:line="163"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Recently issued accounting standards</w:t>
      </w:r>
    </w:p>
    <w:p>
      <w:pPr>
        <w:spacing w:after="0" w:line="17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The Financial Accounting Standards Board has issued Statement No. 128 Earnings Per Share. The requirements of this Statement are first effective for the Company's interim period ended February 28, 1998. The Statement requires, in all instances, dual presentation of a basic earnings per share ("EPS"), which excludes dilution, and a diluted EPS, which reflects the potential dilution that could occur if actions taken in respect of convertible securities or other obligations to issue common stock resulted in the issuance of common stock. It also requires a reconciliation of the income available to common stockholders and weighted-average shares of the basic EPS computation to the income available to common stockholders and weighted-average shares plus dilutive potential common shares of the diluted EPS computation. Basic and diluted EPS pursuant to the requirements of Statement No. 128 would be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80" w:type="dxa"/>
            <w:vAlign w:val="bottom"/>
            <w:gridSpan w:val="2"/>
          </w:tcPr>
          <w:p>
            <w:pPr>
              <w:jc w:val="right"/>
              <w:ind w:right="1348"/>
              <w:spacing w:after="0"/>
              <w:rPr>
                <w:sz w:val="20"/>
                <w:szCs w:val="20"/>
                <w:color w:val="auto"/>
              </w:rPr>
            </w:pPr>
            <w:r>
              <w:rPr>
                <w:rFonts w:ascii="Courier New" w:cs="Courier New" w:eastAsia="Courier New" w:hAnsi="Courier New"/>
                <w:sz w:val="14"/>
                <w:szCs w:val="14"/>
                <w:color w:val="auto"/>
              </w:rPr>
              <w:t>Quarter Ended</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2980" w:type="dxa"/>
            <w:vAlign w:val="bottom"/>
          </w:tcPr>
          <w:p>
            <w:pPr>
              <w:spacing w:after="0"/>
              <w:rPr>
                <w:sz w:val="14"/>
                <w:szCs w:val="14"/>
                <w:color w:val="auto"/>
              </w:rPr>
            </w:pPr>
          </w:p>
        </w:tc>
        <w:tc>
          <w:tcPr>
            <w:tcW w:w="1080" w:type="dxa"/>
            <w:vAlign w:val="bottom"/>
          </w:tcPr>
          <w:p>
            <w:pPr>
              <w:ind w:left="740"/>
              <w:spacing w:after="0"/>
              <w:rPr>
                <w:sz w:val="20"/>
                <w:szCs w:val="20"/>
                <w:color w:val="auto"/>
              </w:rPr>
            </w:pPr>
            <w:r>
              <w:rPr>
                <w:rFonts w:ascii="Courier New" w:cs="Courier New" w:eastAsia="Courier New" w:hAnsi="Courier New"/>
                <w:sz w:val="14"/>
                <w:szCs w:val="14"/>
                <w:color w:val="auto"/>
              </w:rPr>
              <w:t>May</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29, 1997</w:t>
            </w:r>
          </w:p>
        </w:tc>
        <w:tc>
          <w:tcPr>
            <w:tcW w:w="1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May 30, 1996</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29, 1997</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May 30, 1996</w:t>
            </w:r>
          </w:p>
        </w:tc>
      </w:tr>
      <w:tr>
        <w:trPr>
          <w:trHeight w:val="166"/>
        </w:trPr>
        <w:tc>
          <w:tcPr>
            <w:tcW w:w="2980" w:type="dxa"/>
            <w:vAlign w:val="bottom"/>
          </w:tcPr>
          <w:p>
            <w:pPr>
              <w:spacing w:after="0"/>
              <w:rPr>
                <w:sz w:val="14"/>
                <w:szCs w:val="14"/>
                <w:color w:val="auto"/>
              </w:rPr>
            </w:pPr>
          </w:p>
        </w:tc>
        <w:tc>
          <w:tcPr>
            <w:tcW w:w="1980" w:type="dxa"/>
            <w:vAlign w:val="bottom"/>
            <w:gridSpan w:val="2"/>
          </w:tcPr>
          <w:p>
            <w:pPr>
              <w:ind w:left="74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497"/>
        </w:trPr>
        <w:tc>
          <w:tcPr>
            <w:tcW w:w="29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0"/>
                <w:szCs w:val="20"/>
                <w:color w:val="auto"/>
              </w:rPr>
            </w:pPr>
            <w:r>
              <w:rPr>
                <w:rFonts w:ascii="Courier New" w:cs="Courier New" w:eastAsia="Courier New" w:hAnsi="Courier New"/>
                <w:sz w:val="14"/>
                <w:szCs w:val="14"/>
                <w:color w:val="auto"/>
              </w:rPr>
              <w:t>0.46</w:t>
            </w:r>
          </w:p>
        </w:tc>
        <w:tc>
          <w:tcPr>
            <w:tcW w:w="1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  0.28</w:t>
            </w:r>
          </w:p>
        </w:tc>
        <w:tc>
          <w:tcPr>
            <w:tcW w:w="2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0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0.45</w:t>
            </w:r>
          </w:p>
        </w:tc>
        <w:tc>
          <w:tcPr>
            <w:tcW w:w="1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0.27</w:t>
            </w:r>
          </w:p>
        </w:tc>
        <w:tc>
          <w:tcPr>
            <w:tcW w:w="2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w:t>
            </w:r>
          </w:p>
        </w:tc>
      </w:tr>
    </w:tbl>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3.</w:t>
            </w:r>
          </w:p>
        </w:tc>
        <w:tc>
          <w:tcPr>
            <w:tcW w:w="5300" w:type="dxa"/>
            <w:vAlign w:val="bottom"/>
          </w:tcPr>
          <w:p>
            <w:pPr>
              <w:ind w:left="160"/>
              <w:spacing w:after="0"/>
              <w:rPr>
                <w:sz w:val="20"/>
                <w:szCs w:val="20"/>
                <w:color w:val="auto"/>
              </w:rPr>
            </w:pPr>
            <w:r>
              <w:rPr>
                <w:rFonts w:ascii="Courier New" w:cs="Courier New" w:eastAsia="Courier New" w:hAnsi="Courier New"/>
                <w:sz w:val="14"/>
                <w:szCs w:val="14"/>
                <w:color w:val="auto"/>
              </w:rPr>
              <w:t>Supplemental balance sheet information</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36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Trade receivables</w:t>
            </w: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taxes receivalbe</w:t>
            </w: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Allowance for returns and discounts</w:t>
            </w:r>
          </w:p>
        </w:tc>
        <w:tc>
          <w:tcPr>
            <w:tcW w:w="3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3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6"/>
        </w:trPr>
        <w:tc>
          <w:tcPr>
            <w:tcW w:w="5040" w:type="dxa"/>
            <w:vAlign w:val="bottom"/>
          </w:tcPr>
          <w:p>
            <w:pPr>
              <w:spacing w:after="0"/>
              <w:rPr>
                <w:sz w:val="14"/>
                <w:szCs w:val="14"/>
                <w:color w:val="auto"/>
              </w:rPr>
            </w:pP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$347.4</w:t>
            </w:r>
          </w:p>
        </w:tc>
      </w:tr>
      <w:tr>
        <w:trPr>
          <w:trHeight w:val="166"/>
        </w:trPr>
        <w:tc>
          <w:tcPr>
            <w:tcW w:w="5040" w:type="dxa"/>
            <w:vAlign w:val="bottom"/>
          </w:tcPr>
          <w:p>
            <w:pPr>
              <w:spacing w:after="0"/>
              <w:rPr>
                <w:sz w:val="14"/>
                <w:szCs w:val="14"/>
                <w:color w:val="auto"/>
              </w:rPr>
            </w:pP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$ 54.3</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167.0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112.8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Raw materials and supplies</w:t>
            </w: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84.3</w:t>
            </w:r>
          </w:p>
        </w:tc>
      </w:tr>
      <w:tr>
        <w:trPr>
          <w:trHeight w:val="166"/>
        </w:trPr>
        <w:tc>
          <w:tcPr>
            <w:tcW w:w="4660" w:type="dxa"/>
            <w:vAlign w:val="bottom"/>
          </w:tcPr>
          <w:p>
            <w:pPr>
              <w:spacing w:after="0"/>
              <w:rPr>
                <w:sz w:val="14"/>
                <w:szCs w:val="14"/>
                <w:color w:val="auto"/>
              </w:rPr>
            </w:pP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spacing w:after="0"/>
              <w:rPr>
                <w:sz w:val="14"/>
                <w:szCs w:val="14"/>
                <w:color w:val="auto"/>
              </w:rPr>
            </w:pP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$251.4</w:t>
            </w:r>
          </w:p>
        </w:tc>
      </w:tr>
      <w:tr>
        <w:trPr>
          <w:trHeight w:val="166"/>
        </w:trPr>
        <w:tc>
          <w:tcPr>
            <w:tcW w:w="4660" w:type="dxa"/>
            <w:vAlign w:val="bottom"/>
          </w:tcPr>
          <w:p>
            <w:pPr>
              <w:spacing w:after="0"/>
              <w:rPr>
                <w:sz w:val="14"/>
                <w:szCs w:val="14"/>
                <w:color w:val="auto"/>
              </w:rPr>
            </w:pPr>
          </w:p>
        </w:tc>
        <w:tc>
          <w:tcPr>
            <w:tcW w:w="3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 and process technology,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at cost</w:t>
            </w:r>
          </w:p>
        </w:tc>
        <w:tc>
          <w:tcPr>
            <w:tcW w:w="2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$184.3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$167.5</w:t>
            </w: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2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(124.3)</w:t>
            </w:r>
          </w:p>
        </w:tc>
      </w:tr>
      <w:tr>
        <w:trPr>
          <w:trHeight w:val="166"/>
        </w:trPr>
        <w:tc>
          <w:tcPr>
            <w:tcW w:w="5220" w:type="dxa"/>
            <w:vAlign w:val="bottom"/>
          </w:tcPr>
          <w:p>
            <w:pPr>
              <w:spacing w:after="0"/>
              <w:rPr>
                <w:sz w:val="14"/>
                <w:szCs w:val="14"/>
                <w:color w:val="auto"/>
              </w:rPr>
            </w:pPr>
          </w:p>
        </w:tc>
        <w:tc>
          <w:tcPr>
            <w:tcW w:w="2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220" w:type="dxa"/>
            <w:vAlign w:val="bottom"/>
          </w:tcPr>
          <w:p>
            <w:pPr>
              <w:spacing w:after="0"/>
              <w:rPr>
                <w:sz w:val="14"/>
                <w:szCs w:val="14"/>
                <w:color w:val="auto"/>
              </w:rPr>
            </w:pPr>
          </w:p>
        </w:tc>
        <w:tc>
          <w:tcPr>
            <w:tcW w:w="2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r>
      <w:tr>
        <w:trPr>
          <w:trHeight w:val="166"/>
        </w:trPr>
        <w:tc>
          <w:tcPr>
            <w:tcW w:w="5220" w:type="dxa"/>
            <w:vAlign w:val="bottom"/>
          </w:tcPr>
          <w:p>
            <w:pPr>
              <w:spacing w:after="0"/>
              <w:rPr>
                <w:sz w:val="14"/>
                <w:szCs w:val="14"/>
                <w:color w:val="auto"/>
              </w:rPr>
            </w:pPr>
          </w:p>
        </w:tc>
        <w:tc>
          <w:tcPr>
            <w:tcW w:w="2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22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5</w:t>
            </w: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ectPr>
          <w:pgSz w:w="11900" w:h="16838" w:orient="portrait"/>
          <w:cols w:equalWidth="0" w:num="1">
            <w:col w:w="11540"/>
          </w:cols>
          <w:pgMar w:left="220" w:top="61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Supplemental balance sheet information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August 29,</w:t>
      </w:r>
    </w:p>
    <w:p>
      <w:pPr>
        <w:spacing w:after="0" w:line="7" w:lineRule="exact"/>
        <w:rPr>
          <w:sz w:val="20"/>
          <w:szCs w:val="20"/>
          <w:color w:val="auto"/>
        </w:rPr>
      </w:pPr>
    </w:p>
    <w:p>
      <w:pPr>
        <w:ind w:left="80"/>
        <w:spacing w:after="0"/>
        <w:tabs>
          <w:tab w:leader="none" w:pos="136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ectPr>
          <w:pgSz w:w="11900" w:h="16838" w:orient="portrait"/>
          <w:cols w:equalWidth="0" w:num="2">
            <w:col w:w="6180" w:space="720"/>
            <w:col w:w="4640"/>
          </w:cols>
          <w:pgMar w:left="220" w:top="616"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37.3</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12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801.5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674.4</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12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2,300.5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2,073.4</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Construction in progress</w:t>
            </w:r>
          </w:p>
        </w:tc>
        <w:tc>
          <w:tcPr>
            <w:tcW w:w="12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667.9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753.9</w:t>
            </w:r>
          </w:p>
        </w:tc>
      </w:tr>
      <w:tr>
        <w:trPr>
          <w:trHeight w:val="166"/>
        </w:trPr>
        <w:tc>
          <w:tcPr>
            <w:tcW w:w="5080" w:type="dxa"/>
            <w:vAlign w:val="bottom"/>
          </w:tcPr>
          <w:p>
            <w:pPr>
              <w:spacing w:after="0"/>
              <w:rPr>
                <w:sz w:val="14"/>
                <w:szCs w:val="14"/>
                <w:color w:val="auto"/>
              </w:rPr>
            </w:pPr>
          </w:p>
        </w:tc>
        <w:tc>
          <w:tcPr>
            <w:tcW w:w="22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3,807.6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3,539.0</w:t>
            </w:r>
          </w:p>
        </w:tc>
      </w:tr>
      <w:tr>
        <w:trPr>
          <w:trHeight w:val="166"/>
        </w:trPr>
        <w:tc>
          <w:tcPr>
            <w:tcW w:w="508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(830.9)</w:t>
            </w:r>
          </w:p>
        </w:tc>
      </w:tr>
      <w:tr>
        <w:trPr>
          <w:trHeight w:val="166"/>
        </w:trPr>
        <w:tc>
          <w:tcPr>
            <w:tcW w:w="5080" w:type="dxa"/>
            <w:vAlign w:val="bottom"/>
          </w:tcPr>
          <w:p>
            <w:pPr>
              <w:spacing w:after="0"/>
              <w:rPr>
                <w:sz w:val="14"/>
                <w:szCs w:val="14"/>
                <w:color w:val="auto"/>
              </w:rPr>
            </w:pPr>
          </w:p>
        </w:tc>
        <w:tc>
          <w:tcPr>
            <w:tcW w:w="22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2,713.0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$2,708.1</w:t>
            </w:r>
          </w:p>
        </w:tc>
      </w:tr>
      <w:tr>
        <w:trPr>
          <w:trHeight w:val="166"/>
        </w:trPr>
        <w:tc>
          <w:tcPr>
            <w:tcW w:w="5080" w:type="dxa"/>
            <w:vAlign w:val="bottom"/>
          </w:tcPr>
          <w:p>
            <w:pPr>
              <w:spacing w:after="0"/>
              <w:rPr>
                <w:sz w:val="14"/>
                <w:szCs w:val="14"/>
                <w:color w:val="auto"/>
              </w:rPr>
            </w:pPr>
          </w:p>
        </w:tc>
        <w:tc>
          <w:tcPr>
            <w:tcW w:w="22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As of May 29, 1997 property, plant and equipment included unamortized costs of $622.8 million for the Company's semiconductor memory manufacturing facility in Lehi, Utah, of which $586.3 million has not been placed in service and is not being depreciated. Additional test capacity for Boise production is anticipated to be provided in Lehi. Completion of the remainder of the Lehi production facilities is dependent upon market conditions. Market conditions which the Company expects to evaluate include, but are not limited to, world-wide market supply and demand of semiconductor products and the Company's operations, cash flows and alternative uses of capital.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Accounts payable and accrued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$ 229.3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$ 232.4</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Salaries, wages and benefits</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Product and process technology payable</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Income taxes payable</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61.6</w:t>
            </w:r>
          </w:p>
        </w:tc>
      </w:tr>
      <w:tr>
        <w:trPr>
          <w:trHeight w:val="166"/>
        </w:trPr>
        <w:tc>
          <w:tcPr>
            <w:tcW w:w="4740" w:type="dxa"/>
            <w:vAlign w:val="bottom"/>
          </w:tcPr>
          <w:p>
            <w:pPr>
              <w:spacing w:after="0"/>
              <w:rPr>
                <w:sz w:val="14"/>
                <w:szCs w:val="14"/>
                <w:color w:val="auto"/>
              </w:rPr>
            </w:pP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tcPr>
          <w:p>
            <w:pPr>
              <w:spacing w:after="0"/>
              <w:rPr>
                <w:sz w:val="14"/>
                <w:szCs w:val="14"/>
                <w:color w:val="auto"/>
              </w:rPr>
            </w:pP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$ 466.1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$ 423.7</w:t>
            </w:r>
          </w:p>
        </w:tc>
      </w:tr>
      <w:tr>
        <w:trPr>
          <w:trHeight w:val="166"/>
        </w:trPr>
        <w:tc>
          <w:tcPr>
            <w:tcW w:w="4740" w:type="dxa"/>
            <w:vAlign w:val="bottom"/>
          </w:tcPr>
          <w:p>
            <w:pPr>
              <w:spacing w:after="0"/>
              <w:rPr>
                <w:sz w:val="14"/>
                <w:szCs w:val="14"/>
                <w:color w:val="auto"/>
              </w:rPr>
            </w:pP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Notes payable in periodic installments through July 2015,</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820" w:type="dxa"/>
            <w:vAlign w:val="bottom"/>
          </w:tcPr>
          <w:p>
            <w:pPr>
              <w:ind w:left="420"/>
              <w:spacing w:after="0"/>
              <w:rPr>
                <w:sz w:val="20"/>
                <w:szCs w:val="20"/>
                <w:color w:val="auto"/>
              </w:rPr>
            </w:pPr>
            <w:r>
              <w:rPr>
                <w:rFonts w:ascii="Courier New" w:cs="Courier New" w:eastAsia="Courier New" w:hAnsi="Courier New"/>
                <w:sz w:val="14"/>
                <w:szCs w:val="14"/>
                <w:color w:val="auto"/>
              </w:rPr>
              <w:t>weighted average interest rate of 7.34% and 7.28%,</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820" w:type="dxa"/>
            <w:vAlign w:val="bottom"/>
          </w:tcPr>
          <w:p>
            <w:pPr>
              <w:ind w:left="420"/>
              <w:spacing w:after="0"/>
              <w:rPr>
                <w:sz w:val="20"/>
                <w:szCs w:val="20"/>
                <w:color w:val="auto"/>
              </w:rPr>
            </w:pPr>
            <w:r>
              <w:rPr>
                <w:rFonts w:ascii="Courier New" w:cs="Courier New" w:eastAsia="Courier New" w:hAnsi="Courier New"/>
                <w:sz w:val="14"/>
                <w:szCs w:val="14"/>
                <w:color w:val="auto"/>
              </w:rPr>
              <w:t>respectively</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$ 350.8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$322.0</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 payable in monthly installments</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820" w:type="dxa"/>
            <w:vAlign w:val="bottom"/>
          </w:tcPr>
          <w:p>
            <w:pPr>
              <w:ind w:left="420"/>
              <w:spacing w:after="0"/>
              <w:rPr>
                <w:sz w:val="20"/>
                <w:szCs w:val="20"/>
                <w:color w:val="auto"/>
              </w:rPr>
            </w:pPr>
            <w:r>
              <w:rPr>
                <w:rFonts w:ascii="Courier New" w:cs="Courier New" w:eastAsia="Courier New" w:hAnsi="Courier New"/>
                <w:sz w:val="14"/>
                <w:szCs w:val="14"/>
                <w:color w:val="auto"/>
              </w:rPr>
              <w:t>through August 2002, weighted average interest rate of</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820" w:type="dxa"/>
            <w:vAlign w:val="bottom"/>
          </w:tcPr>
          <w:p>
            <w:pPr>
              <w:ind w:left="420"/>
              <w:spacing w:after="0"/>
              <w:rPr>
                <w:sz w:val="20"/>
                <w:szCs w:val="20"/>
                <w:color w:val="auto"/>
              </w:rPr>
            </w:pPr>
            <w:r>
              <w:rPr>
                <w:rFonts w:ascii="Courier New" w:cs="Courier New" w:eastAsia="Courier New" w:hAnsi="Courier New"/>
                <w:sz w:val="14"/>
                <w:szCs w:val="14"/>
                <w:color w:val="auto"/>
              </w:rPr>
              <w:t>7.75% and 7.72%, respectively</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Noninterest bearing obligations, $1.9 million due December 1997</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820" w:type="dxa"/>
            <w:vAlign w:val="bottom"/>
          </w:tcPr>
          <w:p>
            <w:pPr>
              <w:ind w:left="420"/>
              <w:spacing w:after="0"/>
              <w:rPr>
                <w:sz w:val="20"/>
                <w:szCs w:val="20"/>
                <w:color w:val="auto"/>
              </w:rPr>
            </w:pPr>
            <w:r>
              <w:rPr>
                <w:rFonts w:ascii="Courier New" w:cs="Courier New" w:eastAsia="Courier New" w:hAnsi="Courier New"/>
                <w:sz w:val="14"/>
                <w:szCs w:val="14"/>
                <w:color w:val="auto"/>
              </w:rPr>
              <w:t>and $1.1 million due March 1998, weighted average imputed</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820" w:type="dxa"/>
            <w:vAlign w:val="bottom"/>
          </w:tcPr>
          <w:p>
            <w:pPr>
              <w:ind w:left="420"/>
              <w:spacing w:after="0"/>
              <w:rPr>
                <w:sz w:val="20"/>
                <w:szCs w:val="20"/>
                <w:color w:val="auto"/>
              </w:rPr>
            </w:pPr>
            <w:r>
              <w:rPr>
                <w:rFonts w:ascii="Courier New" w:cs="Courier New" w:eastAsia="Courier New" w:hAnsi="Courier New"/>
                <w:sz w:val="14"/>
                <w:szCs w:val="14"/>
                <w:color w:val="auto"/>
              </w:rPr>
              <w:t>interest rate of 7.31% and 7.17%, respectively</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Note payable, due June 1998, weighted average interest rate of</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5820" w:type="dxa"/>
            <w:vAlign w:val="bottom"/>
          </w:tcPr>
          <w:p>
            <w:pPr>
              <w:ind w:left="420"/>
              <w:spacing w:after="0"/>
              <w:rPr>
                <w:sz w:val="20"/>
                <w:szCs w:val="20"/>
                <w:color w:val="auto"/>
              </w:rPr>
            </w:pPr>
            <w:r>
              <w:rPr>
                <w:rFonts w:ascii="Courier New" w:cs="Courier New" w:eastAsia="Courier New" w:hAnsi="Courier New"/>
                <w:sz w:val="14"/>
                <w:szCs w:val="14"/>
                <w:color w:val="auto"/>
              </w:rPr>
              <w:t>5.28% and 5.30%, respectively</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582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394.2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389.8</w:t>
            </w: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r>
      <w:tr>
        <w:trPr>
          <w:trHeight w:val="166"/>
        </w:trPr>
        <w:tc>
          <w:tcPr>
            <w:tcW w:w="582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$ 281.2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5820" w:type="dxa"/>
            <w:vAlign w:val="bottom"/>
          </w:tcPr>
          <w:p>
            <w:pPr>
              <w:spacing w:after="0"/>
              <w:rPr>
                <w:sz w:val="14"/>
                <w:szCs w:val="14"/>
                <w:color w:val="auto"/>
              </w:rPr>
            </w:pP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820" w:type="dxa"/>
            <w:vAlign w:val="bottom"/>
          </w:tcPr>
          <w:p>
            <w:pPr>
              <w:ind w:left="2920"/>
              <w:spacing w:after="0"/>
              <w:rPr>
                <w:sz w:val="20"/>
                <w:szCs w:val="20"/>
                <w:color w:val="auto"/>
              </w:rPr>
            </w:pPr>
            <w:r>
              <w:rPr>
                <w:rFonts w:ascii="Courier New" w:cs="Courier New" w:eastAsia="Courier New" w:hAnsi="Courier New"/>
                <w:sz w:val="14"/>
                <w:szCs w:val="14"/>
                <w:color w:val="auto"/>
              </w:rPr>
              <w:t>6</w:t>
            </w: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540"/>
          </w:cols>
          <w:pgMar w:left="220" w:top="616" w:right="139"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338"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Earnings per share is computed using the weighted average number of common and common equivalent shares outstanding. Common equivalent shares result from the assumed exercise of outstanding stock options and affect earnings per share when they have a dilutive effect.</w:t>
      </w:r>
    </w:p>
    <w:p>
      <w:pPr>
        <w:spacing w:after="0" w:line="162" w:lineRule="exact"/>
        <w:rPr>
          <w:sz w:val="20"/>
          <w:szCs w:val="20"/>
          <w:color w:val="auto"/>
        </w:rPr>
      </w:pPr>
    </w:p>
    <w:p>
      <w:pPr>
        <w:ind w:left="440" w:hanging="432"/>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 on sale of investments and subsidiary stock</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recorded pretax gains of $193 million on subsidiary stock transactions and a pretax gain of $12 million relating to the divestiture of an investment in the second quarter of 1997. In the first quarter of 1997 the Company recorded a pretax gain of $10 million relating to the sale of an investment.</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In a public offering in February 1997, MTI sold 12.4 million shares of Micron Electronics, Inc. ("MEI") common stock for net proceeds of $200 million ($16.15 per share) and MEI sold 3 million newly issued shares for net proceeds of $48 million ($16.15 per share), resulting in a consolidated pretax gain of $190 million. The sales reduced the Company's ownership from approximately 79% to approximately 64% of the outstanding common stock of MEI. The Company has recognized a deferred tax liability on the resultant gain from the sale of MEI common stock in the second quarter of 1997.</w:t>
      </w:r>
    </w:p>
    <w:p>
      <w:pPr>
        <w:spacing w:after="0" w:line="164" w:lineRule="exact"/>
        <w:rPr>
          <w:sz w:val="20"/>
          <w:szCs w:val="20"/>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Restructuring</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1996, the Company's subsidiary, MEI, adopted and completed a plan to discontinue the manufacture and sale of ZEOS brand PC systems. The Company recorded a restructuring charge of $29.9 million in the second quarter of 1996, comprised principally of $14.5 million relating to the disposition of ZEOS components and systems and $13.0 million to write off unamortized goodwill.</w:t>
      </w:r>
    </w:p>
    <w:p>
      <w:pPr>
        <w:spacing w:after="0" w:line="165"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effective tax rate in the third quarter and first nine months of fiscal 1997 was 40% and 44%, respectively. Exclusive of the $96 million provision for income tax related to the gain on the sale of MEI common stock, the Company's estimated annual effective tax rate for 1997 is 40%. The provision for income tax related to the gain on the sale of MEI stock was 50% of the pretax gain because the Company's book basis exceeded the tax basis of its investment in MEI, primarily as a result of unremitted earnings, previously expected to be realized through dividends, and the gain on issuance of stock by MEI.</w:t>
      </w:r>
    </w:p>
    <w:p>
      <w:pPr>
        <w:spacing w:after="0" w:line="164" w:lineRule="exact"/>
        <w:rPr>
          <w:sz w:val="20"/>
          <w:szCs w:val="20"/>
          <w:color w:val="auto"/>
        </w:rPr>
      </w:pPr>
    </w:p>
    <w:p>
      <w:pPr>
        <w:ind w:left="440" w:hanging="432"/>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Lines of credit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 $500 million revolving credit agreement expiring in May 2000. The agreement contains certain restrictive covenants, including a minimum fixed charge coverage ratio, a maximum operating losses covenant and a limitation on the payment of dividends. As of May 29, 1997, the Company was in compliance with all covenants under the facility and had no borrowings outstanding under the agreement.</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Company's subsidiary, MEI has an unsecured revolving credit facility providing for borrowings of up to $40 million. Borrowings are limited based on the amount of MEI's eligible receivables. As of May 29, 1997, MEI was eligible to borrow the full $40 million pursuant to the agreement and had no borrowings outstanding under the agreement.</w:t>
      </w:r>
    </w:p>
    <w:p>
      <w:pPr>
        <w:spacing w:after="0" w:line="165" w:lineRule="exact"/>
        <w:rPr>
          <w:sz w:val="20"/>
          <w:szCs w:val="20"/>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As of May 29, 1997 the Company had commitments of $344.0 million for equipment purchases and $31.6 million for the construction of buildings.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8" w:name="page9"/>
    <w:bookmarkEnd w:id="8"/>
    <w:p>
      <w:pPr>
        <w:ind w:left="440" w:hanging="432"/>
        <w:spacing w:after="0"/>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Contingencies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Company has from time to time received, and may in the future receive, communications alleging that its products or its processes may infringe on product or process technology rights held by others. The Company has accrued a liability and charged operations for the estimated costs of settlement or adjudication of asserted and unasserted claims for infringement prior to the balance sheet date. Determination that the Company's manufacture of products has infringed on valid rights held by others could have a material adverse effect on the Company's financial position, results of operations and cash flows and could require changes in production processes and products. The Company is currently party to various other legal actions arising out of the normal course of business, none of which is expected to have a material effect on the Company's financial position or results of operations.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9" w:name="page10"/>
    <w:bookmarkEnd w:id="9"/>
    <w:p>
      <w:pPr>
        <w:spacing w:after="0"/>
        <w:tabs>
          <w:tab w:leader="none" w:pos="760" w:val="left"/>
        </w:tabs>
        <w:rPr>
          <w:sz w:val="20"/>
          <w:szCs w:val="20"/>
          <w:color w:val="auto"/>
        </w:rPr>
      </w:pPr>
      <w:r>
        <w:rPr>
          <w:rFonts w:ascii="Courier New" w:cs="Courier New" w:eastAsia="Courier New" w:hAnsi="Courier New"/>
          <w:sz w:val="14"/>
          <w:szCs w:val="14"/>
          <w:color w:val="auto"/>
        </w:rPr>
        <w:t>ITEM 2.</w:t>
        <w:tab/>
        <w:t>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580" w:firstLine="431"/>
        <w:spacing w:after="0" w:line="251" w:lineRule="auto"/>
        <w:rPr>
          <w:sz w:val="20"/>
          <w:szCs w:val="20"/>
          <w:color w:val="auto"/>
        </w:rPr>
      </w:pPr>
      <w:r>
        <w:rPr>
          <w:rFonts w:ascii="Courier New" w:cs="Courier New" w:eastAsia="Courier New" w:hAnsi="Courier New"/>
          <w:sz w:val="14"/>
          <w:szCs w:val="14"/>
          <w:color w:val="auto"/>
        </w:rPr>
        <w:t>The following discussion contains trend information and other forward looking statements that involve a number of risks and uncertainties. The Company's actual results of operations could differ materially from the Company's historical results and those discussed in the forward looking statements. Factors that could cause actual results to differ materially are included, but are not limited to, those identified in "Certain Factors." All period references are to the Company's fiscal periods ended May 29, 1997, February 27, 1997, November 28, 1996, August 29, 1996, or May 30, 1996 unless otherwise indicated. All tabular dollar amounts are stated in millions.</w:t>
      </w:r>
    </w:p>
    <w:p>
      <w:pPr>
        <w:spacing w:after="0" w:line="164" w:lineRule="exact"/>
        <w:rPr>
          <w:sz w:val="20"/>
          <w:szCs w:val="20"/>
          <w:color w:val="auto"/>
        </w:rPr>
      </w:pPr>
    </w:p>
    <w:p>
      <w:pPr>
        <w:ind w:right="400" w:firstLine="431"/>
        <w:spacing w:after="0" w:line="251" w:lineRule="auto"/>
        <w:rPr>
          <w:sz w:val="20"/>
          <w:szCs w:val="20"/>
          <w:color w:val="auto"/>
        </w:rPr>
      </w:pPr>
      <w:r>
        <w:rPr>
          <w:rFonts w:ascii="Courier New" w:cs="Courier New" w:eastAsia="Courier New" w:hAnsi="Courier New"/>
          <w:sz w:val="14"/>
          <w:szCs w:val="14"/>
          <w:color w:val="auto"/>
        </w:rPr>
        <w:t>Micron Technology, Inc., and its subsidiaries (hereinafter referred to collectively as the "Company" or "MTI") design, develop, manufacture and market semiconductor memory products, primarily DRAM. Through its approximately 64% owned subsidiary, Micron Electronics, Inc. ("MEI"), the Company also develops, markets, manufactures, and supports PC systems, and operates a contract manufacturing and semiconductor component recovery business.</w:t>
      </w:r>
    </w:p>
    <w:p>
      <w:pPr>
        <w:spacing w:after="0" w:line="16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4"/>
          <w:szCs w:val="14"/>
          <w:color w:val="auto"/>
        </w:rPr>
        <w:t>Net income for the third quarter of 1997 was $97 million, or $0.44 per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fully diluted share, on net sales of $965 million. For the third quarter of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was $58 million, or $0.27 per fully diluted share, on net sales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$771 million. For the first nine months of 1997, net income was $260 million,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 per fully diluted share, on net sales of $2,569 million compared to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of $575 million, or $2.66 per fully diluted share, on net sales of $2,953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for the first nine months of 1996. The Company reported net sales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$728 million and $876 million and net income of $21 million and $143 million,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$0.10 and $0.66 per fully diluted share, for its first and second quarters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respectively.</w:t>
      </w:r>
    </w:p>
    <w:p>
      <w:pPr>
        <w:spacing w:after="0" w:line="173" w:lineRule="exact"/>
        <w:rPr>
          <w:sz w:val="20"/>
          <w:szCs w:val="20"/>
          <w:color w:val="auto"/>
        </w:rPr>
      </w:pPr>
    </w:p>
    <w:p>
      <w:pPr>
        <w:ind w:right="500" w:firstLine="431"/>
        <w:spacing w:after="0" w:line="251" w:lineRule="auto"/>
        <w:rPr>
          <w:sz w:val="20"/>
          <w:szCs w:val="20"/>
          <w:color w:val="auto"/>
        </w:rPr>
      </w:pPr>
      <w:r>
        <w:rPr>
          <w:rFonts w:ascii="Courier New" w:cs="Courier New" w:eastAsia="Courier New" w:hAnsi="Courier New"/>
          <w:sz w:val="14"/>
          <w:szCs w:val="14"/>
          <w:color w:val="auto"/>
        </w:rPr>
        <w:t>Results of operations for the first nine months of 1997 included a $94 million after-tax gain on the sale of MEI common stock in the second quarter, and after-tax gains of $6 million and $7 million on other sales of investments by the Company in the first and second quarters, respectively. Fully diluted earnings per share for the first nine months of 1997 benefited by $0.50 from these gain transactions.</w:t>
      </w:r>
    </w:p>
    <w:p>
      <w:pPr>
        <w:spacing w:after="0" w:line="164" w:lineRule="exact"/>
        <w:rPr>
          <w:sz w:val="20"/>
          <w:szCs w:val="20"/>
          <w:color w:val="auto"/>
        </w:rPr>
      </w:pPr>
    </w:p>
    <w:p>
      <w:pPr>
        <w:ind w:right="400" w:firstLine="431"/>
        <w:spacing w:after="0" w:line="251" w:lineRule="auto"/>
        <w:rPr>
          <w:sz w:val="20"/>
          <w:szCs w:val="20"/>
          <w:color w:val="auto"/>
        </w:rPr>
      </w:pPr>
      <w:r>
        <w:rPr>
          <w:rFonts w:ascii="Courier New" w:cs="Courier New" w:eastAsia="Courier New" w:hAnsi="Courier New"/>
          <w:sz w:val="14"/>
          <w:szCs w:val="14"/>
          <w:color w:val="auto"/>
        </w:rPr>
        <w:t>Results of operations for the first nine months of 1996 were adversely affected by a $29.9 million pre-tax restructuring charge in the second quarter, resulting from the decisions by MEI to discontinue sales of ZEOS brand PC systems and to close the related PC manufacturing operations in Minneapolis, Minnesota. The restructuring charge reduced fully diluted earnings per share in the first nine months of 1996 by $0.09.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173" w:lineRule="exact"/>
        <w:rPr>
          <w:sz w:val="20"/>
          <w:szCs w:val="20"/>
          <w:color w:val="auto"/>
        </w:rPr>
      </w:pPr>
    </w:p>
    <w:p>
      <w:pPr>
        <w:ind w:right="400" w:firstLine="431"/>
        <w:spacing w:after="0" w:line="251" w:lineRule="auto"/>
        <w:rPr>
          <w:sz w:val="20"/>
          <w:szCs w:val="20"/>
          <w:color w:val="auto"/>
        </w:rPr>
      </w:pPr>
      <w:r>
        <w:rPr>
          <w:rFonts w:ascii="Courier New" w:cs="Courier New" w:eastAsia="Courier New" w:hAnsi="Courier New"/>
          <w:sz w:val="14"/>
          <w:szCs w:val="14"/>
          <w:color w:val="auto"/>
        </w:rPr>
        <w:t>The following table presents the Company's net sales by principal products and services. The value of the Company's semiconductor memory products included in PC systems and other products is included in the caption "Semiconductor memory products." The caption "Other" includes revenue from contract manufacturing and module assembly services, construction management services, government research and development contracts, and licensing fees.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Third Quarter</w:t>
            </w:r>
          </w:p>
        </w:tc>
        <w:tc>
          <w:tcPr>
            <w:tcW w:w="60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354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4"/>
                <w:szCs w:val="24"/>
                <w:color w:val="auto"/>
              </w:rPr>
            </w:pP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24"/>
                <w:szCs w:val="24"/>
                <w:color w:val="auto"/>
              </w:rPr>
            </w:pPr>
          </w:p>
        </w:tc>
      </w:tr>
      <w:tr>
        <w:trPr>
          <w:trHeight w:val="166"/>
        </w:trPr>
        <w:tc>
          <w:tcPr>
            <w:tcW w:w="2760" w:type="dxa"/>
            <w:vAlign w:val="bottom"/>
          </w:tcPr>
          <w:p>
            <w:pPr>
              <w:spacing w:after="0"/>
              <w:rPr>
                <w:sz w:val="14"/>
                <w:szCs w:val="14"/>
                <w:color w:val="auto"/>
              </w:rPr>
            </w:pPr>
          </w:p>
        </w:tc>
        <w:tc>
          <w:tcPr>
            <w:tcW w:w="18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left="6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Sales</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center"/>
              <w:ind w:left="88"/>
              <w:spacing w:after="0"/>
              <w:rPr>
                <w:sz w:val="20"/>
                <w:szCs w:val="20"/>
                <w:color w:val="auto"/>
              </w:rPr>
            </w:pPr>
            <w:r>
              <w:rPr>
                <w:rFonts w:ascii="Courier New" w:cs="Courier New" w:eastAsia="Courier New" w:hAnsi="Courier New"/>
                <w:sz w:val="14"/>
                <w:szCs w:val="14"/>
                <w:color w:val="auto"/>
              </w:rPr>
              <w:t>------------------</w:t>
            </w: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Semiconductor memory products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$510.7</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416.3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Personal computer systems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361.8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280.3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74.4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7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Total net sales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$965.0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100.0%</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$771.0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100.0%</w:t>
            </w:r>
          </w:p>
        </w:tc>
      </w:tr>
      <w:tr>
        <w:trPr>
          <w:trHeight w:val="166"/>
        </w:trPr>
        <w:tc>
          <w:tcPr>
            <w:tcW w:w="27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r>
      <w:tr>
        <w:trPr>
          <w:trHeight w:val="497"/>
        </w:trPr>
        <w:tc>
          <w:tcPr>
            <w:tcW w:w="2760" w:type="dxa"/>
            <w:vAlign w:val="bottom"/>
          </w:tcPr>
          <w:p>
            <w:pPr>
              <w:spacing w:after="0"/>
              <w:rPr>
                <w:sz w:val="24"/>
                <w:szCs w:val="2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w:t>
            </w: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Nine Months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640" w:type="dxa"/>
            <w:vAlign w:val="bottom"/>
          </w:tcPr>
          <w:p>
            <w:pPr>
              <w:spacing w:after="0"/>
              <w:rPr>
                <w:sz w:val="14"/>
                <w:szCs w:val="14"/>
                <w:color w:val="auto"/>
              </w:rPr>
            </w:pP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spacing w:after="0"/>
              <w:rPr>
                <w:sz w:val="14"/>
                <w:szCs w:val="14"/>
                <w:color w:val="auto"/>
              </w:rPr>
            </w:pPr>
          </w:p>
        </w:tc>
      </w:tr>
      <w:tr>
        <w:trPr>
          <w:trHeight w:val="166"/>
        </w:trPr>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r>
      <w:tr>
        <w:trPr>
          <w:trHeight w:val="166"/>
        </w:trPr>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7"/>
              </w:rPr>
              <w:t>Net Sales</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$1,254.4</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48.8%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$1,931.7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65.4%</w:t>
            </w:r>
          </w:p>
        </w:tc>
      </w:tr>
      <w:tr>
        <w:trPr>
          <w:trHeight w:val="166"/>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1,091.0</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42.5%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779.4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w:t>
            </w:r>
          </w:p>
        </w:tc>
      </w:tr>
      <w:tr>
        <w:trPr>
          <w:trHeight w:val="166"/>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223.9</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242.2</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w:t>
            </w:r>
          </w:p>
        </w:tc>
      </w:tr>
      <w:tr>
        <w:trPr>
          <w:trHeight w:val="166"/>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$2,569.3</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100.0%</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$2,953.3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7220" w:space="720"/>
            <w:col w:w="3260"/>
          </w:cols>
          <w:pgMar w:left="220" w:top="616" w:right="479" w:bottom="1440" w:gutter="0" w:footer="0" w:header="0"/>
        </w:sectPr>
      </w:pPr>
    </w:p>
    <w:bookmarkStart w:id="10" w:name="page11"/>
    <w:bookmarkEnd w:id="10"/>
    <w:p>
      <w:pPr>
        <w:ind w:right="3339" w:firstLine="431"/>
        <w:spacing w:after="0" w:line="251" w:lineRule="auto"/>
        <w:rPr>
          <w:sz w:val="20"/>
          <w:szCs w:val="20"/>
          <w:color w:val="auto"/>
        </w:rPr>
      </w:pPr>
      <w:r>
        <w:rPr>
          <w:rFonts w:ascii="Courier New" w:cs="Courier New" w:eastAsia="Courier New" w:hAnsi="Courier New"/>
          <w:sz w:val="14"/>
          <w:szCs w:val="14"/>
          <w:color w:val="auto"/>
        </w:rPr>
        <w:t>Net sales of semiconductor memory products for the third quarter of 1997 increased by 23% compared to the third quarter of 1996, primarily due to higher levels of production of semiconductor memory products. The Company's principal memory product in the third quarter of 1997 was the 16 Meg DRAM, which comprised approximately 92% of megabit sales of semiconductor memory. Total megabits of DRAM produced in the third quarter and first nine months of 1997 were three times the megabits produced in the corresponding periods of 1996. These production increases were principally due to the conversion of all of the Company's fabs to 8-inch wafer processing, the transition to the 16 Meg DRAM as the Company's principal memory product, ongoing transitions to successive reduced die size ("shrink") versions of existing memory products, and enhanced yields on existing memory products. Average selling prices per megabit of memory decreased approximately 63% from the third quarter of 1996 to the third quarter of 1997.</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sales of semiconductor memory products for the third quarter of fiscal 1997 increased by 27% compared to the second quarter of fiscal 1997. This increase reflects a 31% increase in megabit production of semiconductor memory primarily due to further yield improvements on the 16 Meg DRAM, as well as an approximate 6% increase in the average selling price for the 16 Meg DRAM for the third quarter of 1997 over the average selling price for the second quarter of 1997.</w:t>
      </w:r>
    </w:p>
    <w:p>
      <w:pPr>
        <w:spacing w:after="0" w:line="33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Net sales of PC systems for the third quarter and first nine months of 1997, less the value of the Company's semiconductor memory products included therein, increased by approximately 29% and 40%, respectively, compared to the corresponding periods of 1996. Net sales of PC systems increased in the third quarter and first nine months of 1997 compared to the corresponding periods of 1996 primarily as a result of increased PC units sold, partially offset by a decline in overall average selling prices for the Company's PC systems. Unit sales of PC systems in the third quarter and first nine months of 1997 were approximately 50% and 38% higher, respectively, than in the same periods in 1996. Increased demand for the Company's PC systems was largely attributable to increased name recognition of the Company's PC systems and an increase in the direct sales channel market share of total PC product sales.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Net sales of PC systems in the third quarter of 1997, less the value of the Company's semiconductor memory products included therein, were approximately 8% lower compared to the second quarter of 1997, primarily as a result of slightly lower overall average selling prices for the Company's PC systems and a 2% decrease in units sold. Sales in the third quarter of fiscal 1997 were adversely affected by a reduction in average selling prices for the Company's low-end PC systems coupled with a shift in product mix toward these low-end systems. Sales in the second quarter of fiscal 1997 were favorably affected by a seasonal increase in units sold.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Third Quarter</w:t>
            </w:r>
          </w:p>
        </w:tc>
        <w:tc>
          <w:tcPr>
            <w:tcW w:w="1460" w:type="dxa"/>
            <w:vAlign w:val="bottom"/>
          </w:tcPr>
          <w:p>
            <w:pPr>
              <w:spacing w:after="0"/>
              <w:rPr>
                <w:sz w:val="14"/>
                <w:szCs w:val="14"/>
                <w:color w:val="auto"/>
              </w:rPr>
            </w:pPr>
          </w:p>
        </w:tc>
        <w:tc>
          <w:tcPr>
            <w:tcW w:w="332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1460" w:type="dxa"/>
            <w:vAlign w:val="bottom"/>
          </w:tcPr>
          <w:p>
            <w:pPr>
              <w:spacing w:after="0"/>
              <w:rPr>
                <w:sz w:val="14"/>
                <w:szCs w:val="14"/>
                <w:color w:val="auto"/>
              </w:rPr>
            </w:pPr>
          </w:p>
        </w:tc>
        <w:tc>
          <w:tcPr>
            <w:tcW w:w="33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Change</w:t>
            </w:r>
          </w:p>
        </w:tc>
        <w:tc>
          <w:tcPr>
            <w:tcW w:w="14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1996</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Change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24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6"/>
              </w:rPr>
              <w:t>-----------------------------</w:t>
            </w:r>
          </w:p>
        </w:tc>
        <w:tc>
          <w:tcPr>
            <w:tcW w:w="146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$213.0</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$1,305.1</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as a % of net sales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32.6%</w:t>
            </w:r>
          </w:p>
        </w:tc>
        <w:tc>
          <w:tcPr>
            <w:tcW w:w="11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27.6%</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26.8%</w:t>
            </w:r>
          </w:p>
        </w:tc>
        <w:tc>
          <w:tcPr>
            <w:tcW w:w="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44.2%</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gross margin percentage was higher for the third quarter of 1997 but lower for the first nine months of 1997 compared to the corresponding periods of 1996. The improved gross margin in the third quarter of 1997 compared to the third quarter of 1996 was primarily the result of an improved gross margin percentage on sales of the Company's semiconductor memory products resulting from increased production efficiencies. The decrease in gross margin percentage for the first nine months of 1997 compared to the first nine months of 1996 was primarily due to a sharp decline in average selling prices for semiconductor memory products that began in December 1995. The Company's gross margin percentage of 33% for the third quarter of 1997 was higher than the gross margin percentage of 25% for the second quarter of 1997, primarily due to improved gross margins on semiconductor memory products during the third quarter which were partially offset by a lower gross margin percentage for the Company's PC operations for the same period.</w:t>
      </w:r>
    </w:p>
    <w:p>
      <w:pPr>
        <w:spacing w:after="0" w:line="328"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Company's gross margin percentage on sales of semiconductor memory products was 49% in the third quarter of 1997 compared to 38% in the third quarter of 1996. The increase in gross margin percentage for the third quarter of 1997 compared to the third quarter of 1996 was primarily the result of a decline in per unit manufacturing costs, partially offset by a decline in average selling prices for semiconductor memory products for the same period. The gross margin percentage on sales of semiconductor memory products was 37% for the first nine months of 1997</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1" w:name="page12"/>
    <w:bookmarkEnd w:id="11"/>
    <w:p>
      <w:pPr>
        <w:ind w:right="3339"/>
        <w:spacing w:after="0" w:line="250" w:lineRule="auto"/>
        <w:rPr>
          <w:sz w:val="20"/>
          <w:szCs w:val="20"/>
          <w:color w:val="auto"/>
        </w:rPr>
      </w:pPr>
      <w:r>
        <w:rPr>
          <w:rFonts w:ascii="Courier New" w:cs="Courier New" w:eastAsia="Courier New" w:hAnsi="Courier New"/>
          <w:sz w:val="14"/>
          <w:szCs w:val="14"/>
          <w:color w:val="auto"/>
        </w:rPr>
        <w:t>compared to 61% for the first nine months of 1996. The decrease in gross margin percentage for the first nine months of 1997 compared to the corresponding period in 1996 was primarily the result of a sharp decline in average selling prices for semiconductor memory products, partially offset by a decline in per unit manufacturing costs. Decreases in per unit manufacturing costs for 1997 periods compared with corresponding 1996 periods were achieved through conversion of all of the Company's fabs to 8-inch wafer processing, transitions to shrink versions of existing products, shifts in the Company's mix of semiconductor memory products to a higher average density, and improved manufacturing yields. The Company's gross margin percentage on sales of semiconductor products was 32% in the second quarter of 1997. The increase in gross margin percentage in the third quarter of 1997 over the second quarter of 1997 was primarily the result of decreases in per unit manufacturing costs achieved through increased production on the latest shrink version of the 16 Meg DRAM, coupled with slightly higher average selling prices.</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gross margin percentage provided by the Company's PC operations was 15% in the third quarter of 1997 compared to 18% in the second quarter of 1997 and 16% in the third quarter of 1996. The decline in gross margin for the third quarter was primarily due to a shift in product mix to low-end desktops and certain notebook systems, which generally have lower gross margin percentages than the balance of the Company's PC products. The Company continues to experience significant pressure on its gross margins as a result of intense competition in the PC industry and consumer expectations of more powerful PC systems at lower prices. The gross margin percentage for sales of the Company's PC systems was higher in the first nine months of 1997 compared to the corresponding period in 1996, primarily due to improved component costs.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gridSpan w:val="2"/>
          </w:tcPr>
          <w:p>
            <w:pPr>
              <w:jc w:val="center"/>
              <w:ind w:right="408"/>
              <w:spacing w:after="0"/>
              <w:rPr>
                <w:sz w:val="20"/>
                <w:szCs w:val="20"/>
                <w:color w:val="auto"/>
              </w:rPr>
            </w:pPr>
            <w:r>
              <w:rPr>
                <w:rFonts w:ascii="Courier New" w:cs="Courier New" w:eastAsia="Courier New" w:hAnsi="Courier New"/>
                <w:sz w:val="14"/>
                <w:szCs w:val="14"/>
                <w:color w:val="auto"/>
              </w:rPr>
              <w:t>Third Quarter</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Nine Months Ended</w:t>
            </w:r>
          </w:p>
        </w:tc>
        <w:tc>
          <w:tcPr>
            <w:tcW w:w="60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2"/>
              </w:rPr>
              <w:t>-----------------------</w:t>
            </w:r>
          </w:p>
        </w:tc>
        <w:tc>
          <w:tcPr>
            <w:tcW w:w="700" w:type="dxa"/>
            <w:vAlign w:val="bottom"/>
          </w:tcPr>
          <w:p>
            <w:pPr>
              <w:spacing w:after="0"/>
              <w:rPr>
                <w:sz w:val="14"/>
                <w:szCs w:val="14"/>
                <w:color w:val="auto"/>
              </w:rPr>
            </w:pP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tcPr>
          <w:p>
            <w:pPr>
              <w:spacing w:after="0"/>
              <w:rPr>
                <w:sz w:val="14"/>
                <w:szCs w:val="14"/>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Change</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Change</w:t>
            </w:r>
          </w:p>
        </w:tc>
        <w:tc>
          <w:tcPr>
            <w:tcW w:w="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280" w:type="dxa"/>
            <w:vAlign w:val="bottom"/>
          </w:tcPr>
          <w:p>
            <w:pPr>
              <w:spacing w:after="0"/>
              <w:rPr>
                <w:sz w:val="14"/>
                <w:szCs w:val="14"/>
                <w:color w:val="auto"/>
              </w:rPr>
            </w:pPr>
          </w:p>
        </w:tc>
        <w:tc>
          <w:tcPr>
            <w:tcW w:w="16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2"/>
              </w:rPr>
              <w:t>-----------------------</w:t>
            </w:r>
          </w:p>
        </w:tc>
        <w:tc>
          <w:tcPr>
            <w:tcW w:w="70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$93.4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$212.2</w:t>
            </w:r>
          </w:p>
        </w:tc>
      </w:tr>
      <w:tr>
        <w:trPr>
          <w:trHeight w:val="166"/>
        </w:trPr>
        <w:tc>
          <w:tcPr>
            <w:tcW w:w="3280" w:type="dxa"/>
            <w:vAlign w:val="bottom"/>
          </w:tcPr>
          <w:p>
            <w:pPr>
              <w:ind w:left="440"/>
              <w:spacing w:after="0"/>
              <w:rPr>
                <w:sz w:val="20"/>
                <w:szCs w:val="20"/>
                <w:color w:val="auto"/>
              </w:rPr>
            </w:pPr>
            <w:r>
              <w:rPr>
                <w:rFonts w:ascii="Courier New" w:cs="Courier New" w:eastAsia="Courier New" w:hAnsi="Courier New"/>
                <w:sz w:val="14"/>
                <w:szCs w:val="14"/>
                <w:color w:val="auto"/>
              </w:rPr>
              <w:t>as a % of net sales</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9.7%</w:t>
            </w:r>
          </w:p>
        </w:tc>
        <w:tc>
          <w:tcPr>
            <w:tcW w:w="9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w:t>
            </w:r>
          </w:p>
        </w:tc>
        <w:tc>
          <w:tcPr>
            <w:tcW w:w="108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Selling, general and administrative expenses for the third quarter and first nine months of 1996 reflect approximate pretax gains of $12 million and $14 million, respectively, from the disposal of equipment. Without these gains, selling, general and administrative expenses would have been $76.6 million and $226.2 million or approximately (7.9%) and (8.8%) of net sales, respectively, for the third quarter and first nine months of 1996. The higher level of selling, general and administrative expenses during the third quarter and first nine months of 1997 as compared to the corresponding periods of 1996 also reflects an increased number of administrative employees associated with expanded PC operations, increased advertising costs associated with the Company's PC systems and a higher level of performance based compensation costs.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RESEARCH AND DEVELOPMENT</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Third Quarter</w:t>
            </w:r>
          </w:p>
        </w:tc>
        <w:tc>
          <w:tcPr>
            <w:tcW w:w="20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Nine Months Ended</w:t>
            </w:r>
          </w:p>
        </w:tc>
        <w:tc>
          <w:tcPr>
            <w:tcW w:w="560" w:type="dxa"/>
            <w:vAlign w:val="bottom"/>
          </w:tcPr>
          <w:p>
            <w:pPr>
              <w:spacing w:after="0"/>
              <w:rPr>
                <w:sz w:val="14"/>
                <w:szCs w:val="14"/>
                <w:color w:val="auto"/>
              </w:rPr>
            </w:pPr>
          </w:p>
        </w:tc>
      </w:tr>
      <w:tr>
        <w:trPr>
          <w:trHeight w:val="166"/>
        </w:trPr>
        <w:tc>
          <w:tcPr>
            <w:tcW w:w="2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26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14"/>
                <w:szCs w:val="14"/>
                <w:color w:val="auto"/>
              </w:rPr>
            </w:pPr>
          </w:p>
        </w:tc>
        <w:tc>
          <w:tcPr>
            <w:tcW w:w="1260" w:type="dxa"/>
            <w:vAlign w:val="bottom"/>
          </w:tcPr>
          <w:p>
            <w:pPr>
              <w:ind w:left="740"/>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Change</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Change</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2800" w:type="dxa"/>
            <w:vAlign w:val="bottom"/>
          </w:tcPr>
          <w:p>
            <w:pPr>
              <w:spacing w:after="0"/>
              <w:rPr>
                <w:sz w:val="14"/>
                <w:szCs w:val="14"/>
                <w:color w:val="auto"/>
              </w:rPr>
            </w:pPr>
          </w:p>
        </w:tc>
        <w:tc>
          <w:tcPr>
            <w:tcW w:w="2120" w:type="dxa"/>
            <w:vAlign w:val="bottom"/>
            <w:gridSpan w:val="2"/>
          </w:tcPr>
          <w:p>
            <w:pPr>
              <w:ind w:left="7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4"/>
                <w:szCs w:val="14"/>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Research and development</w:t>
            </w:r>
          </w:p>
        </w:tc>
        <w:tc>
          <w:tcPr>
            <w:tcW w:w="1260" w:type="dxa"/>
            <w:vAlign w:val="bottom"/>
          </w:tcPr>
          <w:p>
            <w:pPr>
              <w:ind w:left="740"/>
              <w:spacing w:after="0"/>
              <w:rPr>
                <w:sz w:val="20"/>
                <w:szCs w:val="20"/>
                <w:color w:val="auto"/>
              </w:rPr>
            </w:pPr>
            <w:r>
              <w:rPr>
                <w:rFonts w:ascii="Courier New" w:cs="Courier New" w:eastAsia="Courier New" w:hAnsi="Courier New"/>
                <w:sz w:val="14"/>
                <w:szCs w:val="14"/>
                <w:color w:val="auto"/>
              </w:rPr>
              <w:t>$52.6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$146.6</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0.5%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$145.8</w:t>
            </w:r>
          </w:p>
        </w:tc>
      </w:tr>
      <w:tr>
        <w:trPr>
          <w:trHeight w:val="166"/>
        </w:trPr>
        <w:tc>
          <w:tcPr>
            <w:tcW w:w="2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as a % of net sales</w:t>
            </w:r>
          </w:p>
        </w:tc>
        <w:tc>
          <w:tcPr>
            <w:tcW w:w="1260" w:type="dxa"/>
            <w:vAlign w:val="bottom"/>
          </w:tcPr>
          <w:p>
            <w:pPr>
              <w:ind w:left="820"/>
              <w:spacing w:after="0"/>
              <w:rPr>
                <w:sz w:val="20"/>
                <w:szCs w:val="20"/>
                <w:color w:val="auto"/>
              </w:rPr>
            </w:pPr>
            <w:r>
              <w:rPr>
                <w:rFonts w:ascii="Courier New" w:cs="Courier New" w:eastAsia="Courier New" w:hAnsi="Courier New"/>
                <w:sz w:val="14"/>
                <w:szCs w:val="14"/>
                <w:color w:val="auto"/>
              </w:rPr>
              <w:t>5.5%</w:t>
            </w:r>
          </w:p>
        </w:tc>
        <w:tc>
          <w:tcPr>
            <w:tcW w:w="8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1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bl>
    <w:p>
      <w:pPr>
        <w:spacing w:after="0" w:line="33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Research and development expenses vary primarily with the number of wafers processed, personnel costs, and the cost of advanced equipment dedicated to new product and process development. Research and development efforts are continually devoted to developing leading process technology, which is the primary determinant in the Company's ability to transition to next generation products. It is currently anticipated that process technology will move from .35 micron (u) to .30(u) in the next 12 months and to .25(u) and .18(u) in the next several years as needed for development of future generation semiconductor products.</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Application of current developments in advanced process technology is focused on shrink versions of the Company's 16 Meg DRAM and development of the 16 Meg SDRAM (synchronous DRAM) and the 64 Meg DRAM and SDRAM. The PC industry is in the process of transitioning from EDO to SDRAM. The Company expects this transition to accelerate through 1998 and expects its development efforts in SDRAM will enable it to meet volume customer demand when this transition occurs.</w:t>
      </w:r>
    </w:p>
    <w:p>
      <w:pPr>
        <w:spacing w:after="0" w:line="164"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Other research and development efforts are devoted to the design and development of DRAM, FLASH, SRAM and remote intelligent communications (RIC) products.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088"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GAIN ON SALE OF INVESTMENTS AND SUBSIDIARY STOCK</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In a public offering in February 1997, MTI sold 12.4 million shares of MEI common stock for net proceeds of $200 million and MEI sold 3 million newly issued shares for net proceeds of $48 million, resulting in a consolidated pretax gain of $190 million. The sales reduced the Company's ownership from approximately 79% to approximately 64% of the outstanding MEI common stock. The Company also recorded respective pretax gains of $10 million and $12 million in its statements of operations for the first and second quarters of 1997 relating to sales of an investment.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effective tax rate in the third quarter and first nine months of 1997 was 40% and 44%, respectively. Exclusive of the $96 million provision for income tax related to the second quarter gain on the sale of MEI common stock, the Company's estimated annual effective tax rate for 1997 is 40%. The provision for income tax related to the gain on the sale of MEI common stock was 50% of the pretax gain because the Company's book basis exceeded the tax basis of its investment in MEI, primarily as a result of unremitted earnings, previously expected to be realized through dividends, and the gain on issuance of common stock by MEI.</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May 29, 1997, the Company had cash and liquid investments totaling $521 million, representing an increase of $234 million during the first nine months of 1997. The Company's principal sources of liquidity during the first nine months of 1997 were cash flows from operations of $436 million, net cash proceeds from the sale of MEI common stock of $253 million and equipment financing of $72 million. The principal uses of funds in the first nine months of 1997 were $116 million for repayments of equipment contracts and long-term debt, $368 million for property, plant and equipment, and $90 million for net repayments of the Company's bank line. In addition, during the first nine months of 1997 the Company's inventories increased by $125 million primarily as a result of increased levels of production.</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Cash flow from operations for the first nine months of 1997 was lower than cash flow from operations for the first nine months of 1996 primarily as a result of lower overall average selling prices for semiconductor memory products. Cash flow from operations depends significantly on average selling prices and variable cost per part for the Company's semiconductor memory products. In 1996, the rate of decline in average selling prices for semiconductor memory products surpassed the rate at which the Company was able to decrease per unit manufacturing costs.</w:t>
      </w:r>
    </w:p>
    <w:p>
      <w:pPr>
        <w:spacing w:after="0" w:line="33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As of May 29, 1997, the Company had contractual commitments extending into fiscal 1999 of approximately $344 million for equipment purchases and approximately $32 million for the construction of facilities. The Company estimates it will spend approximately $1 billion in the next fiscal year for purchases of equipment, construction and improvement of buildings, primarily to enhance capacity and product and process technology at its existing facilities. The Company believes that in order to develop new product and process technologies, support future growth, achieve operating efficiencies, and enhance product quality, it must continue to invest in manufacturing technology, facilities and capital equipment, research and development, and product and process technology. As the Company considers its long-term capacity and product and process technology enhancement programs it continues to evaluate a number of financing alternatives, including additional financing from external sources. In this regard, the Company has filed a shelf registration statement pursuant to which the Company may issue from time to time debt or equity securities for up to $1 billion. As of May 29, 1997, the Company had no borrowings outstanding under its $500 million revolving credit agreement. As of May 29, 1997, the Company was in compliance with all covenants under the facility.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3" w:name="page14"/>
    <w:bookmarkEnd w:id="13"/>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 has a $500 million revolving credit agreement expiring in May 2000. The agreement contains certain restrictive covenants, including a minimum fixed charge coverage ratio, a maximum operating losses covenant and a limitation on the payment of dividends. As of May 29, 1997, the Company was in compliance with all covenants under the facility and had no borrowings outstanding under the agreement.</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of May 29, 1997 MEI had cash and investments of $198 million. MEI's cash and investments are not readily available to finance other operations of MTI. MEI has an unsecured revolving credit facility with two financial institutions providing for borrowings of up to $40 million. MEI, has an unsecured revolving credit facility providing for borrowings of up to $40 million. Borrowings are limited based on the amount of MEI's eligible receivables. As of May 29, 1997, MEI was eligible to borrow the full $40 million pursuant to the agreement and had no borrowings outstanding under the agreement.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CERTAIN FACTORS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factors discussed elsewhere in this Form 10-Q and in the Company's Form 10-K, as amended, for the fiscal year ended August 29, 1996, the following are important factors which could cause actual results or events to differ materially from those contained in any forward looking statements made by or on behalf of the Company.</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semiconductor memory industry is characterized by rapid technological change, frequent product introductions and enhancements, difficult product transitions, relatively short product life cycles, and volatile market conditions. These characteristics historically have made the semiconductor industry highly cyclical, particularly in the market for DRAMs, which are the Company's primary products. The semiconductor industry has a history of declining average sales prices as products mature. Long-term average decreases in sales prices for semiconductor memory products approximate 30% on an annualized basis, however, significant fluctuations from this rate have occurred from time to time.</w:t>
      </w:r>
    </w:p>
    <w:p>
      <w:pPr>
        <w:spacing w:after="0" w:line="329"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Although the Company experienced a degree of pricing stability for its semiconductor memory products in the first calendar quarter of 1997, the selling prices for the Company's semiconductor memory products fluctuate significantly with real and perceived changes in the balance of supply and demand for these commodity products. The Company is unable to ascertain whether the stabilization of DRAM prices in early calendar 1997 was indicative of a change in industry supply and demand, capacity or inventory levels. Growth in world-wide supply has outpaced growth in world-wide demand in recent periods, resulting in a significant decrease in average selling prices for the Company's semiconductor memory products. In 1996, the rate of decline in average selling prices for semiconductor memory products surpassed the rate at which the Company was able to decrease per unit manufacturing costs, and, as a result, the Company's cash flows were significantly adversely affected, particularly in the second half of 1996. In the first quarter of 1997 the rate of decline in average selling prices for semiconductor memory products was commensurate with the rate of decline in the Company's per unit manufacturing costs and in the second and third quarters the rate of decline in the Company's per unit manufacturing costs for semiconductor memory products exceeded the rate of decline in average selling prices. In the event that average selling prices decline at a faster rate than that at which the Company is able to decrease per unit manufacturing costs, the Company could be materially adversely affected in its operations, cash flows and financial condition. Additionally, although some of the Company's competitors have announced adjustments to the rate at which they will implement capacity expansion programs, many of the Company's competitors have already added significant capacity for the production of semiconductor memory products. The amount of capacity to be placed into production and future yield improvements by the Company's competitors could dramatically increase world-wide supply of semiconductor memory and increase downward pressure on pricing. Further, the Company has no firm information with which to determine inventory levels of its competitors, or to determine the likelihood that substantial inventory liquidation may occur and cause further downward pressure on pricing.</w:t>
      </w:r>
    </w:p>
    <w:p>
      <w:pPr>
        <w:spacing w:after="0" w:line="17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Approximately 78% of the Company's sales of semiconductor memory products during the first nine months of 1997 were directly into the PC or peripheral markets. DRAMs are the most widely used semiconductor memory component in most PC systems. The Company believes that the rate of growth in average world-wide sales of PC systems has declined and may remain below prior periods' growth rates for the foreseeable future. In addition, the growth rate in the amount of semiconductor memory per PC system may decrease in the future. Should the rate of growth of sales of PC systems or the amount of memory per PC system decrease, the growth rate for sales of semiconductor memory could also decrease, placing further downward pressure on selling prices for the Company's semiconductor memory products. The Company is unable to predict changes in industry supply, major customer inventory management strategies, or end user demand, which are significant factors influencing pricing for the Company's semiconductor memory products.</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Company's operating results are significantly impacted by the operating results of its consolidated subsidiaries. MTI's consolidated results of operations are particularly affected by MEI's results of operations. MEI's past operating results have been, and its future operating results may be, subject to fluctuations, on a quarterly and an annual basis, as a result of a wide variety of factors, including, but not limited to, critical component availability, manufacturing and production constraints, fluctuating component costs, fluctuating market pricing for computer and semiconductor memory products, industry competition, the timing of new product introductions by the Company and its competitors, inventory obsolescence, seasonal cycles common in the PC industry, seasonal government purchasing cycles, the effects of product reviews and industry awards, changes in product mix and the timing of orders from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5" w:name="page16"/>
    <w:bookmarkEnd w:id="15"/>
    <w:p>
      <w:pPr>
        <w:ind w:right="3419"/>
        <w:spacing w:after="0" w:line="251" w:lineRule="auto"/>
        <w:rPr>
          <w:sz w:val="20"/>
          <w:szCs w:val="20"/>
          <w:color w:val="auto"/>
        </w:rPr>
      </w:pPr>
      <w:r>
        <w:rPr>
          <w:rFonts w:ascii="Courier New" w:cs="Courier New" w:eastAsia="Courier New" w:hAnsi="Courier New"/>
          <w:sz w:val="14"/>
          <w:szCs w:val="14"/>
          <w:color w:val="auto"/>
        </w:rPr>
        <w:t>shipments to OEM customers. The Company's net income is affected by its ownership percentage of its subsidiaries. Changing circumstances, including but not limited to, changes in the Company's core operations, alternative uses of capital, and market conditions, could result in the Company changing its ownership interest in its subsidiaries.</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Company is engaged in ongoing efforts to enhance its production processes to reduce per unit costs by reducing the die size of existing products. The result of such efforts has led to a significant increase in recent quarters in megabit production. As a result the Company expects it will need to increase its market share of semiconductor memory products to sell its increased production. There can be no assurance that the Company will be able to increase its market share or maintain or approximate increases in megabit production at a level approaching that experienced in recent quarters or that the Company will not experience decreases in manufacturing yield or production as it attempts to implement future technologies. Further, from time to time, the Company experiences volatility in its manufacturing yields, as it is not unusual to encounter difficulties in ramping latest shrink versions of existing devices or new generation devices to commercial volumes. The Company's ability to reduce per unit manufacturing costs of its semiconductor memory products is largely dependent on its ability to design and develop new generation products and shrink versions of existing products and its ability to ramp such products at acceptable rates to acceptable yields, of which there can be no assurance.</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Historically, the Company has reinvested substantially all cash flow from semiconductor memory operations in capacity expansion and improvement programs. The Company's cash flow from operations depends primarily on average selling prices and per unit manufacturing costs of the Company's semiconductor memory products. In the event that average selling prices decline faster than the rate at which the Company is able to decrease per unit manufacturing costs, the Company may not be able to generate sufficient cash flows from operations to sustain operations. The Company has a $500 million revolving credit agreement expiring in May 2000. There can be no assurance that the Company will continue to be able to meet the terms of the covenants or be able to borrow the full amount of the credit facility. There can be no assurance that external sources of liquidity will be available to fund the Company's operations or its capacity and product and process technology enhancement programs. Failure to obtain financing would hinder the Company's ability to make continued investments in such programs, which could materially adversely affect the Company's business, results of operations and financial condition.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semiconductor and PC industries have experienced a substantial amount of litigation regarding patent and other intellectual property rights. In the future, litigation may be necessary to enforce patents issued to the Company, to protect trade secrets or know-how owned by the Company, or to defend the Company against claimed infringement of the rights of others. The Company has from time to time received, and may in the future receive, communications alleging that its products or its processes may infringe on product or process technology rights held by others. The Company has entered into a number of patent and intellectual property license agreements with third parties, some of which require one-time or periodic royalty payments. It may be necessary or advantageous in the future for the Company to obtain additional patent licenses or to renew existing license agreements. The Company is unable to predict whether these license agreements can be obtained or renewed on terms acceptable to the Company. Failure to obtain or renew such licenses could result in litigation. Further, adverse determinations that the Company's manufacturing processes or products have infringed on the product or process rights held by others could result in the Company's loss of proprietary rights, subject the Company to significant liabilities to third parties, require the Company to seek licenses from third parties or require material changes in production processes or products, any of which could have a material adverse effect on the Company's business, results of operations and financial condition.</w:t>
      </w:r>
    </w:p>
    <w:p>
      <w:pPr>
        <w:spacing w:after="0" w:line="17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is dependent upon a limited number of key management and technical personnel. In addition, the Company's future success will depend in part upon its ability to attract and retain highly qualified personnel, particularly as the Company adds different product types to its product line, which require parallel design efforts and significantly increase the need for highly skilled technical personnel. The Company competes for such personnel with other companies, academic institutions, government entities and other organizations. In recent periods, the Company has experienced increased recruitment of its existing personnel by other employers. There can be no assurance that the Company will be successful in hiring or retaining qualified personnel, or that any of MTI's personnel will remain employed by MTI. Any loss of key personnel or the inability to hire or retain qualified personnel could have a material adverse effect on the Company's business and results of operations.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6" w:name="page17"/>
    <w:bookmarkEnd w:id="16"/>
    <w:p>
      <w:pPr>
        <w:spacing w:after="0"/>
        <w:tabs>
          <w:tab w:leader="none" w:pos="76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440" w:hanging="432"/>
        <w:spacing w:after="0"/>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filed as a part of this report: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040" w:space="260"/>
            <w:col w:w="893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10.121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First Amended and Restated Credit Agreement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28, 1997, among the Registrant and several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institutions</w:t>
      </w:r>
    </w:p>
    <w:p>
      <w:pPr>
        <w:spacing w:after="0" w:line="173" w:lineRule="exact"/>
        <w:rPr>
          <w:sz w:val="20"/>
          <w:szCs w:val="20"/>
          <w:color w:val="auto"/>
        </w:rPr>
      </w:pPr>
    </w:p>
    <w:p>
      <w:pPr>
        <w:sectPr>
          <w:pgSz w:w="11900" w:h="16838" w:orient="portrait"/>
          <w:cols w:equalWidth="0" w:num="2">
            <w:col w:w="960" w:space="340"/>
            <w:col w:w="8939"/>
          </w:cols>
          <w:pgMar w:left="220" w:top="616" w:right="1440" w:bottom="1440" w:gutter="0" w:footer="0" w:header="0"/>
          <w:type w:val="continuous"/>
        </w:sectPr>
      </w:pPr>
    </w:p>
    <w:p>
      <w:pPr>
        <w:ind w:left="1300" w:right="3859" w:hanging="516"/>
        <w:spacing w:after="0" w:line="255" w:lineRule="auto"/>
        <w:tabs>
          <w:tab w:leader="none" w:pos="130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per share earnings for the quarters and nine months ended May 29, 1997 and May 30, 1996</w:t>
      </w:r>
    </w:p>
    <w:p>
      <w:pPr>
        <w:spacing w:after="0" w:line="160" w:lineRule="exact"/>
        <w:rPr>
          <w:sz w:val="20"/>
          <w:szCs w:val="20"/>
          <w:color w:val="auto"/>
        </w:rPr>
      </w:pPr>
    </w:p>
    <w:p>
      <w:pPr>
        <w:ind w:left="1300" w:hanging="516"/>
        <w:spacing w:after="0"/>
        <w:tabs>
          <w:tab w:leader="none" w:pos="130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338" w:lineRule="exact"/>
        <w:rPr>
          <w:rFonts w:ascii="Courier New" w:cs="Courier New" w:eastAsia="Courier New" w:hAnsi="Courier New"/>
          <w:sz w:val="14"/>
          <w:szCs w:val="14"/>
          <w:color w:val="auto"/>
        </w:rPr>
      </w:pPr>
    </w:p>
    <w:p>
      <w:pPr>
        <w:ind w:left="440" w:right="3859" w:hanging="432"/>
        <w:spacing w:after="0" w:line="255" w:lineRule="auto"/>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did not file any reports on Form 8-K during the fiscal quarter ended May 29, 1997.</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type w:val="continuous"/>
        </w:sectPr>
      </w:pPr>
    </w:p>
    <w:bookmarkStart w:id="17" w:name="page18"/>
    <w:bookmarkEnd w:id="17"/>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18,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Wilbur G. Stover, Jr.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Wilbur G. Stover, Jr., Vice President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and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and Accounting Officer)</w:t>
      </w:r>
    </w:p>
    <w:p>
      <w:pPr>
        <w:spacing w:after="0" w:line="200" w:lineRule="exact"/>
        <w:rPr>
          <w:sz w:val="20"/>
          <w:szCs w:val="20"/>
          <w:color w:val="auto"/>
        </w:rPr>
      </w:pPr>
    </w:p>
    <w:p>
      <w:pPr>
        <w:sectPr>
          <w:pgSz w:w="11900" w:h="16838" w:orient="portrait"/>
          <w:cols w:equalWidth="0" w:num="3">
            <w:col w:w="520" w:space="180"/>
            <w:col w:w="1600" w:space="720"/>
            <w:col w:w="721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type w:val="continuous"/>
        </w:sectPr>
      </w:pPr>
    </w:p>
    <w:bookmarkStart w:id="18" w:name="page19"/>
    <w:bookmarkEnd w:id="18"/>
    <w:p>
      <w:pPr>
        <w:jc w:val="right"/>
        <w:ind w:right="3339"/>
        <w:spacing w:after="0"/>
        <w:rPr>
          <w:sz w:val="20"/>
          <w:szCs w:val="20"/>
          <w:color w:val="auto"/>
        </w:rPr>
      </w:pPr>
      <w:r>
        <w:rPr>
          <w:rFonts w:ascii="Courier New" w:cs="Courier New" w:eastAsia="Courier New" w:hAnsi="Courier New"/>
          <w:sz w:val="14"/>
          <w:szCs w:val="14"/>
          <w:color w:val="auto"/>
        </w:rPr>
        <w:t>EXHIBIT 10.121</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FIRST AMENDED AND RESTATED</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REVOLVING CREDIT AGREEMENT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This FIRST AMENDED AND RESTATED REVOLVING CREDIT AGREEMENT is entered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into as of May 28, 1997, among Micron Technology, Inc. a Delaware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the several financial institutions from time to time party to</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(collectively, the "Banks"; individually, a "Bank"), and Bank of</w:t>
      </w:r>
    </w:p>
    <w:p>
      <w:pPr>
        <w:spacing w:after="0" w:line="7" w:lineRule="exact"/>
        <w:rPr>
          <w:sz w:val="20"/>
          <w:szCs w:val="20"/>
          <w:color w:val="auto"/>
        </w:rPr>
      </w:pPr>
    </w:p>
    <w:p>
      <w:pPr>
        <w:ind w:left="3020"/>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National Trust and Savings Association, as agent for the Banks (in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the "Agent").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A. The Company, the Banks and the Agent entered into that certain Revolving Credit Agreement, dated as of May 14, 1996, as amended (the "Existing Facility").</w:t>
      </w:r>
    </w:p>
    <w:p>
      <w:pPr>
        <w:spacing w:after="0" w:line="163" w:lineRule="exact"/>
        <w:rPr>
          <w:sz w:val="20"/>
          <w:szCs w:val="20"/>
          <w:color w:val="auto"/>
        </w:rPr>
      </w:pPr>
    </w:p>
    <w:p>
      <w:pPr>
        <w:ind w:right="3519" w:firstLine="603"/>
        <w:spacing w:after="0" w:line="255" w:lineRule="auto"/>
        <w:rPr>
          <w:sz w:val="20"/>
          <w:szCs w:val="20"/>
          <w:color w:val="auto"/>
        </w:rPr>
      </w:pPr>
      <w:r>
        <w:rPr>
          <w:rFonts w:ascii="Courier New" w:cs="Courier New" w:eastAsia="Courier New" w:hAnsi="Courier New"/>
          <w:sz w:val="14"/>
          <w:szCs w:val="14"/>
          <w:color w:val="auto"/>
        </w:rPr>
        <w:t>B. The Company, the Banks and the Agent desire to amend and restate the Existing Facility on the terms and conditions of this Agreement.</w:t>
      </w:r>
    </w:p>
    <w:p>
      <w:pPr>
        <w:spacing w:after="0" w:line="326" w:lineRule="exact"/>
        <w:rPr>
          <w:sz w:val="20"/>
          <w:szCs w:val="20"/>
          <w:color w:val="auto"/>
        </w:rPr>
      </w:pPr>
    </w:p>
    <w:p>
      <w:pPr>
        <w:ind w:right="3339" w:firstLine="603"/>
        <w:spacing w:after="0" w:line="255" w:lineRule="auto"/>
        <w:rPr>
          <w:sz w:val="20"/>
          <w:szCs w:val="20"/>
          <w:color w:val="auto"/>
        </w:rPr>
      </w:pPr>
      <w:r>
        <w:rPr>
          <w:rFonts w:ascii="Courier New" w:cs="Courier New" w:eastAsia="Courier New" w:hAnsi="Courier New"/>
          <w:sz w:val="14"/>
          <w:szCs w:val="14"/>
          <w:color w:val="auto"/>
        </w:rPr>
        <w:t>NOW, THEREFORE, in consideration of the mutual agreements, provisions and covenants contained herein, the parties agree as follows:</w:t>
      </w:r>
    </w:p>
    <w:p>
      <w:pPr>
        <w:spacing w:after="0" w:line="32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ARTICLE I - DEFINITIONS; OTHER INTERPRETIVE PROVISIONS;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ACCOUNTING PRINCIPLES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Certain Defined Terms. The following terms have the following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meanings: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"Acquisition" means any transaction or series of related transactions for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(other than a Person that is a Subsidiary) provided that the Company or the Subsidiary is the surviving entity.</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"Affiliate" means, as to any Person, any other Person which, directly 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indirectly, is in control of, is controlled by, or is under common control with, such Person. A Person shall be deemed to control another Person if the controlling Person possesses, directly or indirectly, the power to direct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3" w:right="1440" w:bottom="1440" w:gutter="0" w:footer="0" w:header="0"/>
        </w:sectPr>
      </w:pPr>
    </w:p>
    <w:bookmarkStart w:id="19" w:name="page20"/>
    <w:bookmarkEnd w:id="19"/>
    <w:p>
      <w:pPr>
        <w:ind w:right="3679"/>
        <w:spacing w:after="0" w:line="252" w:lineRule="auto"/>
        <w:rPr>
          <w:sz w:val="20"/>
          <w:szCs w:val="20"/>
          <w:color w:val="auto"/>
        </w:rPr>
      </w:pPr>
      <w:r>
        <w:rPr>
          <w:rFonts w:ascii="Courier New" w:cs="Courier New" w:eastAsia="Courier New" w:hAnsi="Courier New"/>
          <w:sz w:val="14"/>
          <w:szCs w:val="14"/>
          <w:color w:val="auto"/>
        </w:rPr>
        <w:t>or cause the direction of the management and policies of the other Person, whether through the ownership of voting securities, membership interests, by contract, or otherwise.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"Agent" means BofA in its capacity as agent for the Banks hereunder,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successor agent arising under Section 9.09.</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"Agent-Related Persons" means BofA and any successor agent arising under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Section 9.09, together with their respective Affiliates (including, in the case of BofA, the Arranger), and the officers, directors, employees, agents and attorneys-in-fact of such Persons and Affiliates.</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"Agent's Payment Office" means the address for payments set forth 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 10.02 or such other address as the Agent may from time to time specify.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"Agreement" means this First Amended and Restated Revolving Credit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"Applicable Fee Percentage" means, for any date, the per annum percentage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gridSpan w:val="5"/>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amount set forth</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below</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based on</w:t>
            </w:r>
          </w:p>
        </w:tc>
        <w:tc>
          <w:tcPr>
            <w:tcW w:w="40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Leverage Ratio set forth in the Compliance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Certificate most</w:t>
            </w:r>
          </w:p>
        </w:tc>
        <w:tc>
          <w:tcPr>
            <w:tcW w:w="530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recently delivered pursuant to Section 6.02(a):</w:t>
            </w:r>
          </w:p>
        </w:tc>
      </w:tr>
      <w:tr>
        <w:trPr>
          <w:trHeight w:val="663"/>
        </w:trPr>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1180" w:type="dxa"/>
            <w:vAlign w:val="bottom"/>
          </w:tcPr>
          <w:p>
            <w:pPr>
              <w:ind w:left="620"/>
              <w:spacing w:after="0"/>
              <w:rPr>
                <w:sz w:val="20"/>
                <w:szCs w:val="20"/>
                <w:color w:val="auto"/>
              </w:rPr>
            </w:pPr>
            <w:r>
              <w:rPr>
                <w:rFonts w:ascii="Courier New" w:cs="Courier New" w:eastAsia="Courier New" w:hAnsi="Courier New"/>
                <w:sz w:val="14"/>
                <w:szCs w:val="14"/>
                <w:color w:val="auto"/>
              </w:rPr>
              <w:t>Level</w:t>
            </w:r>
          </w:p>
        </w:tc>
        <w:tc>
          <w:tcPr>
            <w:tcW w:w="2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Leverage Ratio</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Fee Percentage</w:t>
            </w:r>
          </w:p>
        </w:tc>
      </w:tr>
      <w:tr>
        <w:trPr>
          <w:trHeight w:val="166"/>
        </w:trPr>
        <w:tc>
          <w:tcPr>
            <w:tcW w:w="1180" w:type="dxa"/>
            <w:vAlign w:val="bottom"/>
          </w:tcPr>
          <w:p>
            <w:pPr>
              <w:jc w:val="center"/>
              <w:ind w:left="408"/>
              <w:spacing w:after="0"/>
              <w:rPr>
                <w:sz w:val="20"/>
                <w:szCs w:val="20"/>
                <w:color w:val="auto"/>
              </w:rPr>
            </w:pPr>
            <w:r>
              <w:rPr>
                <w:rFonts w:ascii="Courier New" w:cs="Courier New" w:eastAsia="Courier New" w:hAnsi="Courier New"/>
                <w:sz w:val="14"/>
                <w:szCs w:val="14"/>
                <w:color w:val="auto"/>
                <w:w w:val="99"/>
              </w:rPr>
              <w:t>-----</w:t>
            </w:r>
          </w:p>
        </w:tc>
        <w:tc>
          <w:tcPr>
            <w:tcW w:w="24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r>
      <w:tr>
        <w:trPr>
          <w:trHeight w:val="331"/>
        </w:trPr>
        <w:tc>
          <w:tcPr>
            <w:tcW w:w="1180" w:type="dxa"/>
            <w:vAlign w:val="bottom"/>
          </w:tcPr>
          <w:p>
            <w:pPr>
              <w:jc w:val="center"/>
              <w:ind w:left="388"/>
              <w:spacing w:after="0"/>
              <w:rPr>
                <w:sz w:val="20"/>
                <w:szCs w:val="20"/>
                <w:color w:val="auto"/>
              </w:rPr>
            </w:pPr>
            <w:r>
              <w:rPr>
                <w:rFonts w:ascii="Courier New" w:cs="Courier New" w:eastAsia="Courier New" w:hAnsi="Courier New"/>
                <w:sz w:val="14"/>
                <w:szCs w:val="14"/>
                <w:color w:val="auto"/>
                <w:w w:val="94"/>
              </w:rPr>
              <w:t>1</w:t>
            </w:r>
          </w:p>
        </w:tc>
        <w:tc>
          <w:tcPr>
            <w:tcW w:w="15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Less than 0.250</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0.150%</w:t>
            </w:r>
          </w:p>
        </w:tc>
      </w:tr>
      <w:tr>
        <w:trPr>
          <w:trHeight w:val="166"/>
        </w:trPr>
        <w:tc>
          <w:tcPr>
            <w:tcW w:w="1180" w:type="dxa"/>
            <w:vAlign w:val="bottom"/>
          </w:tcPr>
          <w:p>
            <w:pPr>
              <w:jc w:val="center"/>
              <w:ind w:left="388"/>
              <w:spacing w:after="0"/>
              <w:rPr>
                <w:sz w:val="20"/>
                <w:szCs w:val="20"/>
                <w:color w:val="auto"/>
              </w:rPr>
            </w:pPr>
            <w:r>
              <w:rPr>
                <w:rFonts w:ascii="Courier New" w:cs="Courier New" w:eastAsia="Courier New" w:hAnsi="Courier New"/>
                <w:sz w:val="14"/>
                <w:szCs w:val="14"/>
                <w:color w:val="auto"/>
                <w:w w:val="94"/>
              </w:rPr>
              <w:t>2</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Greater</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than or equal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0.250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but less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than</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0.350</w:t>
            </w:r>
          </w:p>
        </w:tc>
        <w:tc>
          <w:tcPr>
            <w:tcW w:w="26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0.225%</w:t>
            </w:r>
          </w:p>
        </w:tc>
      </w:tr>
      <w:tr>
        <w:trPr>
          <w:trHeight w:val="166"/>
        </w:trPr>
        <w:tc>
          <w:tcPr>
            <w:tcW w:w="1180" w:type="dxa"/>
            <w:vAlign w:val="bottom"/>
          </w:tcPr>
          <w:p>
            <w:pPr>
              <w:jc w:val="center"/>
              <w:ind w:left="388"/>
              <w:spacing w:after="0"/>
              <w:rPr>
                <w:sz w:val="20"/>
                <w:szCs w:val="20"/>
                <w:color w:val="auto"/>
              </w:rPr>
            </w:pPr>
            <w:r>
              <w:rPr>
                <w:rFonts w:ascii="Courier New" w:cs="Courier New" w:eastAsia="Courier New" w:hAnsi="Courier New"/>
                <w:sz w:val="14"/>
                <w:szCs w:val="14"/>
                <w:color w:val="auto"/>
                <w:w w:val="94"/>
              </w:rPr>
              <w:t>3</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Greater</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than or equal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66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0.350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but less</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than</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0.500</w:t>
            </w:r>
          </w:p>
        </w:tc>
        <w:tc>
          <w:tcPr>
            <w:tcW w:w="26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0.275%</w:t>
            </w:r>
          </w:p>
        </w:tc>
      </w:tr>
      <w:tr>
        <w:trPr>
          <w:trHeight w:val="166"/>
        </w:trPr>
        <w:tc>
          <w:tcPr>
            <w:tcW w:w="1180" w:type="dxa"/>
            <w:vAlign w:val="bottom"/>
          </w:tcPr>
          <w:p>
            <w:pPr>
              <w:jc w:val="center"/>
              <w:ind w:left="388"/>
              <w:spacing w:after="0"/>
              <w:rPr>
                <w:sz w:val="20"/>
                <w:szCs w:val="20"/>
                <w:color w:val="auto"/>
              </w:rPr>
            </w:pPr>
            <w:r>
              <w:rPr>
                <w:rFonts w:ascii="Courier New" w:cs="Courier New" w:eastAsia="Courier New" w:hAnsi="Courier New"/>
                <w:sz w:val="14"/>
                <w:szCs w:val="14"/>
                <w:color w:val="auto"/>
                <w:w w:val="94"/>
              </w:rPr>
              <w:t>4</w:t>
            </w:r>
          </w:p>
        </w:tc>
        <w:tc>
          <w:tcPr>
            <w:tcW w:w="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Greater</w:t>
            </w:r>
          </w:p>
        </w:tc>
        <w:tc>
          <w:tcPr>
            <w:tcW w:w="1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than or equal</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to 0.500</w:t>
            </w:r>
          </w:p>
        </w:tc>
        <w:tc>
          <w:tcPr>
            <w:tcW w:w="26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0.350%</w:t>
            </w:r>
          </w:p>
        </w:tc>
      </w:tr>
    </w:tbl>
    <w:p>
      <w:pPr>
        <w:spacing w:after="0" w:line="335" w:lineRule="exact"/>
        <w:rPr>
          <w:sz w:val="20"/>
          <w:szCs w:val="20"/>
          <w:color w:val="auto"/>
        </w:rPr>
      </w:pPr>
    </w:p>
    <w:p>
      <w:pPr>
        <w:ind w:right="3419" w:firstLine="603"/>
        <w:spacing w:after="0" w:line="250" w:lineRule="auto"/>
        <w:rPr>
          <w:sz w:val="20"/>
          <w:szCs w:val="20"/>
          <w:color w:val="auto"/>
        </w:rPr>
      </w:pPr>
      <w:r>
        <w:rPr>
          <w:rFonts w:ascii="Courier New" w:cs="Courier New" w:eastAsia="Courier New" w:hAnsi="Courier New"/>
          <w:sz w:val="14"/>
          <w:szCs w:val="14"/>
          <w:color w:val="auto"/>
        </w:rPr>
        <w:t>The Applicable Fee Percentage shall be adjusted automatically as to the commitment fee then accruing effective as of the 90th day after the end of each fiscal year and the 45th day of the end of the first three fiscal quarters of each fiscal year based on the Leverage Ratio set forth in the most recently delivered Compliance Certificate; provided, however, that for the period from</w:t>
      </w:r>
    </w:p>
    <w:p>
      <w:pPr>
        <w:spacing w:after="0" w:line="2" w:lineRule="exact"/>
        <w:rPr>
          <w:sz w:val="20"/>
          <w:szCs w:val="20"/>
          <w:color w:val="auto"/>
        </w:rPr>
      </w:pPr>
    </w:p>
    <w:p>
      <w:pPr>
        <w:ind w:left="2940"/>
        <w:spacing w:after="0"/>
        <w:tabs>
          <w:tab w:leader="none" w:pos="37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Closing Date through the 45th day after the end of the Company's third fiscal quarter 1997, the Applicable Percentage shall be Level 3.</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"Applicable Margin" means, for any date, with respect to each Offshore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Rate Loan or Base Rate Loan outstanding on such date, the applicable margin (on a per annum basis) set forth below based on the Leverage Ratio set forth in the Compliance Certificate most recently delivered pursuant to Section 6.02(a):</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0" w:name="page21"/>
    <w:bookmarkEnd w:id="20"/>
    <w:p>
      <w:pPr>
        <w:ind w:left="4060"/>
        <w:spacing w:after="0"/>
        <w:rPr>
          <w:sz w:val="20"/>
          <w:szCs w:val="20"/>
          <w:color w:val="auto"/>
        </w:rPr>
      </w:pPr>
      <w:r>
        <w:rPr>
          <w:rFonts w:ascii="Courier New" w:cs="Courier New" w:eastAsia="Courier New" w:hAnsi="Courier New"/>
          <w:sz w:val="14"/>
          <w:szCs w:val="14"/>
          <w:color w:val="auto"/>
        </w:rPr>
        <w:t>Applicable Margin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Offshore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w:t>
      </w:r>
    </w:p>
    <w:p>
      <w:pPr>
        <w:sectPr>
          <w:pgSz w:w="11900" w:h="16838" w:orient="portrait"/>
          <w:cols w:equalWidth="0" w:num="1">
            <w:col w:w="10239"/>
          </w:cols>
          <w:pgMar w:left="220" w:top="947"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Level</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140" w:firstLine="431"/>
        <w:spacing w:after="0" w:line="255" w:lineRule="auto"/>
        <w:rPr>
          <w:sz w:val="20"/>
          <w:szCs w:val="20"/>
          <w:color w:val="auto"/>
        </w:rPr>
      </w:pPr>
      <w:r>
        <w:rPr>
          <w:rFonts w:ascii="Courier New" w:cs="Courier New" w:eastAsia="Courier New" w:hAnsi="Courier New"/>
          <w:sz w:val="14"/>
          <w:szCs w:val="14"/>
          <w:color w:val="auto"/>
        </w:rPr>
        <w:t>Leverage Ratio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Rate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4">
            <w:col w:w="780" w:space="340"/>
            <w:col w:w="2300" w:space="720"/>
            <w:col w:w="780" w:space="180"/>
            <w:col w:w="5139"/>
          </w:cols>
          <w:pgMar w:left="220" w:top="947" w:right="1440" w:bottom="1440" w:gutter="0" w:footer="0" w:header="0"/>
          <w:type w:val="continuous"/>
        </w:sectPr>
      </w:pPr>
    </w:p>
    <w:p>
      <w:pPr>
        <w:jc w:val="center"/>
        <w:ind w:left="520"/>
        <w:spacing w:after="0"/>
        <w:rPr>
          <w:sz w:val="20"/>
          <w:szCs w:val="20"/>
          <w:color w:val="auto"/>
        </w:rPr>
      </w:pPr>
      <w:r>
        <w:rPr>
          <w:rFonts w:ascii="Courier New" w:cs="Courier New" w:eastAsia="Courier New" w:hAnsi="Courier New"/>
          <w:sz w:val="14"/>
          <w:szCs w:val="14"/>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Less than 0.250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0.400%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00.00%</w:t>
      </w:r>
    </w:p>
    <w:p>
      <w:pPr>
        <w:spacing w:after="0" w:line="18" w:lineRule="exact"/>
        <w:rPr>
          <w:sz w:val="20"/>
          <w:szCs w:val="20"/>
          <w:color w:val="auto"/>
        </w:rPr>
      </w:pPr>
    </w:p>
    <w:p>
      <w:pPr>
        <w:sectPr>
          <w:pgSz w:w="11900" w:h="16838" w:orient="portrait"/>
          <w:cols w:equalWidth="0" w:num="4">
            <w:col w:w="620" w:space="500"/>
            <w:col w:w="2480" w:space="720"/>
            <w:col w:w="520" w:space="260"/>
            <w:col w:w="5139"/>
          </w:cols>
          <w:pgMar w:left="220" w:top="947" w:right="1440" w:bottom="1440" w:gutter="0" w:footer="0" w:header="0"/>
          <w:type w:val="continuous"/>
        </w:sectPr>
      </w:pPr>
    </w:p>
    <w:p>
      <w:pPr>
        <w:ind w:left="1120" w:hanging="595"/>
        <w:spacing w:after="0"/>
        <w:tabs>
          <w:tab w:leader="none" w:pos="11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or equal to</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but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less than 0.350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0.650%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00.00%</w:t>
            </w:r>
          </w:p>
        </w:tc>
      </w:tr>
      <w:tr>
        <w:trPr>
          <w:trHeight w:val="166"/>
        </w:trPr>
        <w:tc>
          <w:tcPr>
            <w:tcW w:w="34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4"/>
              </w:rPr>
              <w:t>3</w:t>
            </w: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Greater than</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or equal to</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0.350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but</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less than 0.500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0.750%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00.00%</w:t>
            </w:r>
          </w:p>
        </w:tc>
      </w:tr>
    </w:tbl>
    <w:p>
      <w:pPr>
        <w:spacing w:after="0" w:line="4" w:lineRule="exact"/>
        <w:rPr>
          <w:sz w:val="20"/>
          <w:szCs w:val="20"/>
          <w:color w:val="auto"/>
        </w:rPr>
      </w:pPr>
    </w:p>
    <w:p>
      <w:pPr>
        <w:ind w:left="1120" w:hanging="595"/>
        <w:spacing w:after="0"/>
        <w:tabs>
          <w:tab w:leader="none" w:pos="11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or equal</w:t>
      </w:r>
    </w:p>
    <w:p>
      <w:pPr>
        <w:spacing w:after="0" w:line="7" w:lineRule="exact"/>
        <w:rPr>
          <w:sz w:val="20"/>
          <w:szCs w:val="20"/>
          <w:color w:val="auto"/>
        </w:rPr>
      </w:pPr>
    </w:p>
    <w:p>
      <w:pPr>
        <w:ind w:left="1380"/>
        <w:spacing w:after="0"/>
        <w:tabs>
          <w:tab w:leader="none" w:pos="4300" w:val="left"/>
          <w:tab w:leader="none" w:pos="5080" w:val="left"/>
        </w:tabs>
        <w:rPr>
          <w:sz w:val="20"/>
          <w:szCs w:val="20"/>
          <w:color w:val="auto"/>
        </w:rPr>
      </w:pPr>
      <w:r>
        <w:rPr>
          <w:rFonts w:ascii="Courier New" w:cs="Courier New" w:eastAsia="Courier New" w:hAnsi="Courier New"/>
          <w:sz w:val="14"/>
          <w:szCs w:val="14"/>
          <w:color w:val="auto"/>
        </w:rPr>
        <w:t>to 0.500</w:t>
      </w:r>
      <w:r>
        <w:rPr>
          <w:sz w:val="20"/>
          <w:szCs w:val="20"/>
          <w:color w:val="auto"/>
        </w:rPr>
        <w:tab/>
      </w:r>
      <w:r>
        <w:rPr>
          <w:rFonts w:ascii="Courier New" w:cs="Courier New" w:eastAsia="Courier New" w:hAnsi="Courier New"/>
          <w:sz w:val="14"/>
          <w:szCs w:val="14"/>
          <w:color w:val="auto"/>
        </w:rPr>
        <w:t>0.875%</w:t>
      </w:r>
      <w:r>
        <w:rPr>
          <w:sz w:val="20"/>
          <w:szCs w:val="20"/>
          <w:color w:val="auto"/>
        </w:rPr>
        <w:tab/>
      </w:r>
      <w:r>
        <w:rPr>
          <w:rFonts w:ascii="Courier New" w:cs="Courier New" w:eastAsia="Courier New" w:hAnsi="Courier New"/>
          <w:sz w:val="13"/>
          <w:szCs w:val="13"/>
          <w:color w:val="auto"/>
        </w:rPr>
        <w:t>00.00%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that at any time as the aggregate outstanding principal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Loans equals or exceeds 50% of the combined Commitments, the Applicable Margin in respect of any Offshore Rate Loans and Base Rate Loans then outstanding shall be increased by an additional 0.250%.</w:t>
      </w:r>
    </w:p>
    <w:p>
      <w:pPr>
        <w:spacing w:after="0" w:line="163" w:lineRule="exact"/>
        <w:rPr>
          <w:sz w:val="20"/>
          <w:szCs w:val="20"/>
          <w:color w:val="auto"/>
        </w:rPr>
      </w:pPr>
    </w:p>
    <w:p>
      <w:pPr>
        <w:ind w:right="3419" w:firstLine="603"/>
        <w:spacing w:after="0" w:line="250" w:lineRule="auto"/>
        <w:rPr>
          <w:sz w:val="20"/>
          <w:szCs w:val="20"/>
          <w:color w:val="auto"/>
        </w:rPr>
      </w:pPr>
      <w:r>
        <w:rPr>
          <w:rFonts w:ascii="Courier New" w:cs="Courier New" w:eastAsia="Courier New" w:hAnsi="Courier New"/>
          <w:sz w:val="14"/>
          <w:szCs w:val="14"/>
          <w:color w:val="auto"/>
        </w:rPr>
        <w:t>The Applicable Margin shall be adjusted automatically as to all Loans then outstanding effective as of the 90th day after the end of each fiscal year and the 45th day of the end of the first three fiscal quarters of each fiscal year based on the Leverage Ratio set forth in the most recently delivered Compliance Certificate; provided, however, that for the period from the Closing</w:t>
      </w:r>
    </w:p>
    <w:p>
      <w:pPr>
        <w:spacing w:after="0" w:line="2" w:lineRule="exact"/>
        <w:rPr>
          <w:sz w:val="20"/>
          <w:szCs w:val="20"/>
          <w:color w:val="auto"/>
        </w:rPr>
      </w:pPr>
    </w:p>
    <w:p>
      <w:pPr>
        <w:ind w:left="2080"/>
        <w:spacing w:after="0"/>
        <w:tabs>
          <w:tab w:leader="none" w:pos="29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Date through the 45th day after the end of the Company's third fiscal quarter 1997, the Applicable Margin shall be Level 3.</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"Arranger" means BancAmerica Securities, Inc., a Delaware corporation.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"Assignee" has the meaning specified in subsection 10.08(a).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"Attorney Costs" means and includes all reasonable fees and disbursements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of any law firm or other external counsel, the allocated cost of internal legal services and all disbursements of internal counsel.</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"Bank" has the meaning specified in the introductory paragraph hereof.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"Bankruptcy Code" means the Federal Bankruptcy Reform Act of 1978 (11</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U.S.C. (S)101, et seq.).</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tabs>
          <w:tab w:leader="none" w:pos="4720" w:val="left"/>
        </w:tabs>
        <w:rPr>
          <w:sz w:val="20"/>
          <w:szCs w:val="20"/>
          <w:color w:val="auto"/>
        </w:rPr>
      </w:pPr>
      <w:r>
        <w:rPr>
          <w:rFonts w:ascii="Courier New" w:cs="Courier New" w:eastAsia="Courier New" w:hAnsi="Courier New"/>
          <w:sz w:val="14"/>
          <w:szCs w:val="14"/>
          <w:color w:val="auto"/>
        </w:rPr>
        <w:t>"Base Rate" means, for any day, the higher of:</w:t>
        <w:tab/>
        <w:t>(a) 0.50% per annum above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latest Federal Funds Rate; and (b) the rate of interest in effect for such day as publicly announced from time to time by BofA in San Francisco, California, as its "reference rate." (The "reference rate" is a rate set by BofA based upon various factors including BofA's</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7" w:right="1440" w:bottom="1440" w:gutter="0" w:footer="0" w:header="0"/>
          <w:type w:val="continuous"/>
        </w:sectPr>
      </w:pPr>
    </w:p>
    <w:bookmarkStart w:id="21" w:name="page22"/>
    <w:bookmarkEnd w:id="21"/>
    <w:p>
      <w:pPr>
        <w:ind w:right="3339"/>
        <w:spacing w:after="0" w:line="251" w:lineRule="auto"/>
        <w:rPr>
          <w:sz w:val="20"/>
          <w:szCs w:val="20"/>
          <w:color w:val="auto"/>
        </w:rPr>
      </w:pPr>
      <w:r>
        <w:rPr>
          <w:rFonts w:ascii="Courier New" w:cs="Courier New" w:eastAsia="Courier New" w:hAnsi="Courier New"/>
          <w:sz w:val="14"/>
          <w:szCs w:val="14"/>
          <w:color w:val="auto"/>
        </w:rPr>
        <w:t>costs and desired return, general economic conditions and other factors, and is used as a reference point for pricing some loans, which may be priced at, above, or below such announced rate.) Any change in the reference rate announced by BofA shall take effect at the opening of business on the day specified in the public announcement of such change.</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"Base Rate Loan" means a Loan that bears interest based on the Base Rate.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"BofA" means Bank of America National Trust and Savings Association,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banking association.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"Borrowing" means a borrowing hereunder consisting of Loans of the same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Type made to the Company on the same day by the Banks under Article II, and, other than in the case of Base Rate Loans, having the same Interest Period.</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"Borrowing Date" means any date on which a Borrowing occurs under Section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2.03.</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"Business Day" means any day other than a Saturday, Sunday or other day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which commercial banks in New York, New York, Portland, Oregon, Boise, Idaho, or San Francisco, California are authorized or required by law to close and, if the applicable Business Day relates to any Offshore Rate Loan, means such a day on which dealings are carried on in the applicable offshore dollar interbank market.</w:t>
      </w:r>
    </w:p>
    <w:p>
      <w:pPr>
        <w:spacing w:after="0" w:line="32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"Capital Adequacy Regulation" means any guideline, request or directive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of any central bank or other Governmental Authority, or any other law, rule or regulation, whether or not having the force of law, in each case, regarding capital adequacy of any bank or of any corporation controlling a bank.</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"Charge" has the meaning specified in Section 8.04.</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"Closing Date" means the date on which all conditions precedent set forth</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 Section 4.01 are satisfied or waived by all Banks (or, in the case of subsection 4.01(e), waived by the Person entitled to receive such payment).</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"Code" means the Internal Revenue Code of 1986, and regulations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promulgated thereunder.</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"Combined Adjusted Total Liabilities" means, as of any date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determination, without duplication, the total liabilities of the Company and the Semiconductor Operations Subsidiaries on a combined basis, as shown in the Semiconductor Operations Supplemental Schedules, plus all Guaranty Obligations of the Company and the Semiconductor Operations Subsidiaries on a combined basis with respect to indebtedness or obligations of Persons other than the Company and the</w:t>
      </w:r>
    </w:p>
    <w:p>
      <w:pPr>
        <w:spacing w:after="0" w:line="32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2" w:name="page23"/>
    <w:bookmarkEnd w:id="22"/>
    <w:p>
      <w:pPr>
        <w:ind w:right="3339"/>
        <w:spacing w:after="0" w:line="251" w:lineRule="auto"/>
        <w:rPr>
          <w:sz w:val="20"/>
          <w:szCs w:val="20"/>
          <w:color w:val="auto"/>
        </w:rPr>
      </w:pPr>
      <w:r>
        <w:rPr>
          <w:rFonts w:ascii="Courier New" w:cs="Courier New" w:eastAsia="Courier New" w:hAnsi="Courier New"/>
          <w:sz w:val="14"/>
          <w:szCs w:val="14"/>
          <w:color w:val="auto"/>
        </w:rPr>
        <w:t>Semiconductor Operations Subsidiaries of the kinds referred to in clauses (a) through (g) of the definitions of the term "Indebtedness", plus all obligations of the Company and the Semiconductor Operations Subsidiaries on a combined basis under operating and synthetic leases in excess of $500,000, individually, which obligations shall be discounted to present value at the interest rate implicit in each such lease in effect at any date of determination.</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"Combined Net Income" and "Combined Net Loss" mean, respectively, for any</w:t>
      </w:r>
    </w:p>
    <w:p>
      <w:pPr>
        <w:spacing w:after="0" w:line="7" w:lineRule="exact"/>
        <w:rPr>
          <w:sz w:val="20"/>
          <w:szCs w:val="20"/>
          <w:color w:val="auto"/>
        </w:rPr>
      </w:pPr>
    </w:p>
    <w:p>
      <w:pPr>
        <w:ind w:left="700"/>
        <w:spacing w:after="0"/>
        <w:tabs>
          <w:tab w:leader="none" w:pos="2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period, the aggregate net income or loss for such period of the Company and the Semiconductor Operations Subsidiaries on a combined basis, as shown in the Semiconductor Operations Supplemental Schedules.</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"Combined Tangible Assets" means, as of any date of determination,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total assets of the Company and the Semiconductor Operations Subsidiaries on a combined basis, as shown in the Semiconductor Operations Supplemental Schedules minus (b) the net book value of all assets of the Company and the</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Semiconductor Operations Subsidiaries on a combined basis, as shown in the Semiconductor Operations Supplemental Schedules which would be treated as intangible assets under GAAP, including (without duplication or limitation) intangible deferred charges, franchise rights, non-compete agreements, capitalized research and development costs, capitalized costs associated with software development expenses, goodwill, patents, patent applications, trademarks, trade names, copyrights and licenses.</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"Combined Tangible Net Worth" means, as of any date of determination,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total net assets of the Company and the Semiconductor Operations Subsidiaries on a combined basis, as shown in the Semiconductor Operations Supplemental Schedules minus (b) the net book value of all assets of the Company</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and the Semiconductor Operations Subsidiaries on a combined basis as shown in the Semiconductor Operations Supplemental Schedules which would be treated as intangibles under GAAP, including (without duplication or limitation) intangible deferred charges, franchise rights, non-compete agreements, capitalized research and development costs, capitalized costs associated with software development expenses, goodwill, patents, patent applications, trademarks, trade names, copyrights and licenses.</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"Commitment", as to each Bank, has the meaning specified in Section 2.01.</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"Company" means Micron Technology, Inc. a Delaware corporation.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"Compliance Certificate" means a certificate, duly executed by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Responsible Office of the Company, substantially in the form of Exhibit D.</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3" w:name="page24"/>
    <w:bookmarkEnd w:id="23"/>
    <w:p>
      <w:pPr>
        <w:ind w:left="620"/>
        <w:spacing w:after="0"/>
        <w:rPr>
          <w:sz w:val="20"/>
          <w:szCs w:val="20"/>
          <w:color w:val="auto"/>
        </w:rPr>
      </w:pPr>
      <w:r>
        <w:rPr>
          <w:rFonts w:ascii="Courier New" w:cs="Courier New" w:eastAsia="Courier New" w:hAnsi="Courier New"/>
          <w:sz w:val="14"/>
          <w:szCs w:val="14"/>
          <w:color w:val="auto"/>
        </w:rPr>
        <w:t>"Contingent Obligation" means, as to any Person, any direct or indirect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of that Person, whether or not contingent, with or without recourse:</w:t>
      </w:r>
    </w:p>
    <w:p>
      <w:pPr>
        <w:spacing w:after="0" w:line="7" w:lineRule="exact"/>
        <w:rPr>
          <w:sz w:val="20"/>
          <w:szCs w:val="20"/>
          <w:color w:val="auto"/>
        </w:rPr>
      </w:pPr>
    </w:p>
    <w:p>
      <w:pPr>
        <w:ind w:right="3339" w:firstLine="8"/>
        <w:spacing w:after="0" w:line="250" w:lineRule="auto"/>
        <w:tabs>
          <w:tab w:leader="none" w:pos="34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"Guaranty Obligation"); (b) with respect to any Surety</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"Contractual Obligation" means, as to any Person, any provision of 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security issued by such Person or of any agreement, undertaking, contract, indenture, mortgage, deed of trust or other instrument, document or agreement to which such Person is a party or by which it or any of its property is bound.</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"Conversion/Continuation Date" means any date on which, under Section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2.04, the Company (a) converts Loans of one Type to another Type, or (b) continues as Loans of the same Type, but with a new Interest Period, Loans having Interest Periods expiring on such date.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"Default" means any event or circumstance which, with the giving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notice, the lapse of time, or both, would (if not cured or otherwise remedied during such time) constitute an Event of Default.</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"Disclosure Letter" means the disclosure letter dated the Closing Date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and signed by a Responsible Officer of the Company delivered to the Agent pursuant to Section 4.01(g).</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4" w:name="page25"/>
    <w:bookmarkEnd w:id="24"/>
    <w:p>
      <w:pPr>
        <w:ind w:left="620"/>
        <w:spacing w:after="0"/>
        <w:rPr>
          <w:sz w:val="20"/>
          <w:szCs w:val="20"/>
          <w:color w:val="auto"/>
        </w:rPr>
      </w:pPr>
      <w:r>
        <w:rPr>
          <w:rFonts w:ascii="Courier New" w:cs="Courier New" w:eastAsia="Courier New" w:hAnsi="Courier New"/>
          <w:sz w:val="14"/>
          <w:szCs w:val="14"/>
          <w:color w:val="auto"/>
        </w:rPr>
        <w:t>"Dispositions" has the meaning specified in Section 7.03.</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"Distributions" has the meaning specified in Section 7.09.</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"Dollars", "dollars" and "$" each mean lawful money of the United States.</w:t>
      </w:r>
    </w:p>
    <w:p>
      <w:pPr>
        <w:spacing w:after="0" w:line="7" w:lineRule="exact"/>
        <w:rPr>
          <w:sz w:val="20"/>
          <w:szCs w:val="20"/>
          <w:color w:val="auto"/>
        </w:rPr>
      </w:pPr>
    </w:p>
    <w:p>
      <w:pPr>
        <w:ind w:left="700"/>
        <w:spacing w:after="0"/>
        <w:tabs>
          <w:tab w:leader="none" w:pos="1620" w:val="left"/>
          <w:tab w:leader="none" w:pos="28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"EBITDA" means, for any period, Combined Net Income or Combined Net Loss,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the case may be, for such period, plus the sum of (a) interest expense, (b)</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income tax expense, (c) depreciation expense, and (d) amortization expense, which were deductible in determining Combined Net Income or Combined Net Loss.</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"Eligible Assignee" means (a) a commercial bank organized under the laws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the United States, or any state thereof, and having a combined capital and surplus of at least $100,000,000; (b) a commercial bank organized under the laws of any other country which is a member of the Organization for Economic Cooperation and Development (the "OECD"), or a political subdivision of any such country, and having a combined capital and surplus of at least $100,000,000, provided that such bank is acting through a branch or agency located in the United States; and (c) a Person that is primarily engaged in the business of commercial banking and that is (i) a Subsidiary of a Bank, (ii) a Subsidiary of a Person of which a Bank is a Subsidiary, or (iii) a Person of which a Bank is a Subsidiary.</w:t>
      </w:r>
    </w:p>
    <w:p>
      <w:pPr>
        <w:spacing w:after="0" w:line="329"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"Environmental Claims" means all claims, however asserted, by 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Governmental Authority or other Person alleging potential liability or responsibility for violation of any Environmental Law, or for release or injury to the environment.</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"Environmental Laws" means all federal, state or local laws, statutes,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common law duties, rules, regulations, ordinances and codes, together with all administrative orders, directed duties, requests, licenses, authorizations and permits of, and agreements with, any Governmental Authorities, in each case relating to environmental, health, safety and land use matters.</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"ERISA" means the Employee Retirement Income Security Act of 1974,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regulations promulgated thereunder.</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"ERISA Affiliate" means any trade or business (whether or not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incorporated) under common control with the Company within the meaning of Section 414(b) or (c) of the Code (and Sections 414(m) and (o) of the Code for purposes of provisions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relating to Section 412 of the Code).</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"ERISA Event" means (a) a Reportable Event with respect to a Pension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Plan; (b) a withdrawal by the Company or any ERISA Affiliate from a Pension Plan subject to Section 4063 of ERISA during a plan year in which it was a substantial employer (as defined in Section 4001(a)(2) of ERISA) or a cessation of operations which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Plan amendment as a termination under Section 4041 or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 Plan; or (f) the imposition of any material liability under Title IV of ERISA, other than PBGC premiums due but not delinquent under Section 4007 of ERISA, upon the Company or any ERISA Affiliate.</w:t>
      </w:r>
    </w:p>
    <w:p>
      <w:pPr>
        <w:spacing w:after="0" w:line="17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"Eurodollar Reserve Percentage" has the meaning specified in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definition of "Offshore Rate".</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"Event of Default" means any of the events or circumstances specified in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8.01.</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"Exchange Act" means the Securities Exchange Act of 1934, and regulations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promulgated thereunder.</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"Existing Facility" has the meaning set forth in Recital A to this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"FDIC" means the Federal Deposit Insurance Corporation, and 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Authority succeeding to any of its principal functions.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"Federal Funds Rate" means, for any day, the rate set forth in the weekly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statistical release designated as H.15(519), or any successor publication, published by the Federal Reserve Bank of New York (including any such successor, "H.15(519)") on the preceding Business Day opposite the caption "Federal Funds (Effective)"; or, if for any relevant day such rate is not so published on any such preceding Business Day, the rate for such day will be the arithmetic mean as determined by the Agent of the rates for the last transaction in overnight Federal funds arranged prior to 9:00 a.m. (New York City time) on that day by each of three leading brokers of Federal funds transactions in New York City selected by the Agent.</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"FRB" means the Board of Governors of the Federal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6" w:name="page27"/>
    <w:bookmarkEnd w:id="26"/>
    <w:p>
      <w:pPr>
        <w:ind w:right="4119"/>
        <w:spacing w:after="0" w:line="255" w:lineRule="auto"/>
        <w:rPr>
          <w:sz w:val="20"/>
          <w:szCs w:val="20"/>
          <w:color w:val="auto"/>
        </w:rPr>
      </w:pPr>
      <w:r>
        <w:rPr>
          <w:rFonts w:ascii="Courier New" w:cs="Courier New" w:eastAsia="Courier New" w:hAnsi="Courier New"/>
          <w:sz w:val="14"/>
          <w:szCs w:val="14"/>
          <w:color w:val="auto"/>
        </w:rPr>
        <w:t>Reserve System, and any Governmental Authority succeeding to any of its principal functions.</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"Further Taxes" means any and all present or future taxes, levies,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assessments, imposts, duties, deductions, fees, withholdings or similar charges (including, without limitation, net income taxes and franchise taxes), and all liabilities with respect thereto, imposed by any jurisdiction on account of amounts payable or paid pursuant to Section 3.01.</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"GAAP" means generally accepted accounting principles set forth from time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U.S. accounting profession), which are applicable to the circumstances as of the Closing Date.</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"Governmental Authority" means any nation or government, any state 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 political subdivision thereof, any central bank (or similar monetary or regulatory authority) thereof,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6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"Guaranty Obligation" has the meaning specified in the definition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Obligation."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"Indebtedness" of any Person means, without duplication: (a) all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indebtedness for borrowed money; (b) all obligations issued, undertaken or assumed as the deferred purchase price of property or services (other than royalty payables and trade payables entered into in the ordinary course of business on ordinary terms); (c) all non-contingent reimbursement or payment obligations with respect to Surety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property acquired by the Person (even though the rights and remedies of the seller or bank under such agreement in the event of default are limited to repossession or sale of such property); (f) all obligations with respect to capital leases; (g) all indebtedness referred to in clauses (a) through (f) above secured by (or for which the holder of such Indebtedness has an existing right, contingent or otherwise, to be secured by) any Lien upon or in property (including accounts and contracts rights) owned by such Person, even though such Person has not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7" w:name="page28"/>
    <w:bookmarkEnd w:id="27"/>
    <w:p>
      <w:pPr>
        <w:ind w:right="3339"/>
        <w:spacing w:after="0" w:line="251" w:lineRule="auto"/>
        <w:rPr>
          <w:sz w:val="20"/>
          <w:szCs w:val="20"/>
          <w:color w:val="auto"/>
        </w:rPr>
      </w:pPr>
      <w:r>
        <w:rPr>
          <w:rFonts w:ascii="Courier New" w:cs="Courier New" w:eastAsia="Courier New" w:hAnsi="Courier New"/>
          <w:sz w:val="14"/>
          <w:szCs w:val="14"/>
          <w:color w:val="auto"/>
        </w:rPr>
        <w:t>assumed or become liable for the payment of such Indebtedness; and (h) all Guaranty Obligations in respect of indebtedness or obligations of others of the kinds referred to in clauses (a) through (g) above. For all purposes of this Agreement, the Indebtedness of any Person shall include all recourse Indebtedness of any partnership or joint venture or limited liability company in which such Person is a general partner or a joint venturer or a member.</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"Indemnified Liabilities" has the meaning specified in Section 10.05.</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"Indemnified Person" has the meaning specified in Section 10.05.</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"Independent Auditor" has the meaning specified in subsection 6.01(a).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"Insolvency Proceeding" means, with respect to any Person, (a) any case,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action or proceeding with respect to such Person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its creditors generally or any substantial portion of its creditors; undertaken under U.S. Federal, state or foreign law, including the Bankruptcy Code.</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"Intellectual Property Licenses" has the meaning specified in Section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6.03(b).</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Payment Date" means, as to any Loan other than a Base Rate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Loan, the last day of each Interest Period applicable to such Loan and, as to any Base Rate Loan, the last Business Day of each calendar quarter and each date such Loan is converted into another Type of Loan; provided, however, that if any</w:t>
      </w:r>
    </w:p>
    <w:p>
      <w:pPr>
        <w:spacing w:after="0" w:line="1" w:lineRule="exact"/>
        <w:rPr>
          <w:sz w:val="20"/>
          <w:szCs w:val="20"/>
          <w:color w:val="auto"/>
        </w:rPr>
      </w:pPr>
    </w:p>
    <w:p>
      <w:pPr>
        <w:ind w:left="4320"/>
        <w:spacing w:after="0"/>
        <w:tabs>
          <w:tab w:leader="none" w:pos="51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Interest Period for an Offshore Rate Loan exceeds three months, the date that falls three months after the beginning of such Interest Period and after each Interest Payment Date thereafter is also an Interest Payment Date.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"Interest Period" means, as to any Offshore Rate Loan, the period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commencing on the Borrowing Date of such Loan or on the Conversion/Continuation Date on which the Loan is converted into or continued as an Offshore Rate Loan, and ending on the date one, two, three or six months thereafter as selected by the Company in its Notice of Borrowing or Notice of Conversion/Continuation; provided, that: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173" w:lineRule="exact"/>
        <w:rPr>
          <w:sz w:val="20"/>
          <w:szCs w:val="20"/>
          <w:color w:val="auto"/>
        </w:rPr>
      </w:pPr>
    </w:p>
    <w:p>
      <w:pPr>
        <w:ind w:right="3339" w:firstLine="870"/>
        <w:spacing w:after="0" w:line="255" w:lineRule="auto"/>
        <w:tabs>
          <w:tab w:leader="none" w:pos="129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would otherwise end on a day that is not a Business Day, that Interest Period shall be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8" w:name="page29"/>
    <w:bookmarkEnd w:id="28"/>
    <w:p>
      <w:pPr>
        <w:ind w:right="3519"/>
        <w:spacing w:after="0" w:line="252" w:lineRule="auto"/>
        <w:rPr>
          <w:sz w:val="20"/>
          <w:szCs w:val="20"/>
          <w:color w:val="auto"/>
        </w:rPr>
      </w:pPr>
      <w:r>
        <w:rPr>
          <w:rFonts w:ascii="Courier New" w:cs="Courier New" w:eastAsia="Courier New" w:hAnsi="Courier New"/>
          <w:sz w:val="14"/>
          <w:szCs w:val="14"/>
          <w:color w:val="auto"/>
        </w:rPr>
        <w:t>extended to the following Business Day unless, in the case of an Offshore Rate Loan, the result of such extension would be to carry such Interest Period into another calendar month, in which event such Interest Period shall end on the preceding Business Day;</w:t>
      </w:r>
    </w:p>
    <w:p>
      <w:pPr>
        <w:spacing w:after="0" w:line="162" w:lineRule="exact"/>
        <w:rPr>
          <w:sz w:val="20"/>
          <w:szCs w:val="20"/>
          <w:color w:val="auto"/>
        </w:rPr>
      </w:pPr>
    </w:p>
    <w:p>
      <w:pPr>
        <w:ind w:right="3339" w:firstLine="870"/>
        <w:spacing w:after="0" w:line="251" w:lineRule="auto"/>
        <w:tabs>
          <w:tab w:leader="none" w:pos="129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Period pertaining to an Offshore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4"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Interest Period for any Loan shall extend beyond the Revolving Termination Date as in effect on the date such Loan is made, converted or continued, as the case may be.</w:t>
      </w:r>
    </w:p>
    <w:p>
      <w:pPr>
        <w:spacing w:after="0" w:line="163" w:lineRule="exact"/>
        <w:rPr>
          <w:sz w:val="20"/>
          <w:szCs w:val="20"/>
          <w:color w:val="auto"/>
        </w:rPr>
      </w:pPr>
    </w:p>
    <w:p>
      <w:pPr>
        <w:ind w:left="620"/>
        <w:spacing w:after="0"/>
        <w:tabs>
          <w:tab w:leader="none" w:pos="1880" w:val="left"/>
        </w:tabs>
        <w:rPr>
          <w:sz w:val="20"/>
          <w:szCs w:val="20"/>
          <w:color w:val="auto"/>
        </w:rPr>
      </w:pPr>
      <w:r>
        <w:rPr>
          <w:rFonts w:ascii="Courier New" w:cs="Courier New" w:eastAsia="Courier New" w:hAnsi="Courier New"/>
          <w:sz w:val="14"/>
          <w:szCs w:val="14"/>
          <w:color w:val="auto"/>
        </w:rPr>
        <w:t>"Investments"</w:t>
        <w:tab/>
        <w:t>has the meaning specified in Section 7.05.</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"IRS" means the Internal Revenue Service, and any Governmental Authority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succeeding to any of its principal functions under the Code.</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"Lending Office" means, as to any Bank, the office or offices of such</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Bank specified as its "Lending Office" or "Domestic Lending Office" or "Offshore Lending Office", as the case may be, on Schedule 10.02, or such other office or</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offices as such Bank may from time to time notify the Company and the Agent.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"Leverage Ratio" means, as of any date of determination, the ratio of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Combined Adjusted Total Liabilities, after giving effect to any payments or prepayments hereunder made on such date, to (b) Combined Tangible Net Worth.</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"Lien" means any security interest, mortgage, deed of trust, pledge,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hypothecation, assignment, charge or deposit arrangement, encumbrance, lien (statutory or other) or preferential arrangement of any kind or nature whatsoever in respect of any property (including those created by, arising under or evidenced by any conditional sale or other title retention agreement, the interest of a lessor under a capital lease, any financing lease having substantially the same economic effect as any of the foregoing, or the filing of any financing statement naming the owner of the asset to which such lien relates as debtor, under the Uniform Commercial Code or any comparable law) and any contingent or other agreement to provide any of the foregoing, but not including the interest of a lessor under an operating lease.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"Loan" means an extension of credit by a Bank to the Company under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 and may be a Base Rate Loan or an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Offshore Rate Loan (each, a "Type" of Loan).</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"Loan Documents" means this Agreement, the Notes, the Disclosure Letter,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fee letters and all other certificates, documents or financial or other statements delivered at any time to the Agent or any Bank in connection herewith or with any other Loan Document.</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"Majority Banks" means at any time Banks then holding at least 66-2/3%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then aggregate unpaid principal amount of the Loans, or, if no such principal amount is then outstanding, Banks then having at least 66-2/3% of the Commitments.</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"Margin Stock" means "margin stock" as such term is defined in Regulation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G, T, U</w:t>
        <w:tab/>
        <w:t>or X of the FRB.</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"Material Adverse Effect" means (a) a material adverse change in, or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material adverse effect upon, the operations, business, properties or condition (financial or otherwise) of the Company or the Company and its Semiconductor Operations Subsidiaries taken as a whole; (b) a material impairment of the ability of the Company to perform under any Loan Document and to avoid any Event of Default; or (c) a material adverse effect upon the legality, validity, binding effect or enforceability against the Company of any Loan Document.</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"Material Semiconductor Operations" means, at any time, semiconductor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operations (excluding any existing Subsidiary that is not a Wholly-Owned Subsidiary, and its Subsidiaries, if any) which both (a) comprise assets having a net book value equal to or greater than ten percent (10%) of the combined total assets of the Company and its Semiconductor Operations Subsidiaries as shown in the Semiconductor Operations Supplemental Schedules, and (b) for the most recent fiscal quarter or the most recent fiscal year, generated operating income equal to or greater than ten percent (10%) of the combined income from operations for the Company and its Semiconductor Operations Subsidiaries as shown in the Semiconductor Operations Supplemental Schedules.</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"Material Semiconductor Operations Subsidiary" means, at any time,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any Semiconductor Operations Subsidiary conducting Material Semiconductor Operations, and (b) any Semiconductor Operations Subsidiary owning 50% or more of the voting stock or other equity interest of any Material Semiconductor Operations Subsidiary.</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"Multiemployer Plan" means a "multiemployer plan", within the meaning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Section 4001(a)(3) of ERISA, to which the Company or any ERISA Affiliate makes, is making, or is obligated to make contributions or, during the preceding three calendar years, has made, or been obligated to make, contributions.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30" w:name="page31"/>
    <w:bookmarkEnd w:id="30"/>
    <w:p>
      <w:pPr>
        <w:ind w:left="620"/>
        <w:spacing w:after="0"/>
        <w:rPr>
          <w:sz w:val="20"/>
          <w:szCs w:val="20"/>
          <w:color w:val="auto"/>
        </w:rPr>
      </w:pPr>
      <w:r>
        <w:rPr>
          <w:rFonts w:ascii="Courier New" w:cs="Courier New" w:eastAsia="Courier New" w:hAnsi="Courier New"/>
          <w:sz w:val="14"/>
          <w:szCs w:val="14"/>
          <w:color w:val="auto"/>
        </w:rPr>
        <w:t>"Negative Pledge" has the meaning specified in Section 7.02.</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"Note" means a promissory note executed by the Company in favor of a Bank</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2.02(b), in substantially the form of Exhibit C.</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"Notice of Borrowing" means a notice in substantially the form of Exhibit</w:t>
      </w:r>
    </w:p>
    <w:p>
      <w:pPr>
        <w:spacing w:after="0" w:line="7" w:lineRule="exact"/>
        <w:rPr>
          <w:sz w:val="20"/>
          <w:szCs w:val="20"/>
          <w:color w:val="auto"/>
        </w:rPr>
      </w:pPr>
    </w:p>
    <w:p>
      <w:pPr>
        <w:ind w:left="700"/>
        <w:spacing w:after="0"/>
        <w:tabs>
          <w:tab w:leader="none" w:pos="6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"Notice of Conversion/Continuation" means a notice in substantially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Exhibit B.</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"Obligations" means all advances, debts, liabilities, obligations,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covenants and duties arising under any Loan Document owing by the Company to any Bank, the Agent, or any Indemnified Person, whether direct or indirect (including those acquired by assignment), absolute or contingent, due or to become due, now existing or hereafter arising.</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"Offshore Rate" means, for any Interest Period, with respect to Offshore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Rate Loans comprising part of the same Borrowing, the rate of interest per annum (rounded upward to the next 1/16th of 1%) determined by the Agent as follows:</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Offshore Rate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LIBOR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1.00 - Eurodollar Reserve Percentage</w:t>
      </w:r>
    </w:p>
    <w:p>
      <w:pPr>
        <w:spacing w:after="0" w:line="173" w:lineRule="exact"/>
        <w:rPr>
          <w:sz w:val="20"/>
          <w:szCs w:val="20"/>
          <w:color w:val="auto"/>
        </w:rPr>
      </w:pPr>
    </w:p>
    <w:p>
      <w:pPr>
        <w:sectPr>
          <w:pgSz w:w="11900" w:h="16838" w:orient="portrait"/>
          <w:cols w:equalWidth="0" w:num="2">
            <w:col w:w="1980" w:space="180"/>
            <w:col w:w="8079"/>
          </w:cols>
          <w:pgMar w:left="220" w:top="616" w:right="1440" w:bottom="1440" w:gutter="0" w:footer="0" w:header="0"/>
          <w:type w:val="continuous"/>
        </w:sectPr>
      </w:pPr>
    </w:p>
    <w:p>
      <w:pPr>
        <w:ind w:left="620"/>
        <w:spacing w:after="0"/>
        <w:rPr>
          <w:sz w:val="20"/>
          <w:szCs w:val="20"/>
          <w:color w:val="auto"/>
        </w:rPr>
      </w:pPr>
      <w:r>
        <w:rPr>
          <w:rFonts w:ascii="Courier New" w:cs="Courier New" w:eastAsia="Courier New" w:hAnsi="Courier New"/>
          <w:sz w:val="13"/>
          <w:szCs w:val="13"/>
          <w:color w:val="auto"/>
        </w:rPr>
        <w:t>Where,</w:t>
      </w:r>
    </w:p>
    <w:p>
      <w:pPr>
        <w:sectPr>
          <w:pgSz w:w="11900" w:h="16838" w:orient="portrait"/>
          <w:cols w:equalWidth="0" w:num="1">
            <w:col w:w="10239"/>
          </w:cols>
          <w:pgMar w:left="220" w:top="616" w:right="1440" w:bottom="1440" w:gutter="0" w:footer="0" w:header="0"/>
          <w:type w:val="continuous"/>
        </w:sectPr>
      </w:pPr>
    </w:p>
    <w:p>
      <w:pPr>
        <w:spacing w:after="0" w:line="18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"Eurodollar Reserve Percentage" means for any day in any Interest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right="3339"/>
        <w:spacing w:after="0" w:line="251" w:lineRule="auto"/>
        <w:rPr>
          <w:sz w:val="20"/>
          <w:szCs w:val="20"/>
          <w:color w:val="auto"/>
        </w:rPr>
      </w:pPr>
      <w:r>
        <w:rPr>
          <w:rFonts w:ascii="Courier New" w:cs="Courier New" w:eastAsia="Courier New" w:hAnsi="Courier New"/>
          <w:sz w:val="14"/>
          <w:szCs w:val="14"/>
          <w:color w:val="auto"/>
        </w:rPr>
        <w:t>Period the maximum reserve percentage (expressed as a decimal, rounded upward to the next 1/100th of 1%) in effect on such day (whether or not applicable to any Bank) under regulations issued from time to time by the FRB for determining the maximum reserve requirement (including any emergency, supplemental or other marginal reserve requirement) with respect to Eurocurrency funding (currently referred to as "Eurocurrency liabilities"); and</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"LIBOR" means, for any Interest Period, the rate of interest per annum</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right="3339"/>
        <w:spacing w:after="0" w:line="251" w:lineRule="auto"/>
        <w:rPr>
          <w:sz w:val="20"/>
          <w:szCs w:val="20"/>
          <w:color w:val="auto"/>
        </w:rPr>
      </w:pPr>
      <w:r>
        <w:rPr>
          <w:rFonts w:ascii="Courier New" w:cs="Courier New" w:eastAsia="Courier New" w:hAnsi="Courier New"/>
          <w:sz w:val="14"/>
          <w:szCs w:val="14"/>
          <w:color w:val="auto"/>
        </w:rPr>
        <w:t>determined by the Agent to be the arithmetic mean (rounded upward to the next 1/16th of 1%) equal to the rates of interest per annum notified to the Agent by BofA as the rate of interest at which dollar deposits in the approximate amount of the amount of the Loan to be made or continued as, or converted into, an Offshore Rate Loan by BofA and having a maturity comparable to such Interest Period would be offered to major banks in the London interbank market at their request at approximately 11:00 a.m. (London time)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31" w:name="page32"/>
    <w:bookmarkEnd w:id="31"/>
    <w:p>
      <w:pPr>
        <w:ind w:left="620"/>
        <w:spacing w:after="0"/>
        <w:rPr>
          <w:sz w:val="20"/>
          <w:szCs w:val="20"/>
          <w:color w:val="auto"/>
        </w:rPr>
      </w:pPr>
      <w:r>
        <w:rPr>
          <w:rFonts w:ascii="Courier New" w:cs="Courier New" w:eastAsia="Courier New" w:hAnsi="Courier New"/>
          <w:sz w:val="14"/>
          <w:szCs w:val="14"/>
          <w:color w:val="auto"/>
        </w:rPr>
        <w:t>two Business Days prior to the commencement of such Interest Period.</w:t>
      </w:r>
    </w:p>
    <w:p>
      <w:pPr>
        <w:spacing w:after="0" w:line="173" w:lineRule="exact"/>
        <w:rPr>
          <w:sz w:val="20"/>
          <w:szCs w:val="20"/>
          <w:color w:val="auto"/>
        </w:rPr>
      </w:pPr>
    </w:p>
    <w:p>
      <w:pPr>
        <w:ind w:left="620" w:right="3339" w:firstLine="258"/>
        <w:spacing w:after="0" w:line="252" w:lineRule="auto"/>
        <w:rPr>
          <w:sz w:val="20"/>
          <w:szCs w:val="20"/>
          <w:color w:val="auto"/>
        </w:rPr>
      </w:pPr>
      <w:r>
        <w:rPr>
          <w:rFonts w:ascii="Courier New" w:cs="Courier New" w:eastAsia="Courier New" w:hAnsi="Courier New"/>
          <w:sz w:val="14"/>
          <w:szCs w:val="14"/>
          <w:color w:val="auto"/>
        </w:rPr>
        <w:t>The Offshore Rate shall be adjusted automatically as to all Offshore Rate Loans then outstanding as of the effective date of any change in the Eurodollar Reserve Percentage.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"Offshore Rate Loan" means a Loan that bears interest based on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Offshore Rate.</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"Organization Documents" means, for any corporation, the certificate 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articles of incorporation, the bylaws, any certificate of determination or instrument relating to the rights of preferred shareholders of such corporation, any shareholder rights agreement, and all applicable resolutions of the board of directors (or any committee thereof) of such corporation.</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"Other Taxes" means any present or future stamp, court or documentary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taxes or any other excise or property taxes, charges or similar levies imposed by any Governmental Authority which arise from any payment made hereunder by the Company or from the execution, delivery, performance, enforcement or registration of, or otherwise with respect to, this Agreement or any other Loan Documents.</w:t>
      </w:r>
    </w:p>
    <w:p>
      <w:pPr>
        <w:spacing w:after="0" w:line="32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"Pari Passu Debt Amount" means, as of any date of determination, an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amount equal to the sum of (a) outstanding Senior Unsecured Debt permitted pursuant to Section 7.06(k), plus (b) outstanding Indebtedness permitted pursuant to Section 7.06(h), as of such date.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"Participant" has the meaning specified in Section 10.08(d).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"PBGC" means the Pension Benefit Guaranty Corporation, or 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Authority succeeding to any of its principal functions under ERISA.</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"Pension Plan" means a pension plan (as defined in Section 3(2) of ERISA)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subject to Title IV of ERISA which the Company sponsors, maintains, or to which it makes, is making, or is obligated to make contributions, or in the case of a multiple employer plan (as described in Section 4064(a) of ERISA) has made contributions at any time during the immediately preceding five (5) plan years.</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"Permitted Liens" has the meaning specified in Section 7.01.</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"Permitted Sale-Leaseback Transaction" means a transaction pursuant to</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the Company or any of the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32" w:name="page33"/>
    <w:bookmarkEnd w:id="32"/>
    <w:p>
      <w:pPr>
        <w:ind w:right="3419"/>
        <w:spacing w:after="0" w:line="252" w:lineRule="auto"/>
        <w:rPr>
          <w:sz w:val="20"/>
          <w:szCs w:val="20"/>
          <w:color w:val="auto"/>
        </w:rPr>
      </w:pPr>
      <w:r>
        <w:rPr>
          <w:rFonts w:ascii="Courier New" w:cs="Courier New" w:eastAsia="Courier New" w:hAnsi="Courier New"/>
          <w:sz w:val="14"/>
          <w:szCs w:val="14"/>
          <w:color w:val="auto"/>
        </w:rPr>
        <w:t>Semiconductor Operations Subsidiaries purchases equipment and, within 12 months thereafter, sells such equipment to, and leases back such equipment from, a third-party pursuant to an operating or capital lease.</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"Permitted Subordinated Debt" means any Indebtedness of the Company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under a written instrument which, unless otherwise consented to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Majority Banks prior to the issuance thereof:</w:t>
      </w:r>
    </w:p>
    <w:p>
      <w:pPr>
        <w:spacing w:after="0" w:line="173" w:lineRule="exact"/>
        <w:rPr>
          <w:sz w:val="20"/>
          <w:szCs w:val="20"/>
          <w:color w:val="auto"/>
        </w:rPr>
      </w:pPr>
    </w:p>
    <w:p>
      <w:pPr>
        <w:ind w:left="620" w:right="3339" w:firstLine="680"/>
        <w:spacing w:after="0" w:line="250" w:lineRule="auto"/>
        <w:tabs>
          <w:tab w:leader="none" w:pos="165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giving effect to the first clause of Section 1501 of the Subordinated Note Indenture providing for modifications in a supplemental indenture or pursuant to Section 301, contains subordination provisions at least as favorable to the Banks as those contained in Article Fifteen of the Subordinated Note Indenture as set forth in Exhibit G;</w:t>
      </w:r>
    </w:p>
    <w:p>
      <w:pPr>
        <w:spacing w:after="0" w:line="2"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20" w:right="3419" w:firstLine="680"/>
        <w:spacing w:after="0" w:line="252" w:lineRule="auto"/>
        <w:tabs>
          <w:tab w:leader="none" w:pos="17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provides that the stated maturity date of such subordinated Indebtedness shall be at least one year after the Revolving Termination Date in effect on the date of its issuance;</w:t>
      </w:r>
    </w:p>
    <w:p>
      <w:pPr>
        <w:spacing w:after="0" w:line="162" w:lineRule="exact"/>
        <w:rPr>
          <w:rFonts w:ascii="Courier New" w:cs="Courier New" w:eastAsia="Courier New" w:hAnsi="Courier New"/>
          <w:sz w:val="14"/>
          <w:szCs w:val="14"/>
          <w:color w:val="auto"/>
        </w:rPr>
      </w:pPr>
    </w:p>
    <w:p>
      <w:pPr>
        <w:ind w:left="620" w:right="3939" w:firstLine="680"/>
        <w:spacing w:after="0" w:line="250" w:lineRule="auto"/>
        <w:tabs>
          <w:tab w:leader="none" w:pos="1826"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requires no mandatory or scheduled amortization, prepayments, redemptions, repurchases, defeasances or sinking fund</w:t>
      </w:r>
    </w:p>
    <w:p>
      <w:pPr>
        <w:spacing w:after="0" w:line="1" w:lineRule="exact"/>
        <w:rPr>
          <w:sz w:val="20"/>
          <w:szCs w:val="20"/>
          <w:color w:val="auto"/>
        </w:rPr>
      </w:pPr>
    </w:p>
    <w:p>
      <w:pPr>
        <w:ind w:left="620" w:right="3339"/>
        <w:spacing w:after="0" w:line="250" w:lineRule="auto"/>
        <w:rPr>
          <w:sz w:val="20"/>
          <w:szCs w:val="20"/>
          <w:color w:val="auto"/>
        </w:rPr>
      </w:pPr>
      <w:r>
        <w:rPr>
          <w:rFonts w:ascii="Courier New" w:cs="Courier New" w:eastAsia="Courier New" w:hAnsi="Courier New"/>
          <w:sz w:val="14"/>
          <w:szCs w:val="14"/>
          <w:color w:val="auto"/>
        </w:rPr>
        <w:t>payments prior to one year after the Revolving Termination Date in effect on the date of its issuance except for mandatory redemptions and</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620" w:right="3339"/>
        <w:spacing w:after="0" w:line="251" w:lineRule="auto"/>
        <w:rPr>
          <w:sz w:val="20"/>
          <w:szCs w:val="20"/>
          <w:color w:val="auto"/>
        </w:rPr>
      </w:pPr>
      <w:r>
        <w:rPr>
          <w:rFonts w:ascii="Courier New" w:cs="Courier New" w:eastAsia="Courier New" w:hAnsi="Courier New"/>
          <w:sz w:val="14"/>
          <w:szCs w:val="14"/>
          <w:color w:val="auto"/>
        </w:rPr>
        <w:t>purchases upon the occurrence of certain changes in control or fundamental changes with respect to the Company which are approved by the Majority Banks prior to the issuance of such subordinated Indebtedness, which mandatory redemptions and purchases shall be subject to the subordination provisions set forth in this definition;</w:t>
      </w:r>
    </w:p>
    <w:p>
      <w:pPr>
        <w:spacing w:after="0" w:line="165" w:lineRule="exact"/>
        <w:rPr>
          <w:sz w:val="20"/>
          <w:szCs w:val="20"/>
          <w:color w:val="auto"/>
        </w:rPr>
      </w:pPr>
    </w:p>
    <w:p>
      <w:pPr>
        <w:jc w:val="both"/>
        <w:ind w:left="620" w:right="3519" w:firstLine="680"/>
        <w:spacing w:after="0" w:line="250" w:lineRule="auto"/>
        <w:tabs>
          <w:tab w:leader="none" w:pos="17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no representations, warranties or covenants other than those set forth in Articles Eight and Ten of the Subordinated Note Indenture as set forth in Exhibit G other than those which are not</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right="3519"/>
        <w:spacing w:after="0" w:line="252" w:lineRule="auto"/>
        <w:rPr>
          <w:sz w:val="20"/>
          <w:szCs w:val="20"/>
          <w:color w:val="auto"/>
        </w:rPr>
      </w:pPr>
      <w:r>
        <w:rPr>
          <w:rFonts w:ascii="Courier New" w:cs="Courier New" w:eastAsia="Courier New" w:hAnsi="Courier New"/>
          <w:sz w:val="14"/>
          <w:szCs w:val="14"/>
          <w:color w:val="auto"/>
        </w:rPr>
        <w:t>otherwise inconsistent with the other clauses of this definition or are not more restrictive on the Company than, or are in addition to, the representations, warranties or covenants concerning the operation or condition of the Company contained in the Agreement;</w:t>
      </w:r>
    </w:p>
    <w:p>
      <w:pPr>
        <w:spacing w:after="0" w:line="162" w:lineRule="exact"/>
        <w:rPr>
          <w:sz w:val="20"/>
          <w:szCs w:val="20"/>
          <w:color w:val="auto"/>
        </w:rPr>
      </w:pPr>
    </w:p>
    <w:p>
      <w:pPr>
        <w:ind w:left="620" w:right="3519" w:firstLine="680"/>
        <w:spacing w:after="0" w:line="250" w:lineRule="auto"/>
        <w:tabs>
          <w:tab w:leader="none" w:pos="1654"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no events of default other than those set forth in Section 501(1)-(6) of the Subordinated Note Indenture as set forth in Exhibit G other than a cross-acceleration clause substantially in the</w:t>
      </w:r>
    </w:p>
    <w:p>
      <w:pPr>
        <w:spacing w:after="0" w:line="1"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form set forth in the Disclosure Letter;</w:t>
      </w:r>
    </w:p>
    <w:p>
      <w:pPr>
        <w:spacing w:after="0" w:line="172" w:lineRule="exact"/>
        <w:rPr>
          <w:rFonts w:ascii="Courier New" w:cs="Courier New" w:eastAsia="Courier New" w:hAnsi="Courier New"/>
          <w:sz w:val="14"/>
          <w:szCs w:val="14"/>
          <w:color w:val="auto"/>
        </w:rPr>
      </w:pPr>
    </w:p>
    <w:p>
      <w:pPr>
        <w:ind w:left="1740" w:hanging="440"/>
        <w:spacing w:after="0"/>
        <w:tabs>
          <w:tab w:leader="none" w:pos="17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no modifications, additions or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33" w:name="page34"/>
    <w:bookmarkEnd w:id="33"/>
    <w:p>
      <w:pPr>
        <w:ind w:left="620"/>
        <w:spacing w:after="0"/>
        <w:rPr>
          <w:sz w:val="20"/>
          <w:szCs w:val="20"/>
          <w:color w:val="auto"/>
        </w:rPr>
      </w:pPr>
      <w:r>
        <w:rPr>
          <w:rFonts w:ascii="Courier New" w:cs="Courier New" w:eastAsia="Courier New" w:hAnsi="Courier New"/>
          <w:sz w:val="14"/>
          <w:szCs w:val="14"/>
          <w:color w:val="auto"/>
        </w:rPr>
        <w:t>deletions to the Subordinated Note Indenture as set forth in Exhibit G</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right="3339"/>
        <w:spacing w:after="0" w:line="251" w:lineRule="auto"/>
        <w:rPr>
          <w:sz w:val="20"/>
          <w:szCs w:val="20"/>
          <w:color w:val="auto"/>
        </w:rPr>
      </w:pPr>
      <w:r>
        <w:rPr>
          <w:rFonts w:ascii="Courier New" w:cs="Courier New" w:eastAsia="Courier New" w:hAnsi="Courier New"/>
          <w:sz w:val="14"/>
          <w:szCs w:val="14"/>
          <w:color w:val="auto"/>
        </w:rPr>
        <w:t>(made pursuant to a supplemental indenture, pursuant to Section 301 or 901 of the Subordinated Note Indenture or otherwise) unless the Majority Banks have determined that such modifications, additions or deletions are not otherwise inconsistent with the other clauses of this definition or adverse to the interests of the Banks from the standpoint of senior lenders;</w:t>
      </w:r>
    </w:p>
    <w:p>
      <w:pPr>
        <w:spacing w:after="0" w:line="164" w:lineRule="exact"/>
        <w:rPr>
          <w:sz w:val="20"/>
          <w:szCs w:val="20"/>
          <w:color w:val="auto"/>
        </w:rPr>
      </w:pPr>
    </w:p>
    <w:p>
      <w:pPr>
        <w:ind w:left="620" w:right="3339" w:firstLine="680"/>
        <w:spacing w:after="0" w:line="252" w:lineRule="auto"/>
        <w:tabs>
          <w:tab w:leader="none" w:pos="191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unsecured except for Liens granted in favor of the trustee for such Permitted Subordinated Debt as described in the Disclosure Letter to secure fees and other amounts owing to such trustee;</w:t>
      </w:r>
    </w:p>
    <w:p>
      <w:pPr>
        <w:spacing w:after="0" w:line="162" w:lineRule="exact"/>
        <w:rPr>
          <w:rFonts w:ascii="Courier New" w:cs="Courier New" w:eastAsia="Courier New" w:hAnsi="Courier New"/>
          <w:sz w:val="14"/>
          <w:szCs w:val="14"/>
          <w:color w:val="auto"/>
        </w:rPr>
      </w:pPr>
    </w:p>
    <w:p>
      <w:pPr>
        <w:ind w:left="620" w:right="3599" w:firstLine="680"/>
        <w:spacing w:after="0" w:line="252" w:lineRule="auto"/>
        <w:tabs>
          <w:tab w:leader="none" w:pos="191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contains conversion features, including the type of security or property into which such subordinated Indebtedness may be converted, consented to by the Majority Banks prior to the issuance of such subordinated Indebtedness; and</w:t>
      </w:r>
    </w:p>
    <w:p>
      <w:pPr>
        <w:spacing w:after="0" w:line="162" w:lineRule="exact"/>
        <w:rPr>
          <w:rFonts w:ascii="Courier New" w:cs="Courier New" w:eastAsia="Courier New" w:hAnsi="Courier New"/>
          <w:sz w:val="14"/>
          <w:szCs w:val="14"/>
          <w:color w:val="auto"/>
        </w:rPr>
      </w:pPr>
    </w:p>
    <w:p>
      <w:pPr>
        <w:ind w:left="620" w:right="3419" w:firstLine="680"/>
        <w:spacing w:after="0" w:line="252" w:lineRule="auto"/>
        <w:tabs>
          <w:tab w:leader="none" w:pos="174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and the Majority Banks have determined is in form and substance not otherwise inconsistent with the requirements of this definition.</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"Permitted Swap Obligations" means all obligations (contingent 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otherwise) of the Company or any Semiconductor Operations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 (b) such Swap Contracts do not contain (i) any provision ("walk-away" provision) exonerating the non-defaulting party from its obligation to make payments on outstanding transactions to the defaulting party, or (ii) any provision creating or permitting the declaration of an event of default, termination event or similar event upon the occurrence of an Event of Default hereunder (other than an Event of Default under Section 8.01(a)).</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"Person" means an individual, partnership, corporation, limited liability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company, business trust, joint stock company, trust, unincorporated association, joint venture or Governmental Authority.</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"Plan" means an employee benefit plan (as defined in Section 3(3) of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ERISA) which the Company sponsors or maintains or to which the Company makes, is making, or is obligated to</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make contributions and includes any Pension Plan.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"Pro Rata Share" means, as to any Bank at any time, the percentage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equivalent (expressed as a decimal, rounded to the ninth decimal place) at such time of such Bank's Commitment divided by the combined Commitments of all Banks.</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"Reportable Event" means, any of the events set forth in Section 4043(c)</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of ERISA or the regulations thereunder, other than any such event for which the 30-day notice requirement under ERISA has been waived in regulations issued by the PBGC.</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"Requirement of Law" means, as to any Person, any law (statutory or</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common), treaty, rule or regulation or determination of an arbitrator or of a Governmental Authority, in each case applicable to or binding upon the Person or any of its property or to which the Person or any of its property is subject.</w:t>
      </w:r>
    </w:p>
    <w:p>
      <w:pPr>
        <w:spacing w:after="0" w:line="16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"Responsible Officer" means the chief executive officer, president, chief</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financial officer or treasurer of the Company, or any other officer having substantially the same authority and responsibility.</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"Revolving Termination Date" means the earlier to occur of (a) May 28,</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2000, and (b) the date on which the Commitments terminate in accordance with the provisions of this Agreement.</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"SEC" means the Securities and Exchange Commission, or any Governmental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Authority succeeding to any of its principal functions.</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"Semiconductor Operations Subsidiaries" means all Wholly-Owned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Subsidiaries of the Company conducting from time to time semiconductor operations and as specified and described in the notes to the most recent Semiconductor Operations Supplemental Schedules (individually, a "Semiconductor Operations Subsidiary").</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"Semiconductor Operations Supplemental Schedules" means the Supplemental</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Schedules of Net Assets of Semiconductor Operations and Other Operations, the Supplemental Schedules of Semiconductor Operations, the Supplemental Schedules of Cash Flows of Semiconductor Operations and the notes thereto, which are to present fairly, in all material respects, the net assets and operations and cash flows of the Company and its Semiconductor Operations Subsidiaries (on a combined basis) for the periods covered thereby, on the basis specified and described in the notes to such schedules. The items "Investments in other affiliated operations" and "Net assets -other operations, at cost" shall be excluded for all purposes in computing covenant compliance in this Agreement, and all references to the Semiconductor Operations Supplemental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5" w:name="page36"/>
    <w:bookmarkEnd w:id="35"/>
    <w:p>
      <w:pPr>
        <w:ind w:right="4199"/>
        <w:spacing w:after="0" w:line="255" w:lineRule="auto"/>
        <w:rPr>
          <w:sz w:val="20"/>
          <w:szCs w:val="20"/>
          <w:color w:val="auto"/>
        </w:rPr>
      </w:pPr>
      <w:r>
        <w:rPr>
          <w:rFonts w:ascii="Courier New" w:cs="Courier New" w:eastAsia="Courier New" w:hAnsi="Courier New"/>
          <w:sz w:val="14"/>
          <w:szCs w:val="14"/>
          <w:color w:val="auto"/>
        </w:rPr>
        <w:t>Schedules shall be deemed to exclude such items for computing covenant compliance.</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"Senior Unsecured Debt" means Indebtedness of the Company issued under a</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written instrument consented to by the Agent and the Majority Banks containing terms and conditions no more favorable to the lender(s) under such facility as those contained herein, as amended, supplemented or otherwise modified from time to time with the prior written consent of the Agent and the Majority Banks.</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"Subordinated Note Indenture" means that certain Indenture between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Company and Norwest Bank Minnesota, National Association, substantially in the form of Exhibit G, as amended, supplemented or otherwise modified from time to</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time (with the prior written consent of the Majority Banks if such amendment, supplement or other modification would allow for the issuance of Indebtedness not satisfying all the conditions set forth in the definition of "Permitted Subordinated Debt").</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"Subsidiary" of a Person means any corporation, association, partnership,</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limited liability company, joint venture or other business entity of which 50% or more of the voting stock, membership interests or other equity interests (in the case of Persons other than corporations), is owned or controlled directly or indirectly by the Person, or one or more of the Subsidiaries of the Person, or a combination thereof. Unless the context otherwise clearly requires, references herein to a "Subsidiary" refer to a Subsidiary of the Company.</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"Surety Instruments" means all letters of credit (including standby and</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commercial), banker's acceptances, bank guaranties, shipside bonds, surety bonds and similar instruments.</w:t>
      </w:r>
    </w:p>
    <w:p>
      <w:pPr>
        <w:spacing w:after="0" w:line="16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"Swap Contract" means any agreement, whether or not in writing, relating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any transaction that is a rate swap, basis swap, forward rate transaction, commodity swap, commodity option, equity or equity index swap or option, bond, note or bill option, interest rate option, forward foreign exchange transaction, cap, collar or floor transaction, currency swap, cross-currency rate swap, swaption, currency option or any other, similar transaction (including any option to enter into any of the foregoing) or any combination of the foregoing, and, unless the context otherwise clearly requires, any master agreement relating to or governing any or all of the foregoing.</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"Swap Termination Value" means, in respect of any one or more Swap</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Contracts, after taking into account the effect of any legally enforceable netting agreement relating to such Swap Contracts, (a) for any date on or after the date such Swap</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36" w:name="page37"/>
    <w:bookmarkEnd w:id="36"/>
    <w:p>
      <w:pPr>
        <w:ind w:right="3339"/>
        <w:spacing w:after="0" w:line="251" w:lineRule="auto"/>
        <w:rPr>
          <w:sz w:val="20"/>
          <w:szCs w:val="20"/>
          <w:color w:val="auto"/>
        </w:rPr>
      </w:pPr>
      <w:r>
        <w:rPr>
          <w:rFonts w:ascii="Courier New" w:cs="Courier New" w:eastAsia="Courier New" w:hAnsi="Courier New"/>
          <w:sz w:val="14"/>
          <w:szCs w:val="14"/>
          <w:color w:val="auto"/>
        </w:rPr>
        <w:t>Contracts have been closed out and termination value(s) determined in accordance therewith, such termination value(s), and (b) for any date prior to the date referenced in clause (a) the amount(s) determined as the mark-to-market value(s) for such Swap Contracts, as determined by the Company based upon one or more mid-market or other readily available quotations provided by any recognized dealer in such Swap Contracts (which may include any Bank).</w:t>
      </w:r>
    </w:p>
    <w:p>
      <w:pPr>
        <w:spacing w:after="0" w:line="16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"Taxes" means any and all present or future taxes, levies, assessments,</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imposts, duties, deductions, fees, withholdings or similar charges, and all liabilities with respect thereto, excluding, in the case of each Bank and the Agent, respectively, taxes imposed on or measured by its net income by the jurisdiction (or any political subdivision thereof) under the laws of which such Bank or the Agent, as the case may be, is organized or maintains a lending office.</w:t>
      </w:r>
    </w:p>
    <w:p>
      <w:pPr>
        <w:spacing w:after="0" w:line="32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"Type" has the meaning specified in the definition of "Loan."</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"Unfunded Pension Liability" means the excess of a Plan's benefit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liabilities under Section 4001(a)(16) of ERISA, over the current value of that Plan's assets, determined in accordance with the assumptions used for funding the Pension Plan pursuant to Section 412 of the Code for the applicable plan year.</w:t>
      </w:r>
    </w:p>
    <w:p>
      <w:pPr>
        <w:spacing w:after="0" w:line="162"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"United States" and "U.S." each means the United States of America.</w:t>
      </w:r>
    </w:p>
    <w:p>
      <w:pPr>
        <w:spacing w:after="0" w:line="7" w:lineRule="exact"/>
        <w:rPr>
          <w:sz w:val="20"/>
          <w:szCs w:val="20"/>
          <w:color w:val="auto"/>
        </w:rPr>
      </w:pPr>
    </w:p>
    <w:p>
      <w:pPr>
        <w:ind w:left="700"/>
        <w:spacing w:after="0"/>
        <w:tabs>
          <w:tab w:leader="none" w:pos="24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"Wholly-Owned Subsidiary" means any corporation or limited liability</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company in which (other than directors' qualifying shares or local ownership shares required by law) 100% of the capital stock of each class having ordinary voting power, and 100% of the capital stock of every other class, in each case, at the time as of which any determination is being made, is owned, beneficially and of record, by the Company, or by one or more of the other Wholly-Owned Subsidiaries, or both.</w:t>
      </w:r>
    </w:p>
    <w:p>
      <w:pPr>
        <w:spacing w:after="0" w:line="164" w:lineRule="exact"/>
        <w:rPr>
          <w:sz w:val="20"/>
          <w:szCs w:val="20"/>
          <w:color w:val="auto"/>
        </w:rPr>
      </w:pPr>
    </w:p>
    <w:p>
      <w:pPr>
        <w:ind w:left="620"/>
        <w:spacing w:after="0"/>
        <w:tabs>
          <w:tab w:leader="none" w:pos="1280" w:val="left"/>
          <w:tab w:leader="none" w:pos="438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Other Interpretive Provisions. (a)</w:t>
        <w:tab/>
        <w:t>The meanings of defined terms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are equally applicable to the singular and plural forms of the defined terms. The words "hereof", "herein", "hereunder" and similar words refer to this Agreement as a whole and not to any particular provision of this Agreement; and subsection, Section, Schedule and Exhibit references are to this Agreement unless otherwise specified. The term "documents" includes any and all instruments, documents, agreements, certificates, indentures, notices and other writings, however evidenced. The term "including" is not limiting and means "including without limitation." In the computation of periods of time from a specified date to a later specified date, the word "from" means "from and including"; the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37" w:name="page38"/>
    <w:bookmarkEnd w:id="37"/>
    <w:p>
      <w:pPr>
        <w:ind w:right="3599"/>
        <w:spacing w:after="0" w:line="252" w:lineRule="auto"/>
        <w:rPr>
          <w:sz w:val="20"/>
          <w:szCs w:val="20"/>
          <w:color w:val="auto"/>
        </w:rPr>
      </w:pPr>
      <w:r>
        <w:rPr>
          <w:rFonts w:ascii="Courier New" w:cs="Courier New" w:eastAsia="Courier New" w:hAnsi="Courier New"/>
          <w:sz w:val="14"/>
          <w:szCs w:val="14"/>
          <w:color w:val="auto"/>
        </w:rPr>
        <w:t>words "to" and "until" each mean "to but excluding", and the word "through" means "to and including." The captions and headings of this Agreement are for convenience of reference only and shall not affect the interpretation of this Agreement.</w:t>
      </w:r>
    </w:p>
    <w:p>
      <w:pPr>
        <w:spacing w:after="0" w:line="162" w:lineRule="exact"/>
        <w:rPr>
          <w:sz w:val="20"/>
          <w:szCs w:val="20"/>
          <w:color w:val="auto"/>
        </w:rPr>
      </w:pPr>
    </w:p>
    <w:p>
      <w:pPr>
        <w:ind w:right="3339" w:firstLine="870"/>
        <w:spacing w:after="0" w:line="251" w:lineRule="auto"/>
        <w:tabs>
          <w:tab w:leader="none" w:pos="129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expressly provided herein, (i) references to agreements (including this Agreement) and other contractual instruments shall be deemed to include all subsequent amendments and other modifications thereto, but only to the extent such amendments and other modifications are not prohibited by the terms of any Loan Document, and (ii) references to any statute or regulation are to be construed as including all statutory and regulatory provisions consolidating, amending, replacing, supplementing or interpreting the statute or regulation.</w:t>
      </w:r>
    </w:p>
    <w:p>
      <w:pPr>
        <w:spacing w:after="0" w:line="163"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other Loan Documents may use several different limitations, tests or measurements to regulate the same or similar matters. All such limitations, tests and measurements are cumulative and shall each be performed in accordance with their terms. Unless otherwise expressly provided, any reference to any action of the Agent or the Banks by way of consent, approval or waiver shall be deemed modified by the phrase "in its/their sole discretion."</w:t>
      </w:r>
    </w:p>
    <w:p>
      <w:pPr>
        <w:spacing w:after="0" w:line="329"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and the other Loan Documents are the result of negotiations among and have been reviewed by counsel to the Agent, the Company and the Banks, and are the products of all the parties. Accordingly, they shall not be construed against the Agent or the Banks merely because of the Agent's or Banks' involvement in their preparation.</w:t>
      </w:r>
    </w:p>
    <w:p>
      <w:pPr>
        <w:spacing w:after="0" w:line="165"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Accounting Principles. Unless the context otherwise clearly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requires, all accounting terms not expressly defined herein shall be construed, and all financial computations required under this Agreement shall be made, in accordance with GAAP, consistently applied. References herein to "fiscal year" and "fiscal quarter" refer to such fiscal periods of the Company.</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8" w:name="page39"/>
    <w:bookmarkEnd w:id="38"/>
    <w:p>
      <w:pPr>
        <w:ind w:left="1980"/>
        <w:spacing w:after="0"/>
        <w:rPr>
          <w:sz w:val="20"/>
          <w:szCs w:val="20"/>
          <w:color w:val="auto"/>
        </w:rPr>
      </w:pPr>
      <w:r>
        <w:rPr>
          <w:rFonts w:ascii="Courier New" w:cs="Courier New" w:eastAsia="Courier New" w:hAnsi="Courier New"/>
          <w:sz w:val="14"/>
          <w:szCs w:val="14"/>
          <w:color w:val="auto"/>
        </w:rPr>
        <w:t>ARTICLE II - THE REVOLVING CREDIT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tabs>
          <w:tab w:leader="none" w:pos="1280" w:val="left"/>
          <w:tab w:leader="none" w:pos="430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Amounts and Terms of Commitments.</w:t>
        <w:tab/>
        <w:t>Each Bank severally agrees, 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terms and conditions set forth herein, to make loans to the Company from time to time on any Business Day during the period from the Closing Date to the Revolving Termination Date, in an aggregate amount not to exceed at any time outstanding the amount set forth on Schedule 2.01 (such amount, as the same may</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be reduced under Section 2.05 or as a result of one or more assignments under Section 10.08, the Bank's "Commitment"); provided, however, that, after giving</w:t>
      </w:r>
    </w:p>
    <w:p>
      <w:pPr>
        <w:spacing w:after="0" w:line="1" w:lineRule="exact"/>
        <w:rPr>
          <w:sz w:val="20"/>
          <w:szCs w:val="20"/>
          <w:color w:val="auto"/>
        </w:rPr>
      </w:pPr>
    </w:p>
    <w:p>
      <w:pPr>
        <w:ind w:left="2340"/>
        <w:spacing w:after="0"/>
        <w:tabs>
          <w:tab w:leader="none" w:pos="3520" w:val="left"/>
          <w:tab w:leader="none" w:pos="43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effect to any Borrowing, the aggregate principal amount of all outstanding Loans shall not at any time exceed the combined Commitments. Within the limits of each Bank's Commitment, and subject to the other terms and conditions hereof, the Company may borrow under this Section 2.01, prepay under Section 2.06 and reborrow under this Section 2.01.</w:t>
      </w:r>
    </w:p>
    <w:p>
      <w:pPr>
        <w:spacing w:after="0" w:line="165" w:lineRule="exact"/>
        <w:rPr>
          <w:sz w:val="20"/>
          <w:szCs w:val="20"/>
          <w:color w:val="auto"/>
        </w:rPr>
      </w:pPr>
    </w:p>
    <w:p>
      <w:pPr>
        <w:ind w:left="620"/>
        <w:spacing w:after="0"/>
        <w:tabs>
          <w:tab w:leader="none" w:pos="1280" w:val="left"/>
          <w:tab w:leader="none" w:pos="266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Loan Accounts.</w:t>
        <w:tab/>
        <w:t>(a) The Loans made by the Banks shall be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evidenced by one or more accounts or records maintained by the Banks in the ordinary course of business. The accounts or records maintained by the Agent and each Bank shall be conclusive absent manifest error of the amount of the Loans made by the Banks to the Company, and the interest and payments thereon. Any failure so to record or any error in doing so shall not, however, limit or otherwise affect the obligation of the Company hereunder to pay any amount owing with respect to the Loans.</w:t>
      </w:r>
    </w:p>
    <w:p>
      <w:pPr>
        <w:spacing w:after="0" w:line="164" w:lineRule="exact"/>
        <w:rPr>
          <w:sz w:val="20"/>
          <w:szCs w:val="20"/>
          <w:color w:val="auto"/>
        </w:rPr>
      </w:pPr>
    </w:p>
    <w:p>
      <w:pPr>
        <w:ind w:right="3419" w:firstLine="611"/>
        <w:spacing w:after="0" w:line="250" w:lineRule="auto"/>
        <w:tabs>
          <w:tab w:leader="none" w:pos="129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request of any Bank made through the Agent, the Loans made by each Bank shall be evidenced by a Note executed by the Company in favor of such Bank, instead of loan accounts. Each Bank may endorse on schedules annexed to its Note the date, amount and maturity of each Loan made by it and the amount of each payment of principal made by the Company with respect thereto. Each Bank is irrevocably authorized by the Company to endorse its Note and each Bank's record shall be conclusive absent manifest error; provided,</w:t>
      </w:r>
    </w:p>
    <w:p>
      <w:pPr>
        <w:spacing w:after="0" w:line="3"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failure of a Bank to make, or an error in making, a notation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thereon with respect to any Loan shall not limit or otherwise affect the obligations of the Company hereunder or under any such Note to such Bank.</w:t>
      </w:r>
    </w:p>
    <w:p>
      <w:pPr>
        <w:spacing w:after="0" w:line="160" w:lineRule="exact"/>
        <w:rPr>
          <w:sz w:val="20"/>
          <w:szCs w:val="20"/>
          <w:color w:val="auto"/>
        </w:rPr>
      </w:pPr>
    </w:p>
    <w:p>
      <w:pPr>
        <w:ind w:left="620"/>
        <w:spacing w:after="0"/>
        <w:tabs>
          <w:tab w:leader="none" w:pos="1280" w:val="left"/>
          <w:tab w:leader="none" w:pos="3520" w:val="left"/>
          <w:tab w:leader="none" w:pos="3960" w:val="left"/>
        </w:tabs>
        <w:rPr>
          <w:sz w:val="20"/>
          <w:szCs w:val="20"/>
          <w:color w:val="auto"/>
        </w:rPr>
      </w:pP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Procedure for Borrowing.</w:t>
        <w:tab/>
        <w:t>(a)</w:t>
        <w:tab/>
        <w:t>Each Borrowing shall be made upon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irrevocable written notice delivered to the Agent in the form of a Notice of Borrowing, which notice must be received by the Agent prior to (i) in the case of Offshore Rate Loans, 9:00 a.m. (San Francisco time) three Business Days prior to the requested Borrowing Date and (ii) in the case of Base Rate Loans, 8:00 a.m. (San Francisco time) on the requested Borrowing Date, specifying: (A) the amount of the Borrowing, which shall be in an aggregate minimum</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amount of $10,000,000 or any multiple of $5,000,000 in excess thereof; (B) the requested Borrowing Date, which shall be a Business Day; (C) the Type of Loans comprising the Borrowing; and (D) the duration of the Interest Period applicable to such Loans included in such notice (if the Notice of Borrowing fails to specify the duration of the Interest Period for any Borrowing comprised of Offshore Rate Loans, such Interest Period shall be one month). After giving effect to any Borrowing, unless the Agent shall otherwise consent, there may not be more than six different Interest Periods in effect.</w:t>
      </w:r>
    </w:p>
    <w:p>
      <w:pPr>
        <w:spacing w:after="0" w:line="164" w:lineRule="exact"/>
        <w:rPr>
          <w:sz w:val="20"/>
          <w:szCs w:val="20"/>
          <w:color w:val="auto"/>
        </w:rPr>
      </w:pPr>
    </w:p>
    <w:p>
      <w:pPr>
        <w:ind w:right="3339" w:firstLine="611"/>
        <w:spacing w:after="0" w:line="251" w:lineRule="auto"/>
        <w:tabs>
          <w:tab w:leader="none" w:pos="129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will promptly notify each Bank of its receipt of any Notice of Borrowing and of the amount of such Bank's Pro Rata Share of that Borrowing. Each Bank will make the amount of its Pro Rata Share of each Borrowing available to the Agent for the account of the Company at the Agent's Payment Office by 11:00 a.m. (San Francisco time) on the Borrowing Date requested by the Company in funds immediately available to the Agent. The proceeds of all such Loans will then be made available to the Company by the Agent at such office by crediting the account of the Company on the books of BofA (or any successor Agent pursuant to Section 9.09) with the aggregate of the amounts made available to the Agent by the Banks and in like funds as received by the Agent or, if requested by the Company, by wire transfer in accordance with written instructions provided to the Agent by the Company of like funds as received by the Agent.</w:t>
      </w:r>
    </w:p>
    <w:p>
      <w:pPr>
        <w:spacing w:after="0" w:line="329" w:lineRule="exact"/>
        <w:rPr>
          <w:sz w:val="20"/>
          <w:szCs w:val="20"/>
          <w:color w:val="auto"/>
        </w:rPr>
      </w:pPr>
    </w:p>
    <w:p>
      <w:pPr>
        <w:ind w:left="620"/>
        <w:spacing w:after="0"/>
        <w:tabs>
          <w:tab w:leader="none" w:pos="1280" w:val="left"/>
          <w:tab w:leader="none" w:pos="4720" w:val="left"/>
          <w:tab w:leader="none" w:pos="516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Conversion and Continuation Elections.</w:t>
        <w:tab/>
        <w:t>(a)</w:t>
        <w:tab/>
        <w:t>The Company may,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irrevocable written notice to the Agent in accordance with Section 2.04(b):</w:t>
      </w:r>
    </w:p>
    <w:p>
      <w:pPr>
        <w:spacing w:after="0" w:line="7" w:lineRule="exact"/>
        <w:rPr>
          <w:sz w:val="20"/>
          <w:szCs w:val="20"/>
          <w:color w:val="auto"/>
        </w:rPr>
      </w:pPr>
    </w:p>
    <w:p>
      <w:pPr>
        <w:ind w:right="3339" w:firstLine="8"/>
        <w:spacing w:after="0" w:line="250" w:lineRule="auto"/>
        <w:tabs>
          <w:tab w:leader="none" w:pos="344"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 as of any Business Day, in the case of Base Rate Loans, or as of the last day of the applicable Interest Period, in the case of any other Type of Loans, to convert any such Loans (or any part thereof in an amount not less than $10,000,000, or that is in an integral multiple of $5,000,000 in excess thereof) into Loans of any other Type; or (ii) elect, as of the last day of the applicable Interest Period, to continue any Loans having Interest Periods expiring on such day (or any part thereof in an amount not less than $10,000,000, or that is in an integral multiple of $5,000,000 in excess thereof); provided, that if at any time the aggregate amount of Offshore Rate</w:t>
      </w:r>
    </w:p>
    <w:p>
      <w:pPr>
        <w:spacing w:after="0" w:line="3"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Loans in respect of any Borrowing is reduced, by payment, prepayment, or conversion of part thereof to be less than $10,000,000, such Offshore Rate Loans shall automatically convert into Base Rate Loans, and on and after such date the right of the Company to continue such Loans as, and convert such Loans into, Offshore Rate Loans shall terminate.</w:t>
      </w:r>
    </w:p>
    <w:p>
      <w:pPr>
        <w:spacing w:after="0" w:line="164" w:lineRule="exact"/>
        <w:rPr>
          <w:rFonts w:ascii="Courier New" w:cs="Courier New" w:eastAsia="Courier New" w:hAnsi="Courier New"/>
          <w:sz w:val="14"/>
          <w:szCs w:val="14"/>
          <w:color w:val="auto"/>
        </w:rPr>
      </w:pPr>
    </w:p>
    <w:p>
      <w:pPr>
        <w:ind w:right="3339" w:firstLine="611"/>
        <w:spacing w:after="0" w:line="252" w:lineRule="auto"/>
        <w:tabs>
          <w:tab w:leader="none" w:pos="129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deliver a Notice of Conversion/Continuation to be received by the Agent not later than (i) 9:00 a.m. (San Francisco time) at least three Business Days in advance of the Conversion/Continuation Date, if the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Loans are to be converted into or continued as Offshore Rate Loans, and (ii)</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8:00 a.m. (San Francisco time) on the Conversion/Continuation Date, if the Loans are to be converted into Base Rate Loans, specifying: (A) the proposed Conversion/Continuation Date; (B) the aggregate amount of Loans to be converted or continued; (C) the Type of Loans resulting from the proposed conversion or continuation; and (D) other than in the case of conversions into Base Rate Loans, the duration of the requested Interest Period. After giving effect to any conversion or continuation of Loans, unless the Agent shall otherwise consent, there may not be more than six different Interest Periods in effect.</w:t>
      </w:r>
    </w:p>
    <w:p>
      <w:pPr>
        <w:spacing w:after="0" w:line="164" w:lineRule="exact"/>
        <w:rPr>
          <w:sz w:val="20"/>
          <w:szCs w:val="20"/>
          <w:color w:val="auto"/>
        </w:rPr>
      </w:pPr>
    </w:p>
    <w:p>
      <w:pPr>
        <w:ind w:right="3339" w:firstLine="611"/>
        <w:spacing w:after="0" w:line="251" w:lineRule="auto"/>
        <w:tabs>
          <w:tab w:leader="none" w:pos="129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existence of an Event of Default, the Company may not elect to have a Loan converted into or continued as an Offshore Rate Loan. If upon the expiration of any Interest Period applicable to Offshore Rate Loans, the Company has failed to select timely a new Interest Period to be applicable to such Offshore Rate Loans, as the case may be, or if any Event of Default then exists, the Company shall be deemed to have elected to convert such Offshore Rate Loans into Base Rate Loans effective as of the expiration date of such Interest Period.</w:t>
      </w:r>
    </w:p>
    <w:p>
      <w:pPr>
        <w:spacing w:after="0" w:line="329" w:lineRule="exact"/>
        <w:rPr>
          <w:rFonts w:ascii="Courier New" w:cs="Courier New" w:eastAsia="Courier New" w:hAnsi="Courier New"/>
          <w:sz w:val="14"/>
          <w:szCs w:val="14"/>
          <w:color w:val="auto"/>
        </w:rPr>
      </w:pPr>
    </w:p>
    <w:p>
      <w:pPr>
        <w:ind w:right="3419" w:firstLine="611"/>
        <w:spacing w:after="0" w:line="251" w:lineRule="auto"/>
        <w:tabs>
          <w:tab w:leader="none" w:pos="129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Agent will promptly notify each Bank of its receipt of a Notice of Conversion/Continuation, or, if no timely notice is provided by the Company, or if the Agent has received a notice of an Event of Default pursuant to Section 9.05, the Agent will promptly notify each Bank of the details of any automatic conversion. All conversions and continuations shall be made ratably according to the respective outstanding principal amounts of the Loans held by each Bank with respect to which the notice was given.</w:t>
      </w:r>
    </w:p>
    <w:p>
      <w:pPr>
        <w:spacing w:after="0" w:line="164" w:lineRule="exact"/>
        <w:rPr>
          <w:sz w:val="20"/>
          <w:szCs w:val="20"/>
          <w:color w:val="auto"/>
        </w:rPr>
      </w:pPr>
    </w:p>
    <w:p>
      <w:pPr>
        <w:ind w:left="620"/>
        <w:spacing w:after="0"/>
        <w:tabs>
          <w:tab w:leader="none" w:pos="1280" w:val="left"/>
          <w:tab w:leader="none" w:pos="5760" w:val="left"/>
        </w:tabs>
        <w:rPr>
          <w:sz w:val="20"/>
          <w:szCs w:val="20"/>
          <w:color w:val="auto"/>
        </w:rPr>
      </w:pP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Voluntary Termination or Reduction of Commitments.</w:t>
        <w:tab/>
        <w:t>Subject to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Section 3.04, the Company may, upon not less than three Business Days' prior notice to the Agent by 9:00 a.m. (San Francisco time), terminate the Commitments, or permanently reduce the Commitments by an aggregate minimum amount of $10,000,000, or any multiple of $5,000,000 in excess thereof; unless,</w:t>
      </w:r>
    </w:p>
    <w:p>
      <w:pPr>
        <w:spacing w:after="0" w:line="2"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after giving effect thereto and to any prepayments of Loans made on the effective date thereof, the then-outstanding principal amount of the Loans would exceed the amount of the combined Commitments then in effect. Once reduced in accordance with this Section, the Commitments may not be increased. Any reduction of the Commitments shall be applied to each Bank according to its Pro Rata Share. All accrued commitment fees to, but not including the effective date of any termination of Commitments, shall be paid on the effective date of such termination.</w:t>
      </w:r>
    </w:p>
    <w:p>
      <w:pPr>
        <w:spacing w:after="0" w:line="164"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Optional Prepayments. Subject to Section 3.04, the Company may,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any time or from time to time, upon (a) in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the case of Offshore Rate Loans, irrevocable notice to the Agent given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 a.m. (San Francisco time) not less than three Business Days and (b)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case of Base Rate Loans, irrevocable notice to the Agent given prior to 8:00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 (San Francisco time) on the date of prepayment, ratably prepay Loans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whole or in part, in minimum amounts of $10,000,000, or any multiple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in excess thereof. Such notice of prepayment shall specify the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amount of such prepayment and the Type(s) of Loans to be prepaid. The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promptly notify each Bank of its receipt of any such notice, and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Bank's Pro Rata Share of such prepayment. If such notice is given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the Company shall make such prepayment and the payment amount specified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such notice shall be due and payable on the date specified therein, together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accrued interest to each such date on the amount prepaid and any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pursuant to Section 3.04.</w:t>
      </w:r>
    </w:p>
    <w:p>
      <w:pPr>
        <w:spacing w:after="0" w:line="173" w:lineRule="exact"/>
        <w:rPr>
          <w:sz w:val="20"/>
          <w:szCs w:val="20"/>
          <w:color w:val="auto"/>
        </w:rPr>
      </w:pPr>
    </w:p>
    <w:p>
      <w:pPr>
        <w:ind w:left="620"/>
        <w:spacing w:after="0"/>
        <w:tabs>
          <w:tab w:leader="none" w:pos="1280" w:val="left"/>
          <w:tab w:leader="none" w:pos="2320" w:val="left"/>
        </w:tabs>
        <w:rPr>
          <w:sz w:val="20"/>
          <w:szCs w:val="20"/>
          <w:color w:val="auto"/>
        </w:rPr>
      </w:pPr>
      <w:r>
        <w:rPr>
          <w:rFonts w:ascii="Courier New" w:cs="Courier New" w:eastAsia="Courier New" w:hAnsi="Courier New"/>
          <w:sz w:val="14"/>
          <w:szCs w:val="14"/>
          <w:color w:val="auto"/>
        </w:rPr>
        <w:t>2.07</w:t>
      </w:r>
      <w:r>
        <w:rPr>
          <w:sz w:val="20"/>
          <w:szCs w:val="20"/>
          <w:color w:val="auto"/>
        </w:rPr>
        <w:tab/>
      </w:r>
      <w:r>
        <w:rPr>
          <w:rFonts w:ascii="Courier New" w:cs="Courier New" w:eastAsia="Courier New" w:hAnsi="Courier New"/>
          <w:sz w:val="14"/>
          <w:szCs w:val="14"/>
          <w:color w:val="auto"/>
        </w:rPr>
        <w:t>Repayment.</w:t>
        <w:tab/>
        <w:t>The Company shall repay to the Banks on the Revolving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Termination Date the aggregate principal amount of Loans outstanding on such date.</w:t>
      </w:r>
    </w:p>
    <w:p>
      <w:pPr>
        <w:spacing w:after="0" w:line="160" w:lineRule="exact"/>
        <w:rPr>
          <w:sz w:val="20"/>
          <w:szCs w:val="20"/>
          <w:color w:val="auto"/>
        </w:rPr>
      </w:pPr>
    </w:p>
    <w:p>
      <w:pPr>
        <w:ind w:left="620"/>
        <w:spacing w:after="0"/>
        <w:tabs>
          <w:tab w:leader="none" w:pos="1280" w:val="left"/>
          <w:tab w:leader="none" w:pos="2220" w:val="left"/>
          <w:tab w:leader="none" w:pos="2660" w:val="left"/>
        </w:tabs>
        <w:rPr>
          <w:sz w:val="20"/>
          <w:szCs w:val="20"/>
          <w:color w:val="auto"/>
        </w:rPr>
      </w:pPr>
      <w:r>
        <w:rPr>
          <w:rFonts w:ascii="Courier New" w:cs="Courier New" w:eastAsia="Courier New" w:hAnsi="Courier New"/>
          <w:sz w:val="14"/>
          <w:szCs w:val="14"/>
          <w:color w:val="auto"/>
        </w:rPr>
        <w:t>2.08</w:t>
      </w:r>
      <w:r>
        <w:rPr>
          <w:sz w:val="20"/>
          <w:szCs w:val="20"/>
          <w:color w:val="auto"/>
        </w:rPr>
        <w:tab/>
      </w:r>
      <w:r>
        <w:rPr>
          <w:rFonts w:ascii="Courier New" w:cs="Courier New" w:eastAsia="Courier New" w:hAnsi="Courier New"/>
          <w:sz w:val="14"/>
          <w:szCs w:val="14"/>
          <w:color w:val="auto"/>
        </w:rPr>
        <w:t>Interest.</w:t>
        <w:tab/>
        <w:t>(a)</w:t>
        <w:tab/>
        <w:t>Each Loan shall bear interest on the outstanding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principal amount thereof from the applicable Borrowing Date at a rate per annum equal to the Offshore Rate or the Base Rate, as the case may be (and subject to the Company's right to convert to other Types of Loans under Section 2.04), plus</w:t>
      </w:r>
    </w:p>
    <w:p>
      <w:pPr>
        <w:spacing w:after="0" w:line="1"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Applicable Margin.</w:t>
      </w:r>
    </w:p>
    <w:p>
      <w:pPr>
        <w:spacing w:after="0" w:line="173" w:lineRule="exact"/>
        <w:rPr>
          <w:sz w:val="20"/>
          <w:szCs w:val="20"/>
          <w:color w:val="auto"/>
        </w:rPr>
      </w:pPr>
    </w:p>
    <w:p>
      <w:pPr>
        <w:ind w:right="3419" w:firstLine="611"/>
        <w:spacing w:after="0" w:line="251" w:lineRule="auto"/>
        <w:tabs>
          <w:tab w:leader="none" w:pos="129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each Loan shall be paid in arrears on each Interest Payment Date. Interest shall also be paid on the date of any prepayment of Loans under Section 2.06 for the portion of the Loans so prepaid and upon payment (including prepayment) in full thereof and, during the existence of any Event of Default, interest shall be paid on demand of the Agent at the request or with the consent of the Majority Banks.</w:t>
      </w:r>
    </w:p>
    <w:p>
      <w:pPr>
        <w:spacing w:after="0" w:line="164" w:lineRule="exact"/>
        <w:rPr>
          <w:rFonts w:ascii="Courier New" w:cs="Courier New" w:eastAsia="Courier New" w:hAnsi="Courier New"/>
          <w:sz w:val="14"/>
          <w:szCs w:val="14"/>
          <w:color w:val="auto"/>
        </w:rPr>
      </w:pPr>
    </w:p>
    <w:p>
      <w:pPr>
        <w:ind w:right="3419" w:firstLine="611"/>
        <w:spacing w:after="0" w:line="251" w:lineRule="auto"/>
        <w:tabs>
          <w:tab w:leader="none" w:pos="129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subsection (a) of this Section, if any amount of principal of or interest on any Loan, or any other amount payable hereunder or under any other Loan Document is not paid in full when due (whether at stated maturity, by acceleration, demand or otherwise), the Company agrees to pay interest on such unpaid principal or other amount, from the date such amount becomes due until the date such amount is paid in full, and after as well as before any entry of judgment thereon to the extent permitted by law, payable on demand, at a fluctuating rate per annum equal to the Base Rate plus 2%.</w:t>
      </w:r>
    </w:p>
    <w:p>
      <w:pPr>
        <w:spacing w:after="0" w:line="163" w:lineRule="exact"/>
        <w:rPr>
          <w:rFonts w:ascii="Courier New" w:cs="Courier New" w:eastAsia="Courier New" w:hAnsi="Courier New"/>
          <w:sz w:val="14"/>
          <w:szCs w:val="14"/>
          <w:color w:val="auto"/>
        </w:rPr>
      </w:pPr>
    </w:p>
    <w:p>
      <w:pPr>
        <w:ind w:right="3419" w:firstLine="611"/>
        <w:spacing w:after="0" w:line="251" w:lineRule="auto"/>
        <w:tabs>
          <w:tab w:leader="none" w:pos="129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the obligations of the Company to any Bank hereunder shall be subject to the limitation that payments of interest shall not be required for any period for which interest is computed hereunder, to the extent (but only to the extent) that contracting for or receiving such payment by such Bank would be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42" w:name="page43"/>
    <w:bookmarkEnd w:id="42"/>
    <w:p>
      <w:pPr>
        <w:ind w:right="3859"/>
        <w:spacing w:after="0" w:line="252" w:lineRule="auto"/>
        <w:rPr>
          <w:sz w:val="20"/>
          <w:szCs w:val="20"/>
          <w:color w:val="auto"/>
        </w:rPr>
      </w:pPr>
      <w:r>
        <w:rPr>
          <w:rFonts w:ascii="Courier New" w:cs="Courier New" w:eastAsia="Courier New" w:hAnsi="Courier New"/>
          <w:sz w:val="14"/>
          <w:szCs w:val="14"/>
          <w:color w:val="auto"/>
        </w:rPr>
        <w:t>contrary to the provisions of any law applicable to such Bank limiting the highest rate of interest that may be lawfully contracted for, charged or received by such Bank, and in such event the Company shall pay such Bank interest at the highest rate permitted by applicable law.</w:t>
      </w:r>
    </w:p>
    <w:p>
      <w:pPr>
        <w:spacing w:after="0" w:line="162" w:lineRule="exact"/>
        <w:rPr>
          <w:sz w:val="20"/>
          <w:szCs w:val="20"/>
          <w:color w:val="auto"/>
        </w:rPr>
      </w:pPr>
    </w:p>
    <w:p>
      <w:pPr>
        <w:ind w:left="620"/>
        <w:spacing w:after="0"/>
        <w:tabs>
          <w:tab w:leader="none" w:pos="1280" w:val="left"/>
          <w:tab w:leader="none" w:pos="1880" w:val="left"/>
          <w:tab w:leader="none" w:pos="2320" w:val="left"/>
          <w:tab w:leader="none" w:pos="4640" w:val="left"/>
        </w:tabs>
        <w:rPr>
          <w:sz w:val="20"/>
          <w:szCs w:val="20"/>
          <w:color w:val="auto"/>
        </w:rPr>
      </w:pPr>
      <w:r>
        <w:rPr>
          <w:rFonts w:ascii="Courier New" w:cs="Courier New" w:eastAsia="Courier New" w:hAnsi="Courier New"/>
          <w:sz w:val="14"/>
          <w:szCs w:val="14"/>
          <w:color w:val="auto"/>
        </w:rPr>
        <w:t>2.09</w:t>
      </w:r>
      <w:r>
        <w:rPr>
          <w:sz w:val="20"/>
          <w:szCs w:val="20"/>
          <w:color w:val="auto"/>
        </w:rPr>
        <w:tab/>
      </w:r>
      <w:r>
        <w:rPr>
          <w:rFonts w:ascii="Courier New" w:cs="Courier New" w:eastAsia="Courier New" w:hAnsi="Courier New"/>
          <w:sz w:val="14"/>
          <w:szCs w:val="14"/>
          <w:color w:val="auto"/>
        </w:rPr>
        <w:t>Fees.</w:t>
        <w:tab/>
        <w:t>(a)</w:t>
        <w:tab/>
        <w:t>Arrangement, Agency Fees.</w:t>
        <w:tab/>
        <w:t>The Company shall pay an</w:t>
      </w:r>
    </w:p>
    <w:p>
      <w:pPr>
        <w:spacing w:after="0" w:line="7" w:lineRule="exact"/>
        <w:rPr>
          <w:sz w:val="20"/>
          <w:szCs w:val="20"/>
          <w:color w:val="auto"/>
        </w:rPr>
      </w:pPr>
    </w:p>
    <w:p>
      <w:pPr>
        <w:ind w:left="2340" w:hanging="1040"/>
        <w:spacing w:after="0"/>
        <w:tabs>
          <w:tab w:leader="none" w:pos="2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arrangement fee to the Arranger for the Arranger's own account, and shall pay an agency fee to the Agent for the Agent's own account, as required by the letter agreement between the Company and the Arranger and the Agent dated April 10, 1997.</w:t>
      </w:r>
    </w:p>
    <w:p>
      <w:pPr>
        <w:spacing w:after="0" w:line="327" w:lineRule="exact"/>
        <w:rPr>
          <w:sz w:val="20"/>
          <w:szCs w:val="20"/>
          <w:color w:val="auto"/>
        </w:rPr>
      </w:pPr>
    </w:p>
    <w:p>
      <w:pPr>
        <w:ind w:left="1300" w:hanging="689"/>
        <w:spacing w:after="0"/>
        <w:tabs>
          <w:tab w:leader="none" w:pos="13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Fee.  The Company shall pay to the Agent for the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account of each Bank a participation fee, as required by the letter agreement between the Company and the Agent dated April 10, 1997.</w:t>
      </w:r>
    </w:p>
    <w:p>
      <w:pPr>
        <w:spacing w:after="0" w:line="160" w:lineRule="exact"/>
        <w:rPr>
          <w:sz w:val="20"/>
          <w:szCs w:val="20"/>
          <w:color w:val="auto"/>
        </w:rPr>
      </w:pPr>
    </w:p>
    <w:p>
      <w:pPr>
        <w:ind w:left="1300" w:hanging="689"/>
        <w:spacing w:after="0"/>
        <w:tabs>
          <w:tab w:leader="none" w:pos="130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Fees.  The Company shall pay to the Agent for the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account of each Bank a commitment fee on the average daily unused portion of such Bank's Commitment, computed on a quarterly basis in arrears on the last Business Day of each calendar quarter based upon the daily utilization for that quarter as calculated by the Agent, at a rate per annum equal to the Applicable Fee Percentage. Such commitment fee shall accrue from the Closing Date to the Revolving Termination Date and shall be due and payable quarterly in arrears on the last Business Day of each calendar quarter commencing on June 30, 1997 through the Revolving Termination Date, with the final payment to be made on the Revolving Termination Date; provided that, in connection with any termination of</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Commitments under Section 2.05, the accrued commitment fee calculated for the period ending on such date shall also be paid on the date of such termination, with the following quarterly payment being calculated on the basis of the period from such termination date to such quarterly payment date. The commitment fees provided in this subsection shall accrue at all times after the above-mentioned commencement date, including at any time during which one or more conditions in Section 4.02 are not met.</w:t>
      </w:r>
    </w:p>
    <w:p>
      <w:pPr>
        <w:spacing w:after="0" w:line="164" w:lineRule="exact"/>
        <w:rPr>
          <w:sz w:val="20"/>
          <w:szCs w:val="20"/>
          <w:color w:val="auto"/>
        </w:rPr>
      </w:pPr>
    </w:p>
    <w:p>
      <w:pPr>
        <w:ind w:left="620"/>
        <w:spacing w:after="0"/>
        <w:tabs>
          <w:tab w:leader="none" w:pos="1280" w:val="left"/>
          <w:tab w:leader="none" w:pos="430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Computation of Fees and Interest.</w:t>
        <w:tab/>
        <w:t>All computations of interest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Base Rate Loans when the Base Rate is determined by BofA's "reference rate" shall be made on the basis of a year of 365 or 366 days, as the case may be, and actual days elapsed. All other computations of fees and interest shall be made on the basis of a 360-day year and actual days elapsed (which results in more interest being paid than if computed on the basis of a 365-day year). Interest and fees shall accrue during each period during which interest or such fees are computed from the first day thereof to the last day thereof. Each determination of an interest rate by the Agent shall be conclusive and binding on the Company and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Banks in the absence of manifest error.</w:t>
      </w:r>
    </w:p>
    <w:p>
      <w:pPr>
        <w:spacing w:after="0" w:line="173" w:lineRule="exact"/>
        <w:rPr>
          <w:sz w:val="20"/>
          <w:szCs w:val="20"/>
          <w:color w:val="auto"/>
        </w:rPr>
      </w:pPr>
    </w:p>
    <w:p>
      <w:pPr>
        <w:ind w:left="620"/>
        <w:spacing w:after="0"/>
        <w:tabs>
          <w:tab w:leader="none" w:pos="1280" w:val="left"/>
          <w:tab w:leader="none" w:pos="3520" w:val="left"/>
          <w:tab w:leader="none" w:pos="396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Payments by the Company.</w:t>
        <w:tab/>
        <w:t>(a)</w:t>
        <w:tab/>
        <w:t>All payments to be made by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Company shall be made without set-off, recoupment or counterclaim. Except as otherwise expressly provided herein, all payments by the Company shall be made to the Agent for the account of the Banks at the Agent's Payment Office, and shall be made in dollars and in immediately available funds, no later than 10:00 a.m. (San Francisco time) on the date specified herein. The Agent will promptly distribute to each Bank its Pro Rata Share (or other applicable share as expressly provided herein) of such payment in like funds as received. Any payment received by the Agent later than 10:00 a.m. (San Francisco time) shall be deemed to have been received on the following Business Day and any applicable interest or fee shall continue to accrue.</w:t>
      </w:r>
    </w:p>
    <w:p>
      <w:pPr>
        <w:spacing w:after="0" w:line="163" w:lineRule="exact"/>
        <w:rPr>
          <w:sz w:val="20"/>
          <w:szCs w:val="20"/>
          <w:color w:val="auto"/>
        </w:rPr>
      </w:pPr>
    </w:p>
    <w:p>
      <w:pPr>
        <w:ind w:right="3339" w:firstLine="611"/>
        <w:spacing w:after="0" w:line="251" w:lineRule="auto"/>
        <w:tabs>
          <w:tab w:leader="none" w:pos="12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set forth in the definition of "Interest Period" herein, whenever any payment is due on a day other than a Business Day, such payment shall be made on the following Business Day, and such extension of time shall in such case be included in the computation of interest or fees, as the case may be.</w:t>
      </w:r>
    </w:p>
    <w:p>
      <w:pPr>
        <w:spacing w:after="0" w:line="164" w:lineRule="exact"/>
        <w:rPr>
          <w:rFonts w:ascii="Courier New" w:cs="Courier New" w:eastAsia="Courier New" w:hAnsi="Courier New"/>
          <w:sz w:val="14"/>
          <w:szCs w:val="14"/>
          <w:color w:val="auto"/>
        </w:rPr>
      </w:pPr>
    </w:p>
    <w:p>
      <w:pPr>
        <w:ind w:right="3339" w:firstLine="611"/>
        <w:spacing w:after="0" w:line="251" w:lineRule="auto"/>
        <w:tabs>
          <w:tab w:leader="none" w:pos="129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receives notice from the Company prior to the date on which any payment is due to the Banks that the Company will not make such payment in full as and when required, the Agent may assume that the Company has made such payment in full to the Agent on such date in immediately available funds and the Agent may (but shall not be so required), in reliance upon such assumption, distribute to each Bank on such due date an amount equal to the amount then due such Bank. If and to the extent the Company has not made such payment in full to the Agent, each Bank shall repay to the Agent on demand such amount distributed to such Bank, together with interest thereon at the Federal Funds Rate for each day from the date such amount is distributed to such Bank until the date repaid.</w:t>
      </w:r>
    </w:p>
    <w:p>
      <w:pPr>
        <w:spacing w:after="0" w:line="163" w:lineRule="exact"/>
        <w:rPr>
          <w:sz w:val="20"/>
          <w:szCs w:val="20"/>
          <w:color w:val="auto"/>
        </w:rPr>
      </w:pPr>
    </w:p>
    <w:p>
      <w:pPr>
        <w:ind w:left="620"/>
        <w:spacing w:after="0"/>
        <w:tabs>
          <w:tab w:leader="none" w:pos="1280" w:val="left"/>
          <w:tab w:leader="none" w:pos="446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Payments by the Banks to the Agent.</w:t>
        <w:tab/>
        <w:t>Unless the Agent receives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notice from a Bank on or prior to the Closing Date or, with respect to any Borrowing after the Closing Date, at least one Business Day prior to the date of such Borrowing, that such Bank will not make available as and when required hereunder to the Agent for the account of the Company the amount of that Bank's Pro Rata Share of the Borrowing, the Agent may assume that each Bank has made such amount available to the Agent in immediately available funds on the Borrowing Date and the Agent may (but shall not be so required), in reliance upon such assumption, make available to the Company on such date a corresponding amount. If and to the extent any Bank shall not have made its full amount available to the Agent in immediately available funds and the Agent in such</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44" w:name="page45"/>
    <w:bookmarkEnd w:id="44"/>
    <w:p>
      <w:pPr>
        <w:ind w:right="3339"/>
        <w:spacing w:after="0" w:line="250" w:lineRule="auto"/>
        <w:rPr>
          <w:sz w:val="20"/>
          <w:szCs w:val="20"/>
          <w:color w:val="auto"/>
        </w:rPr>
      </w:pPr>
      <w:r>
        <w:rPr>
          <w:rFonts w:ascii="Courier New" w:cs="Courier New" w:eastAsia="Courier New" w:hAnsi="Courier New"/>
          <w:sz w:val="14"/>
          <w:szCs w:val="14"/>
          <w:color w:val="auto"/>
        </w:rPr>
        <w:t>circumstances has made available to the Company such amount, that Bank shall on the Business Day following such Borrowing Date make such amount available to the Agent, together with interest at the Federal Funds Rate for each day during such period. A notice of the Agent submitted to any Bank with respect to amounts owing under this Section shall be conclusive, absent manifest error. If such amount is so made available, such payment to the Agent shall constitute such Bank's Loan on the date of Borrowing for all purposes of this Agreement. If such amount is not made available to the Agent on the Business Day following the Borrowing Date, the Agent will notify the Company of such failure to fund and, upon demand by the Agent, the Company shall pay such amount to the Agent for the Agent's account, together with interest thereon for each day elapsed since the date of such Borrowing, at a rate per annum equal to the interest rate applicable at the time to the Loans comprising such Borrowing. The failure of any Bank to make any Loan on any Borrowing Date shall not relieve any other Bank of any obligation hereunder to make a Loan on such Borrowing Date, but no Bank shall be responsible for the failure of any other Bank to make the Loan to be made by such other Bank on any Borrowing Date.</w:t>
      </w:r>
    </w:p>
    <w:p>
      <w:pPr>
        <w:spacing w:after="0" w:line="173" w:lineRule="exact"/>
        <w:rPr>
          <w:sz w:val="20"/>
          <w:szCs w:val="20"/>
          <w:color w:val="auto"/>
        </w:rPr>
      </w:pPr>
    </w:p>
    <w:p>
      <w:pPr>
        <w:ind w:left="620"/>
        <w:spacing w:after="0"/>
        <w:tabs>
          <w:tab w:leader="none" w:pos="1280" w:val="left"/>
          <w:tab w:leader="none" w:pos="360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Sharing of Payments, Etc.</w:t>
        <w:tab/>
        <w:t>If, other than as expressly provided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elsewhere herein, any Bank shall obtain on account of the Loans made by it any payment (whether voluntary, involuntary, through the exercise of any right of set-off, or otherwise), other than pursuant to Article III, in excess of its ratable share (or other share contemplated hereunder), such Bank shall immediately (a) notify the Agent of such fact, and (b) purchase from the other Banks such participations in the Loans made by them as shall be necessary to cause such purchasing Bank to share the excess payment pro rata with each of them; provided, however, that if all or any portion of such excess payment is</w:t>
      </w:r>
    </w:p>
    <w:p>
      <w:pPr>
        <w:spacing w:after="0" w:line="3" w:lineRule="exact"/>
        <w:rPr>
          <w:sz w:val="20"/>
          <w:szCs w:val="20"/>
          <w:color w:val="auto"/>
        </w:rPr>
      </w:pPr>
    </w:p>
    <w:p>
      <w:pPr>
        <w:ind w:left="520"/>
        <w:spacing w:after="0"/>
        <w:tabs>
          <w:tab w:leader="none" w:pos="13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thereafter recovered from the purchasing Bank, such purchase shall to that extent be rescinded and each other Bank shall repay to the purchasing Bank the purchase price paid therefor, together with an amount equal to such paying Bank's ratable share (according to the proportion of (i) the amount of such paying Bank's required repayment to (ii) the total amount so recovered from the purchasing Bank) of any interest or other amount paid or payable by the purchasing Bank in respect of the total amount so recovered. The Company agrees that any Bank so purchasing a participation from another Bank may, to the fullest extent permitted by law, exercise all its rights of payment (including the right of set-off, but subject to Section 10.10) with respect to such participation as fully as if such Bank were the direct creditor of the Company in the amount of such participation. The Agent will keep records (which shall be conclusive and binding in the absence of manifest error) of participations purchased under this Section and will in each case notify the Banks following any such purchases or repayments.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45" w:name="page46"/>
    <w:bookmarkEnd w:id="45"/>
    <w:p>
      <w:pPr>
        <w:ind w:left="620"/>
        <w:spacing w:after="0"/>
        <w:tabs>
          <w:tab w:leader="none" w:pos="1280" w:val="left"/>
          <w:tab w:leader="none" w:pos="438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Optional Extension of Commitments.</w:t>
        <w:tab/>
        <w:t>The Company may request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Banks to extend the Revolving Termination Date for a period of one year by delivering a written request for such extension to the Agent (who shall promptly notify the Banks) at any time after the first anniversary of the Closing Date but on or before the 45th day prior to the Revolving Termination Date. Each Bank shall respond in writing to such extension request by providing written notice of its acceptance or rejection of such request to the Agent within 30 Business Days after it receives such request from the Agent. Any Bank not responding within such period shall be deemed to have rejected such request for extension. Such extension shall require the unanimous consent of the Banks, and if such unanimous consent is obtained, the Revolving Termination Date shall thereupon be so extended by one year after the then current Revolving Termination Date.</w:t>
      </w:r>
    </w:p>
    <w:p>
      <w:pPr>
        <w:spacing w:after="0" w:line="329"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ARTICLE III - TAXES, YIELD PROTECTION AND ILLEGALITY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spacing w:after="0"/>
        <w:tabs>
          <w:tab w:leader="none" w:pos="1280" w:val="left"/>
          <w:tab w:leader="none" w:pos="2320" w:val="left"/>
        </w:tabs>
        <w:rPr>
          <w:sz w:val="20"/>
          <w:szCs w:val="20"/>
          <w:color w:val="auto"/>
        </w:rPr>
      </w:pP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Taxes. (a)</w:t>
        <w:tab/>
        <w:t>Any and all payments by the Company to each Bank 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Agent under this Agreement and any other Loan Document shall be made free and clear of, and without deduction or withholding for, any Taxes. In addition, the Company shall pay all Other Taxes.</w:t>
      </w:r>
    </w:p>
    <w:p>
      <w:pPr>
        <w:spacing w:after="0" w:line="163" w:lineRule="exact"/>
        <w:rPr>
          <w:sz w:val="20"/>
          <w:szCs w:val="20"/>
          <w:color w:val="auto"/>
        </w:rPr>
      </w:pPr>
    </w:p>
    <w:p>
      <w:pPr>
        <w:ind w:right="3339" w:firstLine="611"/>
        <w:spacing w:after="0" w:line="250" w:lineRule="auto"/>
        <w:tabs>
          <w:tab w:leader="none" w:pos="12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be required by law to deduct or withhold any Taxes, Other Taxes or Further Taxes from or in respect of any sum payable hereunder to any Bank or the Agent, then, subject to Section 3.01(e): (i) the sum payable shall be increased as necessary so that, after making all required deductions and withholdings (including deductions and withholdings applicable to additional sums payable under this Section), such Bank or the Agent, as the case may be, receives and retains an amount equal to the sum it would have received and retained had no such deductions or withholdings been made; (ii) the Company shall make such deductions and withholdings; (iii) the Company shall pay the full amount deducted or withheld to the relevant taxing authority or other authority in accordance with applicable law; and (iv) the Company shall also pay to each Bank or the Agent for the account of such Bank, at the time interest is paid, Further Taxes in the amount that the respective Bank specifies as necessary to preserve the after-tax yield the Bank would have received if such Taxes, Other Taxes or Further Taxes had not been imposed (but only if such Taxes, Other Taxes or Further Taxes are imposed because the Company has made any payment to the Agent or any Bank hereunder or under any other Loan Document from a Person or entity outside of the United States to a Person or entity inside of the United States or from a Person or entity inside of the United States to a Person or entity outside of the United</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States).</w:t>
      </w:r>
    </w:p>
    <w:p>
      <w:pPr>
        <w:spacing w:after="0" w:line="173" w:lineRule="exact"/>
        <w:rPr>
          <w:sz w:val="20"/>
          <w:szCs w:val="20"/>
          <w:color w:val="auto"/>
        </w:rPr>
      </w:pPr>
    </w:p>
    <w:p>
      <w:pPr>
        <w:ind w:right="3339" w:firstLine="611"/>
        <w:spacing w:after="0" w:line="250" w:lineRule="auto"/>
        <w:tabs>
          <w:tab w:leader="none" w:pos="129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3.01(e), the Company agrees to indemnify and hold harmless each Bank and the Agent for the full amount of (i) Taxes, (ii) Other Taxes, and (iii) Further Taxes referred to in Section 3.01(b) in the amount that the respective Bank specifies as necessary to preserve the after-tax yield the Bank would have received if such Taxes, Other Taxes or Further Taxes had not been imposed (but only if such Taxes, Other Taxes or Further Taxes are imposed because the Company has made any payment to the Agent or any Bank hereunder or under any other Loan Document from a Person or entity outside of the United States to a Person or entity inside of the United States or from a Person or entity inside of the United States to a Person or entity outside of the United States), and any liability (including penalties, interest, additions to tax and expenses; provided, however, that the Company shall not be responsible for any such penalty, interest or expense resulting from the gross negligence or willful misconduct of the Agent or any Bank) arising therefrom or with respect thereto, whether or not such Taxes, Other Taxes or Further Taxes were correctly or legally asserted. Payment under this indemnification shall be made within 30 days after the date the Bank or the Agent makes written demand therefor.</w:t>
      </w:r>
    </w:p>
    <w:p>
      <w:pPr>
        <w:spacing w:after="0" w:line="338" w:lineRule="exact"/>
        <w:rPr>
          <w:rFonts w:ascii="Courier New" w:cs="Courier New" w:eastAsia="Courier New" w:hAnsi="Courier New"/>
          <w:sz w:val="14"/>
          <w:szCs w:val="14"/>
          <w:color w:val="auto"/>
        </w:rPr>
      </w:pPr>
    </w:p>
    <w:p>
      <w:pPr>
        <w:ind w:right="3519" w:firstLine="611"/>
        <w:spacing w:after="0" w:line="252" w:lineRule="auto"/>
        <w:tabs>
          <w:tab w:leader="none" w:pos="129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date of any payment by the Company of Taxes, Other Taxes or Further Taxes, the Company shall furnish to each Bank or the Agent the original or a certified copy of a receipt evidencing payment thereof, or other evidence of payment satisfactory to such Bank or the Agent.</w:t>
      </w:r>
    </w:p>
    <w:p>
      <w:pPr>
        <w:spacing w:after="0" w:line="162" w:lineRule="exact"/>
        <w:rPr>
          <w:rFonts w:ascii="Courier New" w:cs="Courier New" w:eastAsia="Courier New" w:hAnsi="Courier New"/>
          <w:sz w:val="14"/>
          <w:szCs w:val="14"/>
          <w:color w:val="auto"/>
        </w:rPr>
      </w:pPr>
    </w:p>
    <w:p>
      <w:pPr>
        <w:ind w:right="3339" w:firstLine="611"/>
        <w:spacing w:after="0" w:line="252" w:lineRule="auto"/>
        <w:tabs>
          <w:tab w:leader="none" w:pos="1292"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not be required to pay any additional amounts in respect of United States Federal income tax pursuant to Section 3.01(b) or (c) to any Bank for the account of any Lending Office of such Bank:</w:t>
      </w:r>
    </w:p>
    <w:p>
      <w:pPr>
        <w:spacing w:after="0" w:line="162" w:lineRule="exact"/>
        <w:rPr>
          <w:rFonts w:ascii="Courier New" w:cs="Courier New" w:eastAsia="Courier New" w:hAnsi="Courier New"/>
          <w:sz w:val="14"/>
          <w:szCs w:val="14"/>
          <w:color w:val="auto"/>
        </w:rPr>
      </w:pPr>
    </w:p>
    <w:p>
      <w:pPr>
        <w:ind w:left="620" w:right="3419" w:firstLine="250"/>
        <w:spacing w:after="0" w:line="252" w:lineRule="auto"/>
        <w:tabs>
          <w:tab w:leader="none" w:pos="1309"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obligation to pay such additional amounts arose solely as a result of such Bank's failure to comply with its obligations under Section 9.10 in respect of such Lending Office;</w:t>
      </w:r>
    </w:p>
    <w:p>
      <w:pPr>
        <w:spacing w:after="0" w:line="162" w:lineRule="exact"/>
        <w:rPr>
          <w:rFonts w:ascii="Courier New" w:cs="Courier New" w:eastAsia="Courier New" w:hAnsi="Courier New"/>
          <w:sz w:val="14"/>
          <w:szCs w:val="14"/>
          <w:color w:val="auto"/>
        </w:rPr>
      </w:pPr>
    </w:p>
    <w:p>
      <w:pPr>
        <w:ind w:left="620" w:right="3339" w:firstLine="250"/>
        <w:spacing w:after="0" w:line="251" w:lineRule="auto"/>
        <w:tabs>
          <w:tab w:leader="none" w:pos="1309"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Bank shall have delivered to the Company a Form 4224 in respect of such Lending Office pursuant to Section 9.10,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in the official interpretation of such law or regulations by any governmental authority charged with the interpretation or administration thereof (whether or not having the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47" w:name="page48"/>
    <w:bookmarkEnd w:id="47"/>
    <w:p>
      <w:pPr>
        <w:ind w:left="620"/>
        <w:spacing w:after="0"/>
        <w:rPr>
          <w:sz w:val="20"/>
          <w:szCs w:val="20"/>
          <w:color w:val="auto"/>
        </w:rPr>
      </w:pPr>
      <w:r>
        <w:rPr>
          <w:rFonts w:ascii="Courier New" w:cs="Courier New" w:eastAsia="Courier New" w:hAnsi="Courier New"/>
          <w:sz w:val="14"/>
          <w:szCs w:val="14"/>
          <w:color w:val="auto"/>
        </w:rPr>
        <w:t>force of law) after the date of delivery of such Form 4224; or</w:t>
      </w:r>
    </w:p>
    <w:p>
      <w:pPr>
        <w:spacing w:after="0" w:line="173" w:lineRule="exact"/>
        <w:rPr>
          <w:sz w:val="20"/>
          <w:szCs w:val="20"/>
          <w:color w:val="auto"/>
        </w:rPr>
      </w:pPr>
    </w:p>
    <w:p>
      <w:pPr>
        <w:ind w:left="620" w:right="3339" w:firstLine="250"/>
        <w:spacing w:after="0" w:line="251" w:lineRule="auto"/>
        <w:tabs>
          <w:tab w:leader="none" w:pos="1395"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Bank shall have delivered to the Company a Form 1001 in respect of such Lending Office pursuant to Section 9.10, and such Bank shall not at any time be entitled to exemption from deduction or withholding of United States Federal income tax in respect of payments by the Company hereunder for the account of such Lending Office for any reason other than a change in United States law or regulations or any applicable tax treaty or regulations or in the official interpretation of any such law, treaty or regulations by any governmental authority charged with the interpretation or administration thereof (whether or not having the force of law) after the date of delivery of such Form 1001.</w:t>
      </w:r>
    </w:p>
    <w:p>
      <w:pPr>
        <w:spacing w:after="0" w:line="163" w:lineRule="exact"/>
        <w:rPr>
          <w:rFonts w:ascii="Courier New" w:cs="Courier New" w:eastAsia="Courier New" w:hAnsi="Courier New"/>
          <w:sz w:val="14"/>
          <w:szCs w:val="14"/>
          <w:color w:val="auto"/>
        </w:rPr>
      </w:pPr>
    </w:p>
    <w:p>
      <w:pPr>
        <w:ind w:right="3519" w:firstLine="611"/>
        <w:spacing w:after="0" w:line="251" w:lineRule="auto"/>
        <w:tabs>
          <w:tab w:leader="none" w:pos="129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is required to pay any amount to any Bank or the Agent pursuant to Section 3.01(b) or (c), then such Bank shall use reasonable efforts (consistent with legal and regulatory restrictions) to change the jurisdiction of its Lending Office so as to eliminate any such additional payment by the Company which may thereafter accrue, if such change in the sole judgment of such Bank is not otherwise disadvantageous to such Bank.</w:t>
      </w:r>
    </w:p>
    <w:p>
      <w:pPr>
        <w:spacing w:after="0" w:line="164" w:lineRule="exact"/>
        <w:rPr>
          <w:rFonts w:ascii="Courier New" w:cs="Courier New" w:eastAsia="Courier New" w:hAnsi="Courier New"/>
          <w:sz w:val="14"/>
          <w:szCs w:val="14"/>
          <w:color w:val="auto"/>
        </w:rPr>
      </w:pPr>
    </w:p>
    <w:p>
      <w:pPr>
        <w:ind w:right="3339" w:firstLine="611"/>
        <w:spacing w:after="0" w:line="250" w:lineRule="auto"/>
        <w:tabs>
          <w:tab w:leader="none" w:pos="129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Banks and the Agent agrees that it will take all reasonable actions by all usual means to maintain all exemptions, if any, available to it from United States withholding taxes (whether available pursuant to treaty, existing administrative waiver, or otherwise); provided, however,</w:t>
      </w:r>
    </w:p>
    <w:p>
      <w:pPr>
        <w:spacing w:after="0" w:line="2" w:lineRule="exact"/>
        <w:rPr>
          <w:sz w:val="20"/>
          <w:szCs w:val="20"/>
          <w:color w:val="auto"/>
        </w:rPr>
      </w:pPr>
    </w:p>
    <w:p>
      <w:pPr>
        <w:ind w:left="5000"/>
        <w:spacing w:after="0"/>
        <w:tabs>
          <w:tab w:leader="none" w:pos="58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that neither the Agent nor any Bank shall be obligated by reason of this Section 3.01(g) to disclose any information regarding its tax affairs or tax computations, to reorder or alter in any way its general tax or other affairs or tax planning, or to undertake any action that such Person deems to involve the incurrence of any risk of liability or cost to itself or which requires any expenditure of effort which such Person deems unreasonable under the circumstances.</w:t>
      </w:r>
    </w:p>
    <w:p>
      <w:pPr>
        <w:spacing w:after="0" w:line="330" w:lineRule="exact"/>
        <w:rPr>
          <w:sz w:val="20"/>
          <w:szCs w:val="20"/>
          <w:color w:val="auto"/>
        </w:rPr>
      </w:pPr>
    </w:p>
    <w:p>
      <w:pPr>
        <w:ind w:left="620"/>
        <w:spacing w:after="0"/>
        <w:tabs>
          <w:tab w:leader="none" w:pos="1280" w:val="left"/>
          <w:tab w:leader="none" w:pos="2400" w:val="left"/>
        </w:tabs>
        <w:rPr>
          <w:sz w:val="20"/>
          <w:szCs w:val="20"/>
          <w:color w:val="auto"/>
        </w:rPr>
      </w:pPr>
      <w:r>
        <w:rPr>
          <w:rFonts w:ascii="Courier New" w:cs="Courier New" w:eastAsia="Courier New" w:hAnsi="Courier New"/>
          <w:sz w:val="14"/>
          <w:szCs w:val="14"/>
          <w:color w:val="auto"/>
        </w:rPr>
        <w:t>3.02</w:t>
      </w:r>
      <w:r>
        <w:rPr>
          <w:sz w:val="20"/>
          <w:szCs w:val="20"/>
          <w:color w:val="auto"/>
        </w:rPr>
        <w:tab/>
      </w:r>
      <w:r>
        <w:rPr>
          <w:rFonts w:ascii="Courier New" w:cs="Courier New" w:eastAsia="Courier New" w:hAnsi="Courier New"/>
          <w:sz w:val="14"/>
          <w:szCs w:val="14"/>
          <w:color w:val="auto"/>
        </w:rPr>
        <w:t>Illegality.</w:t>
        <w:tab/>
        <w:t>If any Bank determines that the introduction of 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Requirement of Law, or any change in any Requirement of Law, or in the interpretation or administration of any Requirement of Law, has made it unlawful, or that any central bank or other Governmental Authority has asserted that it is unlawful, for any Bank or its applicable Lending Office to make Offshore Rate Loans, then, on notice thereof by such Bank to the Company through the Agent, any obligation of that Bank to make Offshore Rate Loans shall be suspended until such Bank notifies the Agent and the Company that the circumstances giving rise to such determination no longer exist, and (a) if such Bank may lawfully continue to maintain such Offshore Rate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48" w:name="page49"/>
    <w:bookmarkEnd w:id="48"/>
    <w:p>
      <w:pPr>
        <w:ind w:right="3339"/>
        <w:spacing w:after="0" w:line="250" w:lineRule="auto"/>
        <w:rPr>
          <w:sz w:val="20"/>
          <w:szCs w:val="20"/>
          <w:color w:val="auto"/>
        </w:rPr>
      </w:pPr>
      <w:r>
        <w:rPr>
          <w:rFonts w:ascii="Courier New" w:cs="Courier New" w:eastAsia="Courier New" w:hAnsi="Courier New"/>
          <w:sz w:val="14"/>
          <w:szCs w:val="14"/>
          <w:color w:val="auto"/>
        </w:rPr>
        <w:t>Loans to the last day of the Interest Period with respect thereto, the Company shall repay in full such Offshore Rate Loans, together with interest accrued thereon, on the last day of the Interest Period thereof, or (b) if such Bank may not lawfully continue to maintain such Offshore Rate Loans to the last day of - ---</w:t>
      </w:r>
    </w:p>
    <w:p>
      <w:pPr>
        <w:spacing w:after="0" w:line="2"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Interest Period with respect thereto, such Offshore Rate Loans shall automatically be converted into Base Rate Loans and the Company shall pay, within five Business Days of such conversion, all interest accrued on such Offshore Rate Loans prior to such conversion and all amounts required under Section 3.04 in connection with such conversion.</w:t>
      </w:r>
    </w:p>
    <w:p>
      <w:pPr>
        <w:spacing w:after="0" w:line="165" w:lineRule="exact"/>
        <w:rPr>
          <w:sz w:val="20"/>
          <w:szCs w:val="20"/>
          <w:color w:val="auto"/>
        </w:rPr>
      </w:pPr>
    </w:p>
    <w:p>
      <w:pPr>
        <w:ind w:left="620"/>
        <w:spacing w:after="0"/>
        <w:tabs>
          <w:tab w:leader="none" w:pos="1280" w:val="left"/>
          <w:tab w:leader="none" w:pos="4900" w:val="left"/>
          <w:tab w:leader="none" w:pos="5320" w:val="left"/>
        </w:tabs>
        <w:rPr>
          <w:sz w:val="20"/>
          <w:szCs w:val="20"/>
          <w:color w:val="auto"/>
        </w:rPr>
      </w:pPr>
      <w:r>
        <w:rPr>
          <w:rFonts w:ascii="Courier New" w:cs="Courier New" w:eastAsia="Courier New" w:hAnsi="Courier New"/>
          <w:sz w:val="14"/>
          <w:szCs w:val="14"/>
          <w:color w:val="auto"/>
        </w:rPr>
        <w:t>3.03</w:t>
      </w:r>
      <w:r>
        <w:rPr>
          <w:sz w:val="20"/>
          <w:szCs w:val="20"/>
          <w:color w:val="auto"/>
        </w:rPr>
        <w:tab/>
      </w:r>
      <w:r>
        <w:rPr>
          <w:rFonts w:ascii="Courier New" w:cs="Courier New" w:eastAsia="Courier New" w:hAnsi="Courier New"/>
          <w:sz w:val="14"/>
          <w:szCs w:val="14"/>
          <w:color w:val="auto"/>
        </w:rPr>
        <w:t>Increased Costs and Reduction of Return.</w:t>
        <w:tab/>
        <w:t>(a)</w:t>
        <w:tab/>
        <w:t>If any Bank</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determines that, due to either (i) the introduction announced after the date hereof of or any change (other than any change by way of imposition of or increase in reserve requirements included in the calculation of the Offshore Rate or in respect of the assessment rate payable by any Bank to the FDIC for insuring U.S. deposits or a change in the rate of taxation imposed on or measured by a Bank's net income by the jurisdiction (or any political subdivision thereof) under the laws of which such Bank is organized or maintains a lending office) in or in the interpretation of any law or regulation or (ii) the compliance by that Bank with any guideline or request from any central bank or other Governmental Authority announced after the date hereof (whether or not having the force of law), there shall be any increase in the cost to such Bank of agreeing to make or making, funding or maintaining any Offshore Rate Loans, then the Company shall be liable for, and shall from time to time, within 30 days after written notice from such Bank (with a copy of such demand to be sent to the Agent), pay to the Agent for the account of such Bank, additional amounts as are sufficient to compensate such Bank for such increased costs.</w:t>
      </w:r>
    </w:p>
    <w:p>
      <w:pPr>
        <w:spacing w:after="0" w:line="173" w:lineRule="exact"/>
        <w:rPr>
          <w:sz w:val="20"/>
          <w:szCs w:val="20"/>
          <w:color w:val="auto"/>
        </w:rPr>
      </w:pPr>
    </w:p>
    <w:p>
      <w:pPr>
        <w:ind w:right="3339" w:firstLine="611"/>
        <w:spacing w:after="0" w:line="251" w:lineRule="auto"/>
        <w:tabs>
          <w:tab w:leader="none" w:pos="129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shall have determined that (i) the introduction announced after the date hereof of any Capital Adequacy Regulation, (ii) any change announced after the date hereof in any Capital Adequacy Regulation, (iii) any change announced after the date hereof in the interpretation or administration of any Capital Adequacy Regulation by any central bank or other Governmental Authority charged with the interpretation or administration thereof, or (iv) compliance by the Bank (or its Lending Office) or any corporation controlling the Bank with any Capital Adequacy Regulation, affects or would affect the amount of capital required to be maintained by the Bank or any corporation controlling the Bank and (taking into consideration such Bank's or such corporation's policies with respect to capital adequacy and such Bank's desired return on capital) determines that the amount of such capital is increased as a consequence of its Commitment, Loans, credits or obligations under this Agreement, then, upon demand of such Bank to the Company through the Agent, the Company shall pay to</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49" w:name="page50"/>
    <w:bookmarkEnd w:id="49"/>
    <w:p>
      <w:pPr>
        <w:ind w:right="4019"/>
        <w:spacing w:after="0" w:line="255" w:lineRule="auto"/>
        <w:rPr>
          <w:sz w:val="20"/>
          <w:szCs w:val="20"/>
          <w:color w:val="auto"/>
        </w:rPr>
      </w:pPr>
      <w:r>
        <w:rPr>
          <w:rFonts w:ascii="Courier New" w:cs="Courier New" w:eastAsia="Courier New" w:hAnsi="Courier New"/>
          <w:sz w:val="14"/>
          <w:szCs w:val="14"/>
          <w:color w:val="auto"/>
        </w:rPr>
        <w:t>the Bank, from time to time as specified by the Bank, additional amounts sufficient to compensate the Bank for such increase.</w:t>
      </w:r>
    </w:p>
    <w:p>
      <w:pPr>
        <w:spacing w:after="0" w:line="160" w:lineRule="exact"/>
        <w:rPr>
          <w:sz w:val="20"/>
          <w:szCs w:val="20"/>
          <w:color w:val="auto"/>
        </w:rPr>
      </w:pPr>
    </w:p>
    <w:p>
      <w:pPr>
        <w:ind w:left="620"/>
        <w:spacing w:after="0"/>
        <w:tabs>
          <w:tab w:leader="none" w:pos="1280" w:val="left"/>
          <w:tab w:leader="none" w:pos="2740" w:val="left"/>
        </w:tabs>
        <w:rPr>
          <w:sz w:val="20"/>
          <w:szCs w:val="20"/>
          <w:color w:val="auto"/>
        </w:rPr>
      </w:pPr>
      <w:r>
        <w:rPr>
          <w:rFonts w:ascii="Courier New" w:cs="Courier New" w:eastAsia="Courier New" w:hAnsi="Courier New"/>
          <w:sz w:val="14"/>
          <w:szCs w:val="14"/>
          <w:color w:val="auto"/>
        </w:rPr>
        <w:t>3.04</w:t>
      </w:r>
      <w:r>
        <w:rPr>
          <w:sz w:val="20"/>
          <w:szCs w:val="20"/>
          <w:color w:val="auto"/>
        </w:rPr>
        <w:tab/>
      </w:r>
      <w:r>
        <w:rPr>
          <w:rFonts w:ascii="Courier New" w:cs="Courier New" w:eastAsia="Courier New" w:hAnsi="Courier New"/>
          <w:sz w:val="14"/>
          <w:szCs w:val="14"/>
          <w:color w:val="auto"/>
        </w:rPr>
        <w:t>Funding Losses.</w:t>
        <w:tab/>
        <w:t>The Company shall reimburse each Bank and hold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each Bank harmless from any loss or expense which the Bank may sustain or incur as a consequence of: (a) the failure of the Company to make on a timely basis any payment of principal of any Offshore Rate Loan, (b) the failure of the Company to borrow, continue or convert a Loan after the Company has given (or is deemed to have given) a Notice of Borrowing or a Notice of Conversion/ Continuation, (c) the failure of the Company to make any prepayment in accordance with any notice delivered under Section 2.06, (d) the prepayment or other payment (including after acceleration thereof) of an Offshore Rate Loan on a day that is not the last day of the relevant Interest Period, or (e) the automatic conversion under Section 2.04 or Section 3.02 of any Offshore Rate Loan to a Base Rate Loan on a day that is not the last day of the relevant Interest Period; including any such loss or expense arising from the liquidation or reemployment of funds obtained by it to maintain its Offshore Rate Loans or from fees payable to terminate the deposits from which such funds were obtained; provided, however, that any such loss or expense shall not include lost profit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due solely to a failure to receive the Applicable Margin relating to any such Loan for the portion of the applicable Interest Period remaining after the date of such prepayment.</w:t>
      </w:r>
    </w:p>
    <w:p>
      <w:pPr>
        <w:spacing w:after="0" w:line="163" w:lineRule="exact"/>
        <w:rPr>
          <w:sz w:val="20"/>
          <w:szCs w:val="20"/>
          <w:color w:val="auto"/>
        </w:rPr>
      </w:pPr>
    </w:p>
    <w:p>
      <w:pPr>
        <w:ind w:left="620"/>
        <w:spacing w:after="0"/>
        <w:tabs>
          <w:tab w:leader="none" w:pos="1280" w:val="left"/>
          <w:tab w:leader="none" w:pos="3960" w:val="left"/>
        </w:tabs>
        <w:rPr>
          <w:sz w:val="20"/>
          <w:szCs w:val="20"/>
          <w:color w:val="auto"/>
        </w:rPr>
      </w:pPr>
      <w:r>
        <w:rPr>
          <w:rFonts w:ascii="Courier New" w:cs="Courier New" w:eastAsia="Courier New" w:hAnsi="Courier New"/>
          <w:sz w:val="14"/>
          <w:szCs w:val="14"/>
          <w:color w:val="auto"/>
        </w:rPr>
        <w:t>3.05</w:t>
      </w:r>
      <w:r>
        <w:rPr>
          <w:sz w:val="20"/>
          <w:szCs w:val="20"/>
          <w:color w:val="auto"/>
        </w:rPr>
        <w:tab/>
      </w:r>
      <w:r>
        <w:rPr>
          <w:rFonts w:ascii="Courier New" w:cs="Courier New" w:eastAsia="Courier New" w:hAnsi="Courier New"/>
          <w:sz w:val="14"/>
          <w:szCs w:val="14"/>
          <w:color w:val="auto"/>
        </w:rPr>
        <w:t>Inability to Determine Rates.</w:t>
        <w:tab/>
        <w:t>If either the Agent or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Majority Banks determine (a) that for any reason adequate and reasonable means do not exist for determining the Offshore Rate for any requested Interest Period with respect to a proposed Offshore Rate Loan, or (b) that the Offshore Rate applicable pursuant to Section 2.08(a) for any requested Interest Period with respect to a proposed Offshore Rate Loan does not adequately and fairly reflect the cost to the Agent or such Banks of funding such Loan, the Agent will promptly so notify the Company and each Bank. Thereafter, the obligation of the Banks to make or maintain Offshore Rate Loans, as the case may be, hereunder shall be suspended until the Agent upon the instruction of the Majority Banks revokes such notice in writing. Upon receipt of such notice, the Company may revoke any Notice of Borrowing or Notice of Conversion/Continuation then submitted by it. If the Company does not revoke such Notice, the Banks shall make, convert or continue the Loans, as proposed by the Company, in the amount specified in the applicable notice submitted by the Company, but such Loans shall be made, converted or continued, as the case may be, as Base Rate Loans instead of Offshore Rate Loans.</w:t>
      </w:r>
    </w:p>
    <w:p>
      <w:pPr>
        <w:spacing w:after="0" w:line="328" w:lineRule="exact"/>
        <w:rPr>
          <w:sz w:val="20"/>
          <w:szCs w:val="20"/>
          <w:color w:val="auto"/>
        </w:rPr>
      </w:pPr>
    </w:p>
    <w:p>
      <w:pPr>
        <w:ind w:left="620"/>
        <w:spacing w:after="0"/>
        <w:tabs>
          <w:tab w:leader="none" w:pos="1280" w:val="left"/>
          <w:tab w:leader="none" w:pos="3340" w:val="left"/>
        </w:tabs>
        <w:rPr>
          <w:sz w:val="20"/>
          <w:szCs w:val="20"/>
          <w:color w:val="auto"/>
        </w:rPr>
      </w:pP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Certificates of Banks.</w:t>
        <w:tab/>
        <w:t>Any Bank claiming reimbursement 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under this Article III shall</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50" w:name="page51"/>
    <w:bookmarkEnd w:id="50"/>
    <w:p>
      <w:pPr>
        <w:ind w:right="3339"/>
        <w:spacing w:after="0" w:line="250" w:lineRule="auto"/>
        <w:rPr>
          <w:sz w:val="20"/>
          <w:szCs w:val="20"/>
          <w:color w:val="auto"/>
        </w:rPr>
      </w:pPr>
      <w:r>
        <w:rPr>
          <w:rFonts w:ascii="Courier New" w:cs="Courier New" w:eastAsia="Courier New" w:hAnsi="Courier New"/>
          <w:sz w:val="14"/>
          <w:szCs w:val="14"/>
          <w:color w:val="auto"/>
        </w:rPr>
        <w:t>deliver to the Company (with a copy to the Agent) a certificate setting forth in reasonable detail the amount payable to the Bank hereunder and such certificate shall be conclusive and binding on the Company in the absence of manifest error; provided, however, that the Company shall not be liable for any such amount</w:t>
      </w:r>
    </w:p>
    <w:p>
      <w:pPr>
        <w:spacing w:after="0" w:line="2"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attributable to any period prior to the date 180 days prior to the date that an officer at such Bank responsible for the administration of this Agreement knew or reasonably should have known of such claim for reimbursement or compensation.</w:t>
      </w:r>
    </w:p>
    <w:p>
      <w:pPr>
        <w:spacing w:after="0" w:line="163" w:lineRule="exact"/>
        <w:rPr>
          <w:sz w:val="20"/>
          <w:szCs w:val="20"/>
          <w:color w:val="auto"/>
        </w:rPr>
      </w:pPr>
    </w:p>
    <w:p>
      <w:pPr>
        <w:ind w:left="620"/>
        <w:spacing w:after="0"/>
        <w:tabs>
          <w:tab w:leader="none" w:pos="1280" w:val="left"/>
          <w:tab w:leader="none" w:pos="3180" w:val="left"/>
          <w:tab w:leader="none" w:pos="360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Replacement of Bank.</w:t>
        <w:tab/>
        <w:t>(a)</w:t>
        <w:tab/>
        <w:t>In the event that any Bank makes 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demand for payment pursuant to Section 3.01 or 3.03, or any Bank has suspended its funding of Offshore Loans pursuant to Section 3.02 or 3.05, the Company shall have the right, if no Event of Default then exists, to replace such Bank in accordance with this Section 3.07.</w:t>
      </w:r>
    </w:p>
    <w:p>
      <w:pPr>
        <w:spacing w:after="0" w:line="162" w:lineRule="exact"/>
        <w:rPr>
          <w:sz w:val="20"/>
          <w:szCs w:val="20"/>
          <w:color w:val="auto"/>
        </w:rPr>
      </w:pPr>
    </w:p>
    <w:p>
      <w:pPr>
        <w:jc w:val="both"/>
        <w:ind w:right="3519" w:firstLine="611"/>
        <w:spacing w:after="0" w:line="250" w:lineRule="auto"/>
        <w:tabs>
          <w:tab w:leader="none" w:pos="129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determines to replace a Bank pursuant to this Section 3.07, the Company shall have the right to replace such Bank with an entity that is an Eligible Assignee (a "Replacement Bank"); provided that such</w:t>
      </w:r>
    </w:p>
    <w:p>
      <w:pPr>
        <w:spacing w:after="0" w:line="1" w:lineRule="exact"/>
        <w:rPr>
          <w:sz w:val="20"/>
          <w:szCs w:val="20"/>
          <w:color w:val="auto"/>
        </w:rPr>
      </w:pPr>
    </w:p>
    <w:p>
      <w:pPr>
        <w:ind w:left="3460"/>
        <w:spacing w:after="0"/>
        <w:tabs>
          <w:tab w:leader="none" w:pos="5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Replacement Bank: (i) if it is not already a Bank, shall be reasonably acceptable to the Agent, (ii) shall unconditionally agree in writing (with a copy to the Agent) to purchase all of such Bank's rights hereunder and interest in the Loans owing to such Bank and the Note held by such Bank without recourse at the principal amount of such Note plus interest and fees accrued thereon to the date of such purchase on a date therein specified, and (iii) shall, if such Replacement Bank is not already a Bank, execute and deliver to the Agent an Assignment and Acceptance substantially in the form of Exhibit F pursuant to</w:t>
      </w:r>
    </w:p>
    <w:p>
      <w:pPr>
        <w:spacing w:after="0" w:line="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which such Replacement Bank becomes a party hereto with a Commitment equal to that of the Bank being replaced.</w:t>
      </w:r>
    </w:p>
    <w:p>
      <w:pPr>
        <w:spacing w:after="0" w:line="160" w:lineRule="exact"/>
        <w:rPr>
          <w:sz w:val="20"/>
          <w:szCs w:val="20"/>
          <w:color w:val="auto"/>
        </w:rPr>
      </w:pPr>
    </w:p>
    <w:p>
      <w:pPr>
        <w:ind w:left="1300" w:hanging="689"/>
        <w:spacing w:after="0"/>
        <w:tabs>
          <w:tab w:leader="none" w:pos="130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(i) satisfaction of the requirements set forth in Section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3.07(b), (ii) payment to such Bank by the Replacement Bank of the purchase price in immediately available funds, (iii) payment to such Bank by the Company of all requested increased costs or additional amounts accrued to the date of such purchase which the Company is obligated to pay under Article III (including any break funding costs under Section 3.04) and all other amounts owed by the Company to such Bank hereunder (other than the principal of and interest on the Loans of such Bank purchased by the Replacement Bank and interest and fees accrued thereon to the date of purchase), and (iv) payment to the Agent by the Replacement Bank or the Company of a non-refundable processing fee of $3,500, the Replacement Bank shall constitute a "Bank" hereunder with a Commitment as so specified and the Bank being so replaced shall no longer constitute a "Bank" hereunder (and this Agreement shall be deemed to be amended to the extent, but only to the extent, necessary to reflect the addition of the Replacement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Bank) and such Bank shall be relieved of its obligations hereunder.</w:t>
      </w:r>
    </w:p>
    <w:p>
      <w:pPr>
        <w:spacing w:after="0" w:line="173" w:lineRule="exact"/>
        <w:rPr>
          <w:sz w:val="20"/>
          <w:szCs w:val="20"/>
          <w:color w:val="auto"/>
        </w:rPr>
      </w:pPr>
    </w:p>
    <w:p>
      <w:pPr>
        <w:ind w:right="3519" w:firstLine="611"/>
        <w:spacing w:after="0" w:line="251" w:lineRule="auto"/>
        <w:tabs>
          <w:tab w:leader="none" w:pos="129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however, the conditions to replacement set forth in this Section are for any reason not satisfied, or the proposed Replacement Bank for any reason fails to purchase such rights and interest in accordance with the terms hereof, the Company shall continue to be obligated to pay the increased costs or additional amounts due to such Bank pursuant to Section 3.01 or 3.03, as applicable.</w:t>
      </w:r>
    </w:p>
    <w:p>
      <w:pPr>
        <w:spacing w:after="0" w:line="164" w:lineRule="exact"/>
        <w:rPr>
          <w:rFonts w:ascii="Courier New" w:cs="Courier New" w:eastAsia="Courier New" w:hAnsi="Courier New"/>
          <w:sz w:val="14"/>
          <w:szCs w:val="14"/>
          <w:color w:val="auto"/>
        </w:rPr>
      </w:pPr>
    </w:p>
    <w:p>
      <w:pPr>
        <w:ind w:right="3339" w:firstLine="611"/>
        <w:spacing w:after="0" w:line="255" w:lineRule="auto"/>
        <w:tabs>
          <w:tab w:leader="none" w:pos="129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the Agent or any Bank have any obligation to be a Replacement Bank or to assist the Company in finding a Replacement Bank.</w:t>
      </w:r>
    </w:p>
    <w:p>
      <w:pPr>
        <w:spacing w:after="0" w:line="160" w:lineRule="exact"/>
        <w:rPr>
          <w:sz w:val="20"/>
          <w:szCs w:val="20"/>
          <w:color w:val="auto"/>
        </w:rPr>
      </w:pPr>
    </w:p>
    <w:p>
      <w:pPr>
        <w:ind w:left="620"/>
        <w:spacing w:after="0"/>
        <w:tabs>
          <w:tab w:leader="none" w:pos="1280" w:val="left"/>
          <w:tab w:leader="none" w:pos="222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Survival.</w:t>
        <w:tab/>
        <w:t>The agreements and obligations of the Company in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3.01 and 3.03 shall survive the payment of all other Obligations.</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ARTICLE IV - CONDITIONS PRECEDENT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4.01</w:t>
      </w:r>
      <w:r>
        <w:rPr>
          <w:sz w:val="20"/>
          <w:szCs w:val="20"/>
          <w:color w:val="auto"/>
        </w:rPr>
        <w:tab/>
      </w:r>
      <w:r>
        <w:rPr>
          <w:rFonts w:ascii="Courier New" w:cs="Courier New" w:eastAsia="Courier New" w:hAnsi="Courier New"/>
          <w:sz w:val="14"/>
          <w:szCs w:val="14"/>
          <w:color w:val="auto"/>
        </w:rPr>
        <w:t>Conditions to Effectiveness. The effectiveness of this Agreement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is subject to the condition that the Agent shall have received on or before the Closing Date all of the following, in form and substance satisfactory to the Agent and each Bank, and in sufficient copies for each Bank:</w:t>
      </w:r>
    </w:p>
    <w:p>
      <w:pPr>
        <w:spacing w:after="0" w:line="163" w:lineRule="exact"/>
        <w:rPr>
          <w:sz w:val="20"/>
          <w:szCs w:val="20"/>
          <w:color w:val="auto"/>
        </w:rPr>
      </w:pPr>
    </w:p>
    <w:p>
      <w:pPr>
        <w:ind w:left="1300" w:hanging="689"/>
        <w:spacing w:after="0"/>
        <w:tabs>
          <w:tab w:leader="none" w:pos="130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and Notes.  This Agreement and the Notes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by each party thereto;</w:t>
      </w:r>
    </w:p>
    <w:p>
      <w:pPr>
        <w:spacing w:after="0" w:line="173" w:lineRule="exact"/>
        <w:rPr>
          <w:sz w:val="20"/>
          <w:szCs w:val="20"/>
          <w:color w:val="auto"/>
        </w:rPr>
      </w:pPr>
    </w:p>
    <w:p>
      <w:pPr>
        <w:ind w:left="1300" w:hanging="689"/>
        <w:spacing w:after="0"/>
        <w:tabs>
          <w:tab w:leader="none" w:pos="13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Resolutions; Incumbency; Organization Documents.</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620" w:right="3339" w:firstLine="680"/>
        <w:spacing w:after="0" w:line="252" w:lineRule="auto"/>
        <w:tabs>
          <w:tab w:leader="none" w:pos="191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resolutions of the board of directors of the Company authorizing the transactions contemplated hereby, certified as of the Closing Date by the Secretary of the Company;</w:t>
      </w:r>
    </w:p>
    <w:p>
      <w:pPr>
        <w:spacing w:after="0" w:line="162" w:lineRule="exact"/>
        <w:rPr>
          <w:rFonts w:ascii="Courier New" w:cs="Courier New" w:eastAsia="Courier New" w:hAnsi="Courier New"/>
          <w:sz w:val="14"/>
          <w:szCs w:val="14"/>
          <w:color w:val="auto"/>
        </w:rPr>
      </w:pPr>
    </w:p>
    <w:p>
      <w:pPr>
        <w:jc w:val="both"/>
        <w:ind w:left="620" w:right="3519" w:firstLine="680"/>
        <w:spacing w:after="0" w:line="252" w:lineRule="auto"/>
        <w:tabs>
          <w:tab w:leader="none" w:pos="191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of the Company certifying the names and true signatures of the officers of the Company authorized to execute, deliver and perform, as applicable, this Agreement and all other Loan Documents to be delivered by it hereunder; and</w:t>
      </w:r>
    </w:p>
    <w:p>
      <w:pPr>
        <w:spacing w:after="0" w:line="162" w:lineRule="exact"/>
        <w:rPr>
          <w:rFonts w:ascii="Courier New" w:cs="Courier New" w:eastAsia="Courier New" w:hAnsi="Courier New"/>
          <w:sz w:val="14"/>
          <w:szCs w:val="14"/>
          <w:color w:val="auto"/>
        </w:rPr>
      </w:pPr>
    </w:p>
    <w:p>
      <w:pPr>
        <w:ind w:left="620" w:right="3419" w:firstLine="680"/>
        <w:spacing w:after="0" w:line="252" w:lineRule="auto"/>
        <w:tabs>
          <w:tab w:leader="none" w:pos="1912"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or certificate of incorporation and the bylaws of the Company as in effect on the Closing Date, certified by the Secretary of the Company as of the Closing Date;</w:t>
      </w:r>
    </w:p>
    <w:p>
      <w:pPr>
        <w:spacing w:after="0" w:line="162" w:lineRule="exact"/>
        <w:rPr>
          <w:rFonts w:ascii="Courier New" w:cs="Courier New" w:eastAsia="Courier New" w:hAnsi="Courier New"/>
          <w:sz w:val="14"/>
          <w:szCs w:val="14"/>
          <w:color w:val="auto"/>
        </w:rPr>
      </w:pPr>
    </w:p>
    <w:p>
      <w:pPr>
        <w:ind w:left="1300" w:hanging="689"/>
        <w:spacing w:after="0"/>
        <w:tabs>
          <w:tab w:leader="none" w:pos="130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Standing.  Good standing and tax good standing certificate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for the Company from the Secretary of State (or similar, applicable Governmental Authority) of its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52" w:name="page53"/>
    <w:bookmarkEnd w:id="52"/>
    <w:p>
      <w:pPr>
        <w:ind w:right="3859"/>
        <w:spacing w:after="0" w:line="255" w:lineRule="auto"/>
        <w:rPr>
          <w:sz w:val="20"/>
          <w:szCs w:val="20"/>
          <w:color w:val="auto"/>
        </w:rPr>
      </w:pPr>
      <w:r>
        <w:rPr>
          <w:rFonts w:ascii="Courier New" w:cs="Courier New" w:eastAsia="Courier New" w:hAnsi="Courier New"/>
          <w:sz w:val="14"/>
          <w:szCs w:val="14"/>
          <w:color w:val="auto"/>
        </w:rPr>
        <w:t>state of incorporation and each state where the Company is qualified to do business as a foreign corporation as of a recent date;</w:t>
      </w:r>
    </w:p>
    <w:p>
      <w:pPr>
        <w:spacing w:after="0" w:line="160" w:lineRule="exact"/>
        <w:rPr>
          <w:sz w:val="20"/>
          <w:szCs w:val="20"/>
          <w:color w:val="auto"/>
        </w:rPr>
      </w:pPr>
    </w:p>
    <w:p>
      <w:pPr>
        <w:ind w:left="1300" w:hanging="689"/>
        <w:spacing w:after="0"/>
        <w:tabs>
          <w:tab w:leader="none" w:pos="130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Opinions.  An opinion of (i) David A. Channer, Esquire,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Assistant General Counsel to the Company, addressed to the Agent and the Banks, substantially in the form of Exhibit E-1 and (ii) Wilson, Sonsini, Goodrich &amp;</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Rosati, outside counsel to the Company, addressed to the Agent and the Banks, substantially in the form of Exhibit E-2;</w:t>
      </w:r>
    </w:p>
    <w:p>
      <w:pPr>
        <w:spacing w:after="0" w:line="1"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hanging="689"/>
        <w:spacing w:after="0"/>
        <w:tabs>
          <w:tab w:leader="none" w:pos="13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Fees.  Evidence of payment by the Company of all</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accrued and unpaid fees, costs and expenses to the extent then due and payable under the fee letters referred to in Section 2.09 on the Closing Date, together with Attorney Costs of BofA to the extent invoiced prior to or on the Closing Date;</w:t>
      </w:r>
    </w:p>
    <w:p>
      <w:pPr>
        <w:spacing w:after="0" w:line="162" w:lineRule="exact"/>
        <w:rPr>
          <w:sz w:val="20"/>
          <w:szCs w:val="20"/>
          <w:color w:val="auto"/>
        </w:rPr>
      </w:pPr>
    </w:p>
    <w:p>
      <w:pPr>
        <w:ind w:left="1300" w:hanging="689"/>
        <w:spacing w:after="0"/>
        <w:tabs>
          <w:tab w:leader="none" w:pos="130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A certificate signed by a Responsible Officer,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dated as of the Closing Date, stating that: (i) the representations and warranties contained in Article V are true and correct on and as of such date, as though made on and as of such date; (ii) no Default or Event of Default exists; and (iii) there has occurred since February 27, 1997, no event or circumstance that has resulted or could reasonably be expected to result in a Material Adverse Effect, other than the material adverse changes, if any, as may have been disclosed in the written projections dated February 17, 1997 delivered to the Banks prior to the date hereof;</w:t>
      </w:r>
    </w:p>
    <w:p>
      <w:pPr>
        <w:spacing w:after="0" w:line="164" w:lineRule="exact"/>
        <w:rPr>
          <w:sz w:val="20"/>
          <w:szCs w:val="20"/>
          <w:color w:val="auto"/>
        </w:rPr>
      </w:pPr>
    </w:p>
    <w:p>
      <w:pPr>
        <w:ind w:left="1300" w:hanging="689"/>
        <w:spacing w:after="0"/>
        <w:tabs>
          <w:tab w:leader="none" w:pos="130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Letter.  The Disclosure Letter dated as of the Closing</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and</w:t>
      </w:r>
    </w:p>
    <w:p>
      <w:pPr>
        <w:spacing w:after="0" w:line="173" w:lineRule="exact"/>
        <w:rPr>
          <w:sz w:val="20"/>
          <w:szCs w:val="20"/>
          <w:color w:val="auto"/>
        </w:rPr>
      </w:pPr>
    </w:p>
    <w:p>
      <w:pPr>
        <w:ind w:left="1300" w:hanging="689"/>
        <w:spacing w:after="0"/>
        <w:tabs>
          <w:tab w:leader="none" w:pos="13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Documents.  Such other approvals, opinions, documents or</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materials as the Agent or any Bank may request.</w:t>
      </w:r>
    </w:p>
    <w:p>
      <w:pPr>
        <w:spacing w:after="0" w:line="173" w:lineRule="exact"/>
        <w:rPr>
          <w:sz w:val="20"/>
          <w:szCs w:val="20"/>
          <w:color w:val="auto"/>
        </w:rPr>
      </w:pPr>
    </w:p>
    <w:p>
      <w:pPr>
        <w:ind w:left="620"/>
        <w:spacing w:after="0"/>
        <w:tabs>
          <w:tab w:leader="none" w:pos="1280" w:val="left"/>
          <w:tab w:leader="none" w:pos="3960" w:val="left"/>
        </w:tabs>
        <w:rPr>
          <w:sz w:val="20"/>
          <w:szCs w:val="20"/>
          <w:color w:val="auto"/>
        </w:rPr>
      </w:pPr>
      <w:r>
        <w:rPr>
          <w:rFonts w:ascii="Courier New" w:cs="Courier New" w:eastAsia="Courier New" w:hAnsi="Courier New"/>
          <w:sz w:val="14"/>
          <w:szCs w:val="14"/>
          <w:color w:val="auto"/>
        </w:rPr>
        <w:t>4.02</w:t>
      </w:r>
      <w:r>
        <w:rPr>
          <w:sz w:val="20"/>
          <w:szCs w:val="20"/>
          <w:color w:val="auto"/>
        </w:rPr>
        <w:tab/>
      </w:r>
      <w:r>
        <w:rPr>
          <w:rFonts w:ascii="Courier New" w:cs="Courier New" w:eastAsia="Courier New" w:hAnsi="Courier New"/>
          <w:sz w:val="14"/>
          <w:szCs w:val="14"/>
          <w:color w:val="auto"/>
        </w:rPr>
        <w:t>Conditions to All Borrowings.</w:t>
        <w:tab/>
        <w:t>The obligation of each Bank to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make any Loan to be made by it, or to continue or convert any Loan under Section 2.04, is subject to the satisfaction of the following conditions precedent on the relevant Borrowing Date or Conversion/Continuation Date:</w:t>
      </w:r>
    </w:p>
    <w:p>
      <w:pPr>
        <w:spacing w:after="0" w:line="163" w:lineRule="exact"/>
        <w:rPr>
          <w:sz w:val="20"/>
          <w:szCs w:val="20"/>
          <w:color w:val="auto"/>
        </w:rPr>
      </w:pPr>
    </w:p>
    <w:p>
      <w:pPr>
        <w:ind w:left="1300" w:hanging="689"/>
        <w:spacing w:after="0"/>
        <w:tabs>
          <w:tab w:leader="none" w:pos="130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Borrowing or Conversion/Continuation.  The Agent shall</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have received a Notice of Borrowing or a Notice of Conversion/Continuation, as applicable;</w:t>
      </w:r>
    </w:p>
    <w:p>
      <w:pPr>
        <w:spacing w:after="0" w:line="160" w:lineRule="exact"/>
        <w:rPr>
          <w:sz w:val="20"/>
          <w:szCs w:val="20"/>
          <w:color w:val="auto"/>
        </w:rPr>
      </w:pPr>
    </w:p>
    <w:p>
      <w:pPr>
        <w:ind w:left="1300" w:hanging="689"/>
        <w:spacing w:after="0"/>
        <w:tabs>
          <w:tab w:leader="none" w:pos="130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Representations and Warranties.  The</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representations and warranties in Article V (other than the representations and warranties contained in Sections 5.05 and 5.14) shall be true and correct on and as of such Borrowing Date with the same effect as if made on and as of such Borrowing Date (except to the extent such representations and</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53" w:name="page54"/>
    <w:bookmarkEnd w:id="53"/>
    <w:p>
      <w:pPr>
        <w:ind w:right="3419"/>
        <w:spacing w:after="0" w:line="255" w:lineRule="auto"/>
        <w:rPr>
          <w:sz w:val="20"/>
          <w:szCs w:val="20"/>
          <w:color w:val="auto"/>
        </w:rPr>
      </w:pPr>
      <w:r>
        <w:rPr>
          <w:rFonts w:ascii="Courier New" w:cs="Courier New" w:eastAsia="Courier New" w:hAnsi="Courier New"/>
          <w:sz w:val="14"/>
          <w:szCs w:val="14"/>
          <w:color w:val="auto"/>
        </w:rPr>
        <w:t>warranties expressly refer to an earlier date, in which case they shall be true and correct as of such earlier date); and</w:t>
      </w:r>
    </w:p>
    <w:p>
      <w:pPr>
        <w:spacing w:after="0" w:line="160" w:lineRule="exact"/>
        <w:rPr>
          <w:sz w:val="20"/>
          <w:szCs w:val="20"/>
          <w:color w:val="auto"/>
        </w:rPr>
      </w:pPr>
    </w:p>
    <w:p>
      <w:pPr>
        <w:ind w:left="1300" w:hanging="689"/>
        <w:spacing w:after="0"/>
        <w:tabs>
          <w:tab w:leader="none" w:pos="130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Existing Default.  No Default or Event of Default shall exist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shall result from such Borrowing.</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Each Notice of Borrowing submitted by the Company hereunder shall constitute a representation and warranty by the Company hereunder, as of the date of each such notice and as of each Borrowing Date that the conditions in this Section 4.02 are satisfied.</w:t>
      </w:r>
    </w:p>
    <w:p>
      <w:pPr>
        <w:spacing w:after="0" w:line="32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ARTICLE V - REPRESENTATIONS AND WARRANTIES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Company represents and warrants to the Agent and each Bank that:</w:t>
      </w:r>
    </w:p>
    <w:p>
      <w:pPr>
        <w:spacing w:after="0" w:line="173" w:lineRule="exact"/>
        <w:rPr>
          <w:sz w:val="20"/>
          <w:szCs w:val="20"/>
          <w:color w:val="auto"/>
        </w:rPr>
      </w:pPr>
    </w:p>
    <w:p>
      <w:pPr>
        <w:ind w:left="620"/>
        <w:spacing w:after="0"/>
        <w:tabs>
          <w:tab w:leader="none" w:pos="1280" w:val="left"/>
          <w:tab w:leader="none" w:pos="4040" w:val="left"/>
        </w:tabs>
        <w:rPr>
          <w:sz w:val="20"/>
          <w:szCs w:val="20"/>
          <w:color w:val="auto"/>
        </w:rPr>
      </w:pPr>
      <w:r>
        <w:rPr>
          <w:rFonts w:ascii="Courier New" w:cs="Courier New" w:eastAsia="Courier New" w:hAnsi="Courier New"/>
          <w:sz w:val="14"/>
          <w:szCs w:val="14"/>
          <w:color w:val="auto"/>
        </w:rPr>
        <w:t>5.01</w:t>
      </w:r>
      <w:r>
        <w:rPr>
          <w:sz w:val="20"/>
          <w:szCs w:val="20"/>
          <w:color w:val="auto"/>
        </w:rPr>
        <w:tab/>
      </w:r>
      <w:r>
        <w:rPr>
          <w:rFonts w:ascii="Courier New" w:cs="Courier New" w:eastAsia="Courier New" w:hAnsi="Courier New"/>
          <w:sz w:val="14"/>
          <w:szCs w:val="14"/>
          <w:color w:val="auto"/>
        </w:rPr>
        <w:t>Corporate Existence and Power.</w:t>
        <w:tab/>
        <w:t>The Company and each of its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Semiconductor Operations Subsidiaries: (a) is a corporation duly organized, validly existing and in good standing under the laws of the jurisdiction of its incorporation, (b) has the power and authority and all governmental licenses, authorizations, consents and approvals to own its assets and to carry on its business, (c) in the case of the Company, has the power and authority to execute, deliver and perform its obligations under the Loan Documents, (d) is duly qualified as a foreign corporation and is licensed and in good standing under the laws of each jurisdiction where its ownership, lease or operation of property or the conduct of its business requires such qualification or license, and (e) is in compliance in all material respects with all Requirements of Law; except, in each case referred to in subsection (b), (d) or (e), to the extent that failure to do so could not reasonably be expected to have a Material Adverse Effect.</w:t>
      </w:r>
    </w:p>
    <w:p>
      <w:pPr>
        <w:spacing w:after="0" w:line="329" w:lineRule="exact"/>
        <w:rPr>
          <w:sz w:val="20"/>
          <w:szCs w:val="20"/>
          <w:color w:val="auto"/>
        </w:rPr>
      </w:pPr>
    </w:p>
    <w:p>
      <w:pPr>
        <w:ind w:left="620"/>
        <w:spacing w:after="0"/>
        <w:tabs>
          <w:tab w:leader="none" w:pos="1280" w:val="left"/>
          <w:tab w:leader="none" w:pos="5080" w:val="left"/>
        </w:tabs>
        <w:rPr>
          <w:sz w:val="20"/>
          <w:szCs w:val="20"/>
          <w:color w:val="auto"/>
        </w:rPr>
      </w:pPr>
      <w:r>
        <w:rPr>
          <w:rFonts w:ascii="Courier New" w:cs="Courier New" w:eastAsia="Courier New" w:hAnsi="Courier New"/>
          <w:sz w:val="14"/>
          <w:szCs w:val="14"/>
          <w:color w:val="auto"/>
        </w:rPr>
        <w:t>5.02</w:t>
      </w:r>
      <w:r>
        <w:rPr>
          <w:sz w:val="20"/>
          <w:szCs w:val="20"/>
          <w:color w:val="auto"/>
        </w:rPr>
        <w:tab/>
      </w:r>
      <w:r>
        <w:rPr>
          <w:rFonts w:ascii="Courier New" w:cs="Courier New" w:eastAsia="Courier New" w:hAnsi="Courier New"/>
          <w:sz w:val="14"/>
          <w:szCs w:val="14"/>
          <w:color w:val="auto"/>
        </w:rPr>
        <w:t>Corporate Authorization; No Contravention.</w:t>
        <w:tab/>
        <w:t>The execution,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delivery and performance by the Company of this Agreement and each other Loan Document to which the Company is party, have been duly authorized by all necessary corporate action, and do not: (a) contravene the terms of any of the Company's Organization Documents, (b) conflict with or result in any breach or contravention of, or the creation of any Lien under, any document evidencing any material Contractual Obligation to which the Company is a party or any order, injunction, writ or decree of any Governmental Authority to which the Company or its property is subject, or (c) violate any Requirement of Law.</w:t>
      </w:r>
    </w:p>
    <w:p>
      <w:pPr>
        <w:spacing w:after="0" w:line="164" w:lineRule="exact"/>
        <w:rPr>
          <w:sz w:val="20"/>
          <w:szCs w:val="20"/>
          <w:color w:val="auto"/>
        </w:rPr>
      </w:pPr>
    </w:p>
    <w:p>
      <w:pPr>
        <w:ind w:left="620"/>
        <w:spacing w:after="0"/>
        <w:tabs>
          <w:tab w:leader="none" w:pos="1280" w:val="left"/>
          <w:tab w:leader="none" w:pos="3780" w:val="left"/>
        </w:tabs>
        <w:rPr>
          <w:sz w:val="20"/>
          <w:szCs w:val="20"/>
          <w:color w:val="auto"/>
        </w:rPr>
      </w:pPr>
      <w:r>
        <w:rPr>
          <w:rFonts w:ascii="Courier New" w:cs="Courier New" w:eastAsia="Courier New" w:hAnsi="Courier New"/>
          <w:sz w:val="14"/>
          <w:szCs w:val="14"/>
          <w:color w:val="auto"/>
        </w:rPr>
        <w:t>5.03</w:t>
      </w:r>
      <w:r>
        <w:rPr>
          <w:sz w:val="20"/>
          <w:szCs w:val="20"/>
          <w:color w:val="auto"/>
        </w:rPr>
        <w:tab/>
      </w:r>
      <w:r>
        <w:rPr>
          <w:rFonts w:ascii="Courier New" w:cs="Courier New" w:eastAsia="Courier New" w:hAnsi="Courier New"/>
          <w:sz w:val="14"/>
          <w:szCs w:val="14"/>
          <w:color w:val="auto"/>
        </w:rPr>
        <w:t>Governmental Authorization.</w:t>
        <w:tab/>
        <w:t>No approval, license, consent,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exemption, authorization, or other action by, or notice to, or filing with, any Governmental Authority is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54" w:name="page55"/>
    <w:bookmarkEnd w:id="54"/>
    <w:p>
      <w:pPr>
        <w:jc w:val="both"/>
        <w:ind w:right="3419"/>
        <w:spacing w:after="0" w:line="252" w:lineRule="auto"/>
        <w:rPr>
          <w:sz w:val="20"/>
          <w:szCs w:val="20"/>
          <w:color w:val="auto"/>
        </w:rPr>
      </w:pPr>
      <w:r>
        <w:rPr>
          <w:rFonts w:ascii="Courier New" w:cs="Courier New" w:eastAsia="Courier New" w:hAnsi="Courier New"/>
          <w:sz w:val="14"/>
          <w:szCs w:val="14"/>
          <w:color w:val="auto"/>
        </w:rPr>
        <w:t>necessary or required in connection with the execution, delivery or performance by, or enforcement against, the Company or any of its Semiconductor Operations Subsidiaries of the Agreement or any other Loan Document except as required by this Agreement.</w:t>
      </w:r>
    </w:p>
    <w:p>
      <w:pPr>
        <w:spacing w:after="0" w:line="162" w:lineRule="exact"/>
        <w:rPr>
          <w:sz w:val="20"/>
          <w:szCs w:val="20"/>
          <w:color w:val="auto"/>
        </w:rPr>
      </w:pPr>
    </w:p>
    <w:p>
      <w:pPr>
        <w:ind w:left="620"/>
        <w:spacing w:after="0"/>
        <w:tabs>
          <w:tab w:leader="none" w:pos="1280" w:val="left"/>
          <w:tab w:leader="none" w:pos="2740" w:val="left"/>
        </w:tabs>
        <w:rPr>
          <w:sz w:val="20"/>
          <w:szCs w:val="20"/>
          <w:color w:val="auto"/>
        </w:rPr>
      </w:pPr>
      <w:r>
        <w:rPr>
          <w:rFonts w:ascii="Courier New" w:cs="Courier New" w:eastAsia="Courier New" w:hAnsi="Courier New"/>
          <w:sz w:val="14"/>
          <w:szCs w:val="14"/>
          <w:color w:val="auto"/>
        </w:rPr>
        <w:t>5.04</w:t>
      </w:r>
      <w:r>
        <w:rPr>
          <w:sz w:val="20"/>
          <w:szCs w:val="20"/>
          <w:color w:val="auto"/>
        </w:rPr>
        <w:tab/>
      </w:r>
      <w:r>
        <w:rPr>
          <w:rFonts w:ascii="Courier New" w:cs="Courier New" w:eastAsia="Courier New" w:hAnsi="Courier New"/>
          <w:sz w:val="14"/>
          <w:szCs w:val="14"/>
          <w:color w:val="auto"/>
        </w:rPr>
        <w:t>Binding Effect.</w:t>
        <w:tab/>
        <w:t>This Agreement and each other Loan Document to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which the Company is a party constitute the legal, valid and binding obligations of the Company, enforceable against the Company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165" w:lineRule="exact"/>
        <w:rPr>
          <w:sz w:val="20"/>
          <w:szCs w:val="20"/>
          <w:color w:val="auto"/>
        </w:rPr>
      </w:pPr>
    </w:p>
    <w:p>
      <w:pPr>
        <w:ind w:left="620"/>
        <w:spacing w:after="0"/>
        <w:tabs>
          <w:tab w:leader="none" w:pos="1280" w:val="left"/>
          <w:tab w:leader="none" w:pos="2400" w:val="left"/>
        </w:tabs>
        <w:rPr>
          <w:sz w:val="20"/>
          <w:szCs w:val="20"/>
          <w:color w:val="auto"/>
        </w:rPr>
      </w:pPr>
      <w:r>
        <w:rPr>
          <w:rFonts w:ascii="Courier New" w:cs="Courier New" w:eastAsia="Courier New" w:hAnsi="Courier New"/>
          <w:sz w:val="14"/>
          <w:szCs w:val="14"/>
          <w:color w:val="auto"/>
        </w:rPr>
        <w:t>5.05</w:t>
      </w:r>
      <w:r>
        <w:rPr>
          <w:sz w:val="20"/>
          <w:szCs w:val="20"/>
          <w:color w:val="auto"/>
        </w:rPr>
        <w:tab/>
      </w:r>
      <w:r>
        <w:rPr>
          <w:rFonts w:ascii="Courier New" w:cs="Courier New" w:eastAsia="Courier New" w:hAnsi="Courier New"/>
          <w:sz w:val="14"/>
          <w:szCs w:val="14"/>
          <w:color w:val="auto"/>
        </w:rPr>
        <w:t>Litigation.</w:t>
        <w:tab/>
        <w:t>Except as set forth in the Forms 10K for the fiscal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year ended August 29, 1996 and the Forms 10Q for the fiscal quarters ended November 28, 1996 and February 27, 1997, respectively, and in each case as filed or amended and filed with the SEC by the Company, there are no actions, suits, proceedings, claims or disputes pending, or to the best knowledge of the Company, threatened or contemplated, at law, in equity, in arbitration or before any Governmental Authority, against the Company, or any of its Semiconductor Operations Subsidiaries or any of their respective properties which (a) purport to affect or pertain to this Agreement or any other Loan Document, or any of the transactions contemplated hereby or thereby, or (b) could reasonably be expected to have a Material Adverse Effect.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172" w:lineRule="exact"/>
        <w:rPr>
          <w:sz w:val="20"/>
          <w:szCs w:val="20"/>
          <w:color w:val="auto"/>
        </w:rPr>
      </w:pPr>
    </w:p>
    <w:p>
      <w:pPr>
        <w:ind w:left="620"/>
        <w:spacing w:after="0"/>
        <w:tabs>
          <w:tab w:leader="none" w:pos="1280" w:val="left"/>
          <w:tab w:leader="none" w:pos="2400" w:val="left"/>
        </w:tabs>
        <w:rPr>
          <w:sz w:val="20"/>
          <w:szCs w:val="20"/>
          <w:color w:val="auto"/>
        </w:rPr>
      </w:pPr>
      <w:r>
        <w:rPr>
          <w:rFonts w:ascii="Courier New" w:cs="Courier New" w:eastAsia="Courier New" w:hAnsi="Courier New"/>
          <w:sz w:val="14"/>
          <w:szCs w:val="14"/>
          <w:color w:val="auto"/>
        </w:rPr>
        <w:t>5.06</w:t>
      </w:r>
      <w:r>
        <w:rPr>
          <w:sz w:val="20"/>
          <w:szCs w:val="20"/>
          <w:color w:val="auto"/>
        </w:rPr>
        <w:tab/>
      </w:r>
      <w:r>
        <w:rPr>
          <w:rFonts w:ascii="Courier New" w:cs="Courier New" w:eastAsia="Courier New" w:hAnsi="Courier New"/>
          <w:sz w:val="14"/>
          <w:szCs w:val="14"/>
          <w:color w:val="auto"/>
        </w:rPr>
        <w:t>No Default.</w:t>
        <w:tab/>
        <w:t>No Default or Event of Default exists or would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result from the incurring of any Obligations by the Company. As of the Closing Date, neither the Company nor any Semiconductor Operations Subsidiary is in default under or with respect to any Contractual Obligation in any respect which, individually or together with all such defaults, could reasonably be expected to have a Material Adverse Effect, or that would, if such default had occurred after the Closing Date, create an Event of Default under Section 8.01(e).</w:t>
      </w:r>
    </w:p>
    <w:p>
      <w:pPr>
        <w:spacing w:after="0" w:line="330" w:lineRule="exact"/>
        <w:rPr>
          <w:sz w:val="20"/>
          <w:szCs w:val="20"/>
          <w:color w:val="auto"/>
        </w:rPr>
      </w:pPr>
    </w:p>
    <w:p>
      <w:pPr>
        <w:ind w:left="620"/>
        <w:spacing w:after="0"/>
        <w:tabs>
          <w:tab w:leader="none" w:pos="1280" w:val="left"/>
          <w:tab w:leader="none" w:pos="2920" w:val="left"/>
          <w:tab w:leader="none" w:pos="3340" w:val="left"/>
        </w:tabs>
        <w:rPr>
          <w:sz w:val="20"/>
          <w:szCs w:val="20"/>
          <w:color w:val="auto"/>
        </w:rPr>
      </w:pPr>
      <w:r>
        <w:rPr>
          <w:rFonts w:ascii="Courier New" w:cs="Courier New" w:eastAsia="Courier New" w:hAnsi="Courier New"/>
          <w:sz w:val="14"/>
          <w:szCs w:val="14"/>
          <w:color w:val="auto"/>
        </w:rPr>
        <w:t>5.07</w:t>
      </w:r>
      <w:r>
        <w:rPr>
          <w:sz w:val="20"/>
          <w:szCs w:val="20"/>
          <w:color w:val="auto"/>
        </w:rPr>
        <w:tab/>
      </w:r>
      <w:r>
        <w:rPr>
          <w:rFonts w:ascii="Courier New" w:cs="Courier New" w:eastAsia="Courier New" w:hAnsi="Courier New"/>
          <w:sz w:val="14"/>
          <w:szCs w:val="14"/>
          <w:color w:val="auto"/>
        </w:rPr>
        <w:t>ERISA Compliance.</w:t>
        <w:tab/>
        <w:t>(a)</w:t>
        <w:tab/>
        <w:t>Each Plan is in compliance in 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material respects with the applicable provisions of ERISA, the Code and other federal or state law. Each Plan which is intended to qualify under Section 401(a) of the Code has received a favorable determination letter from the IRS and to the best knowledge of the Company, nothing has occurred which would cause the loss of such qualification. The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55" w:name="page56"/>
    <w:bookmarkEnd w:id="55"/>
    <w:p>
      <w:pPr>
        <w:ind w:right="3339"/>
        <w:spacing w:after="0" w:line="252" w:lineRule="auto"/>
        <w:rPr>
          <w:sz w:val="20"/>
          <w:szCs w:val="20"/>
          <w:color w:val="auto"/>
        </w:rPr>
      </w:pPr>
      <w:r>
        <w:rPr>
          <w:rFonts w:ascii="Courier New" w:cs="Courier New" w:eastAsia="Courier New" w:hAnsi="Courier New"/>
          <w:sz w:val="14"/>
          <w:szCs w:val="14"/>
          <w:color w:val="auto"/>
        </w:rPr>
        <w:t>Company and each ERISA Affiliate has made all required contributions to any Plan subject to Section 412 of the Code, and no application for a funding waiver or an extension of any amortization period pursuant to Section 412 of the Code has been made with respect to any Plan.</w:t>
      </w:r>
    </w:p>
    <w:p>
      <w:pPr>
        <w:spacing w:after="0" w:line="162" w:lineRule="exact"/>
        <w:rPr>
          <w:sz w:val="20"/>
          <w:szCs w:val="20"/>
          <w:color w:val="auto"/>
        </w:rPr>
      </w:pPr>
    </w:p>
    <w:p>
      <w:pPr>
        <w:ind w:right="3339" w:firstLine="611"/>
        <w:spacing w:after="0" w:line="251" w:lineRule="auto"/>
        <w:tabs>
          <w:tab w:leader="none" w:pos="129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pending or, to the best knowledge of Company, threatened claims, actions or lawsuits, or action by any Governmental Authority, with respect to any Plan which has resulted or could reasonably be expected to result in a Material Adverse Effect. There has been no prohibited transaction or violation of the fiduciary responsibility rules with respect to any Plan which has resulted or could reasonably be expected to result in a Material Adverse Effect.</w:t>
      </w:r>
    </w:p>
    <w:p>
      <w:pPr>
        <w:spacing w:after="0" w:line="329" w:lineRule="exact"/>
        <w:rPr>
          <w:rFonts w:ascii="Courier New" w:cs="Courier New" w:eastAsia="Courier New" w:hAnsi="Courier New"/>
          <w:sz w:val="14"/>
          <w:szCs w:val="14"/>
          <w:color w:val="auto"/>
        </w:rPr>
      </w:pPr>
    </w:p>
    <w:p>
      <w:pPr>
        <w:ind w:right="3419" w:firstLine="611"/>
        <w:spacing w:after="0" w:line="251" w:lineRule="auto"/>
        <w:tabs>
          <w:tab w:leader="none" w:pos="129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ERISA Event has occurred or is reasonably expected to occur, (ii) no Pension Plan has any Unfunded Pension Liability, (iii) neither the Company nor any ERISA Affiliate has incurred, or reasonably expects to incur, any liability under Title IV of ERISA with respect to any Pension Plan (other than premiums due and not delinquent under Section 4007 of ERISA), (iv) neither the Company nor any ERISA Affiliate has incurred, or reasonably expects to incur, any liability (and no event has occurred which, with the giving of notice under Section 4219 of ERISA, would result in such liability) under Section 4201 or 4243 of ERISA with respect to a Multiemployer Plan, and (v) neither the Company nor any ERISA Affiliate has engaged in a transaction that could be subject to Section 4069 or 4212(c) of ERISA.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5.08</w:t>
            </w:r>
          </w:p>
        </w:tc>
        <w:tc>
          <w:tcPr>
            <w:tcW w:w="44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Use of Proceeds; Margin Regulations.  The proceeds</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w w:val="99"/>
              </w:rPr>
              <w:t>of the Loans</w:t>
            </w:r>
          </w:p>
        </w:tc>
      </w:tr>
      <w:tr>
        <w:trPr>
          <w:trHeight w:val="166"/>
        </w:trPr>
        <w:tc>
          <w:tcPr>
            <w:tcW w:w="1260" w:type="dxa"/>
            <w:vAlign w:val="bottom"/>
          </w:tcPr>
          <w:p>
            <w:pPr>
              <w:spacing w:after="0"/>
              <w:rPr>
                <w:sz w:val="14"/>
                <w:szCs w:val="14"/>
                <w:color w:val="auto"/>
              </w:rPr>
            </w:pP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are to be used</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solely for the purposes set forth in and</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permitted</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by Section</w:t>
            </w:r>
          </w:p>
        </w:tc>
      </w:tr>
      <w:tr>
        <w:trPr>
          <w:trHeight w:val="166"/>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6.12 and Section 7.08.</w:t>
            </w:r>
          </w:p>
        </w:tc>
        <w:tc>
          <w:tcPr>
            <w:tcW w:w="3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Neither the Company nor any Subsidiary is</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generally</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engaged in the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2740" w:type="dxa"/>
            <w:vAlign w:val="bottom"/>
          </w:tcPr>
          <w:p>
            <w:pPr>
              <w:ind w:left="40"/>
              <w:spacing w:after="0"/>
              <w:rPr>
                <w:sz w:val="20"/>
                <w:szCs w:val="20"/>
                <w:color w:val="auto"/>
              </w:rPr>
            </w:pPr>
            <w:r>
              <w:rPr>
                <w:rFonts w:ascii="Courier New" w:cs="Courier New" w:eastAsia="Courier New" w:hAnsi="Courier New"/>
                <w:sz w:val="14"/>
                <w:szCs w:val="14"/>
                <w:color w:val="auto"/>
              </w:rPr>
              <w:t>of purchasing or selling Margin</w:t>
            </w: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Stock or extending</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credit for the</w:t>
            </w: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purpose of purchasing or carrying Margin</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060" w:type="dxa"/>
            <w:vAlign w:val="bottom"/>
          </w:tcPr>
          <w:p>
            <w:pPr>
              <w:spacing w:after="0"/>
              <w:rPr>
                <w:sz w:val="14"/>
                <w:szCs w:val="14"/>
                <w:color w:val="auto"/>
              </w:rPr>
            </w:pPr>
          </w:p>
        </w:tc>
      </w:tr>
      <w:tr>
        <w:trPr>
          <w:trHeight w:val="331"/>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5.09</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Title to</w:t>
            </w:r>
          </w:p>
        </w:tc>
        <w:tc>
          <w:tcPr>
            <w:tcW w:w="46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Properties.  The Company and each Semiconductor</w:t>
            </w:r>
          </w:p>
        </w:tc>
      </w:tr>
      <w:tr>
        <w:trPr>
          <w:trHeight w:val="166"/>
        </w:trPr>
        <w:tc>
          <w:tcPr>
            <w:tcW w:w="1260" w:type="dxa"/>
            <w:vAlign w:val="bottom"/>
          </w:tcPr>
          <w:p>
            <w:pPr>
              <w:spacing w:after="0"/>
              <w:rPr>
                <w:sz w:val="14"/>
                <w:szCs w:val="14"/>
                <w:color w:val="auto"/>
              </w:rPr>
            </w:pPr>
          </w:p>
        </w:tc>
        <w:tc>
          <w:tcPr>
            <w:tcW w:w="3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Operations Subsidiary have good and marketable title to, or valid leasehold interests in, all real property necessary or used in the ordinary conduct of their respective businesses, except for such defects in title as could not, individually or in the aggregate, reasonably be expected to result in a Material Adverse Effect. As of the Closing Date, the property of the Company and the Semiconductor Operations Subsidiaries is subject to no Liens, other than Permitted Liens .</w:t>
      </w:r>
    </w:p>
    <w:p>
      <w:pPr>
        <w:spacing w:after="0" w:line="330" w:lineRule="exact"/>
        <w:rPr>
          <w:sz w:val="20"/>
          <w:szCs w:val="20"/>
          <w:color w:val="auto"/>
        </w:rPr>
      </w:pPr>
    </w:p>
    <w:p>
      <w:pPr>
        <w:ind w:left="620"/>
        <w:spacing w:after="0"/>
        <w:tabs>
          <w:tab w:leader="none" w:pos="1280" w:val="left"/>
          <w:tab w:leader="none" w:pos="196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Taxes.</w:t>
        <w:tab/>
        <w:t>The Company and the Semiconductor Operations Subsidiaries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have filed all Federal and other material tax returns and reports required to be filed, and have paid all Federal and other material taxes, assessments, fees and other governmental charges levied or imposed upon them or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56" w:name="page57"/>
    <w:bookmarkEnd w:id="56"/>
    <w:p>
      <w:pPr>
        <w:ind w:right="3339"/>
        <w:spacing w:after="0" w:line="251" w:lineRule="auto"/>
        <w:rPr>
          <w:sz w:val="20"/>
          <w:szCs w:val="20"/>
          <w:color w:val="auto"/>
        </w:rPr>
      </w:pPr>
      <w:r>
        <w:rPr>
          <w:rFonts w:ascii="Courier New" w:cs="Courier New" w:eastAsia="Courier New" w:hAnsi="Courier New"/>
          <w:sz w:val="14"/>
          <w:szCs w:val="14"/>
          <w:color w:val="auto"/>
        </w:rPr>
        <w:t>their properties, income or assets otherwise due and payable, except those which are being contested in good faith by appropriate proceedings and for which adequate reserves have been provided in accordance with GAAP. There is no final tax assessment against the Company or any Semiconductor Operations Subsidiary that could reasonably be expected to result in a Material Adverse Effect.</w:t>
      </w:r>
    </w:p>
    <w:p>
      <w:pPr>
        <w:spacing w:after="0" w:line="165"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Financial Condition.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611"/>
        <w:spacing w:after="0" w:line="251"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consolidated balance sheet of the Company and its Subsidiaries dated February 27, 1997 and the related consolidated statements of operations and cash flows for the interim periods then ended: (i) were prepared in accordance with GAAP consistently applied throughout the period covered thereby, except as otherwise expressly noted therein, subject to ordinary, good faith year end adjustments, (ii) present fairly in all material respects the consolidated financial condition of the Company and its Subsidiaries as of the date thereof and results of operations for the period covered thereby, and (iii) include or disclose all material indebtedness and other liabilities, direct or contingent, of the Company and its Subsidiaries on a consolidated basis as of the date thereof, including liabilities for taxes, material commitments and material Contingent Obligations.</w:t>
      </w:r>
    </w:p>
    <w:p>
      <w:pPr>
        <w:spacing w:after="0" w:line="162" w:lineRule="exact"/>
        <w:rPr>
          <w:rFonts w:ascii="Courier New" w:cs="Courier New" w:eastAsia="Courier New" w:hAnsi="Courier New"/>
          <w:sz w:val="14"/>
          <w:szCs w:val="14"/>
          <w:color w:val="auto"/>
        </w:rPr>
      </w:pPr>
    </w:p>
    <w:p>
      <w:pPr>
        <w:ind w:right="3339" w:firstLine="611"/>
        <w:spacing w:after="0" w:line="251"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Semiconductor Operations Supplemental Schedules dated February 27, 1997 for the interim periods then ended: (i) include amounts based on estimates of annual amounts and are subject to changes in estimates and ordinary year-end adjustments, (ii) present fairly, in all material respects, the net assets and operations and cash flows of the Company and its Semiconductor Operations Subsidiaries (on a combined basis) for the periods covered thereby, on the basis specified and described in the notes to such schedules, and (iii) were prepared on a basis consistent with the basic consolidated financial statements of the Company and its Subsidiaries except as disclosed in the notes thereto.</w:t>
      </w:r>
    </w:p>
    <w:p>
      <w:pPr>
        <w:spacing w:after="0" w:line="329" w:lineRule="exact"/>
        <w:rPr>
          <w:rFonts w:ascii="Courier New" w:cs="Courier New" w:eastAsia="Courier New" w:hAnsi="Courier New"/>
          <w:sz w:val="14"/>
          <w:szCs w:val="14"/>
          <w:color w:val="auto"/>
        </w:rPr>
      </w:pPr>
    </w:p>
    <w:p>
      <w:pPr>
        <w:ind w:right="3599" w:firstLine="611"/>
        <w:spacing w:after="0" w:line="252" w:lineRule="auto"/>
        <w:tabs>
          <w:tab w:leader="none" w:pos="1292"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Since February 27, 1997, there has been no Material Adverse Effect other than the material adverse changes, if any, as may have been disclosed in the written projections dated February 17, 1997 delivered to the Banks prior to the date hereof.</w:t>
      </w:r>
    </w:p>
    <w:p>
      <w:pPr>
        <w:spacing w:after="0" w:line="162" w:lineRule="exact"/>
        <w:rPr>
          <w:sz w:val="20"/>
          <w:szCs w:val="20"/>
          <w:color w:val="auto"/>
        </w:rPr>
      </w:pPr>
    </w:p>
    <w:p>
      <w:pPr>
        <w:ind w:left="620"/>
        <w:spacing w:after="0"/>
        <w:tabs>
          <w:tab w:leader="none" w:pos="1280" w:val="left"/>
          <w:tab w:leader="none" w:pos="3340" w:val="left"/>
        </w:tabs>
        <w:rPr>
          <w:sz w:val="20"/>
          <w:szCs w:val="20"/>
          <w:color w:val="auto"/>
        </w:rPr>
      </w:pPr>
      <w:r>
        <w:rPr>
          <w:rFonts w:ascii="Courier New" w:cs="Courier New" w:eastAsia="Courier New" w:hAnsi="Courier New"/>
          <w:sz w:val="14"/>
          <w:szCs w:val="14"/>
          <w:color w:val="auto"/>
        </w:rPr>
        <w:t>5.12</w:t>
      </w:r>
      <w:r>
        <w:rPr>
          <w:sz w:val="20"/>
          <w:szCs w:val="20"/>
          <w:color w:val="auto"/>
        </w:rPr>
        <w:tab/>
      </w:r>
      <w:r>
        <w:rPr>
          <w:rFonts w:ascii="Courier New" w:cs="Courier New" w:eastAsia="Courier New" w:hAnsi="Courier New"/>
          <w:sz w:val="14"/>
          <w:szCs w:val="14"/>
          <w:color w:val="auto"/>
        </w:rPr>
        <w:t>Environmental Matters.</w:t>
        <w:tab/>
        <w:t>The Company conducts in the ordinary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course of business a review of the effect of existing Environmental Laws and existing Environmental Claims on its business, operations and properties, and as a result thereof the Company has reasonably concluded that it is in material compliance with all such Environmental Laws and that any Environmental Claims could not, individually or in the aggregate, reasonably be expected to have a Material Adverse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4"/>
          <w:szCs w:val="14"/>
          <w:color w:val="auto"/>
        </w:rPr>
        <w:t>Effect.</w:t>
      </w:r>
    </w:p>
    <w:p>
      <w:pPr>
        <w:spacing w:after="0" w:line="173" w:lineRule="exact"/>
        <w:rPr>
          <w:sz w:val="20"/>
          <w:szCs w:val="20"/>
          <w:color w:val="auto"/>
        </w:rPr>
      </w:pPr>
    </w:p>
    <w:p>
      <w:pPr>
        <w:ind w:left="620"/>
        <w:spacing w:after="0"/>
        <w:tabs>
          <w:tab w:leader="none" w:pos="1280" w:val="left"/>
          <w:tab w:leader="none" w:pos="3080" w:val="left"/>
        </w:tabs>
        <w:rPr>
          <w:sz w:val="20"/>
          <w:szCs w:val="20"/>
          <w:color w:val="auto"/>
        </w:rPr>
      </w:pPr>
      <w:r>
        <w:rPr>
          <w:rFonts w:ascii="Courier New" w:cs="Courier New" w:eastAsia="Courier New" w:hAnsi="Courier New"/>
          <w:sz w:val="14"/>
          <w:szCs w:val="14"/>
          <w:color w:val="auto"/>
        </w:rPr>
        <w:t>5.13</w:t>
      </w:r>
      <w:r>
        <w:rPr>
          <w:sz w:val="20"/>
          <w:szCs w:val="20"/>
          <w:color w:val="auto"/>
        </w:rPr>
        <w:tab/>
      </w:r>
      <w:r>
        <w:rPr>
          <w:rFonts w:ascii="Courier New" w:cs="Courier New" w:eastAsia="Courier New" w:hAnsi="Courier New"/>
          <w:sz w:val="14"/>
          <w:szCs w:val="14"/>
          <w:color w:val="auto"/>
        </w:rPr>
        <w:t>Regulated Entities.</w:t>
        <w:tab/>
        <w:t>None of the Company, any Person controlling</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or any Subsidiary, is an "Investment Company" within the meaning of the Investment Company Act of 1940. The Company is not subject to regulation under the Public Utility Holding Company Act of 1935, the Federal Power Act, the Interstate Commerce Act, any state public utilities code, or any other Federal or state statute or regulation limiting its ability to incur Indebtedness.</w:t>
      </w:r>
    </w:p>
    <w:p>
      <w:pPr>
        <w:spacing w:after="0" w:line="165" w:lineRule="exact"/>
        <w:rPr>
          <w:sz w:val="20"/>
          <w:szCs w:val="20"/>
          <w:color w:val="auto"/>
        </w:rPr>
      </w:pPr>
    </w:p>
    <w:p>
      <w:pPr>
        <w:ind w:left="620"/>
        <w:spacing w:after="0"/>
        <w:tabs>
          <w:tab w:leader="none" w:pos="1280" w:val="left"/>
          <w:tab w:leader="none" w:pos="3340" w:val="left"/>
        </w:tabs>
        <w:rPr>
          <w:sz w:val="20"/>
          <w:szCs w:val="20"/>
          <w:color w:val="auto"/>
        </w:rPr>
      </w:pPr>
      <w:r>
        <w:rPr>
          <w:rFonts w:ascii="Courier New" w:cs="Courier New" w:eastAsia="Courier New" w:hAnsi="Courier New"/>
          <w:sz w:val="14"/>
          <w:szCs w:val="14"/>
          <w:color w:val="auto"/>
        </w:rPr>
        <w:t>5.14</w:t>
      </w:r>
      <w:r>
        <w:rPr>
          <w:sz w:val="20"/>
          <w:szCs w:val="20"/>
          <w:color w:val="auto"/>
        </w:rPr>
        <w:tab/>
      </w:r>
      <w:r>
        <w:rPr>
          <w:rFonts w:ascii="Courier New" w:cs="Courier New" w:eastAsia="Courier New" w:hAnsi="Courier New"/>
          <w:sz w:val="14"/>
          <w:szCs w:val="14"/>
          <w:color w:val="auto"/>
        </w:rPr>
        <w:t>Intellectual Property.</w:t>
        <w:tab/>
        <w:t>Except as set forth in the Forms 10K for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fiscal year ended August 29, 1996 and the Forms 10Q for the fiscal quarters ended November 28, 1996 and February 27, 1997, respectively, and in each case as filed or amended and filed with the SEC by the Company, (a) the Company and its Semiconductor Operations Subsidiaries own or are licensed to use or otherwise have the right to use (or could obtain such ownership or licenses or rights on terms not materially adverse to the Company and its Semiconductor Operations Subsidiaries, taken as a whole, and under circumstances that could not reasonably be expected to have a Material Adverse Effect) all of the patents, trademarks, service marks, trade names, copyrights, contractual franchises and other rights that are reasonably necessary for the operation of their semiconductor operations business, and (b) there are no pending or, to the best knowledge of Company, threatened claims that any slogan or other advertising device, product, process, method, substance, part or other material now employed by the Company or any Semiconductor Operations Subsidiary infringes upon any rights held by any other Person, except where the consequences of such infringement could not reasonably be expected to have a Material Adverse Effect.</w:t>
      </w:r>
    </w:p>
    <w:p>
      <w:pPr>
        <w:spacing w:after="0" w:line="173" w:lineRule="exact"/>
        <w:rPr>
          <w:sz w:val="20"/>
          <w:szCs w:val="20"/>
          <w:color w:val="auto"/>
        </w:rPr>
      </w:pPr>
    </w:p>
    <w:p>
      <w:pPr>
        <w:ind w:left="620"/>
        <w:spacing w:after="0"/>
        <w:tabs>
          <w:tab w:leader="none" w:pos="1280" w:val="left"/>
          <w:tab w:leader="none" w:pos="4300" w:val="left"/>
        </w:tabs>
        <w:rPr>
          <w:sz w:val="20"/>
          <w:szCs w:val="20"/>
          <w:color w:val="auto"/>
        </w:rPr>
      </w:pPr>
      <w:r>
        <w:rPr>
          <w:rFonts w:ascii="Courier New" w:cs="Courier New" w:eastAsia="Courier New" w:hAnsi="Courier New"/>
          <w:sz w:val="14"/>
          <w:szCs w:val="14"/>
          <w:color w:val="auto"/>
        </w:rPr>
        <w:t>5.15</w:t>
      </w:r>
      <w:r>
        <w:rPr>
          <w:sz w:val="20"/>
          <w:szCs w:val="20"/>
          <w:color w:val="auto"/>
        </w:rPr>
        <w:tab/>
      </w:r>
      <w:r>
        <w:rPr>
          <w:rFonts w:ascii="Courier New" w:cs="Courier New" w:eastAsia="Courier New" w:hAnsi="Courier New"/>
          <w:sz w:val="14"/>
          <w:szCs w:val="14"/>
          <w:color w:val="auto"/>
        </w:rPr>
        <w:t>Subsidiaries; Minority Interests.</w:t>
        <w:tab/>
        <w:t>As of the Closing Date,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Company has no Subsidiaries other than those specifically disclosed in part (a) of Schedule 5.15 to the Disclosure Letter and has no equity investments in any other corporation or entity in excess of $10,000,000, individually, other than those specifically disclosed in part (b) of Schedule 5.15 to the Disclosure Letter. No Material Semiconductor Operations are conducted, individually or in the aggregate, by Subsidiaries which are not Semiconductor Operations Subsidiaries. All Semiconductor Operations Subsidiaries are Wholly-Owned Subsidiaries, and all Wholly-Owned Subsidiaries which conduct any active semiconductor operations are Semiconductor Operations Subsidiaries.</w:t>
      </w:r>
    </w:p>
    <w:p>
      <w:pPr>
        <w:spacing w:after="0" w:line="164" w:lineRule="exact"/>
        <w:rPr>
          <w:sz w:val="20"/>
          <w:szCs w:val="20"/>
          <w:color w:val="auto"/>
        </w:rPr>
      </w:pPr>
    </w:p>
    <w:p>
      <w:pPr>
        <w:ind w:left="620"/>
        <w:spacing w:after="0"/>
        <w:tabs>
          <w:tab w:leader="none" w:pos="1280" w:val="left"/>
          <w:tab w:leader="none" w:pos="2320" w:val="left"/>
        </w:tabs>
        <w:rPr>
          <w:sz w:val="20"/>
          <w:szCs w:val="20"/>
          <w:color w:val="auto"/>
        </w:rPr>
      </w:pPr>
      <w:r>
        <w:rPr>
          <w:rFonts w:ascii="Courier New" w:cs="Courier New" w:eastAsia="Courier New" w:hAnsi="Courier New"/>
          <w:sz w:val="14"/>
          <w:szCs w:val="14"/>
          <w:color w:val="auto"/>
        </w:rPr>
        <w:t>5.16</w:t>
      </w:r>
      <w:r>
        <w:rPr>
          <w:sz w:val="20"/>
          <w:szCs w:val="20"/>
          <w:color w:val="auto"/>
        </w:rPr>
        <w:tab/>
      </w:r>
      <w:r>
        <w:rPr>
          <w:rFonts w:ascii="Courier New" w:cs="Courier New" w:eastAsia="Courier New" w:hAnsi="Courier New"/>
          <w:sz w:val="14"/>
          <w:szCs w:val="14"/>
          <w:color w:val="auto"/>
        </w:rPr>
        <w:t>Insurance.</w:t>
        <w:tab/>
        <w:t>The properties of the Company and its Semiconductor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Operations Subsidiaries are insured with financially sound and reputable insurance companies not Affiliates of the Company, in such amounts, with such deductibles and covering such risks as are customarily carried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58" w:name="page59"/>
    <w:bookmarkEnd w:id="58"/>
    <w:p>
      <w:pPr>
        <w:ind w:right="3779"/>
        <w:spacing w:after="0" w:line="252" w:lineRule="auto"/>
        <w:rPr>
          <w:sz w:val="20"/>
          <w:szCs w:val="20"/>
          <w:color w:val="auto"/>
        </w:rPr>
      </w:pPr>
      <w:r>
        <w:rPr>
          <w:rFonts w:ascii="Courier New" w:cs="Courier New" w:eastAsia="Courier New" w:hAnsi="Courier New"/>
          <w:sz w:val="14"/>
          <w:szCs w:val="14"/>
          <w:color w:val="auto"/>
        </w:rPr>
        <w:t>by companies engaged in similar businesses and owning similar properties in localities where the Company or such Semiconductor Operations Subsidiaries operate.</w:t>
      </w:r>
    </w:p>
    <w:p>
      <w:pPr>
        <w:spacing w:after="0" w:line="163" w:lineRule="exact"/>
        <w:rPr>
          <w:sz w:val="20"/>
          <w:szCs w:val="20"/>
          <w:color w:val="auto"/>
        </w:rPr>
      </w:pPr>
    </w:p>
    <w:p>
      <w:pPr>
        <w:ind w:left="620"/>
        <w:spacing w:after="0"/>
        <w:tabs>
          <w:tab w:leader="none" w:pos="1280" w:val="left"/>
          <w:tab w:leader="none" w:pos="2920" w:val="left"/>
        </w:tabs>
        <w:rPr>
          <w:sz w:val="20"/>
          <w:szCs w:val="20"/>
          <w:color w:val="auto"/>
        </w:rPr>
      </w:pPr>
      <w:r>
        <w:rPr>
          <w:rFonts w:ascii="Courier New" w:cs="Courier New" w:eastAsia="Courier New" w:hAnsi="Courier New"/>
          <w:sz w:val="14"/>
          <w:szCs w:val="14"/>
          <w:color w:val="auto"/>
        </w:rPr>
        <w:t>5.17</w:t>
      </w:r>
      <w:r>
        <w:rPr>
          <w:sz w:val="20"/>
          <w:szCs w:val="20"/>
          <w:color w:val="auto"/>
        </w:rPr>
        <w:tab/>
      </w:r>
      <w:r>
        <w:rPr>
          <w:rFonts w:ascii="Courier New" w:cs="Courier New" w:eastAsia="Courier New" w:hAnsi="Courier New"/>
          <w:sz w:val="14"/>
          <w:szCs w:val="14"/>
          <w:color w:val="auto"/>
        </w:rPr>
        <w:t>Swap Obligations.</w:t>
        <w:tab/>
        <w:t>Neither the Company nor any of its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Semiconductor Operations Subsidiaries has incurred any outstanding obligations under any Swap Contracts, other than Permitted Swap Obligations. The Company has undertaken its own independent assessment of its consolidated assets, liabilities and commitments and has considered appropriate means of mitigating and managing risks associated with such matters and has not relied on any swap counterparty or any Affiliate of any swap counterparty in determining whether to enter into any Swap Contract.</w:t>
      </w:r>
    </w:p>
    <w:p>
      <w:pPr>
        <w:spacing w:after="0" w:line="164" w:lineRule="exact"/>
        <w:rPr>
          <w:sz w:val="20"/>
          <w:szCs w:val="20"/>
          <w:color w:val="auto"/>
        </w:rPr>
      </w:pPr>
    </w:p>
    <w:p>
      <w:pPr>
        <w:ind w:left="620"/>
        <w:spacing w:after="0"/>
        <w:tabs>
          <w:tab w:leader="none" w:pos="1280" w:val="left"/>
          <w:tab w:leader="none" w:pos="2840" w:val="left"/>
        </w:tabs>
        <w:rPr>
          <w:sz w:val="20"/>
          <w:szCs w:val="20"/>
          <w:color w:val="auto"/>
        </w:rPr>
      </w:pPr>
      <w:r>
        <w:rPr>
          <w:rFonts w:ascii="Courier New" w:cs="Courier New" w:eastAsia="Courier New" w:hAnsi="Courier New"/>
          <w:sz w:val="14"/>
          <w:szCs w:val="14"/>
          <w:color w:val="auto"/>
        </w:rPr>
        <w:t>5.18</w:t>
      </w:r>
      <w:r>
        <w:rPr>
          <w:sz w:val="20"/>
          <w:szCs w:val="20"/>
          <w:color w:val="auto"/>
        </w:rPr>
        <w:tab/>
      </w:r>
      <w:r>
        <w:rPr>
          <w:rFonts w:ascii="Courier New" w:cs="Courier New" w:eastAsia="Courier New" w:hAnsi="Courier New"/>
          <w:sz w:val="14"/>
          <w:szCs w:val="14"/>
          <w:color w:val="auto"/>
        </w:rPr>
        <w:t>Full Disclosure.</w:t>
        <w:tab/>
        <w:t>None of the representations or warranties made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by the Company in the Loan Documents as of the date such representations and warranties are made or deemed made, and none of the statements contained in any exhibit, report, written statement or certificate furnished by or on behalf of the Company or any Semiconductor Operations Subsidiary in connection with the Loan Documents (including the offering and disclosure materials delivered by or on behalf of the Company to the Banks prior to the Closing Date, taken together with all such exhibits, reports, written statements and certificates filed or amended and filed by the Company with the SEC, but excluding the items listed in Section 5.19), contains any untrue statement of a material fact or omits any material fact required to be stated therein or necessary to make the statements made therein, in light of the circumstances under which they are made, not misleading as of the time when made or delivered. In addition, any factual information, forecasts and projections by industry analysts, including those set forth in the information memorandum distributed to the Banks prior to closing, have been developed solely by such analysts and are not adopted by the Company, notwithstanding their inclusion in such information memorandum, and the Company makes no representations or warranties concerning same, unless such representation or warranty is separately made by the Company.</w:t>
      </w:r>
    </w:p>
    <w:p>
      <w:pPr>
        <w:spacing w:after="0" w:line="173" w:lineRule="exact"/>
        <w:rPr>
          <w:sz w:val="20"/>
          <w:szCs w:val="20"/>
          <w:color w:val="auto"/>
        </w:rPr>
      </w:pPr>
    </w:p>
    <w:p>
      <w:pPr>
        <w:ind w:left="620"/>
        <w:spacing w:after="0"/>
        <w:tabs>
          <w:tab w:leader="none" w:pos="1280" w:val="left"/>
          <w:tab w:leader="none" w:pos="2480" w:val="left"/>
        </w:tabs>
        <w:rPr>
          <w:sz w:val="20"/>
          <w:szCs w:val="20"/>
          <w:color w:val="auto"/>
        </w:rPr>
      </w:pPr>
      <w:r>
        <w:rPr>
          <w:rFonts w:ascii="Courier New" w:cs="Courier New" w:eastAsia="Courier New" w:hAnsi="Courier New"/>
          <w:sz w:val="14"/>
          <w:szCs w:val="14"/>
          <w:color w:val="auto"/>
        </w:rPr>
        <w:t>5.19</w:t>
      </w:r>
      <w:r>
        <w:rPr>
          <w:sz w:val="20"/>
          <w:szCs w:val="20"/>
          <w:color w:val="auto"/>
        </w:rPr>
        <w:tab/>
      </w:r>
      <w:r>
        <w:rPr>
          <w:rFonts w:ascii="Courier New" w:cs="Courier New" w:eastAsia="Courier New" w:hAnsi="Courier New"/>
          <w:sz w:val="14"/>
          <w:szCs w:val="14"/>
          <w:color w:val="auto"/>
        </w:rPr>
        <w:t>Projections.</w:t>
        <w:tab/>
        <w:t>All projections (including the projections dated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February 17, 1997 delivered to the Banks prior to the date hereof), forward-looking information or other similar or related information furnished by or on behalf of the Company in connection with this Agreement were prepared in good faith on the basis of the assumptions stated therein, which assumptions were fair in the light of conditions existing at the time of preparation of such forecasts, and represented, at the time of preparation, the Company's reasonable estimate of its future financial performance; provided, however, that such</w:t>
      </w:r>
    </w:p>
    <w:p>
      <w:pPr>
        <w:spacing w:after="0" w:line="3" w:lineRule="exact"/>
        <w:rPr>
          <w:sz w:val="20"/>
          <w:szCs w:val="20"/>
          <w:color w:val="auto"/>
        </w:rPr>
      </w:pPr>
    </w:p>
    <w:p>
      <w:pPr>
        <w:ind w:left="3980"/>
        <w:spacing w:after="0"/>
        <w:tabs>
          <w:tab w:leader="none" w:pos="48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projections and other forward-looking information are not to be viewed as factual and actual results during the period or</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period covered thereby may differ from the projected or forecasted results.</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ARTICLE VI - AFFIRMATIVE COVENANTS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So long as any Bank shall have any Commitment hereunder, or any Loan or other Obligation (other than indemnity obligations which remain inchoate at such time) shall remain unpaid or unsatisfied, unless the Majority Banks waive compliance in writing:</w:t>
      </w:r>
    </w:p>
    <w:p>
      <w:pPr>
        <w:spacing w:after="0" w:line="162" w:lineRule="exact"/>
        <w:rPr>
          <w:sz w:val="20"/>
          <w:szCs w:val="20"/>
          <w:color w:val="auto"/>
        </w:rPr>
      </w:pPr>
    </w:p>
    <w:p>
      <w:pPr>
        <w:ind w:left="620"/>
        <w:spacing w:after="0"/>
        <w:tabs>
          <w:tab w:leader="none" w:pos="1280" w:val="left"/>
          <w:tab w:leader="none" w:pos="3260" w:val="left"/>
        </w:tabs>
        <w:rPr>
          <w:sz w:val="20"/>
          <w:szCs w:val="20"/>
          <w:color w:val="auto"/>
        </w:rPr>
      </w:pPr>
      <w:r>
        <w:rPr>
          <w:rFonts w:ascii="Courier New" w:cs="Courier New" w:eastAsia="Courier New" w:hAnsi="Courier New"/>
          <w:sz w:val="14"/>
          <w:szCs w:val="14"/>
          <w:color w:val="auto"/>
        </w:rPr>
        <w:t>6.01</w:t>
      </w:r>
      <w:r>
        <w:rPr>
          <w:sz w:val="20"/>
          <w:szCs w:val="20"/>
          <w:color w:val="auto"/>
        </w:rPr>
        <w:tab/>
      </w:r>
      <w:r>
        <w:rPr>
          <w:rFonts w:ascii="Courier New" w:cs="Courier New" w:eastAsia="Courier New" w:hAnsi="Courier New"/>
          <w:sz w:val="14"/>
          <w:szCs w:val="14"/>
          <w:color w:val="auto"/>
        </w:rPr>
        <w:t>Financial Statements.</w:t>
        <w:tab/>
        <w:t>The Company shall deliver to the Agent, in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form and detail satisfactory to the Agent and the Majority Banks, with sufficient copies for each Bank:</w:t>
      </w:r>
    </w:p>
    <w:p>
      <w:pPr>
        <w:spacing w:after="0" w:line="160" w:lineRule="exact"/>
        <w:rPr>
          <w:sz w:val="20"/>
          <w:szCs w:val="20"/>
          <w:color w:val="auto"/>
        </w:rPr>
      </w:pPr>
    </w:p>
    <w:p>
      <w:pPr>
        <w:ind w:right="3419" w:firstLine="611"/>
        <w:spacing w:after="0" w:line="250" w:lineRule="auto"/>
        <w:tabs>
          <w:tab w:leader="none" w:pos="947"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but not later than 90 days after the end of each fiscal year (commencing with the fiscal year ended August 28, 1997), a copy of the audited consolidated balance sheet of the Company and its Subsidiaries as at the end of such year and the related consolidated statements of operations and cash flows for such year, setting forth in each case in comparative form the figures for the previous fiscal year, together with the related Semiconductor Operations Supplemental Schedules, and accompanied by the opinion of Coopers &amp; Lybrand, LLP or another nationally-recognized independent public accounting firm ("Independent Auditor") which opinion shall state that</w:t>
      </w:r>
    </w:p>
    <w:p>
      <w:pPr>
        <w:spacing w:after="0" w:line="4"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firstLine="8"/>
        <w:spacing w:after="0" w:line="250" w:lineRule="auto"/>
        <w:tabs>
          <w:tab w:leader="none" w:pos="34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consolidated financial statements present fairly in all material respects the financial position of the Company and its Subsidiaries on a consolidated basis as of the date thereof and the results of operations for the periods indicated in conformity with GAAP, except as otherwise indicated therein and (ii) such related Semiconductor Operations Supplemental Schedules were prepared on a basis consistent with the basic consolidated financial statements of the Company and its Subsidiaries except as disclosed in the notes thereto and the information therein is fairly stated in all material respects in relation to the basic consolidated financial statements taken as a whole except as specifically noted therein. Such financial statements shall be accompanied by a certificate of a Responsible Officer which shall state that such Semiconductor Operations Supplemental Schedules present fairly, in all material respects, the net assets and operations and cash flows of the Company and its Semiconductor Operations Subsidiaries (on a combined basis) for the periods covered thereby, on the basis specified and described in the notes to such schedules. The Company will not place restrictions on the examinations of the auditors or any material portion of the Company's or any Subsidiary's records; and</w:t>
      </w:r>
    </w:p>
    <w:p>
      <w:pPr>
        <w:spacing w:after="0" w:line="173"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but not later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60" w:name="page61"/>
    <w:bookmarkEnd w:id="60"/>
    <w:p>
      <w:pPr>
        <w:ind w:right="3339"/>
        <w:spacing w:after="0" w:line="250" w:lineRule="auto"/>
        <w:rPr>
          <w:sz w:val="20"/>
          <w:szCs w:val="20"/>
          <w:color w:val="auto"/>
        </w:rPr>
      </w:pPr>
      <w:r>
        <w:rPr>
          <w:rFonts w:ascii="Courier New" w:cs="Courier New" w:eastAsia="Courier New" w:hAnsi="Courier New"/>
          <w:sz w:val="14"/>
          <w:szCs w:val="14"/>
          <w:color w:val="auto"/>
        </w:rPr>
        <w:t>than 45 days after the end of each of the first three fiscal quarters of each fiscal year (commencing with the fiscal quarter ended May 29, 1997), a copy of the unaudited consolidated balance sheet of the Company and its Subsidiaries as of the end of such quarter and the related consolidated statements of operations for the period commencing on the first day and ending on the last day of such quarter, and statement of cash flows for the year to date, together with the related Semiconductor Operations Supplemental Schedules, accompanied by a certificate of a Responsible Officer which shall state that (i) such unaudited consolidated financial statements (A) fairly present in all material respects, in accordance with GAAP (subject to ordinary, good faith year-end adjustments, the financial position and the results of operations of the Company and its Subsidiaries on a consolidated basis, and (B) include or disclose all material indebtedness and other liabilities, direct or contingent, of the Company and its Subsidiaries on a consolidated basis as of the date thereof, including liabilities for taxes, material commitments and material Contingent Obligations, and (ii) such related Semiconductor Operations Supplemental Schedules (A) include amounts based on estimates of annual amounts and are subject to changes in estimates and ordinary year-end adjustments, (B) present fairly, in all material respects, the net assets and operations and cash flows of the Company and its Semiconductor Operations Subsidiaries (on a combined basis) for the periods covered thereby, on the basis specified and described in the notes to such schedules, and (C) were prepared on a basis consistent with the basic consolidated financial statements of the Company and its Subsidiaries except as disclosed in the notes thereto.</w:t>
      </w:r>
    </w:p>
    <w:p>
      <w:pPr>
        <w:spacing w:after="0" w:line="341" w:lineRule="exact"/>
        <w:rPr>
          <w:sz w:val="20"/>
          <w:szCs w:val="20"/>
          <w:color w:val="auto"/>
        </w:rPr>
      </w:pPr>
    </w:p>
    <w:p>
      <w:pPr>
        <w:ind w:left="620"/>
        <w:spacing w:after="0"/>
        <w:tabs>
          <w:tab w:leader="none" w:pos="1280" w:val="left"/>
          <w:tab w:leader="none" w:pos="4200" w:val="left"/>
        </w:tabs>
        <w:rPr>
          <w:sz w:val="20"/>
          <w:szCs w:val="20"/>
          <w:color w:val="auto"/>
        </w:rPr>
      </w:pPr>
      <w:r>
        <w:rPr>
          <w:rFonts w:ascii="Courier New" w:cs="Courier New" w:eastAsia="Courier New" w:hAnsi="Courier New"/>
          <w:sz w:val="14"/>
          <w:szCs w:val="14"/>
          <w:color w:val="auto"/>
        </w:rPr>
        <w:t>6.02</w:t>
      </w:r>
      <w:r>
        <w:rPr>
          <w:sz w:val="20"/>
          <w:szCs w:val="20"/>
          <w:color w:val="auto"/>
        </w:rPr>
        <w:tab/>
      </w:r>
      <w:r>
        <w:rPr>
          <w:rFonts w:ascii="Courier New" w:cs="Courier New" w:eastAsia="Courier New" w:hAnsi="Courier New"/>
          <w:sz w:val="14"/>
          <w:szCs w:val="14"/>
          <w:color w:val="auto"/>
        </w:rPr>
        <w:t>Certificates; Other Information.</w:t>
        <w:tab/>
        <w:t>The Company shall furnish to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Agent, with sufficient copies for each Bank:</w:t>
      </w:r>
    </w:p>
    <w:p>
      <w:pPr>
        <w:spacing w:after="0" w:line="173" w:lineRule="exact"/>
        <w:rPr>
          <w:sz w:val="20"/>
          <w:szCs w:val="20"/>
          <w:color w:val="auto"/>
        </w:rPr>
      </w:pPr>
    </w:p>
    <w:p>
      <w:pPr>
        <w:ind w:right="3519" w:firstLine="611"/>
        <w:spacing w:after="0" w:line="252" w:lineRule="auto"/>
        <w:tabs>
          <w:tab w:leader="none" w:pos="94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concurrently with the delivery of the financial statements referred to in Sections 6.01(a) and (b), a Compliance Certificate executed by a Responsible Officer;</w:t>
      </w:r>
    </w:p>
    <w:p>
      <w:pPr>
        <w:spacing w:after="0" w:line="162" w:lineRule="exact"/>
        <w:rPr>
          <w:rFonts w:ascii="Courier New" w:cs="Courier New" w:eastAsia="Courier New" w:hAnsi="Courier New"/>
          <w:sz w:val="14"/>
          <w:szCs w:val="14"/>
          <w:color w:val="auto"/>
        </w:rPr>
      </w:pPr>
    </w:p>
    <w:p>
      <w:pPr>
        <w:ind w:right="3419" w:firstLine="611"/>
        <w:spacing w:after="0" w:line="251" w:lineRule="auto"/>
        <w:tabs>
          <w:tab w:leader="none" w:pos="94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becoming available, but not later than 20 days after the filing thereof with the SEC or the delivery thereof to its Shareholders, as applicable, copies of all annual reports and proxy statements that the Company sends to its shareholders, and copies of all financial statements and regular, periodical or special reports (including Forms 10K, 10Q, 8K, S-1 and S-3) that the Company or any Subsidiary may make to, or file with, the SEC; and</w:t>
      </w:r>
    </w:p>
    <w:p>
      <w:pPr>
        <w:spacing w:after="0" w:line="164" w:lineRule="exact"/>
        <w:rPr>
          <w:rFonts w:ascii="Courier New" w:cs="Courier New" w:eastAsia="Courier New" w:hAnsi="Courier New"/>
          <w:sz w:val="14"/>
          <w:szCs w:val="14"/>
          <w:color w:val="auto"/>
        </w:rPr>
      </w:pPr>
    </w:p>
    <w:p>
      <w:pPr>
        <w:ind w:right="3599" w:firstLine="611"/>
        <w:spacing w:after="0" w:line="252" w:lineRule="auto"/>
        <w:tabs>
          <w:tab w:leader="none" w:pos="947"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such additional information regarding the business, financial or corporate affairs of the Company or any Semiconductor Operations Subsidiary as the Agent, at the request of any Bank, may from time to time reasonably request in writing.</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61" w:name="page62"/>
    <w:bookmarkEnd w:id="61"/>
    <w:p>
      <w:pPr>
        <w:ind w:left="620"/>
        <w:spacing w:after="0"/>
        <w:tabs>
          <w:tab w:leader="none" w:pos="1280" w:val="left"/>
          <w:tab w:leader="none" w:pos="2140" w:val="left"/>
        </w:tabs>
        <w:rPr>
          <w:sz w:val="20"/>
          <w:szCs w:val="20"/>
          <w:color w:val="auto"/>
        </w:rPr>
      </w:pPr>
      <w:r>
        <w:rPr>
          <w:rFonts w:ascii="Courier New" w:cs="Courier New" w:eastAsia="Courier New" w:hAnsi="Courier New"/>
          <w:sz w:val="14"/>
          <w:szCs w:val="14"/>
          <w:color w:val="auto"/>
        </w:rPr>
        <w:t>6.03</w:t>
      </w:r>
      <w:r>
        <w:rPr>
          <w:sz w:val="20"/>
          <w:szCs w:val="20"/>
          <w:color w:val="auto"/>
        </w:rPr>
        <w:tab/>
      </w:r>
      <w:r>
        <w:rPr>
          <w:rFonts w:ascii="Courier New" w:cs="Courier New" w:eastAsia="Courier New" w:hAnsi="Courier New"/>
          <w:sz w:val="14"/>
          <w:szCs w:val="14"/>
          <w:color w:val="auto"/>
        </w:rPr>
        <w:t>Notices.</w:t>
        <w:tab/>
        <w:t>The Company shall promptly, after any Responsible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 becomes aware thereof or should have become aware thereof, notify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and each Bank:</w:t>
      </w:r>
    </w:p>
    <w:p>
      <w:pPr>
        <w:spacing w:after="0" w:line="173" w:lineRule="exact"/>
        <w:rPr>
          <w:sz w:val="20"/>
          <w:szCs w:val="20"/>
          <w:color w:val="auto"/>
        </w:rPr>
      </w:pPr>
    </w:p>
    <w:p>
      <w:pPr>
        <w:ind w:right="3599" w:firstLine="611"/>
        <w:spacing w:after="0" w:line="252" w:lineRule="auto"/>
        <w:tabs>
          <w:tab w:leader="none" w:pos="9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occurrence of any Default or Event of Default, and of the occurrence or existence of any event or circumstance that could reasonably be expected to become a Default or Event of Default;</w:t>
      </w:r>
    </w:p>
    <w:p>
      <w:pPr>
        <w:spacing w:after="0" w:line="162" w:lineRule="exact"/>
        <w:rPr>
          <w:rFonts w:ascii="Courier New" w:cs="Courier New" w:eastAsia="Courier New" w:hAnsi="Courier New"/>
          <w:sz w:val="14"/>
          <w:szCs w:val="14"/>
          <w:color w:val="auto"/>
        </w:rPr>
      </w:pPr>
    </w:p>
    <w:p>
      <w:pPr>
        <w:ind w:right="3419" w:firstLine="611"/>
        <w:spacing w:after="0" w:line="250" w:lineRule="auto"/>
        <w:tabs>
          <w:tab w:leader="none" w:pos="947"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occurrence of any breach or termination of any material Contractual Obligation pursuant to which the Company or any of its Material Semiconductor Operations Subsidiaries is licensed or otherwise has the right to use any patented technology, trademarks, service marks, trade names, copyrights or contractual franchises that are reasonably necessary for the operation of their respective businesses ("Intellectual Property Licenses"); or the receipt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any written claim with respect to any Intellectual Property License in which the licensor, seller or grantor of such intellectual property rights states its intention (i) to terminate such Intellectual Property License, (ii) to require the Company or any Semiconductor Operations Subsidiary to cease using such intellectual property rights (or any material portion thereof), or to cease marketing or selling products developed based on intellectual property rights (or any material portion thereof) covered by such Intellectual Property License, or (iii) to cease performing its obligations thereunder, and which, in each of the cases set forth in clauses (i), (ii) and (iii), could reasonably be expected to have a Material Adverse Effect;</w:t>
      </w:r>
    </w:p>
    <w:p>
      <w:pPr>
        <w:spacing w:after="0" w:line="163" w:lineRule="exact"/>
        <w:rPr>
          <w:sz w:val="20"/>
          <w:szCs w:val="20"/>
          <w:color w:val="auto"/>
        </w:rPr>
      </w:pPr>
    </w:p>
    <w:p>
      <w:pPr>
        <w:ind w:right="3339" w:firstLine="611"/>
        <w:spacing w:after="0" w:line="252" w:lineRule="auto"/>
        <w:tabs>
          <w:tab w:leader="none" w:pos="9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commencement of, or any material development in, any litigation, arbitration or other similar proceeding affecting the Company or any Semiconductor Operations Subsidiary with respect to any Intellectual Property License, in which injunctive or similar relief (whether temporary or permanent) is sought and which could reasonably be expected to have a Material Adverse Effect;</w:t>
      </w:r>
    </w:p>
    <w:p>
      <w:pPr>
        <w:spacing w:after="0" w:line="326" w:lineRule="exact"/>
        <w:rPr>
          <w:rFonts w:ascii="Courier New" w:cs="Courier New" w:eastAsia="Courier New" w:hAnsi="Courier New"/>
          <w:sz w:val="14"/>
          <w:szCs w:val="14"/>
          <w:color w:val="auto"/>
        </w:rPr>
      </w:pPr>
    </w:p>
    <w:p>
      <w:pPr>
        <w:ind w:right="3339" w:firstLine="611"/>
        <w:spacing w:after="0" w:line="251" w:lineRule="auto"/>
        <w:tabs>
          <w:tab w:leader="none" w:pos="947"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other matter that has resulted or could reasonably be expected to result in a Material Adverse Effect, which matters include, for example (but not by way of limitation): (i) breach or non-performance of, or any default under, a Contractual Obligation of the Company or any Semiconductor Operations Subsidiary, (ii) any dispute, litigation, investigation, proceeding or suspension between the Company or any Semiconductor Operations Subsidiary and any Governmental Authority, or (iii) the commencement of, or any material development in, any litigation or proceeding affecting the Company or any Semiconductor Operations Subsidiary, including pursuant to any applicable Environmental Laws;</w:t>
      </w:r>
    </w:p>
    <w:p>
      <w:pPr>
        <w:spacing w:after="0" w:line="329"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occurrence of any of the following events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62" w:name="page63"/>
    <w:bookmarkEnd w:id="62"/>
    <w:p>
      <w:pPr>
        <w:ind w:right="3419"/>
        <w:spacing w:after="0" w:line="251" w:lineRule="auto"/>
        <w:rPr>
          <w:sz w:val="20"/>
          <w:szCs w:val="20"/>
          <w:color w:val="auto"/>
        </w:rPr>
      </w:pPr>
      <w:r>
        <w:rPr>
          <w:rFonts w:ascii="Courier New" w:cs="Courier New" w:eastAsia="Courier New" w:hAnsi="Courier New"/>
          <w:sz w:val="14"/>
          <w:szCs w:val="14"/>
          <w:color w:val="auto"/>
        </w:rPr>
        <w:t>affecting the Company or any ERISA Affiliate (but in no event more than 10 days after such event), and deliver to the Agent and each Bank a copy of any notice with respect to such event that is filed with a Governmental Authority and any notice delivered by a Governmental Authority to the Company or any ERISA Affiliate with respect to such event: (i) an ERISA Event, (ii) a material increase in the Unfunded Pension Liability of any Pension Plan, (iii) the adoption of, or the commencement of contributions to, any Plan subject to Section 412 of the Code by the Company or any ERISA Affiliate, or (iv) the adoption of any amendment to a Plan subject to Section 412 of the Code, if such amendment results in a material increase in contributions or Unfunded Pension Liability;</w:t>
      </w:r>
    </w:p>
    <w:p>
      <w:pPr>
        <w:spacing w:after="0" w:line="329" w:lineRule="exact"/>
        <w:rPr>
          <w:sz w:val="20"/>
          <w:szCs w:val="20"/>
          <w:color w:val="auto"/>
        </w:rPr>
      </w:pPr>
    </w:p>
    <w:p>
      <w:pPr>
        <w:ind w:right="3419" w:firstLine="611"/>
        <w:spacing w:after="0" w:line="251" w:lineRule="auto"/>
        <w:tabs>
          <w:tab w:leader="none" w:pos="947"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material change in accounting policies or financial reporting practices by the Company and its Subsidiaries on a consolidated basis or the Company and its Semiconductor Operations Subsidiaries on a combined basis; provided that the description of any such changes set forth in the Company's filings with the SEC, or the notes to any financial statements or Semiconductor Operations Supplemental Schedules included therein, when delivered to Agent and the Banks, shall constitute notice sufficient under this subsection (f);</w:t>
      </w:r>
    </w:p>
    <w:p>
      <w:pPr>
        <w:spacing w:after="0" w:line="164" w:lineRule="exact"/>
        <w:rPr>
          <w:rFonts w:ascii="Courier New" w:cs="Courier New" w:eastAsia="Courier New" w:hAnsi="Courier New"/>
          <w:sz w:val="14"/>
          <w:szCs w:val="14"/>
          <w:color w:val="auto"/>
        </w:rPr>
      </w:pPr>
    </w:p>
    <w:p>
      <w:pPr>
        <w:ind w:right="3599" w:firstLine="611"/>
        <w:spacing w:after="0" w:line="252" w:lineRule="auto"/>
        <w:tabs>
          <w:tab w:leader="none" w:pos="947"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the issuance of any Permitted Subordinated Debt and any Senior Unsecured Debt, together with a copy of any written instrument evidencing, or which is proposed to evidence, such Indebtedness; and</w:t>
      </w:r>
    </w:p>
    <w:p>
      <w:pPr>
        <w:spacing w:after="0" w:line="162" w:lineRule="exact"/>
        <w:rPr>
          <w:rFonts w:ascii="Courier New" w:cs="Courier New" w:eastAsia="Courier New" w:hAnsi="Courier New"/>
          <w:sz w:val="14"/>
          <w:szCs w:val="14"/>
          <w:color w:val="auto"/>
        </w:rPr>
      </w:pPr>
    </w:p>
    <w:p>
      <w:pPr>
        <w:ind w:right="3339" w:firstLine="611"/>
        <w:spacing w:after="0" w:line="250" w:lineRule="auto"/>
        <w:tabs>
          <w:tab w:leader="none" w:pos="947"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any existing Subsidiary that is not a Wholly-Owned Subsidiary that conducts semiconductor operations (i) becoming a Wholly-Owned Subsidiary, or</w:t>
      </w:r>
    </w:p>
    <w:p>
      <w:pPr>
        <w:ind w:left="440" w:hanging="432"/>
        <w:spacing w:after="0"/>
        <w:tabs>
          <w:tab w:leader="none" w:pos="44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having Material Semiconductor Operations.</w:t>
      </w:r>
    </w:p>
    <w:p>
      <w:pPr>
        <w:spacing w:after="0" w:line="173" w:lineRule="exact"/>
        <w:rPr>
          <w:sz w:val="20"/>
          <w:szCs w:val="20"/>
          <w:color w:val="auto"/>
        </w:rPr>
      </w:pPr>
    </w:p>
    <w:p>
      <w:pPr>
        <w:ind w:right="3339" w:firstLine="603"/>
        <w:spacing w:after="0" w:line="251" w:lineRule="auto"/>
        <w:rPr>
          <w:sz w:val="20"/>
          <w:szCs w:val="20"/>
          <w:color w:val="auto"/>
        </w:rPr>
      </w:pPr>
      <w:r>
        <w:rPr>
          <w:rFonts w:ascii="Courier New" w:cs="Courier New" w:eastAsia="Courier New" w:hAnsi="Courier New"/>
          <w:sz w:val="14"/>
          <w:szCs w:val="14"/>
          <w:color w:val="auto"/>
        </w:rPr>
        <w:t>Each notice under this Section (other than under subsections (f) and (g)) shall be accompanied by a written statement by a Responsible Officer setting forth details of the occurrence referred to therein, and stating what action the Company or any affected Subsidiary proposes to take with respect thereto and at what time. Each notice under Section 6.03(a) shall describe with particularity any and all sections or clauses of this Agreement or other Loan Document that have been (or could reasonably be expected to be) breached or violated.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ind w:left="620"/>
              <w:spacing w:after="0"/>
              <w:rPr>
                <w:sz w:val="20"/>
                <w:szCs w:val="20"/>
                <w:color w:val="auto"/>
              </w:rPr>
            </w:pPr>
            <w:r>
              <w:rPr>
                <w:rFonts w:ascii="Courier New" w:cs="Courier New" w:eastAsia="Courier New" w:hAnsi="Courier New"/>
                <w:sz w:val="14"/>
                <w:szCs w:val="14"/>
                <w:color w:val="auto"/>
              </w:rPr>
              <w:t>6.04</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Preservation of Corporate Existence, Etc.  The</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Company shall, and</w:t>
            </w:r>
          </w:p>
        </w:tc>
      </w:tr>
      <w:tr>
        <w:trPr>
          <w:trHeight w:val="166"/>
        </w:trPr>
        <w:tc>
          <w:tcPr>
            <w:tcW w:w="1260" w:type="dxa"/>
            <w:vAlign w:val="bottom"/>
          </w:tcPr>
          <w:p>
            <w:pPr>
              <w:spacing w:after="0"/>
              <w:rPr>
                <w:sz w:val="14"/>
                <w:szCs w:val="14"/>
                <w:color w:val="auto"/>
              </w:rPr>
            </w:pP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shall cause each Material Semiconductor Operations Subsidiary</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to: (a) preserve</w:t>
            </w:r>
          </w:p>
        </w:tc>
      </w:tr>
      <w:tr>
        <w:trPr>
          <w:trHeight w:val="166"/>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and maintain in full force and effect its corporate existence</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and good standing</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under the laws</w:t>
            </w:r>
          </w:p>
        </w:tc>
        <w:tc>
          <w:tcPr>
            <w:tcW w:w="4040" w:type="dxa"/>
            <w:vAlign w:val="bottom"/>
          </w:tcPr>
          <w:p>
            <w:pPr>
              <w:ind w:left="40"/>
              <w:spacing w:after="0"/>
              <w:rPr>
                <w:sz w:val="20"/>
                <w:szCs w:val="20"/>
                <w:color w:val="auto"/>
              </w:rPr>
            </w:pPr>
            <w:r>
              <w:rPr>
                <w:rFonts w:ascii="Courier New" w:cs="Courier New" w:eastAsia="Courier New" w:hAnsi="Courier New"/>
                <w:sz w:val="14"/>
                <w:szCs w:val="14"/>
                <w:color w:val="auto"/>
              </w:rPr>
              <w:t>of its state or jurisdiction of incorporation,</w:t>
            </w:r>
          </w:p>
        </w:tc>
        <w:tc>
          <w:tcPr>
            <w:tcW w:w="1600" w:type="dxa"/>
            <w:vAlign w:val="bottom"/>
          </w:tcPr>
          <w:p>
            <w:pPr>
              <w:ind w:left="40"/>
              <w:spacing w:after="0"/>
              <w:rPr>
                <w:sz w:val="20"/>
                <w:szCs w:val="20"/>
                <w:color w:val="auto"/>
              </w:rPr>
            </w:pPr>
            <w:r>
              <w:rPr>
                <w:rFonts w:ascii="Courier New" w:cs="Courier New" w:eastAsia="Courier New" w:hAnsi="Courier New"/>
                <w:sz w:val="14"/>
                <w:szCs w:val="14"/>
                <w:color w:val="auto"/>
              </w:rPr>
              <w:t>except, with</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respect to any</w:t>
            </w:r>
          </w:p>
        </w:tc>
        <w:tc>
          <w:tcPr>
            <w:tcW w:w="5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Material Semiconductor Operations Subsidiary, in connection with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 permitted by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63" w:name="page64"/>
    <w:bookmarkEnd w:id="63"/>
    <w:p>
      <w:pPr>
        <w:ind w:right="3339"/>
        <w:spacing w:after="0" w:line="251" w:lineRule="auto"/>
        <w:rPr>
          <w:sz w:val="20"/>
          <w:szCs w:val="20"/>
          <w:color w:val="auto"/>
        </w:rPr>
      </w:pPr>
      <w:r>
        <w:rPr>
          <w:rFonts w:ascii="Courier New" w:cs="Courier New" w:eastAsia="Courier New" w:hAnsi="Courier New"/>
          <w:sz w:val="14"/>
          <w:szCs w:val="14"/>
          <w:color w:val="auto"/>
        </w:rPr>
        <w:t>Section 7.03 or 7.04; (b) preserve and maintain in full force and effect all material governmental rights, privileges, qualifications, permits, licenses and franchises necessary or desirable in the normal conduct of its business, except in connection with transactions permitted by Section 7.03 or 7.04; (c) use reasonable efforts, in the ordinary course of business, to preserve its business organization and goodwill, except, with respect to any Material Semiconductor Operations Subsidiary, in connection with transactions permitted by Section 7.03 or 7.04; and (d) preserve or renew all of its registered patents, trademarks, trade names and service marks, except where the non-preservation of which could not reasonably be expected to have a Material Adverse Effect.</w:t>
      </w:r>
    </w:p>
    <w:p>
      <w:pPr>
        <w:spacing w:after="0" w:line="163" w:lineRule="exact"/>
        <w:rPr>
          <w:sz w:val="20"/>
          <w:szCs w:val="20"/>
          <w:color w:val="auto"/>
        </w:rPr>
      </w:pPr>
    </w:p>
    <w:p>
      <w:pPr>
        <w:ind w:left="620"/>
        <w:spacing w:after="0"/>
        <w:tabs>
          <w:tab w:leader="none" w:pos="1280" w:val="left"/>
          <w:tab w:leader="none" w:pos="3520" w:val="left"/>
        </w:tabs>
        <w:rPr>
          <w:sz w:val="20"/>
          <w:szCs w:val="20"/>
          <w:color w:val="auto"/>
        </w:rPr>
      </w:pPr>
      <w:r>
        <w:rPr>
          <w:rFonts w:ascii="Courier New" w:cs="Courier New" w:eastAsia="Courier New" w:hAnsi="Courier New"/>
          <w:sz w:val="14"/>
          <w:szCs w:val="14"/>
          <w:color w:val="auto"/>
        </w:rPr>
        <w:t>6.05</w:t>
      </w:r>
      <w:r>
        <w:rPr>
          <w:sz w:val="20"/>
          <w:szCs w:val="20"/>
          <w:color w:val="auto"/>
        </w:rPr>
        <w:tab/>
      </w:r>
      <w:r>
        <w:rPr>
          <w:rFonts w:ascii="Courier New" w:cs="Courier New" w:eastAsia="Courier New" w:hAnsi="Courier New"/>
          <w:sz w:val="14"/>
          <w:szCs w:val="14"/>
          <w:color w:val="auto"/>
        </w:rPr>
        <w:t>Maintenance of Property.</w:t>
        <w:tab/>
        <w:t>The Company shall maintain, and shall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cause each Material Semiconductor Operations Subsidiary to maintain, and preserve all its property which is used or useful in its business in good working order and condition, ordinary wear and tear excepted and make all reasonably necessary repairs thereto and renewals and replacements thereof except where the failure to do so could not reasonably be expected to have a Material Adverse Effect.</w:t>
      </w:r>
    </w:p>
    <w:p>
      <w:pPr>
        <w:spacing w:after="0" w:line="164" w:lineRule="exact"/>
        <w:rPr>
          <w:sz w:val="20"/>
          <w:szCs w:val="20"/>
          <w:color w:val="auto"/>
        </w:rPr>
      </w:pPr>
    </w:p>
    <w:p>
      <w:pPr>
        <w:ind w:left="620"/>
        <w:spacing w:after="0"/>
        <w:tabs>
          <w:tab w:leader="none" w:pos="1280" w:val="left"/>
          <w:tab w:leader="none" w:pos="2320" w:val="left"/>
        </w:tabs>
        <w:rPr>
          <w:sz w:val="20"/>
          <w:szCs w:val="20"/>
          <w:color w:val="auto"/>
        </w:rPr>
      </w:pPr>
      <w:r>
        <w:rPr>
          <w:rFonts w:ascii="Courier New" w:cs="Courier New" w:eastAsia="Courier New" w:hAnsi="Courier New"/>
          <w:sz w:val="14"/>
          <w:szCs w:val="14"/>
          <w:color w:val="auto"/>
        </w:rPr>
        <w:t>6.06</w:t>
      </w:r>
      <w:r>
        <w:rPr>
          <w:sz w:val="20"/>
          <w:szCs w:val="20"/>
          <w:color w:val="auto"/>
        </w:rPr>
        <w:tab/>
      </w:r>
      <w:r>
        <w:rPr>
          <w:rFonts w:ascii="Courier New" w:cs="Courier New" w:eastAsia="Courier New" w:hAnsi="Courier New"/>
          <w:sz w:val="14"/>
          <w:szCs w:val="14"/>
          <w:color w:val="auto"/>
        </w:rPr>
        <w:t>Insurance.</w:t>
        <w:tab/>
        <w:t>The Company shall maintain, and shall cause each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Semiconductor Operations Subsidiary to maintain, with financially sound and reputable independent insurers or through self-insurance,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64" w:lineRule="exact"/>
        <w:rPr>
          <w:sz w:val="20"/>
          <w:szCs w:val="20"/>
          <w:color w:val="auto"/>
        </w:rPr>
      </w:pPr>
    </w:p>
    <w:p>
      <w:pPr>
        <w:ind w:left="620"/>
        <w:spacing w:after="0"/>
        <w:tabs>
          <w:tab w:leader="none" w:pos="1280" w:val="left"/>
          <w:tab w:leader="none" w:pos="3440" w:val="left"/>
        </w:tabs>
        <w:rPr>
          <w:sz w:val="20"/>
          <w:szCs w:val="20"/>
          <w:color w:val="auto"/>
        </w:rPr>
      </w:pPr>
      <w:r>
        <w:rPr>
          <w:rFonts w:ascii="Courier New" w:cs="Courier New" w:eastAsia="Courier New" w:hAnsi="Courier New"/>
          <w:sz w:val="14"/>
          <w:szCs w:val="14"/>
          <w:color w:val="auto"/>
        </w:rPr>
        <w:t>6.07</w:t>
      </w:r>
      <w:r>
        <w:rPr>
          <w:sz w:val="20"/>
          <w:szCs w:val="20"/>
          <w:color w:val="auto"/>
        </w:rPr>
        <w:tab/>
      </w:r>
      <w:r>
        <w:rPr>
          <w:rFonts w:ascii="Courier New" w:cs="Courier New" w:eastAsia="Courier New" w:hAnsi="Courier New"/>
          <w:sz w:val="14"/>
          <w:szCs w:val="14"/>
          <w:color w:val="auto"/>
        </w:rPr>
        <w:t>Payment of Obligations.</w:t>
        <w:tab/>
        <w:t>The Company shall, and shall cause each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Semiconductor Operations Subsidiary to, pay and discharge as the same shall become due and payable (or within any applicable grace period), all their respective material obligations and liabilities, which matters may include, for example (but not by way of limitation): (a) all tax liabilities, assessments and governmental charges or levies upon it or its properties or assets, unless the same are being contested in good faith by appropriate proceedings and adequate reserves in accordance with GAAP are being maintained by the Company or such Semiconductor Operations Subsidiary, and (b) all lawful claims which, if unpaid, would by law become a Lien upon its property, except for Permitted Liens.</w:t>
      </w:r>
    </w:p>
    <w:p>
      <w:pPr>
        <w:spacing w:after="0" w:line="329" w:lineRule="exact"/>
        <w:rPr>
          <w:sz w:val="20"/>
          <w:szCs w:val="20"/>
          <w:color w:val="auto"/>
        </w:rPr>
      </w:pPr>
    </w:p>
    <w:p>
      <w:pPr>
        <w:ind w:left="620"/>
        <w:spacing w:after="0"/>
        <w:tabs>
          <w:tab w:leader="none" w:pos="1280" w:val="left"/>
          <w:tab w:leader="none" w:pos="3260" w:val="left"/>
        </w:tabs>
        <w:rPr>
          <w:sz w:val="20"/>
          <w:szCs w:val="20"/>
          <w:color w:val="auto"/>
        </w:rPr>
      </w:pPr>
      <w:r>
        <w:rPr>
          <w:rFonts w:ascii="Courier New" w:cs="Courier New" w:eastAsia="Courier New" w:hAnsi="Courier New"/>
          <w:sz w:val="14"/>
          <w:szCs w:val="14"/>
          <w:color w:val="auto"/>
        </w:rPr>
        <w:t>6.08</w:t>
      </w:r>
      <w:r>
        <w:rPr>
          <w:sz w:val="20"/>
          <w:szCs w:val="20"/>
          <w:color w:val="auto"/>
        </w:rPr>
        <w:tab/>
      </w:r>
      <w:r>
        <w:rPr>
          <w:rFonts w:ascii="Courier New" w:cs="Courier New" w:eastAsia="Courier New" w:hAnsi="Courier New"/>
          <w:sz w:val="14"/>
          <w:szCs w:val="14"/>
          <w:color w:val="auto"/>
        </w:rPr>
        <w:t>Compliance with Laws.</w:t>
        <w:tab/>
        <w:t>The Company shall comply, and shall cause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each Material Semiconductor Operations Subsidiary to comply, in all material respects, with all Requirements of Law of any Governmental Authority having jurisdiction over it or its business (including the Federal</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64" w:name="page65"/>
    <w:bookmarkEnd w:id="64"/>
    <w:p>
      <w:pPr>
        <w:ind w:right="3519"/>
        <w:spacing w:after="0" w:line="255" w:lineRule="auto"/>
        <w:rPr>
          <w:sz w:val="20"/>
          <w:szCs w:val="20"/>
          <w:color w:val="auto"/>
        </w:rPr>
      </w:pPr>
      <w:r>
        <w:rPr>
          <w:rFonts w:ascii="Courier New" w:cs="Courier New" w:eastAsia="Courier New" w:hAnsi="Courier New"/>
          <w:sz w:val="14"/>
          <w:szCs w:val="14"/>
          <w:color w:val="auto"/>
        </w:rPr>
        <w:t>Fair Labor Standards Act), except such as may be contested in good faith or as to which a bona fide dispute may exist.</w:t>
      </w:r>
    </w:p>
    <w:p>
      <w:pPr>
        <w:spacing w:after="0" w:line="160" w:lineRule="exact"/>
        <w:rPr>
          <w:sz w:val="20"/>
          <w:szCs w:val="20"/>
          <w:color w:val="auto"/>
        </w:rPr>
      </w:pPr>
    </w:p>
    <w:p>
      <w:pPr>
        <w:ind w:left="620"/>
        <w:spacing w:after="0"/>
        <w:tabs>
          <w:tab w:leader="none" w:pos="1280" w:val="left"/>
          <w:tab w:leader="none" w:pos="3340" w:val="left"/>
        </w:tabs>
        <w:rPr>
          <w:sz w:val="20"/>
          <w:szCs w:val="20"/>
          <w:color w:val="auto"/>
        </w:rPr>
      </w:pPr>
      <w:r>
        <w:rPr>
          <w:rFonts w:ascii="Courier New" w:cs="Courier New" w:eastAsia="Courier New" w:hAnsi="Courier New"/>
          <w:sz w:val="14"/>
          <w:szCs w:val="14"/>
          <w:color w:val="auto"/>
        </w:rPr>
        <w:t>6.09</w:t>
      </w:r>
      <w:r>
        <w:rPr>
          <w:sz w:val="20"/>
          <w:szCs w:val="20"/>
          <w:color w:val="auto"/>
        </w:rPr>
        <w:tab/>
      </w:r>
      <w:r>
        <w:rPr>
          <w:rFonts w:ascii="Courier New" w:cs="Courier New" w:eastAsia="Courier New" w:hAnsi="Courier New"/>
          <w:sz w:val="14"/>
          <w:szCs w:val="14"/>
          <w:color w:val="auto"/>
        </w:rPr>
        <w:t>Compliance with ERISA.</w:t>
        <w:tab/>
        <w:t>The Company shall, and shall cause each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of its ERISA Affiliates to: (a) maintain each Plan in compliance in all material respects with the applicable provisions of ERISA, the Code and other federal or state law, (b) cause each Plan which is qualified under Section 401(a) of the Code to maintain such qualification, and (c) make all required contributions to any Plan subject to Section 412 of the Code.</w:t>
      </w:r>
    </w:p>
    <w:p>
      <w:pPr>
        <w:spacing w:after="0" w:line="165" w:lineRule="exact"/>
        <w:rPr>
          <w:sz w:val="20"/>
          <w:szCs w:val="20"/>
          <w:color w:val="auto"/>
        </w:rPr>
      </w:pPr>
    </w:p>
    <w:p>
      <w:pPr>
        <w:ind w:left="620"/>
        <w:spacing w:after="0"/>
        <w:tabs>
          <w:tab w:leader="none" w:pos="1280" w:val="left"/>
          <w:tab w:leader="none" w:pos="5320" w:val="left"/>
        </w:tabs>
        <w:rPr>
          <w:sz w:val="20"/>
          <w:szCs w:val="20"/>
          <w:color w:val="auto"/>
        </w:rPr>
      </w:pPr>
      <w:r>
        <w:rPr>
          <w:rFonts w:ascii="Courier New" w:cs="Courier New" w:eastAsia="Courier New" w:hAnsi="Courier New"/>
          <w:sz w:val="14"/>
          <w:szCs w:val="14"/>
          <w:color w:val="auto"/>
        </w:rPr>
        <w:t>6.10</w:t>
      </w:r>
      <w:r>
        <w:rPr>
          <w:sz w:val="20"/>
          <w:szCs w:val="20"/>
          <w:color w:val="auto"/>
        </w:rPr>
        <w:tab/>
      </w:r>
      <w:r>
        <w:rPr>
          <w:rFonts w:ascii="Courier New" w:cs="Courier New" w:eastAsia="Courier New" w:hAnsi="Courier New"/>
          <w:sz w:val="14"/>
          <w:szCs w:val="14"/>
          <w:color w:val="auto"/>
        </w:rPr>
        <w:t>Inspection of Property and Books and Records.</w:t>
        <w:tab/>
        <w:t>(a) The Company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shall maintain and shall cause each Semiconductor Operations Subsidiary to maintain financial books of record and account sufficient to permit the Company to prepare financial statements in accordance with GAAP.</w:t>
      </w:r>
    </w:p>
    <w:p>
      <w:pPr>
        <w:spacing w:after="0" w:line="163" w:lineRule="exact"/>
        <w:rPr>
          <w:sz w:val="20"/>
          <w:szCs w:val="20"/>
          <w:color w:val="auto"/>
        </w:rPr>
      </w:pPr>
    </w:p>
    <w:p>
      <w:pPr>
        <w:ind w:right="3419" w:firstLine="870"/>
        <w:spacing w:after="0" w:line="250" w:lineRule="auto"/>
        <w:tabs>
          <w:tab w:leader="none" w:pos="1206"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permit, and shall cause each Semiconductor Operations Subsidiary to permit, representatives and independent contractors of the Agent (i) to visit and inspect any of their respective material properties,</w:t>
      </w:r>
    </w:p>
    <w:p>
      <w:pPr>
        <w:spacing w:after="0" w:line="1"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examine their respective financial records, and make copies thereof or abstracts therefrom, and (iii) to discuss their respective affairs, finances and accounts with their respective directors, officers, and independent public accountants, all at the expense of the Banks and at such reasonable times during normal business hours and as often as may be reasonably desired, upon reasonable advance written notice to the Company; provided, however, that when an Event of</w:t>
      </w:r>
    </w:p>
    <w:p>
      <w:pPr>
        <w:spacing w:after="0" w:line="3" w:lineRule="exact"/>
        <w:rPr>
          <w:sz w:val="20"/>
          <w:szCs w:val="20"/>
          <w:color w:val="auto"/>
        </w:rPr>
      </w:pPr>
    </w:p>
    <w:p>
      <w:pPr>
        <w:ind w:left="3360"/>
        <w:spacing w:after="0"/>
        <w:tabs>
          <w:tab w:leader="none" w:pos="42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Default exists, the Agent or any Bank may do any of the foregoing at the expense of the Company at any time during normal business hours and without advance written notice. At any time when no Event of Default has occurred and is continuing, any such representative, independent contractor or independent public accountants (other than employees of the Agent) selected by the Agent to perform such inspections or audits, must be reasonably acceptable to the Company.</w:t>
      </w:r>
    </w:p>
    <w:p>
      <w:pPr>
        <w:spacing w:after="0" w:line="330" w:lineRule="exact"/>
        <w:rPr>
          <w:sz w:val="20"/>
          <w:szCs w:val="20"/>
          <w:color w:val="auto"/>
        </w:rPr>
      </w:pPr>
    </w:p>
    <w:p>
      <w:pPr>
        <w:ind w:right="3339" w:firstLine="870"/>
        <w:spacing w:after="0" w:line="250" w:lineRule="auto"/>
        <w:tabs>
          <w:tab w:leader="none" w:pos="1292"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while no Event of Default exists, neither the Company nor any of its Semiconductor Operations Subsidiaries will be required to disclose, permit the inspection, examination, copying or making extracts of, or discussions of, any document, information or other matter that</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constitutes non-financial trade secrets or non-financial proprietary information, or (ii) in respect to which disclosure to the Agent or any Bank (or designated representative) is then prohibited by law or any agreement binding upon the Company or such Semiconductor Operations Subsidiary that was not entered into by the Company or such Semiconductor Operations Subsidiary for the primary purpose of concealing information from Agent and the Banks or evading the provisions of this Agreement.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65" w:name="page66"/>
    <w:bookmarkEnd w:id="65"/>
    <w:p>
      <w:pPr>
        <w:ind w:left="620"/>
        <w:spacing w:after="0"/>
        <w:tabs>
          <w:tab w:leader="none" w:pos="1280" w:val="left"/>
          <w:tab w:leader="none" w:pos="3080" w:val="left"/>
        </w:tabs>
        <w:rPr>
          <w:sz w:val="20"/>
          <w:szCs w:val="20"/>
          <w:color w:val="auto"/>
        </w:rPr>
      </w:pPr>
      <w:r>
        <w:rPr>
          <w:rFonts w:ascii="Courier New" w:cs="Courier New" w:eastAsia="Courier New" w:hAnsi="Courier New"/>
          <w:sz w:val="14"/>
          <w:szCs w:val="14"/>
          <w:color w:val="auto"/>
        </w:rPr>
        <w:t>6.11</w:t>
      </w:r>
      <w:r>
        <w:rPr>
          <w:sz w:val="20"/>
          <w:szCs w:val="20"/>
          <w:color w:val="auto"/>
        </w:rPr>
        <w:tab/>
      </w:r>
      <w:r>
        <w:rPr>
          <w:rFonts w:ascii="Courier New" w:cs="Courier New" w:eastAsia="Courier New" w:hAnsi="Courier New"/>
          <w:sz w:val="14"/>
          <w:szCs w:val="14"/>
          <w:color w:val="auto"/>
        </w:rPr>
        <w:t>Environmental Laws.</w:t>
        <w:tab/>
        <w:t>The Company shall, and shall cause each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Material Semiconductor Operations Subsidiary to, conduct its operations and keep and maintain its property in compliance in all material respects with all Environmental Laws.</w:t>
      </w:r>
    </w:p>
    <w:p>
      <w:pPr>
        <w:spacing w:after="0" w:line="16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6.12</w:t>
      </w:r>
      <w:r>
        <w:rPr>
          <w:sz w:val="20"/>
          <w:szCs w:val="20"/>
          <w:color w:val="auto"/>
        </w:rPr>
        <w:tab/>
      </w:r>
      <w:r>
        <w:rPr>
          <w:rFonts w:ascii="Courier New" w:cs="Courier New" w:eastAsia="Courier New" w:hAnsi="Courier New"/>
          <w:sz w:val="14"/>
          <w:szCs w:val="14"/>
          <w:color w:val="auto"/>
        </w:rPr>
        <w:t>Use of Proceeds. The Company shall use the proceeds of the Loans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for working capital and other general corporate purposes not in contravention of any Requirement of Law or of any Loan Document.</w:t>
      </w:r>
    </w:p>
    <w:p>
      <w:pPr>
        <w:spacing w:after="0" w:line="160" w:lineRule="exact"/>
        <w:rPr>
          <w:sz w:val="20"/>
          <w:szCs w:val="20"/>
          <w:color w:val="auto"/>
        </w:rPr>
      </w:pPr>
    </w:p>
    <w:p>
      <w:pPr>
        <w:ind w:left="620"/>
        <w:spacing w:after="0"/>
        <w:tabs>
          <w:tab w:leader="none" w:pos="1280" w:val="left"/>
          <w:tab w:leader="none" w:pos="4900" w:val="left"/>
        </w:tabs>
        <w:rPr>
          <w:sz w:val="20"/>
          <w:szCs w:val="20"/>
          <w:color w:val="auto"/>
        </w:rPr>
      </w:pPr>
      <w:r>
        <w:rPr>
          <w:rFonts w:ascii="Courier New" w:cs="Courier New" w:eastAsia="Courier New" w:hAnsi="Courier New"/>
          <w:sz w:val="14"/>
          <w:szCs w:val="14"/>
          <w:color w:val="auto"/>
        </w:rPr>
        <w:t>6.13</w:t>
      </w:r>
      <w:r>
        <w:rPr>
          <w:sz w:val="20"/>
          <w:szCs w:val="20"/>
          <w:color w:val="auto"/>
        </w:rPr>
        <w:tab/>
      </w:r>
      <w:r>
        <w:rPr>
          <w:rFonts w:ascii="Courier New" w:cs="Courier New" w:eastAsia="Courier New" w:hAnsi="Courier New"/>
          <w:sz w:val="14"/>
          <w:szCs w:val="14"/>
          <w:color w:val="auto"/>
        </w:rPr>
        <w:t>Ranking; Designated Senior Indebtedness.</w:t>
        <w:tab/>
        <w:t>The Company shall take,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or cause to be taken, all actions necessary to ensure that the Obligations are and continue to rank at least pari passu in right of payment with all other</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unsecured Indebtedness of the Company. The Obligations shall be deemed "Designated Senior Indebtedness" for purposes of Permitted Subordinated Debt issued under the Subordinated Note Indenture.</w:t>
      </w:r>
    </w:p>
    <w:p>
      <w:pPr>
        <w:spacing w:after="0" w:line="163" w:lineRule="exact"/>
        <w:rPr>
          <w:sz w:val="20"/>
          <w:szCs w:val="20"/>
          <w:color w:val="auto"/>
        </w:rPr>
      </w:pPr>
    </w:p>
    <w:p>
      <w:pPr>
        <w:ind w:left="620"/>
        <w:spacing w:after="0"/>
        <w:tabs>
          <w:tab w:leader="none" w:pos="1280" w:val="left"/>
          <w:tab w:leader="none" w:pos="5080" w:val="left"/>
        </w:tabs>
        <w:rPr>
          <w:sz w:val="20"/>
          <w:szCs w:val="20"/>
          <w:color w:val="auto"/>
        </w:rPr>
      </w:pPr>
      <w:r>
        <w:rPr>
          <w:rFonts w:ascii="Courier New" w:cs="Courier New" w:eastAsia="Courier New" w:hAnsi="Courier New"/>
          <w:sz w:val="14"/>
          <w:szCs w:val="14"/>
          <w:color w:val="auto"/>
        </w:rPr>
        <w:t>6.14</w:t>
      </w:r>
      <w:r>
        <w:rPr>
          <w:sz w:val="20"/>
          <w:szCs w:val="20"/>
          <w:color w:val="auto"/>
        </w:rPr>
        <w:tab/>
      </w:r>
      <w:r>
        <w:rPr>
          <w:rFonts w:ascii="Courier New" w:cs="Courier New" w:eastAsia="Courier New" w:hAnsi="Courier New"/>
          <w:sz w:val="14"/>
          <w:szCs w:val="14"/>
          <w:color w:val="auto"/>
        </w:rPr>
        <w:t>New Semiconductor Operations Subsidiaries.</w:t>
        <w:tab/>
        <w:t>The Company shall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cause each new Wholly-Owned Subsidiary which from time to time conducts any active semiconductor operations to be included as a Semiconductor Operations Subsidiary in the Semiconductor Operations Supplemental Schedules.</w:t>
      </w:r>
    </w:p>
    <w:p>
      <w:pPr>
        <w:spacing w:after="0" w:line="329"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ARTICLE VII - NEGATIVE COVENANTS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603"/>
        <w:spacing w:after="0" w:line="252" w:lineRule="auto"/>
        <w:rPr>
          <w:sz w:val="20"/>
          <w:szCs w:val="20"/>
          <w:color w:val="auto"/>
        </w:rPr>
      </w:pPr>
      <w:r>
        <w:rPr>
          <w:rFonts w:ascii="Courier New" w:cs="Courier New" w:eastAsia="Courier New" w:hAnsi="Courier New"/>
          <w:sz w:val="14"/>
          <w:szCs w:val="14"/>
          <w:color w:val="auto"/>
        </w:rPr>
        <w:t>So long as any Bank shall have any Commitment hereunder, or any Loan or other Obligation (other than indemnity obligations which remain inchoate at such time) shall remain unpaid or unsatisfied, unless the Majority Banks waive compliance in writing:</w:t>
      </w:r>
    </w:p>
    <w:p>
      <w:pPr>
        <w:spacing w:after="0" w:line="162" w:lineRule="exact"/>
        <w:rPr>
          <w:sz w:val="20"/>
          <w:szCs w:val="20"/>
          <w:color w:val="auto"/>
        </w:rPr>
      </w:pPr>
    </w:p>
    <w:p>
      <w:pPr>
        <w:ind w:left="620"/>
        <w:spacing w:after="0"/>
        <w:tabs>
          <w:tab w:leader="none" w:pos="1280" w:val="left"/>
          <w:tab w:leader="none" w:pos="3180" w:val="left"/>
        </w:tabs>
        <w:rPr>
          <w:sz w:val="20"/>
          <w:szCs w:val="20"/>
          <w:color w:val="auto"/>
        </w:rPr>
      </w:pPr>
      <w:r>
        <w:rPr>
          <w:rFonts w:ascii="Courier New" w:cs="Courier New" w:eastAsia="Courier New" w:hAnsi="Courier New"/>
          <w:sz w:val="14"/>
          <w:szCs w:val="14"/>
          <w:color w:val="auto"/>
        </w:rPr>
        <w:t>7.01</w:t>
      </w:r>
      <w:r>
        <w:rPr>
          <w:sz w:val="20"/>
          <w:szCs w:val="20"/>
          <w:color w:val="auto"/>
        </w:rPr>
        <w:tab/>
      </w:r>
      <w:r>
        <w:rPr>
          <w:rFonts w:ascii="Courier New" w:cs="Courier New" w:eastAsia="Courier New" w:hAnsi="Courier New"/>
          <w:sz w:val="14"/>
          <w:szCs w:val="14"/>
          <w:color w:val="auto"/>
        </w:rPr>
        <w:t>Limitation on Liens.</w:t>
        <w:tab/>
        <w:t>The Company shall not, and shall not suffer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or permit any Semiconductor Operations Subsidiary to, directly or indirectly, make, create, incur, assume or suffer to exist any Lien upon or with respect to any part of its properties, revenues or assets, whether now owned or hereafter acquired, other than the following ("Permitted Liens"):</w:t>
      </w:r>
    </w:p>
    <w:p>
      <w:pPr>
        <w:spacing w:after="0" w:line="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611"/>
        <w:spacing w:after="0" w:line="251" w:lineRule="auto"/>
        <w:tabs>
          <w:tab w:leader="none" w:pos="947"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existing on the Closing Date and set forth in Schedule 7.01 to the Disclosure Letter securing Indebtedness outstanding on such date (including any such Lien securing Indebtedness that is renewed, extended or refunded after the Closing Date, provided that the principal amount of such Indebtedness outstanding at the time of such renewal, extension or refunding is not increased and such Lien is not extended to any other property, other than replacements or substitutions for such property);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66" w:name="page67"/>
    <w:bookmarkEnd w:id="66"/>
    <w:p>
      <w:pPr>
        <w:ind w:left="349" w:hanging="349"/>
        <w:spacing w:after="0"/>
        <w:tabs>
          <w:tab w:leader="none" w:pos="34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created under any Loan Document;</w:t>
      </w:r>
    </w:p>
    <w:p>
      <w:pPr>
        <w:spacing w:after="0" w:line="172" w:lineRule="exact"/>
        <w:rPr>
          <w:rFonts w:ascii="Courier New" w:cs="Courier New" w:eastAsia="Courier New" w:hAnsi="Courier New"/>
          <w:sz w:val="14"/>
          <w:szCs w:val="14"/>
          <w:color w:val="auto"/>
        </w:rPr>
      </w:pPr>
    </w:p>
    <w:p>
      <w:pPr>
        <w:ind w:left="-611" w:right="3679" w:firstLine="611"/>
        <w:spacing w:after="0" w:line="252"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taxes, fees, assessments or other governmental charges which are not delinquent or remain payable without penalty, or to the extent that non-payment thereof is permitted by Section 6.07;</w:t>
      </w:r>
    </w:p>
    <w:p>
      <w:pPr>
        <w:spacing w:after="0" w:line="162" w:lineRule="exact"/>
        <w:rPr>
          <w:rFonts w:ascii="Courier New" w:cs="Courier New" w:eastAsia="Courier New" w:hAnsi="Courier New"/>
          <w:sz w:val="14"/>
          <w:szCs w:val="14"/>
          <w:color w:val="auto"/>
        </w:rPr>
      </w:pPr>
    </w:p>
    <w:p>
      <w:pPr>
        <w:ind w:left="-611" w:right="3419" w:firstLine="611"/>
        <w:spacing w:after="0" w:line="251"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are for the purpose of preventing the forfeiture or sale of the property subject thereto;</w:t>
      </w:r>
    </w:p>
    <w:p>
      <w:pPr>
        <w:spacing w:after="0" w:line="164" w:lineRule="exact"/>
        <w:rPr>
          <w:rFonts w:ascii="Courier New" w:cs="Courier New" w:eastAsia="Courier New" w:hAnsi="Courier New"/>
          <w:sz w:val="14"/>
          <w:szCs w:val="14"/>
          <w:color w:val="auto"/>
        </w:rPr>
      </w:pPr>
    </w:p>
    <w:p>
      <w:pPr>
        <w:jc w:val="both"/>
        <w:ind w:left="-611" w:right="3339" w:firstLine="611"/>
        <w:spacing w:after="0" w:line="252"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62" w:lineRule="exact"/>
        <w:rPr>
          <w:rFonts w:ascii="Courier New" w:cs="Courier New" w:eastAsia="Courier New" w:hAnsi="Courier New"/>
          <w:sz w:val="14"/>
          <w:szCs w:val="14"/>
          <w:color w:val="auto"/>
        </w:rPr>
      </w:pPr>
    </w:p>
    <w:p>
      <w:pPr>
        <w:ind w:left="-611" w:right="3339" w:firstLine="611"/>
        <w:spacing w:after="0" w:line="251"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 the non-delinquent performance of bids, trade contracts (other than for borrowed money), leases, statutory obligations, (ii) contingent obligations with respect to surety and appeal bonds, or letters of credit issued in lieu thereof, and (iii) other non-delinquent obligations of a like nature; in each case, incurred in the ordinary course of business, provided all such Liens in the aggregate could not reasonably be expected to result (even if enforced) in a Material Adverse Effect;</w:t>
      </w:r>
    </w:p>
    <w:p>
      <w:pPr>
        <w:spacing w:after="0" w:line="164" w:lineRule="exact"/>
        <w:rPr>
          <w:rFonts w:ascii="Courier New" w:cs="Courier New" w:eastAsia="Courier New" w:hAnsi="Courier New"/>
          <w:sz w:val="14"/>
          <w:szCs w:val="14"/>
          <w:color w:val="auto"/>
        </w:rPr>
      </w:pPr>
    </w:p>
    <w:p>
      <w:pPr>
        <w:ind w:left="-611" w:right="3339" w:firstLine="611"/>
        <w:spacing w:after="0" w:line="255"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judgment or judicial attachment liens, arising in circumstances not constituting an Event of Default under Section 8.01(j);</w:t>
      </w:r>
    </w:p>
    <w:p>
      <w:pPr>
        <w:spacing w:after="0" w:line="159" w:lineRule="exact"/>
        <w:rPr>
          <w:rFonts w:ascii="Courier New" w:cs="Courier New" w:eastAsia="Courier New" w:hAnsi="Courier New"/>
          <w:sz w:val="14"/>
          <w:szCs w:val="14"/>
          <w:color w:val="auto"/>
        </w:rPr>
      </w:pPr>
    </w:p>
    <w:p>
      <w:pPr>
        <w:ind w:left="-611" w:right="3339" w:firstLine="611"/>
        <w:spacing w:after="0" w:line="251"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easements, rights-of-way, restrictions and other similar encumbrances incurred in the ordinary course of business (including the easements, rights-of-way, restrictions and other similar encumbrances incurred in connection with the interchange and new road to be located on the Company's headquarters property in Boise, Idaho) which, in the aggregate, do not materially detract from the value of the property subject thereto or interfere with the ordinary conduct of the businesses of the Company and its Semiconductor Operations Subsidiaries taken as a whole;</w:t>
      </w:r>
    </w:p>
    <w:p>
      <w:pPr>
        <w:spacing w:after="0" w:line="163" w:lineRule="exact"/>
        <w:rPr>
          <w:rFonts w:ascii="Courier New" w:cs="Courier New" w:eastAsia="Courier New" w:hAnsi="Courier New"/>
          <w:sz w:val="14"/>
          <w:szCs w:val="14"/>
          <w:color w:val="auto"/>
        </w:rPr>
      </w:pPr>
    </w:p>
    <w:p>
      <w:pPr>
        <w:ind w:left="-611" w:right="3419" w:firstLine="611"/>
        <w:spacing w:after="0" w:line="251" w:lineRule="auto"/>
        <w:tabs>
          <w:tab w:leader="none" w:pos="336"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(i) assets of corporations which become Semiconductor Operations Subsidiaries after the date of this Agreement, (ii) assets which are acquired at the time a corporation merges with or into the Company or a Semiconductor Operations Subsidiary pursuant to Section 7.04, and (iii) assets acquired by the Company or a Semiconductor Operations</w:t>
      </w:r>
    </w:p>
    <w:p>
      <w:pPr>
        <w:spacing w:after="0" w:line="165" w:lineRule="exact"/>
        <w:rPr>
          <w:sz w:val="20"/>
          <w:szCs w:val="20"/>
          <w:color w:val="auto"/>
        </w:rPr>
      </w:pPr>
    </w:p>
    <w:p>
      <w:pPr>
        <w:ind w:left="2669"/>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9628"/>
          </w:cols>
          <w:pgMar w:left="831" w:top="616"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Subsidiary pursuant to Section 7.05; provided, however, that such Liens existed</w:t>
      </w:r>
    </w:p>
    <w:p>
      <w:pPr>
        <w:spacing w:after="0" w:line="7" w:lineRule="exact"/>
        <w:rPr>
          <w:sz w:val="20"/>
          <w:szCs w:val="20"/>
          <w:color w:val="auto"/>
        </w:rPr>
      </w:pPr>
    </w:p>
    <w:p>
      <w:pPr>
        <w:ind w:left="3200"/>
        <w:spacing w:after="0"/>
        <w:tabs>
          <w:tab w:leader="none" w:pos="404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at the time the respective corporations became Semiconductor Operations Subsidiaries or at the time the assets were acquired and were not created in anticipation thereof;</w:t>
      </w:r>
    </w:p>
    <w:p>
      <w:pPr>
        <w:spacing w:after="0" w:line="163" w:lineRule="exact"/>
        <w:rPr>
          <w:sz w:val="20"/>
          <w:szCs w:val="20"/>
          <w:color w:val="auto"/>
        </w:rPr>
      </w:pPr>
    </w:p>
    <w:p>
      <w:pPr>
        <w:ind w:right="3339" w:firstLine="611"/>
        <w:spacing w:after="0" w:line="251" w:lineRule="auto"/>
        <w:tabs>
          <w:tab w:leader="none" w:pos="94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and other security interests, and liens in the nature of capital leases, in personal or real property where the security interests do not extend beyond the property purchased or financed, any replacements, additions, attachments and accessions thereto, and the proceeds (including insurance proceeds) thereof and the amount of indebtedness secured thereby does not materially exceed the value of the property and, in the aggregate, the amount of all indebtedness so secured does not at any time exceed 20% of the Company's and the Semiconductor Operations Subsidiaries' combined net property, plant and equipment (as reflected on the Semiconductor Operations Supplemental Schedules) as of the last day of the fiscal quarter most recently ended prior thereto (including any such Lien securing any such indebtedness that is renewed, extended or refunded, provided that the principal amount of such indebtedness outstanding at the time of such renewal, extension or refunding is not materially increased and such Lien is not extended to any other property);</w:t>
      </w:r>
    </w:p>
    <w:p>
      <w:pPr>
        <w:spacing w:after="0" w:line="162" w:lineRule="exact"/>
        <w:rPr>
          <w:rFonts w:ascii="Courier New" w:cs="Courier New" w:eastAsia="Courier New" w:hAnsi="Courier New"/>
          <w:sz w:val="14"/>
          <w:szCs w:val="14"/>
          <w:color w:val="auto"/>
        </w:rPr>
      </w:pPr>
    </w:p>
    <w:p>
      <w:pPr>
        <w:ind w:right="3339" w:firstLine="611"/>
        <w:spacing w:after="0" w:line="250" w:lineRule="auto"/>
        <w:tabs>
          <w:tab w:leader="none" w:pos="94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arising solely by virtue of any statutory, common law or contractual provision relating to banker's liens, rights of set-off or similar rights and remedies as to deposit accounts or other funds maintained with a creditor depository institution; provided that (i) such deposit account is not a</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dedicated cash collateral account and is not subject to restrictions against access by the Company or any Semiconductor Operations Subsidiary in excess of those set forth by regulations promulgated by the FRB, and (ii) such deposit account is not intended by the Company or any Semiconductor Operations Subsidiary to provide collateral to the depository institution;</w:t>
      </w:r>
    </w:p>
    <w:p>
      <w:pPr>
        <w:spacing w:after="0" w:line="165" w:lineRule="exact"/>
        <w:rPr>
          <w:sz w:val="20"/>
          <w:szCs w:val="20"/>
          <w:color w:val="auto"/>
        </w:rPr>
      </w:pPr>
    </w:p>
    <w:p>
      <w:pPr>
        <w:ind w:right="3519" w:firstLine="611"/>
        <w:spacing w:after="0" w:line="252" w:lineRule="auto"/>
        <w:tabs>
          <w:tab w:leader="none" w:pos="94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extensions of credit made by the Company or another Semiconductor Operations Subsidiary to such Semiconductor Operations Subsidiaries, to the extent such extensions of credit are permitted by Section 7.06;</w:t>
      </w:r>
    </w:p>
    <w:p>
      <w:pPr>
        <w:spacing w:after="0" w:line="162" w:lineRule="exact"/>
        <w:rPr>
          <w:rFonts w:ascii="Courier New" w:cs="Courier New" w:eastAsia="Courier New" w:hAnsi="Courier New"/>
          <w:sz w:val="14"/>
          <w:szCs w:val="14"/>
          <w:color w:val="auto"/>
        </w:rPr>
      </w:pPr>
    </w:p>
    <w:p>
      <w:pPr>
        <w:ind w:right="3339" w:firstLine="611"/>
        <w:spacing w:after="0" w:line="252" w:lineRule="auto"/>
        <w:tabs>
          <w:tab w:leader="none" w:pos="94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granted after the Closing Date, pursuant to documentation in effect on the Closing Date, in favor of United States National Bank of Oregon in connection with letters of credit issued for the Company's account in a maximum aggregate principal amount of $15,000,000;</w:t>
      </w:r>
    </w:p>
    <w:p>
      <w:pPr>
        <w:spacing w:after="0" w:line="162" w:lineRule="exact"/>
        <w:rPr>
          <w:rFonts w:ascii="Courier New" w:cs="Courier New" w:eastAsia="Courier New" w:hAnsi="Courier New"/>
          <w:sz w:val="14"/>
          <w:szCs w:val="14"/>
          <w:color w:val="auto"/>
        </w:rPr>
      </w:pPr>
    </w:p>
    <w:p>
      <w:pPr>
        <w:ind w:right="3519" w:firstLine="611"/>
        <w:spacing w:after="0" w:line="252" w:lineRule="auto"/>
        <w:tabs>
          <w:tab w:leader="none" w:pos="94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and subleases of, and licenses and sublicenses with respect to, property where the Company or a Semiconductor Operations Subsidiary is the lessor or licensor (or sublessor or sublicensor); provided that such leases,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68" w:name="page69"/>
    <w:bookmarkEnd w:id="68"/>
    <w:p>
      <w:pPr>
        <w:ind w:right="3339"/>
        <w:spacing w:after="0" w:line="252" w:lineRule="auto"/>
        <w:rPr>
          <w:sz w:val="20"/>
          <w:szCs w:val="20"/>
          <w:color w:val="auto"/>
        </w:rPr>
      </w:pPr>
      <w:r>
        <w:rPr>
          <w:rFonts w:ascii="Courier New" w:cs="Courier New" w:eastAsia="Courier New" w:hAnsi="Courier New"/>
          <w:sz w:val="14"/>
          <w:szCs w:val="14"/>
          <w:color w:val="auto"/>
        </w:rPr>
        <w:t>subleases, licenses and sublicenses do not in the aggregate materially interfere with the business of the Company and its Semiconductor Operations Subsidiaries taken as a whole;</w:t>
      </w:r>
    </w:p>
    <w:p>
      <w:pPr>
        <w:spacing w:after="0" w:line="163" w:lineRule="exact"/>
        <w:rPr>
          <w:sz w:val="20"/>
          <w:szCs w:val="20"/>
          <w:color w:val="auto"/>
        </w:rPr>
      </w:pPr>
    </w:p>
    <w:p>
      <w:pPr>
        <w:ind w:right="3419" w:firstLine="611"/>
        <w:spacing w:after="0" w:line="250" w:lineRule="auto"/>
        <w:tabs>
          <w:tab w:leader="none" w:pos="94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with respect to operating leases otherwise permitted by this Agreement; provided, that such Liens encumber only property financed or leased,</w:t>
      </w: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0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replacements, additions, attachments and accessions thereto, and the proceeds (including insurance proceeds) thereof;</w:t>
      </w:r>
    </w:p>
    <w:p>
      <w:pPr>
        <w:spacing w:after="0" w:line="159" w:lineRule="exact"/>
        <w:rPr>
          <w:rFonts w:ascii="Courier New" w:cs="Courier New" w:eastAsia="Courier New" w:hAnsi="Courier New"/>
          <w:sz w:val="14"/>
          <w:szCs w:val="14"/>
          <w:color w:val="auto"/>
        </w:rPr>
      </w:pPr>
    </w:p>
    <w:p>
      <w:pPr>
        <w:ind w:right="3339" w:firstLine="611"/>
        <w:spacing w:after="0" w:line="252" w:lineRule="auto"/>
        <w:tabs>
          <w:tab w:leader="none" w:pos="94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in the ordinary course of business used to secure cash reserves that have been deposited with the Company or its Semiconductor Operations Subsidiaries by customers to obtain the rights to delivery of future goods or services;</w:t>
      </w:r>
    </w:p>
    <w:p>
      <w:pPr>
        <w:spacing w:after="0" w:line="162" w:lineRule="exact"/>
        <w:rPr>
          <w:rFonts w:ascii="Courier New" w:cs="Courier New" w:eastAsia="Courier New" w:hAnsi="Courier New"/>
          <w:sz w:val="14"/>
          <w:szCs w:val="14"/>
          <w:color w:val="auto"/>
        </w:rPr>
      </w:pPr>
    </w:p>
    <w:p>
      <w:pPr>
        <w:ind w:right="3419" w:firstLine="611"/>
        <w:spacing w:after="0" w:line="250" w:lineRule="auto"/>
        <w:tabs>
          <w:tab w:leader="none" w:pos="947"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pledges of cash collateral or government securities to secure on a mark-to-market basis Permitted Swap Obligations only, provided that the counterparty to any Swap Contract relating to any such Permitted Swap Obligation is under a similar requirement to deliver similar collateral from time to time to the Company or the Semiconductor Operations Subsidiary party thereto on a mark-to-market basis; provided, however, that, as</w:t>
      </w:r>
    </w:p>
    <w:p>
      <w:pPr>
        <w:spacing w:after="0" w:line="3" w:lineRule="exact"/>
        <w:rPr>
          <w:sz w:val="20"/>
          <w:szCs w:val="20"/>
          <w:color w:val="auto"/>
        </w:rPr>
      </w:pPr>
    </w:p>
    <w:p>
      <w:pPr>
        <w:ind w:left="4480"/>
        <w:spacing w:after="0"/>
        <w:tabs>
          <w:tab w:leader="none" w:pos="53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of any determination date, the amount of all such outstanding secured Permitted Swap Obligations, together with all outstanding secured Indebtedness permitted by subsection (r) below, shall not in the aggregate exceed 5% of Combined Tangible Assets;</w:t>
      </w:r>
    </w:p>
    <w:p>
      <w:pPr>
        <w:spacing w:after="0" w:line="162" w:lineRule="exact"/>
        <w:rPr>
          <w:sz w:val="20"/>
          <w:szCs w:val="20"/>
          <w:color w:val="auto"/>
        </w:rPr>
      </w:pPr>
    </w:p>
    <w:p>
      <w:pPr>
        <w:ind w:right="3599" w:firstLine="611"/>
        <w:spacing w:after="0" w:line="250" w:lineRule="auto"/>
        <w:tabs>
          <w:tab w:leader="none" w:pos="947"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in the ordinary course of business securing Indebtedness other than borrowed money; provided, however, that the amount of</w:t>
      </w:r>
    </w:p>
    <w:p>
      <w:pPr>
        <w:spacing w:after="0" w:line="1" w:lineRule="exact"/>
        <w:rPr>
          <w:sz w:val="20"/>
          <w:szCs w:val="20"/>
          <w:color w:val="auto"/>
        </w:rPr>
      </w:pPr>
    </w:p>
    <w:p>
      <w:pPr>
        <w:ind w:left="3460"/>
        <w:spacing w:after="0"/>
        <w:tabs>
          <w:tab w:leader="none" w:pos="43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such outstanding secured Indebtedness, together with all outstanding secured Permitted Swap Obligations permitted by subsection (q) above, shall not in the aggregate exceed 5% of Combined Tangible Assets as of the end of the most recent fiscal quarter;</w:t>
      </w:r>
    </w:p>
    <w:p>
      <w:pPr>
        <w:spacing w:after="0" w:line="162" w:lineRule="exact"/>
        <w:rPr>
          <w:sz w:val="20"/>
          <w:szCs w:val="20"/>
          <w:color w:val="auto"/>
        </w:rPr>
      </w:pPr>
    </w:p>
    <w:p>
      <w:pPr>
        <w:ind w:left="960" w:hanging="349"/>
        <w:spacing w:after="0"/>
        <w:tabs>
          <w:tab w:leader="none" w:pos="9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permitted by Section 7.06(n); and</w:t>
      </w:r>
    </w:p>
    <w:p>
      <w:pPr>
        <w:spacing w:after="0" w:line="172" w:lineRule="exact"/>
        <w:rPr>
          <w:rFonts w:ascii="Courier New" w:cs="Courier New" w:eastAsia="Courier New" w:hAnsi="Courier New"/>
          <w:sz w:val="14"/>
          <w:szCs w:val="14"/>
          <w:color w:val="auto"/>
        </w:rPr>
      </w:pPr>
    </w:p>
    <w:p>
      <w:pPr>
        <w:ind w:right="4019" w:firstLine="611"/>
        <w:spacing w:after="0" w:line="255" w:lineRule="auto"/>
        <w:tabs>
          <w:tab w:leader="none" w:pos="94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 favor of a trustee granted pursuant to any Permitted Subordinated Debt.</w:t>
      </w:r>
    </w:p>
    <w:p>
      <w:pPr>
        <w:spacing w:after="0" w:line="160" w:lineRule="exact"/>
        <w:rPr>
          <w:sz w:val="20"/>
          <w:szCs w:val="20"/>
          <w:color w:val="auto"/>
        </w:rPr>
      </w:pPr>
    </w:p>
    <w:p>
      <w:pPr>
        <w:ind w:left="620"/>
        <w:spacing w:after="0"/>
        <w:tabs>
          <w:tab w:leader="none" w:pos="1280" w:val="left"/>
          <w:tab w:leader="none" w:pos="3700" w:val="left"/>
        </w:tabs>
        <w:rPr>
          <w:sz w:val="20"/>
          <w:szCs w:val="20"/>
          <w:color w:val="auto"/>
        </w:rPr>
      </w:pP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Exclusive Negative Pledge.</w:t>
        <w:tab/>
        <w:t>The Company shall not, and shall not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permit any of its Semiconductor Operations Subsidiaries to, enter into any Contractual Obligation (other than this Agreement) which prohibits the creation or assumption of any Lien upon or with respect to any part of such Persons properties or assets (including intangible assets, such as patents and trademarks, and the capital stock of Semiconductor Operations Subsidiaries) (such Contractual Obligation, a "Negative Pledge"), whether now owned or</w:t>
      </w:r>
    </w:p>
    <w:p>
      <w:pPr>
        <w:spacing w:after="0" w:line="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hereafter acquired, other than: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69" w:name="page70"/>
    <w:bookmarkEnd w:id="69"/>
    <w:p>
      <w:pPr>
        <w:ind w:right="3339" w:firstLine="611"/>
        <w:spacing w:after="0" w:line="251" w:lineRule="auto"/>
        <w:tabs>
          <w:tab w:leader="none" w:pos="9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Pledges in favor of the Company or a Semiconductor Operations Subsidiary with respect to the assets of a Semiconductor Operations Subsidiary in connection with extensions of credit made by the Company or a Semiconductor Operations Subsidiary to such Semiconductor Operations Subsidiary, to the extent such extensions of credit are permitted by Section 7.07;</w:t>
      </w:r>
    </w:p>
    <w:p>
      <w:pPr>
        <w:spacing w:after="0" w:line="164" w:lineRule="exact"/>
        <w:rPr>
          <w:rFonts w:ascii="Courier New" w:cs="Courier New" w:eastAsia="Courier New" w:hAnsi="Courier New"/>
          <w:sz w:val="14"/>
          <w:szCs w:val="14"/>
          <w:color w:val="auto"/>
        </w:rPr>
      </w:pPr>
    </w:p>
    <w:p>
      <w:pPr>
        <w:ind w:right="3419" w:firstLine="611"/>
        <w:spacing w:after="0" w:line="251" w:lineRule="auto"/>
        <w:tabs>
          <w:tab w:leader="none" w:pos="9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Pledges granted in connection with extensions of credit (whether or not guaranteed by the Company or a Semiconductor Operations Subsidiary) made available by Persons other than the Company to a Semiconductor Operations Subsidiary to the extent such extensions of credit are permitted by Sections 7.06(h);</w:t>
      </w:r>
    </w:p>
    <w:p>
      <w:pPr>
        <w:spacing w:after="0" w:line="164" w:lineRule="exact"/>
        <w:rPr>
          <w:rFonts w:ascii="Courier New" w:cs="Courier New" w:eastAsia="Courier New" w:hAnsi="Courier New"/>
          <w:sz w:val="14"/>
          <w:szCs w:val="14"/>
          <w:color w:val="auto"/>
        </w:rPr>
      </w:pPr>
    </w:p>
    <w:p>
      <w:pPr>
        <w:ind w:right="3339" w:firstLine="611"/>
        <w:spacing w:after="0" w:line="252" w:lineRule="auto"/>
        <w:tabs>
          <w:tab w:leader="none" w:pos="9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Pledges granted in connection with Permitted Subordinated Debt permitted by Section 7.06(j) and Senior Unsecured Debt permitted by Section 7.06(k); and</w:t>
      </w:r>
    </w:p>
    <w:p>
      <w:pPr>
        <w:spacing w:after="0" w:line="162" w:lineRule="exact"/>
        <w:rPr>
          <w:rFonts w:ascii="Courier New" w:cs="Courier New" w:eastAsia="Courier New" w:hAnsi="Courier New"/>
          <w:sz w:val="14"/>
          <w:szCs w:val="14"/>
          <w:color w:val="auto"/>
        </w:rPr>
      </w:pPr>
    </w:p>
    <w:p>
      <w:pPr>
        <w:ind w:right="3339" w:firstLine="611"/>
        <w:spacing w:after="0" w:line="251" w:lineRule="auto"/>
        <w:tabs>
          <w:tab w:leader="none" w:pos="9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Pledges granted in connection with real or personal property financing arrangements to the extent permitted by Section 7.01(j), in favor of the Person providing such financing, pursuant to which the Company or a Semiconductor Operations Subsidiary, as applicable, agrees not to create or assume any Lien upon or with respect to the real property and equipment being financed (together with replacements, additions, attachments, accessions and proceeds (including insurance proceeds) thereof and accessories thereto).</w:t>
      </w:r>
    </w:p>
    <w:p>
      <w:pPr>
        <w:spacing w:after="0" w:line="164" w:lineRule="exact"/>
        <w:rPr>
          <w:sz w:val="20"/>
          <w:szCs w:val="20"/>
          <w:color w:val="auto"/>
        </w:rPr>
      </w:pPr>
    </w:p>
    <w:p>
      <w:pPr>
        <w:ind w:left="620"/>
        <w:spacing w:after="0"/>
        <w:tabs>
          <w:tab w:leader="none" w:pos="1280" w:val="left"/>
          <w:tab w:leader="none" w:pos="3340" w:val="left"/>
        </w:tabs>
        <w:rPr>
          <w:sz w:val="20"/>
          <w:szCs w:val="20"/>
          <w:color w:val="auto"/>
        </w:rPr>
      </w:pPr>
      <w:r>
        <w:rPr>
          <w:rFonts w:ascii="Courier New" w:cs="Courier New" w:eastAsia="Courier New" w:hAnsi="Courier New"/>
          <w:sz w:val="14"/>
          <w:szCs w:val="14"/>
          <w:color w:val="auto"/>
        </w:rPr>
        <w:t>7.03</w:t>
      </w:r>
      <w:r>
        <w:rPr>
          <w:sz w:val="20"/>
          <w:szCs w:val="20"/>
          <w:color w:val="auto"/>
        </w:rPr>
        <w:tab/>
      </w:r>
      <w:r>
        <w:rPr>
          <w:rFonts w:ascii="Courier New" w:cs="Courier New" w:eastAsia="Courier New" w:hAnsi="Courier New"/>
          <w:sz w:val="14"/>
          <w:szCs w:val="14"/>
          <w:color w:val="auto"/>
        </w:rPr>
        <w:t>Disposition of Assets.</w:t>
        <w:tab/>
        <w:t>The Company shall not, and shall not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suffer or permit any Semiconductor Operations Subsidiary to, directly or indirectly, sell, assign, lease, convey, transfer or otherwise dispose of (whether in one or a series of transactions) any property (including accounts and notes receivable, with or without recourse) (together, "Dispositions") or</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 into any agreement to do any of the foregoing, except for:</w:t>
      </w:r>
    </w:p>
    <w:p>
      <w:pPr>
        <w:spacing w:after="0" w:line="173" w:lineRule="exact"/>
        <w:rPr>
          <w:sz w:val="20"/>
          <w:szCs w:val="20"/>
          <w:color w:val="auto"/>
        </w:rPr>
      </w:pPr>
    </w:p>
    <w:p>
      <w:pPr>
        <w:ind w:right="3779" w:firstLine="611"/>
        <w:spacing w:after="0" w:line="250" w:lineRule="auto"/>
        <w:tabs>
          <w:tab w:leader="none" w:pos="947"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by a Semiconductor Operations Subsidiary of all or substantially all of its assets (upon voluntary dissolution, liquidation or otherwise) to the Company or any other Person provided that if such a</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Disposition is to a Person other than the Company or another Semiconductor Operations Subsidiary (or a Wholly-Owned Subsidiary which, immediately following such dissolution or liquidation, will become a Semiconductor Operations Subsidiary), such Disposition would be a Distribution permitted under Section 7.09(d);</w:t>
      </w:r>
    </w:p>
    <w:p>
      <w:pPr>
        <w:spacing w:after="0" w:line="165" w:lineRule="exact"/>
        <w:rPr>
          <w:sz w:val="20"/>
          <w:szCs w:val="20"/>
          <w:color w:val="auto"/>
        </w:rPr>
      </w:pPr>
    </w:p>
    <w:p>
      <w:pPr>
        <w:ind w:right="3679" w:firstLine="611"/>
        <w:spacing w:after="0" w:line="252" w:lineRule="auto"/>
        <w:tabs>
          <w:tab w:leader="none" w:pos="947"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assets in the ordinary course of business (the parties hereby agreeing that Dispositions of inventory, or used, worn-out or surplus equipment, or equipment</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70" w:name="page71"/>
    <w:bookmarkEnd w:id="70"/>
    <w:p>
      <w:pPr>
        <w:ind w:right="3779"/>
        <w:spacing w:after="0" w:line="255" w:lineRule="auto"/>
        <w:rPr>
          <w:sz w:val="20"/>
          <w:szCs w:val="20"/>
          <w:color w:val="auto"/>
        </w:rPr>
      </w:pPr>
      <w:r>
        <w:rPr>
          <w:rFonts w:ascii="Courier New" w:cs="Courier New" w:eastAsia="Courier New" w:hAnsi="Courier New"/>
          <w:sz w:val="14"/>
          <w:szCs w:val="14"/>
          <w:color w:val="auto"/>
        </w:rPr>
        <w:t>pursuant to Permitted Sale-Leaseback Transactions shall be considered to be Dispositions in the ordinary course of business);</w:t>
      </w:r>
    </w:p>
    <w:p>
      <w:pPr>
        <w:spacing w:after="0" w:line="160" w:lineRule="exact"/>
        <w:rPr>
          <w:sz w:val="20"/>
          <w:szCs w:val="20"/>
          <w:color w:val="auto"/>
        </w:rPr>
      </w:pPr>
    </w:p>
    <w:p>
      <w:pPr>
        <w:ind w:right="3519" w:firstLine="611"/>
        <w:spacing w:after="0" w:line="255" w:lineRule="auto"/>
        <w:tabs>
          <w:tab w:leader="none" w:pos="9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immaterial ($1,000,000 or less individually) assets outside the ordinary course of business;</w:t>
      </w:r>
    </w:p>
    <w:p>
      <w:pPr>
        <w:spacing w:after="0" w:line="159" w:lineRule="exact"/>
        <w:rPr>
          <w:rFonts w:ascii="Courier New" w:cs="Courier New" w:eastAsia="Courier New" w:hAnsi="Courier New"/>
          <w:sz w:val="14"/>
          <w:szCs w:val="14"/>
          <w:color w:val="auto"/>
        </w:rPr>
      </w:pPr>
    </w:p>
    <w:p>
      <w:pPr>
        <w:ind w:right="3679" w:firstLine="611"/>
        <w:spacing w:after="0" w:line="250" w:lineRule="auto"/>
        <w:tabs>
          <w:tab w:leader="none" w:pos="947"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material (greater than $1,000,000 individually) assets outside the ordinary course of business; provided, that the aggregate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fair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all material assets so sold, together</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with the aggregate</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fair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market</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value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any material (greater than $1,000,000</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individually) assets</w:t>
            </w: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disposed of</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pursuant</w:t>
            </w:r>
          </w:p>
        </w:tc>
        <w:tc>
          <w:tcPr>
            <w:tcW w:w="5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sale-leaseback transactions which do not constitute</w:t>
            </w:r>
          </w:p>
        </w:tc>
      </w:tr>
    </w:tbl>
    <w:p>
      <w:pPr>
        <w:spacing w:after="0" w:line="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Permitted Sale-Leaseback Transactions, shall not exceed 10% of Combined Tangible Assets as of the end of the most recent fiscal quarter; and</w:t>
      </w:r>
    </w:p>
    <w:p>
      <w:pPr>
        <w:spacing w:after="0" w:line="160" w:lineRule="exact"/>
        <w:rPr>
          <w:sz w:val="20"/>
          <w:szCs w:val="20"/>
          <w:color w:val="auto"/>
        </w:rPr>
      </w:pPr>
    </w:p>
    <w:p>
      <w:pPr>
        <w:ind w:right="3679" w:firstLine="611"/>
        <w:spacing w:after="0" w:line="252" w:lineRule="auto"/>
        <w:tabs>
          <w:tab w:leader="none" w:pos="94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Dispositions of non semiconductor operations assets, including dispositions of the capital stock of Subsidiaries that are not Semiconductor Operations Subsidiaries.</w:t>
      </w:r>
    </w:p>
    <w:p>
      <w:pPr>
        <w:spacing w:after="0" w:line="163" w:lineRule="exact"/>
        <w:rPr>
          <w:sz w:val="20"/>
          <w:szCs w:val="20"/>
          <w:color w:val="auto"/>
        </w:rPr>
      </w:pPr>
    </w:p>
    <w:p>
      <w:pPr>
        <w:ind w:left="620"/>
        <w:spacing w:after="0"/>
        <w:tabs>
          <w:tab w:leader="none" w:pos="1280" w:val="left"/>
          <w:tab w:leader="none" w:pos="3780" w:val="left"/>
        </w:tabs>
        <w:rPr>
          <w:sz w:val="20"/>
          <w:szCs w:val="20"/>
          <w:color w:val="auto"/>
        </w:rPr>
      </w:pPr>
      <w:r>
        <w:rPr>
          <w:rFonts w:ascii="Courier New" w:cs="Courier New" w:eastAsia="Courier New" w:hAnsi="Courier New"/>
          <w:sz w:val="14"/>
          <w:szCs w:val="14"/>
          <w:color w:val="auto"/>
        </w:rPr>
        <w:t>7.04</w:t>
      </w:r>
      <w:r>
        <w:rPr>
          <w:sz w:val="20"/>
          <w:szCs w:val="20"/>
          <w:color w:val="auto"/>
        </w:rPr>
        <w:tab/>
      </w:r>
      <w:r>
        <w:rPr>
          <w:rFonts w:ascii="Courier New" w:cs="Courier New" w:eastAsia="Courier New" w:hAnsi="Courier New"/>
          <w:sz w:val="14"/>
          <w:szCs w:val="14"/>
          <w:color w:val="auto"/>
        </w:rPr>
        <w:t>Consolidations and Mergers.</w:t>
        <w:tab/>
        <w:t>The Company shall not, and shall not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suffer or permit any Semiconductor Operations Subsidiary to, liquidate, dissolve or reorganize, or merge or consolidate with or into any other Person, except that:</w:t>
      </w:r>
    </w:p>
    <w:p>
      <w:pPr>
        <w:spacing w:after="0" w:line="323" w:lineRule="exact"/>
        <w:rPr>
          <w:sz w:val="20"/>
          <w:szCs w:val="20"/>
          <w:color w:val="auto"/>
        </w:rPr>
      </w:pPr>
    </w:p>
    <w:p>
      <w:pPr>
        <w:ind w:right="3339" w:firstLine="611"/>
        <w:spacing w:after="0" w:line="250" w:lineRule="auto"/>
        <w:tabs>
          <w:tab w:leader="none" w:pos="947"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Semiconductor Operations Subsidiary may merge, consolidate or reorganize with or into another Person (other than the Company or another Subsidiary) in connection with an Acquisition permitted pursuant to Section 7.05(g) or (o), provided, that (i) no Default or Event of Default has</w:t>
      </w:r>
    </w:p>
    <w:p>
      <w:pPr>
        <w:spacing w:after="0" w:line="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occurred or would occur as a result thereof on a pro forma basis, (ii) in the case of a transaction involving the Company, the Company shall be the surviving corporation, and (iii) in the case of a transaction involving a Semiconductor Operations Subsidiary, the Semiconductor Operations Subsidiary shall be the surviving corporation;</w:t>
      </w:r>
    </w:p>
    <w:p>
      <w:pPr>
        <w:spacing w:after="0" w:line="165" w:lineRule="exact"/>
        <w:rPr>
          <w:sz w:val="20"/>
          <w:szCs w:val="20"/>
          <w:color w:val="auto"/>
        </w:rPr>
      </w:pPr>
    </w:p>
    <w:p>
      <w:pPr>
        <w:ind w:right="3339" w:firstLine="611"/>
        <w:spacing w:after="0" w:line="250" w:lineRule="auto"/>
        <w:tabs>
          <w:tab w:leader="none" w:pos="94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Semiconductor Operations Subsidiary may merge, consolidate or reorganize with or into the Company or a Semiconductor Operations (or a Wholly-Owned Subsidiary which, immediately following such merger or consolidation, will become a Semiconductor Operations Subsidiary), provided that the Company or such</w:t>
      </w:r>
    </w:p>
    <w:p>
      <w:pPr>
        <w:spacing w:after="0" w:line="2"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Wholly-Owned Subsidiary shall be the continuing or surviving corporation;</w:t>
      </w:r>
    </w:p>
    <w:p>
      <w:pPr>
        <w:spacing w:after="0" w:line="173" w:lineRule="exact"/>
        <w:rPr>
          <w:sz w:val="20"/>
          <w:szCs w:val="20"/>
          <w:color w:val="auto"/>
        </w:rPr>
      </w:pPr>
    </w:p>
    <w:p>
      <w:pPr>
        <w:ind w:right="3339" w:firstLine="611"/>
        <w:spacing w:after="0" w:line="255" w:lineRule="auto"/>
        <w:tabs>
          <w:tab w:leader="none" w:pos="94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Semiconductor Operations Subsidiary may consolidate or merge with or into any other Semiconductor Operations Subsidiary; and</w:t>
      </w:r>
    </w:p>
    <w:p>
      <w:pPr>
        <w:spacing w:after="0" w:line="159"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Semiconductor Operations Subsidiary may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liquidate or dissolve as permitted under Section 7.03(a).</w:t>
      </w:r>
    </w:p>
    <w:p>
      <w:pPr>
        <w:spacing w:after="0" w:line="173" w:lineRule="exact"/>
        <w:rPr>
          <w:sz w:val="20"/>
          <w:szCs w:val="20"/>
          <w:color w:val="auto"/>
        </w:rPr>
      </w:pPr>
    </w:p>
    <w:p>
      <w:pPr>
        <w:ind w:left="620"/>
        <w:spacing w:after="0"/>
        <w:tabs>
          <w:tab w:leader="none" w:pos="1280" w:val="left"/>
          <w:tab w:leader="none" w:pos="3340" w:val="left"/>
        </w:tabs>
        <w:rPr>
          <w:sz w:val="20"/>
          <w:szCs w:val="20"/>
          <w:color w:val="auto"/>
        </w:rPr>
      </w:pPr>
      <w:r>
        <w:rPr>
          <w:rFonts w:ascii="Courier New" w:cs="Courier New" w:eastAsia="Courier New" w:hAnsi="Courier New"/>
          <w:sz w:val="14"/>
          <w:szCs w:val="14"/>
          <w:color w:val="auto"/>
        </w:rPr>
        <w:t>7.05</w:t>
      </w:r>
      <w:r>
        <w:rPr>
          <w:sz w:val="20"/>
          <w:szCs w:val="20"/>
          <w:color w:val="auto"/>
        </w:rPr>
        <w:tab/>
      </w:r>
      <w:r>
        <w:rPr>
          <w:rFonts w:ascii="Courier New" w:cs="Courier New" w:eastAsia="Courier New" w:hAnsi="Courier New"/>
          <w:sz w:val="14"/>
          <w:szCs w:val="14"/>
          <w:color w:val="auto"/>
        </w:rPr>
        <w:t>Loans and Investments.</w:t>
        <w:tab/>
        <w:t>The Company shall not purchase 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acquire, or suffer or permit any Semiconductor Operations Subsidiary to purchase or acquire, any capital stock, equity interest, or any obligations or other securities of, or any interest in, any Person, or make any Acquisitions, or make any advance, loan, extension of credit or capital contribution to or any other investment in, any Person including any Affiliate of the Company (together, "Investments"), except for:</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019" w:firstLine="611"/>
        <w:spacing w:after="0" w:line="255" w:lineRule="auto"/>
        <w:tabs>
          <w:tab w:leader="none" w:pos="94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held by the Company or a Semiconductor Operations Subsidiary in the form of cash equivalents and liquid investments;</w:t>
      </w:r>
    </w:p>
    <w:p>
      <w:pPr>
        <w:spacing w:after="0" w:line="159" w:lineRule="exact"/>
        <w:rPr>
          <w:rFonts w:ascii="Courier New" w:cs="Courier New" w:eastAsia="Courier New" w:hAnsi="Courier New"/>
          <w:sz w:val="14"/>
          <w:szCs w:val="14"/>
          <w:color w:val="auto"/>
        </w:rPr>
      </w:pPr>
    </w:p>
    <w:p>
      <w:pPr>
        <w:jc w:val="both"/>
        <w:ind w:right="3419" w:firstLine="611"/>
        <w:spacing w:after="0" w:line="252" w:lineRule="auto"/>
        <w:tabs>
          <w:tab w:leader="none" w:pos="94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the nature of accounts receivable or notes receivable arising from the sale or lease of goods or services or licensing of property in the ordinary course of business;</w:t>
      </w:r>
    </w:p>
    <w:p>
      <w:pPr>
        <w:spacing w:after="0" w:line="162" w:lineRule="exact"/>
        <w:rPr>
          <w:rFonts w:ascii="Courier New" w:cs="Courier New" w:eastAsia="Courier New" w:hAnsi="Courier New"/>
          <w:sz w:val="14"/>
          <w:szCs w:val="14"/>
          <w:color w:val="auto"/>
        </w:rPr>
      </w:pPr>
    </w:p>
    <w:p>
      <w:pPr>
        <w:ind w:right="3339" w:firstLine="611"/>
        <w:spacing w:after="0" w:line="252" w:lineRule="auto"/>
        <w:tabs>
          <w:tab w:leader="none" w:pos="94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made by the Company to or in its Semiconductor Operations Subsidiaries, or by a Semiconductor Operations Subsidiary to or in the Company or another Semiconductor Operations Subsidiary, to the extent permitted by Section 7.07;</w:t>
      </w:r>
    </w:p>
    <w:p>
      <w:pPr>
        <w:spacing w:after="0" w:line="162"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Micron Electronics, Inc. provided, however, that the</w:t>
      </w:r>
    </w:p>
    <w:p>
      <w:pPr>
        <w:spacing w:after="0" w:line="7" w:lineRule="exact"/>
        <w:rPr>
          <w:rFonts w:ascii="Courier New" w:cs="Courier New" w:eastAsia="Courier New" w:hAnsi="Courier New"/>
          <w:sz w:val="14"/>
          <w:szCs w:val="14"/>
          <w:color w:val="auto"/>
        </w:rPr>
      </w:pPr>
    </w:p>
    <w:p>
      <w:pPr>
        <w:ind w:left="4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aggregate principal amount of all advances, loans and other extensions of credit to Micron Electronics, Inc. outstanding at any time plus the cumulative amount</w:t>
      </w:r>
    </w:p>
    <w:p>
      <w:pPr>
        <w:spacing w:after="0" w:line="1"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of all equity contributions in Micron Electronics, Inc. since the Closing Date shall not exceed $100,000,000 in the aggregate;</w:t>
      </w:r>
    </w:p>
    <w:p>
      <w:pPr>
        <w:spacing w:after="0" w:line="160" w:lineRule="exact"/>
        <w:rPr>
          <w:sz w:val="20"/>
          <w:szCs w:val="20"/>
          <w:color w:val="auto"/>
        </w:rPr>
      </w:pPr>
    </w:p>
    <w:p>
      <w:pPr>
        <w:ind w:right="3419" w:firstLine="611"/>
        <w:spacing w:after="0" w:line="250" w:lineRule="auto"/>
        <w:tabs>
          <w:tab w:leader="none" w:pos="94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non Semiconductor Operations Subsidiaries (other than Micron Electronics, Inc.); provided, however, that the aggregate principal</w:t>
      </w:r>
    </w:p>
    <w:p>
      <w:pPr>
        <w:spacing w:after="0" w:line="1" w:lineRule="exact"/>
        <w:rPr>
          <w:sz w:val="20"/>
          <w:szCs w:val="20"/>
          <w:color w:val="auto"/>
        </w:rPr>
      </w:pPr>
    </w:p>
    <w:p>
      <w:pPr>
        <w:ind w:left="2340"/>
        <w:spacing w:after="0"/>
        <w:tabs>
          <w:tab w:leader="none" w:pos="31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all outstanding advances, loans and other extensions of credit plus</w:t>
      </w:r>
    </w:p>
    <w:p>
      <w:pPr>
        <w:spacing w:after="0" w:line="7"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cumulative amount of all equity contributions since the Closing Date in connection with such Investments shall not exceed an amount equal to 5% of Combined Tangible Net Worth as of the last day of the most recently ended fiscal quarter;</w:t>
      </w:r>
    </w:p>
    <w:p>
      <w:pPr>
        <w:spacing w:after="0" w:line="162" w:lineRule="exact"/>
        <w:rPr>
          <w:sz w:val="20"/>
          <w:szCs w:val="20"/>
          <w:color w:val="auto"/>
        </w:rPr>
      </w:pPr>
    </w:p>
    <w:p>
      <w:pPr>
        <w:ind w:right="3519" w:firstLine="611"/>
        <w:spacing w:after="0" w:line="255" w:lineRule="auto"/>
        <w:tabs>
          <w:tab w:leader="none" w:pos="94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incidental loans or advances to employees in the ordinary course of business or as part of their overall compensation package;</w:t>
      </w:r>
    </w:p>
    <w:p>
      <w:pPr>
        <w:spacing w:after="0" w:line="159" w:lineRule="exact"/>
        <w:rPr>
          <w:rFonts w:ascii="Courier New" w:cs="Courier New" w:eastAsia="Courier New" w:hAnsi="Courier New"/>
          <w:sz w:val="14"/>
          <w:szCs w:val="14"/>
          <w:color w:val="auto"/>
        </w:rPr>
      </w:pPr>
    </w:p>
    <w:p>
      <w:pPr>
        <w:jc w:val="both"/>
        <w:ind w:right="3419" w:firstLine="611"/>
        <w:spacing w:after="0" w:line="250" w:lineRule="auto"/>
        <w:tabs>
          <w:tab w:leader="none" w:pos="94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incurred in order to consummate Acquisitions, to acquire minority interests or to acquire minority interests in a Subsidiary that is not a Wholly-Owned Subsidiary; provided, however, that (i) the Investment is being</w:t>
      </w:r>
    </w:p>
    <w:p>
      <w:pPr>
        <w:spacing w:after="0" w:line="1" w:lineRule="exact"/>
        <w:rPr>
          <w:sz w:val="20"/>
          <w:szCs w:val="20"/>
          <w:color w:val="auto"/>
        </w:rPr>
      </w:pPr>
    </w:p>
    <w:p>
      <w:pPr>
        <w:ind w:left="2340"/>
        <w:spacing w:after="0"/>
        <w:tabs>
          <w:tab w:leader="none" w:pos="31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made in a Person that is engaged in a line of business that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72" w:name="page73"/>
    <w:bookmarkEnd w:id="72"/>
    <w:p>
      <w:pPr>
        <w:ind w:right="3339"/>
        <w:spacing w:after="0" w:line="250" w:lineRule="auto"/>
        <w:rPr>
          <w:sz w:val="20"/>
          <w:szCs w:val="20"/>
          <w:color w:val="auto"/>
        </w:rPr>
      </w:pPr>
      <w:r>
        <w:rPr>
          <w:rFonts w:ascii="Courier New" w:cs="Courier New" w:eastAsia="Courier New" w:hAnsi="Courier New"/>
          <w:sz w:val="14"/>
          <w:szCs w:val="14"/>
          <w:color w:val="auto"/>
        </w:rPr>
        <w:t>would be permitted under Section 7.12 if such Person were a Semiconductor Operations Subsidiary, (ii) no Default or Event of Default has occurred or would occur as a result of such Investment on a pro forma basis, (iii) such Investments are undertaken in accordance with all applicable Requirements of Law, (iv) if such Investment constitutes an Acquisition, the prior, effective written consent or approval to such Investment of the board of directors or equivalent governing body of the Person acquired or in which the Investment is being made is obtained, and (v) the cumulative aggregate consideration paid (including the assumption of debt), the aggregate principal amount of all outstanding advances, loans and other extension of credit, plus the cumulative</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amount of all equity contributions made since the Closing Date in connection with such Investments shall not exceed an amount equal to 25% of Combined Tangible Assets as of the last day of the most recently ended fiscal quarter;</w:t>
      </w:r>
    </w:p>
    <w:p>
      <w:pPr>
        <w:spacing w:after="0" w:line="163" w:lineRule="exact"/>
        <w:rPr>
          <w:sz w:val="20"/>
          <w:szCs w:val="20"/>
          <w:color w:val="auto"/>
        </w:rPr>
      </w:pPr>
    </w:p>
    <w:p>
      <w:pPr>
        <w:ind w:right="3599" w:firstLine="611"/>
        <w:spacing w:after="0" w:line="252" w:lineRule="auto"/>
        <w:tabs>
          <w:tab w:leader="none" w:pos="9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consisting of guarantees by the Company and its Semiconductor Operations Subsidiaries of the obligations of vendors and suppliers of the Company or its Semiconductor Operations Subsidiaries entered into in the ordinary course of business;</w:t>
      </w:r>
    </w:p>
    <w:p>
      <w:pPr>
        <w:spacing w:after="0" w:line="162" w:lineRule="exact"/>
        <w:rPr>
          <w:rFonts w:ascii="Courier New" w:cs="Courier New" w:eastAsia="Courier New" w:hAnsi="Courier New"/>
          <w:sz w:val="14"/>
          <w:szCs w:val="14"/>
          <w:color w:val="auto"/>
        </w:rPr>
      </w:pPr>
    </w:p>
    <w:p>
      <w:pPr>
        <w:ind w:right="3599" w:firstLine="611"/>
        <w:spacing w:after="0" w:line="255" w:lineRule="auto"/>
        <w:tabs>
          <w:tab w:leader="none" w:pos="9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constituting Permitted Swap Obligations or payments or advances under Swap Contracts relating to Permitted Swap Obligations;</w:t>
      </w:r>
    </w:p>
    <w:p>
      <w:pPr>
        <w:spacing w:after="0" w:line="159"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existing on the Closing Date;</w:t>
      </w:r>
    </w:p>
    <w:p>
      <w:pPr>
        <w:spacing w:after="0" w:line="172" w:lineRule="exact"/>
        <w:rPr>
          <w:rFonts w:ascii="Courier New" w:cs="Courier New" w:eastAsia="Courier New" w:hAnsi="Courier New"/>
          <w:sz w:val="14"/>
          <w:szCs w:val="14"/>
          <w:color w:val="auto"/>
        </w:rPr>
      </w:pPr>
    </w:p>
    <w:p>
      <w:pPr>
        <w:ind w:right="3599" w:firstLine="611"/>
        <w:spacing w:after="0" w:line="252" w:lineRule="auto"/>
        <w:tabs>
          <w:tab w:leader="none" w:pos="9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received in settlement of delinquent obligations or disputes, including Investments received in connection with the bankruptcy or reorganization of third Persons;</w:t>
      </w:r>
    </w:p>
    <w:p>
      <w:pPr>
        <w:spacing w:after="0" w:line="162" w:lineRule="exact"/>
        <w:rPr>
          <w:rFonts w:ascii="Courier New" w:cs="Courier New" w:eastAsia="Courier New" w:hAnsi="Courier New"/>
          <w:sz w:val="14"/>
          <w:szCs w:val="14"/>
          <w:color w:val="auto"/>
        </w:rPr>
      </w:pPr>
    </w:p>
    <w:p>
      <w:pPr>
        <w:ind w:right="3339" w:firstLine="611"/>
        <w:spacing w:after="0" w:line="255" w:lineRule="auto"/>
        <w:tabs>
          <w:tab w:leader="none" w:pos="9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consisting of deposit accounts maintained in the ordinary course of business;</w:t>
      </w:r>
    </w:p>
    <w:p>
      <w:pPr>
        <w:spacing w:after="0" w:line="159" w:lineRule="exact"/>
        <w:rPr>
          <w:rFonts w:ascii="Courier New" w:cs="Courier New" w:eastAsia="Courier New" w:hAnsi="Courier New"/>
          <w:sz w:val="14"/>
          <w:szCs w:val="14"/>
          <w:color w:val="auto"/>
        </w:rPr>
      </w:pPr>
    </w:p>
    <w:p>
      <w:pPr>
        <w:ind w:right="3939" w:firstLine="611"/>
        <w:spacing w:after="0" w:line="255" w:lineRule="auto"/>
        <w:tabs>
          <w:tab w:leader="none" w:pos="9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accepted in connection with Dispositions of assets permitted under Section 7.03;</w:t>
      </w:r>
    </w:p>
    <w:p>
      <w:pPr>
        <w:spacing w:after="0" w:line="159" w:lineRule="exact"/>
        <w:rPr>
          <w:rFonts w:ascii="Courier New" w:cs="Courier New" w:eastAsia="Courier New" w:hAnsi="Courier New"/>
          <w:sz w:val="14"/>
          <w:szCs w:val="14"/>
          <w:color w:val="auto"/>
        </w:rPr>
      </w:pPr>
    </w:p>
    <w:p>
      <w:pPr>
        <w:ind w:right="3419" w:firstLine="611"/>
        <w:spacing w:after="0" w:line="255" w:lineRule="auto"/>
        <w:tabs>
          <w:tab w:leader="none" w:pos="9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Investment made in connection with a transaction permitted under Section 7.04; and</w:t>
      </w:r>
    </w:p>
    <w:p>
      <w:pPr>
        <w:spacing w:after="0" w:line="159" w:lineRule="exact"/>
        <w:rPr>
          <w:rFonts w:ascii="Courier New" w:cs="Courier New" w:eastAsia="Courier New" w:hAnsi="Courier New"/>
          <w:sz w:val="14"/>
          <w:szCs w:val="14"/>
          <w:color w:val="auto"/>
        </w:rPr>
      </w:pPr>
    </w:p>
    <w:p>
      <w:pPr>
        <w:ind w:right="3679" w:firstLine="611"/>
        <w:spacing w:after="0" w:line="250" w:lineRule="auto"/>
        <w:tabs>
          <w:tab w:leader="none" w:pos="947"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not described or covered by any of the foregoing subsections (a) through (n) of this Section; provided that (i) no Default or</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Event of Default has occurred or would occur as a result of such Investment on a pro forma basis, (ii) such Investments are undertaken in accordance with all applicable Requirements of Law, (iii) if such Investment constitutes an Acquisition, the prior, effective written consent or approval to such Investment of the board of directors or equivalent governing body of the Person acquired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73" w:name="page74"/>
    <w:bookmarkEnd w:id="73"/>
    <w:p>
      <w:pPr>
        <w:ind w:right="3519"/>
        <w:spacing w:after="0" w:line="250" w:lineRule="auto"/>
        <w:rPr>
          <w:sz w:val="20"/>
          <w:szCs w:val="20"/>
          <w:color w:val="auto"/>
        </w:rPr>
      </w:pPr>
      <w:r>
        <w:rPr>
          <w:rFonts w:ascii="Courier New" w:cs="Courier New" w:eastAsia="Courier New" w:hAnsi="Courier New"/>
          <w:sz w:val="14"/>
          <w:szCs w:val="14"/>
          <w:color w:val="auto"/>
        </w:rPr>
        <w:t>or in which the Investment is being made is obtained, and (iv) the cumulative aggregate consideration paid (including the assumption of debt), the aggregate principal amount of all outstanding advances, loans and other extension of credit, plus the cumulative amount of all equity contributions made since the</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Closing Date in connection with such Investments shall not exceed an amount equal to 2% of Combined Tangible Assets as of the last day of the most recently ended fiscal quarter.</w:t>
      </w:r>
    </w:p>
    <w:p>
      <w:pPr>
        <w:spacing w:after="0" w:line="163" w:lineRule="exact"/>
        <w:rPr>
          <w:sz w:val="20"/>
          <w:szCs w:val="20"/>
          <w:color w:val="auto"/>
        </w:rPr>
      </w:pPr>
    </w:p>
    <w:p>
      <w:pPr>
        <w:ind w:left="620"/>
        <w:spacing w:after="0"/>
        <w:tabs>
          <w:tab w:leader="none" w:pos="1280" w:val="left"/>
          <w:tab w:leader="none" w:pos="6100" w:val="left"/>
        </w:tabs>
        <w:rPr>
          <w:sz w:val="20"/>
          <w:szCs w:val="20"/>
          <w:color w:val="auto"/>
        </w:rPr>
      </w:pPr>
      <w:r>
        <w:rPr>
          <w:rFonts w:ascii="Courier New" w:cs="Courier New" w:eastAsia="Courier New" w:hAnsi="Courier New"/>
          <w:sz w:val="14"/>
          <w:szCs w:val="14"/>
          <w:color w:val="auto"/>
        </w:rPr>
        <w:t>7.06</w:t>
      </w:r>
      <w:r>
        <w:rPr>
          <w:sz w:val="20"/>
          <w:szCs w:val="20"/>
          <w:color w:val="auto"/>
        </w:rPr>
        <w:tab/>
      </w:r>
      <w:r>
        <w:rPr>
          <w:rFonts w:ascii="Courier New" w:cs="Courier New" w:eastAsia="Courier New" w:hAnsi="Courier New"/>
          <w:sz w:val="14"/>
          <w:szCs w:val="14"/>
          <w:color w:val="auto"/>
        </w:rPr>
        <w:t>Limitation on Indebtedness and Contingent Obligations.</w:t>
        <w:tab/>
        <w:t>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Company shall not, and shall not suffer or permit any Semiconductor Operations Subsidiary to, create, incur, assume, suffer to exist, or otherwise become or remain directly or indirectly liable with respect to, any Indebtedness or Contingent Obligations, except, without duplication:</w:t>
      </w:r>
    </w:p>
    <w:p>
      <w:pPr>
        <w:spacing w:after="0" w:line="162" w:lineRule="exact"/>
        <w:rPr>
          <w:sz w:val="20"/>
          <w:szCs w:val="20"/>
          <w:color w:val="auto"/>
        </w:rPr>
      </w:pPr>
    </w:p>
    <w:p>
      <w:pPr>
        <w:ind w:left="960" w:hanging="349"/>
        <w:spacing w:after="0"/>
        <w:tabs>
          <w:tab w:leader="none" w:pos="9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pursuant to this Agreement;</w:t>
      </w:r>
    </w:p>
    <w:p>
      <w:pPr>
        <w:spacing w:after="0" w:line="172" w:lineRule="exact"/>
        <w:rPr>
          <w:rFonts w:ascii="Courier New" w:cs="Courier New" w:eastAsia="Courier New" w:hAnsi="Courier New"/>
          <w:sz w:val="14"/>
          <w:szCs w:val="14"/>
          <w:color w:val="auto"/>
        </w:rPr>
      </w:pPr>
    </w:p>
    <w:p>
      <w:pPr>
        <w:ind w:right="3419" w:firstLine="611"/>
        <w:spacing w:after="0" w:line="255"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and Contingent Obligations existing on the Closing Date and set forth in Schedule 7.06 to the Disclosure Letter;</w:t>
      </w:r>
    </w:p>
    <w:p>
      <w:pPr>
        <w:spacing w:after="0" w:line="159" w:lineRule="exact"/>
        <w:rPr>
          <w:rFonts w:ascii="Courier New" w:cs="Courier New" w:eastAsia="Courier New" w:hAnsi="Courier New"/>
          <w:sz w:val="14"/>
          <w:szCs w:val="14"/>
          <w:color w:val="auto"/>
        </w:rPr>
      </w:pPr>
    </w:p>
    <w:p>
      <w:pPr>
        <w:ind w:right="3419" w:firstLine="611"/>
        <w:spacing w:after="0" w:line="255"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Obligations in the form of endorsements for collection or deposit in the ordinary course of business;</w:t>
      </w:r>
    </w:p>
    <w:p>
      <w:pPr>
        <w:spacing w:after="0" w:line="159" w:lineRule="exact"/>
        <w:rPr>
          <w:rFonts w:ascii="Courier New" w:cs="Courier New" w:eastAsia="Courier New" w:hAnsi="Courier New"/>
          <w:sz w:val="14"/>
          <w:szCs w:val="14"/>
          <w:color w:val="auto"/>
        </w:rPr>
      </w:pPr>
    </w:p>
    <w:p>
      <w:pPr>
        <w:ind w:right="3599" w:firstLine="611"/>
        <w:spacing w:after="0" w:line="255"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with respect to cash deposited by customers to obtain the rights to delivery of future goods or services;</w:t>
      </w:r>
    </w:p>
    <w:p>
      <w:pPr>
        <w:spacing w:after="0" w:line="159"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Swap Obligations;</w:t>
      </w:r>
    </w:p>
    <w:p>
      <w:pPr>
        <w:spacing w:after="0" w:line="172" w:lineRule="exact"/>
        <w:rPr>
          <w:rFonts w:ascii="Courier New" w:cs="Courier New" w:eastAsia="Courier New" w:hAnsi="Courier New"/>
          <w:sz w:val="14"/>
          <w:szCs w:val="14"/>
          <w:color w:val="auto"/>
        </w:rPr>
      </w:pPr>
    </w:p>
    <w:p>
      <w:pPr>
        <w:ind w:right="3519" w:firstLine="611"/>
        <w:spacing w:after="0" w:line="255"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permitted by Section 7.01(j) or incurred in connection with deferred purchases of equipment;</w:t>
      </w:r>
    </w:p>
    <w:p>
      <w:pPr>
        <w:spacing w:after="0" w:line="159" w:lineRule="exact"/>
        <w:rPr>
          <w:rFonts w:ascii="Courier New" w:cs="Courier New" w:eastAsia="Courier New" w:hAnsi="Courier New"/>
          <w:sz w:val="14"/>
          <w:szCs w:val="14"/>
          <w:color w:val="auto"/>
        </w:rPr>
      </w:pPr>
    </w:p>
    <w:p>
      <w:pPr>
        <w:ind w:right="3679" w:firstLine="611"/>
        <w:spacing w:after="0" w:line="255"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in connection with Investments permitted by Section 7.05(c);</w:t>
      </w:r>
    </w:p>
    <w:p>
      <w:pPr>
        <w:spacing w:after="0" w:line="159" w:lineRule="exact"/>
        <w:rPr>
          <w:rFonts w:ascii="Courier New" w:cs="Courier New" w:eastAsia="Courier New" w:hAnsi="Courier New"/>
          <w:sz w:val="14"/>
          <w:szCs w:val="14"/>
          <w:color w:val="auto"/>
        </w:rPr>
      </w:pPr>
    </w:p>
    <w:p>
      <w:pPr>
        <w:ind w:right="3339" w:firstLine="611"/>
        <w:spacing w:after="0" w:line="252"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Semiconductor Operations Subsidiaries from Persons other than the Company or another Semiconductor Operations Subsidiary up to a maximum aggregate principal amount outstanding of $50,000,000;</w:t>
      </w:r>
    </w:p>
    <w:p>
      <w:pPr>
        <w:spacing w:after="0" w:line="162" w:lineRule="exact"/>
        <w:rPr>
          <w:rFonts w:ascii="Courier New" w:cs="Courier New" w:eastAsia="Courier New" w:hAnsi="Courier New"/>
          <w:sz w:val="14"/>
          <w:szCs w:val="14"/>
          <w:color w:val="auto"/>
        </w:rPr>
      </w:pPr>
    </w:p>
    <w:p>
      <w:pPr>
        <w:ind w:right="3599" w:firstLine="611"/>
        <w:spacing w:after="0" w:line="252"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with respect to deferred compensation or employee benefit programs incurred in the ordinary course of business or in connection with the discontinuance or sale of businesses or facilities;</w:t>
      </w:r>
    </w:p>
    <w:p>
      <w:pPr>
        <w:spacing w:after="0" w:line="162" w:lineRule="exact"/>
        <w:rPr>
          <w:rFonts w:ascii="Courier New" w:cs="Courier New" w:eastAsia="Courier New" w:hAnsi="Courier New"/>
          <w:sz w:val="14"/>
          <w:szCs w:val="14"/>
          <w:color w:val="auto"/>
        </w:rPr>
      </w:pPr>
    </w:p>
    <w:p>
      <w:pPr>
        <w:ind w:right="3339" w:firstLine="611"/>
        <w:spacing w:after="0" w:line="255" w:lineRule="auto"/>
        <w:tabs>
          <w:tab w:leader="none" w:pos="94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7.10, Permitted Subordinated Debt incurred by the Company in an aggregate principal amount not to exceed at any time $500,000,000;</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74" w:name="page75"/>
    <w:bookmarkEnd w:id="74"/>
    <w:p>
      <w:pPr>
        <w:ind w:right="4019" w:firstLine="611"/>
        <w:spacing w:after="0" w:line="255" w:lineRule="auto"/>
        <w:tabs>
          <w:tab w:leader="none" w:pos="9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Senior Unsecured Debt incurred by the Company in an aggregate principal amount not to exceed at any time $300,000,000;</w:t>
      </w:r>
    </w:p>
    <w:p>
      <w:pPr>
        <w:spacing w:after="0" w:line="159" w:lineRule="exact"/>
        <w:rPr>
          <w:rFonts w:ascii="Courier New" w:cs="Courier New" w:eastAsia="Courier New" w:hAnsi="Courier New"/>
          <w:sz w:val="14"/>
          <w:szCs w:val="14"/>
          <w:color w:val="auto"/>
        </w:rPr>
      </w:pPr>
    </w:p>
    <w:p>
      <w:pPr>
        <w:ind w:right="3599" w:firstLine="611"/>
        <w:spacing w:after="0" w:line="255" w:lineRule="auto"/>
        <w:tabs>
          <w:tab w:leader="none" w:pos="9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or Contingent Obligations incurred in connection with the bonding requirements of Micron Construction, Inc.;</w:t>
      </w:r>
    </w:p>
    <w:p>
      <w:pPr>
        <w:spacing w:after="0" w:line="159" w:lineRule="exact"/>
        <w:rPr>
          <w:rFonts w:ascii="Courier New" w:cs="Courier New" w:eastAsia="Courier New" w:hAnsi="Courier New"/>
          <w:sz w:val="14"/>
          <w:szCs w:val="14"/>
          <w:color w:val="auto"/>
        </w:rPr>
      </w:pPr>
    </w:p>
    <w:p>
      <w:pPr>
        <w:ind w:right="3679" w:firstLine="611"/>
        <w:spacing w:after="0" w:line="252" w:lineRule="auto"/>
        <w:tabs>
          <w:tab w:leader="none" w:pos="9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in the ordinary course of business by the Company or any Semiconductor Operations Subsidiary in connection with the payment of foreign currency amounts owed to the Company or any Semiconductor Operations Subsidiary by a customer;</w:t>
      </w:r>
    </w:p>
    <w:p>
      <w:pPr>
        <w:spacing w:after="0" w:line="162" w:lineRule="exact"/>
        <w:rPr>
          <w:rFonts w:ascii="Courier New" w:cs="Courier New" w:eastAsia="Courier New" w:hAnsi="Courier New"/>
          <w:sz w:val="14"/>
          <w:szCs w:val="14"/>
          <w:color w:val="auto"/>
        </w:rPr>
      </w:pPr>
    </w:p>
    <w:p>
      <w:pPr>
        <w:ind w:right="3939" w:firstLine="611"/>
        <w:spacing w:after="0" w:line="255" w:lineRule="auto"/>
        <w:tabs>
          <w:tab w:leader="none" w:pos="9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consisting of obligations with respect to standby letters of credit issued in the ordinary course of business;</w:t>
      </w:r>
    </w:p>
    <w:p>
      <w:pPr>
        <w:spacing w:after="0" w:line="159" w:lineRule="exact"/>
        <w:rPr>
          <w:rFonts w:ascii="Courier New" w:cs="Courier New" w:eastAsia="Courier New" w:hAnsi="Courier New"/>
          <w:sz w:val="14"/>
          <w:szCs w:val="14"/>
          <w:color w:val="auto"/>
        </w:rPr>
      </w:pPr>
    </w:p>
    <w:p>
      <w:pPr>
        <w:ind w:right="3339" w:firstLine="611"/>
        <w:spacing w:after="0" w:line="251" w:lineRule="auto"/>
        <w:tabs>
          <w:tab w:leader="none" w:pos="9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Obligations of the Company with respect to Indebtedness of its Semiconductor Operations Subsidiaries to the extent such Indebtedness is otherwise permitted under this Section 7.06, and Contingent Obligations of the Company with respect to Indebtedness of the Company or another Semiconductor Operations Subsidiaries to the extent such Indebtedness is otherwise permitted under this Section 7.06; and</w:t>
      </w:r>
    </w:p>
    <w:p>
      <w:pPr>
        <w:spacing w:after="0" w:line="164" w:lineRule="exact"/>
        <w:rPr>
          <w:rFonts w:ascii="Courier New" w:cs="Courier New" w:eastAsia="Courier New" w:hAnsi="Courier New"/>
          <w:sz w:val="14"/>
          <w:szCs w:val="14"/>
          <w:color w:val="auto"/>
        </w:rPr>
      </w:pPr>
    </w:p>
    <w:p>
      <w:pPr>
        <w:ind w:right="3859" w:firstLine="611"/>
        <w:spacing w:after="0" w:line="252" w:lineRule="auto"/>
        <w:tabs>
          <w:tab w:leader="none" w:pos="947"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and Contingent Obligations other than for borrowed money, to the extent not otherwise permitted by this Section 7.06, in an aggregate principal amount not exceeding $50,000,000 at any time.</w:t>
      </w:r>
    </w:p>
    <w:p>
      <w:pPr>
        <w:spacing w:after="0" w:line="163" w:lineRule="exact"/>
        <w:rPr>
          <w:sz w:val="20"/>
          <w:szCs w:val="20"/>
          <w:color w:val="auto"/>
        </w:rPr>
      </w:pPr>
    </w:p>
    <w:p>
      <w:pPr>
        <w:ind w:left="620"/>
        <w:spacing w:after="0"/>
        <w:tabs>
          <w:tab w:leader="none" w:pos="1280" w:val="left"/>
          <w:tab w:leader="none" w:pos="3960" w:val="left"/>
        </w:tabs>
        <w:rPr>
          <w:sz w:val="20"/>
          <w:szCs w:val="20"/>
          <w:color w:val="auto"/>
        </w:rPr>
      </w:pPr>
      <w:r>
        <w:rPr>
          <w:rFonts w:ascii="Courier New" w:cs="Courier New" w:eastAsia="Courier New" w:hAnsi="Courier New"/>
          <w:sz w:val="14"/>
          <w:szCs w:val="14"/>
          <w:color w:val="auto"/>
        </w:rPr>
        <w:t>7.07</w:t>
      </w:r>
      <w:r>
        <w:rPr>
          <w:sz w:val="20"/>
          <w:szCs w:val="20"/>
          <w:color w:val="auto"/>
        </w:rPr>
        <w:tab/>
      </w:r>
      <w:r>
        <w:rPr>
          <w:rFonts w:ascii="Courier New" w:cs="Courier New" w:eastAsia="Courier New" w:hAnsi="Courier New"/>
          <w:sz w:val="14"/>
          <w:szCs w:val="14"/>
          <w:color w:val="auto"/>
        </w:rPr>
        <w:t>Transactions with Affiliates.</w:t>
        <w:tab/>
        <w:t>The Company shall not, and shall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 suffer or permit any Semiconductor Operations Subsidiary to, enter into any transaction with any Affiliate of the Company, except (a) with respect to any Affiliate which is not a Semiconductor Operations Subsidiary, upon fair and reasonable terms no less favorable to the Company or such Semiconductor Operations Subsidiary than it would obtain in a comparable arm's-length transaction with a Person not an Affiliate of the Company or such Semiconductor Operations Subsidiary, and (b) with respect to any Affiliate which is a Semiconductor Operations Subsidiary, upon fair and reasonable terms.</w:t>
      </w:r>
    </w:p>
    <w:p>
      <w:pPr>
        <w:spacing w:after="0" w:line="164" w:lineRule="exact"/>
        <w:rPr>
          <w:sz w:val="20"/>
          <w:szCs w:val="20"/>
          <w:color w:val="auto"/>
        </w:rPr>
      </w:pPr>
    </w:p>
    <w:p>
      <w:pPr>
        <w:ind w:left="620"/>
        <w:spacing w:after="0"/>
        <w:tabs>
          <w:tab w:leader="none" w:pos="1280" w:val="left"/>
          <w:tab w:leader="none" w:pos="2840" w:val="left"/>
        </w:tabs>
        <w:rPr>
          <w:sz w:val="20"/>
          <w:szCs w:val="20"/>
          <w:color w:val="auto"/>
        </w:rPr>
      </w:pPr>
      <w:r>
        <w:rPr>
          <w:rFonts w:ascii="Courier New" w:cs="Courier New" w:eastAsia="Courier New" w:hAnsi="Courier New"/>
          <w:sz w:val="14"/>
          <w:szCs w:val="14"/>
          <w:color w:val="auto"/>
        </w:rPr>
        <w:t>7.08</w:t>
      </w:r>
      <w:r>
        <w:rPr>
          <w:sz w:val="20"/>
          <w:szCs w:val="20"/>
          <w:color w:val="auto"/>
        </w:rPr>
        <w:tab/>
      </w:r>
      <w:r>
        <w:rPr>
          <w:rFonts w:ascii="Courier New" w:cs="Courier New" w:eastAsia="Courier New" w:hAnsi="Courier New"/>
          <w:sz w:val="14"/>
          <w:szCs w:val="14"/>
          <w:color w:val="auto"/>
        </w:rPr>
        <w:t>Use of Proceeds.</w:t>
        <w:tab/>
        <w:t>The Company shall not, and shall not suffer 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permit any Subsidiary to, use any portion of the Loan proceeds, directly or indirectly, (a) to purchase or carry Margin Stock, (b) to repay or otherwise refinance indebtedness of the Company or others incurred to purchase or carry Margin Stock, (c) to extend credit for the purpose of purchasing or carrying any Margin Stock, or (d) to acquire any security in any transaction that is subject to Section 13 or 14</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of the Exchange Act.</w:t>
      </w:r>
    </w:p>
    <w:p>
      <w:pPr>
        <w:spacing w:after="0" w:line="173" w:lineRule="exact"/>
        <w:rPr>
          <w:sz w:val="20"/>
          <w:szCs w:val="20"/>
          <w:color w:val="auto"/>
        </w:rPr>
      </w:pPr>
    </w:p>
    <w:p>
      <w:pPr>
        <w:ind w:left="620"/>
        <w:spacing w:after="0"/>
        <w:tabs>
          <w:tab w:leader="none" w:pos="1280" w:val="left"/>
          <w:tab w:leader="none" w:pos="2660" w:val="left"/>
        </w:tabs>
        <w:rPr>
          <w:sz w:val="20"/>
          <w:szCs w:val="20"/>
          <w:color w:val="auto"/>
        </w:rPr>
      </w:pPr>
      <w:r>
        <w:rPr>
          <w:rFonts w:ascii="Courier New" w:cs="Courier New" w:eastAsia="Courier New" w:hAnsi="Courier New"/>
          <w:sz w:val="14"/>
          <w:szCs w:val="14"/>
          <w:color w:val="auto"/>
        </w:rPr>
        <w:t>7.09</w:t>
      </w:r>
      <w:r>
        <w:rPr>
          <w:sz w:val="20"/>
          <w:szCs w:val="20"/>
          <w:color w:val="auto"/>
        </w:rPr>
        <w:tab/>
      </w:r>
      <w:r>
        <w:rPr>
          <w:rFonts w:ascii="Courier New" w:cs="Courier New" w:eastAsia="Courier New" w:hAnsi="Courier New"/>
          <w:sz w:val="14"/>
          <w:szCs w:val="14"/>
          <w:color w:val="auto"/>
        </w:rPr>
        <w:t>Distributions.</w:t>
        <w:tab/>
        <w:t>The Company shall not, and shall not suffer 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permit any Semiconductor Operations Subsidiary to, declare or make any dividend payment or other distribution of assets, properties, cash, rights, obligations or securities on account of any shares of any class of its capital stock (in connection with a reclassification of such stock or otherwise), or purchase, redeem or otherwise acquire for value any shares of its capital stock or any warrants, rights or options to acquire such shares, now or hereafter outstanding (collectively "Distributions"), except that, so long as no Default or Event of</w:t>
      </w:r>
    </w:p>
    <w:p>
      <w:pPr>
        <w:spacing w:after="0" w:line="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Default exists or would result therefrom:</w:t>
      </w:r>
    </w:p>
    <w:p>
      <w:pPr>
        <w:spacing w:after="0" w:line="173" w:lineRule="exact"/>
        <w:rPr>
          <w:sz w:val="20"/>
          <w:szCs w:val="20"/>
          <w:color w:val="auto"/>
        </w:rPr>
      </w:pPr>
    </w:p>
    <w:p>
      <w:pPr>
        <w:ind w:right="3519" w:firstLine="870"/>
        <w:spacing w:after="0" w:line="255"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Distributions payable solely in its capital stock, and may distribute rights under any stockholder rights plan;</w:t>
      </w:r>
    </w:p>
    <w:p>
      <w:pPr>
        <w:spacing w:after="0" w:line="159" w:lineRule="exact"/>
        <w:rPr>
          <w:rFonts w:ascii="Courier New" w:cs="Courier New" w:eastAsia="Courier New" w:hAnsi="Courier New"/>
          <w:sz w:val="14"/>
          <w:szCs w:val="14"/>
          <w:color w:val="auto"/>
        </w:rPr>
      </w:pPr>
    </w:p>
    <w:p>
      <w:pPr>
        <w:ind w:right="3339" w:firstLine="870"/>
        <w:spacing w:after="0" w:line="252"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Distributions with the proceeds received from the substantially concurrent issue of new shares of its capital stock and may redeem rights distributed under any stockholder rights plan;</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Semiconductor Operations Subsidiary may declare and make Distributions on account of any shares of any class of its capital stock or redeem or otherwise acquire for value any shares of its capital stock or any warrants, rights or options to acquire such shares, to or from the Company or to or from another Semiconductor Operations Subsidiary; and</w:t>
      </w:r>
    </w:p>
    <w:p>
      <w:pPr>
        <w:spacing w:after="0" w:line="164" w:lineRule="exact"/>
        <w:rPr>
          <w:rFonts w:ascii="Courier New" w:cs="Courier New" w:eastAsia="Courier New" w:hAnsi="Courier New"/>
          <w:sz w:val="14"/>
          <w:szCs w:val="14"/>
          <w:color w:val="auto"/>
        </w:rPr>
      </w:pPr>
    </w:p>
    <w:p>
      <w:pPr>
        <w:ind w:right="3339" w:firstLine="870"/>
        <w:spacing w:after="0" w:line="250" w:lineRule="auto"/>
        <w:tabs>
          <w:tab w:leader="none" w:pos="120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Semiconductor Operations Subsidiaries may make Distributions from earnings available therefor; provided, that the aggregate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60" w:type="dxa"/>
            <w:vAlign w:val="bottom"/>
          </w:tcPr>
          <w:p>
            <w:pPr>
              <w:ind w:left="9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r>
      <w:tr>
        <w:trPr>
          <w:trHeight w:val="166"/>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 of all such Distributions paid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during the then current fiscal</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quarter and</w:t>
            </w:r>
          </w:p>
        </w:tc>
      </w:tr>
      <w:tr>
        <w:trPr>
          <w:trHeight w:val="166"/>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three fiscal quarters immediately</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preceding such quarter may not</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at any time</w:t>
            </w:r>
          </w:p>
        </w:tc>
      </w:tr>
      <w:tr>
        <w:trPr>
          <w:trHeight w:val="166"/>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exceed 25% of Combined Net Income for</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the most recently ended fiscal</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quarter and</w:t>
            </w:r>
          </w:p>
        </w:tc>
      </w:tr>
      <w:tr>
        <w:trPr>
          <w:trHeight w:val="166"/>
        </w:trPr>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three fiscal quarters immediately</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preceding such quarter.</w:t>
            </w:r>
          </w:p>
        </w:tc>
        <w:tc>
          <w:tcPr>
            <w:tcW w:w="1000" w:type="dxa"/>
            <w:vAlign w:val="bottom"/>
          </w:tcPr>
          <w:p>
            <w:pPr>
              <w:spacing w:after="0"/>
              <w:rPr>
                <w:sz w:val="14"/>
                <w:szCs w:val="14"/>
                <w:color w:val="auto"/>
              </w:rPr>
            </w:pPr>
          </w:p>
        </w:tc>
      </w:tr>
      <w:tr>
        <w:trPr>
          <w:trHeight w:val="331"/>
        </w:trPr>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7.10</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Permitted Subordinated</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Debt.  The Company shall not:</w:t>
            </w:r>
          </w:p>
        </w:tc>
        <w:tc>
          <w:tcPr>
            <w:tcW w:w="1000" w:type="dxa"/>
            <w:vAlign w:val="bottom"/>
          </w:tcPr>
          <w:p>
            <w:pPr>
              <w:spacing w:after="0"/>
              <w:rPr>
                <w:sz w:val="24"/>
                <w:szCs w:val="24"/>
                <w:color w:val="auto"/>
              </w:rPr>
            </w:pPr>
          </w:p>
        </w:tc>
      </w:tr>
    </w:tbl>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20" w:hanging="350"/>
        <w:spacing w:after="0"/>
        <w:tabs>
          <w:tab w:leader="none" w:pos="12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any Permitted Subordinated Debt if:</w:t>
      </w:r>
    </w:p>
    <w:p>
      <w:pPr>
        <w:spacing w:after="0" w:line="172" w:lineRule="exact"/>
        <w:rPr>
          <w:rFonts w:ascii="Courier New" w:cs="Courier New" w:eastAsia="Courier New" w:hAnsi="Courier New"/>
          <w:sz w:val="14"/>
          <w:szCs w:val="14"/>
          <w:color w:val="auto"/>
        </w:rPr>
      </w:pPr>
    </w:p>
    <w:p>
      <w:pPr>
        <w:ind w:left="620" w:right="3419" w:firstLine="680"/>
        <w:spacing w:after="0" w:line="251" w:lineRule="auto"/>
        <w:tabs>
          <w:tab w:leader="none" w:pos="1912"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issue price thereof (defined as the aggregate principal amount at maturity less the aggregate original issue discount) which, when aggregated with all other subordinated indebtedness, would exceed the amount permitted under Section 7.06(j) immediately after giving effect to the issuance thereof; or</w:t>
      </w:r>
    </w:p>
    <w:p>
      <w:pPr>
        <w:spacing w:after="0" w:line="164" w:lineRule="exact"/>
        <w:rPr>
          <w:rFonts w:ascii="Courier New" w:cs="Courier New" w:eastAsia="Courier New" w:hAnsi="Courier New"/>
          <w:sz w:val="14"/>
          <w:szCs w:val="14"/>
          <w:color w:val="auto"/>
        </w:rPr>
      </w:pPr>
    </w:p>
    <w:p>
      <w:pPr>
        <w:ind w:left="1900" w:hanging="600"/>
        <w:spacing w:after="0"/>
        <w:tabs>
          <w:tab w:leader="none" w:pos="1900"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or Event of Default shall exist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76" w:name="page77"/>
    <w:bookmarkEnd w:id="76"/>
    <w:p>
      <w:pPr>
        <w:ind w:left="620" w:right="3339"/>
        <w:spacing w:after="0" w:line="255" w:lineRule="auto"/>
        <w:rPr>
          <w:sz w:val="20"/>
          <w:szCs w:val="20"/>
          <w:color w:val="auto"/>
        </w:rPr>
      </w:pPr>
      <w:r>
        <w:rPr>
          <w:rFonts w:ascii="Courier New" w:cs="Courier New" w:eastAsia="Courier New" w:hAnsi="Courier New"/>
          <w:sz w:val="14"/>
          <w:szCs w:val="14"/>
          <w:color w:val="auto"/>
        </w:rPr>
        <w:t>either immediately prior to, or after giving effect to, the incurrence of such Permitted Subordinated Debt.</w:t>
      </w:r>
    </w:p>
    <w:p>
      <w:pPr>
        <w:spacing w:after="0" w:line="160" w:lineRule="exact"/>
        <w:rPr>
          <w:sz w:val="20"/>
          <w:szCs w:val="20"/>
          <w:color w:val="auto"/>
        </w:rPr>
      </w:pPr>
    </w:p>
    <w:p>
      <w:pPr>
        <w:ind w:right="3339" w:firstLine="870"/>
        <w:spacing w:after="0" w:line="250" w:lineRule="auto"/>
        <w:tabs>
          <w:tab w:leader="none" w:pos="1206"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any principal (including sinking fund payments) or any other amount (including scheduled interest payments) with respect to any Permitted Subordinated Debt (including the payment of cash in connection with such a conversion thereof), or purchase or redeem (or offer to purchase or redeem) any Permitted Subordinated Debt, or deposit any monies, securities or other Property with any trustee or other Person to provide assurance that the principal or any portion thereof of any Permitted Subordinated Debt will be paid when due or otherwise to provide for the defeasance of any Permitted Subordinated Debt except, subject to the subordination provisions contained in any Permitted</w:t>
      </w:r>
    </w:p>
    <w:p>
      <w:pPr>
        <w:spacing w:after="0" w:line="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Debt therein, the Company may:</w:t>
      </w:r>
    </w:p>
    <w:p>
      <w:pPr>
        <w:spacing w:after="0" w:line="173" w:lineRule="exact"/>
        <w:rPr>
          <w:sz w:val="20"/>
          <w:szCs w:val="20"/>
          <w:color w:val="auto"/>
        </w:rPr>
      </w:pPr>
    </w:p>
    <w:p>
      <w:pPr>
        <w:ind w:left="1300"/>
        <w:spacing w:after="0"/>
        <w:tabs>
          <w:tab w:leader="none" w:pos="1880" w:val="left"/>
        </w:tabs>
        <w:rPr>
          <w:sz w:val="20"/>
          <w:szCs w:val="20"/>
          <w:color w:val="auto"/>
        </w:rPr>
      </w:pPr>
      <w:r>
        <w:rPr>
          <w:rFonts w:ascii="Courier New" w:cs="Courier New" w:eastAsia="Courier New" w:hAnsi="Courier New"/>
          <w:sz w:val="14"/>
          <w:szCs w:val="14"/>
          <w:color w:val="auto"/>
        </w:rPr>
        <w:t>(i)</w:t>
      </w:r>
      <w:r>
        <w:rPr>
          <w:sz w:val="20"/>
          <w:szCs w:val="20"/>
          <w:color w:val="auto"/>
        </w:rPr>
        <w:tab/>
      </w:r>
      <w:r>
        <w:rPr>
          <w:rFonts w:ascii="Courier New" w:cs="Courier New" w:eastAsia="Courier New" w:hAnsi="Courier New"/>
          <w:sz w:val="14"/>
          <w:szCs w:val="14"/>
          <w:color w:val="auto"/>
        </w:rPr>
        <w:t>pay scheduled interest payments on Permitted Subordinated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Debt;</w:t>
      </w:r>
    </w:p>
    <w:p>
      <w:pPr>
        <w:spacing w:after="0" w:line="173" w:lineRule="exact"/>
        <w:rPr>
          <w:sz w:val="20"/>
          <w:szCs w:val="20"/>
          <w:color w:val="auto"/>
        </w:rPr>
      </w:pPr>
    </w:p>
    <w:p>
      <w:pPr>
        <w:ind w:left="620" w:right="3419" w:firstLine="680"/>
        <w:spacing w:after="0" w:line="252" w:lineRule="auto"/>
        <w:tabs>
          <w:tab w:leader="none" w:pos="191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mandatory payments consisting of prepayments or redemptions of Permitted Subordinated Debt in each case scheduled at the time of issuance of Permitted Subordinated Debt;</w:t>
      </w:r>
    </w:p>
    <w:p>
      <w:pPr>
        <w:spacing w:after="0" w:line="162" w:lineRule="exact"/>
        <w:rPr>
          <w:rFonts w:ascii="Courier New" w:cs="Courier New" w:eastAsia="Courier New" w:hAnsi="Courier New"/>
          <w:sz w:val="14"/>
          <w:szCs w:val="14"/>
          <w:color w:val="auto"/>
        </w:rPr>
      </w:pPr>
    </w:p>
    <w:p>
      <w:pPr>
        <w:ind w:left="620" w:right="3339" w:firstLine="680"/>
        <w:spacing w:after="0" w:line="252" w:lineRule="auto"/>
        <w:tabs>
          <w:tab w:leader="none" w:pos="191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securities, cash and other property upon the conversion of the Permitted Subordinated Debt in accordance with the terms thereof (including the payment of cash in lieu of fractional shares in connection with such a conversion); and</w:t>
      </w:r>
    </w:p>
    <w:p>
      <w:pPr>
        <w:spacing w:after="0" w:line="162" w:lineRule="exact"/>
        <w:rPr>
          <w:rFonts w:ascii="Courier New" w:cs="Courier New" w:eastAsia="Courier New" w:hAnsi="Courier New"/>
          <w:sz w:val="14"/>
          <w:szCs w:val="14"/>
          <w:color w:val="auto"/>
        </w:rPr>
      </w:pPr>
    </w:p>
    <w:p>
      <w:pPr>
        <w:ind w:left="620" w:right="3339" w:firstLine="680"/>
        <w:spacing w:after="0" w:line="252" w:lineRule="auto"/>
        <w:tabs>
          <w:tab w:leader="none" w:pos="1912"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voluntary payments consisting of prepayments, sinking fund payments, defeasances or redemptions with the prior consent of the Majority Banks.</w:t>
      </w:r>
    </w:p>
    <w:p>
      <w:pPr>
        <w:spacing w:after="0" w:line="162" w:lineRule="exact"/>
        <w:rPr>
          <w:rFonts w:ascii="Courier New" w:cs="Courier New" w:eastAsia="Courier New" w:hAnsi="Courier New"/>
          <w:sz w:val="14"/>
          <w:szCs w:val="14"/>
          <w:color w:val="auto"/>
        </w:rPr>
      </w:pPr>
    </w:p>
    <w:p>
      <w:pPr>
        <w:ind w:right="3419" w:firstLine="870"/>
        <w:spacing w:after="0" w:line="251" w:lineRule="auto"/>
        <w:tabs>
          <w:tab w:leader="none" w:pos="1206"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 waive, supplement or otherwise modify any instrument relating to any Permitted Subordinated Debt (including any modifications to the Subordinated Note Indenture made pursuant to a supplemental indenture, Section 301 of the Subordinated Note Indenture or otherwise) if, as a result thereof, such Permitted Subordinated Debt would no longer satisfy all the conditions set forth in the definition of "Permitted Subordinated Debt" or as otherwise approved by the Majority Banks.</w:t>
      </w:r>
    </w:p>
    <w:p>
      <w:pPr>
        <w:spacing w:after="0" w:line="164" w:lineRule="exact"/>
        <w:rPr>
          <w:sz w:val="20"/>
          <w:szCs w:val="20"/>
          <w:color w:val="auto"/>
        </w:rPr>
      </w:pPr>
    </w:p>
    <w:p>
      <w:pPr>
        <w:ind w:left="620"/>
        <w:spacing w:after="0"/>
        <w:tabs>
          <w:tab w:leader="none" w:pos="1280" w:val="left"/>
          <w:tab w:leader="none" w:pos="1960" w:val="left"/>
        </w:tabs>
        <w:rPr>
          <w:sz w:val="20"/>
          <w:szCs w:val="20"/>
          <w:color w:val="auto"/>
        </w:rPr>
      </w:pPr>
      <w:r>
        <w:rPr>
          <w:rFonts w:ascii="Courier New" w:cs="Courier New" w:eastAsia="Courier New" w:hAnsi="Courier New"/>
          <w:sz w:val="14"/>
          <w:szCs w:val="14"/>
          <w:color w:val="auto"/>
        </w:rPr>
        <w:t>7.11</w:t>
      </w:r>
      <w:r>
        <w:rPr>
          <w:sz w:val="20"/>
          <w:szCs w:val="20"/>
          <w:color w:val="auto"/>
        </w:rPr>
        <w:tab/>
      </w:r>
      <w:r>
        <w:rPr>
          <w:rFonts w:ascii="Courier New" w:cs="Courier New" w:eastAsia="Courier New" w:hAnsi="Courier New"/>
          <w:sz w:val="14"/>
          <w:szCs w:val="14"/>
          <w:color w:val="auto"/>
        </w:rPr>
        <w:t>ERISA.</w:t>
        <w:tab/>
        <w:t>The Company shall not, and shall not suffer or permit 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of its ERISA Affiliates to: (a) engage in a prohibited transaction or violation of the fiduciary responsibility rules with respect to any Plan which has resulted or could be reasonably expected to result in liability of the Company in an aggregate amount in excess of 5% of Combined Tangible Net Worth, or (b) engage in a transaction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77" w:name="page78"/>
    <w:bookmarkEnd w:id="77"/>
    <w:p>
      <w:pPr>
        <w:ind w:right="3779"/>
        <w:spacing w:after="0" w:line="255" w:lineRule="auto"/>
        <w:rPr>
          <w:sz w:val="20"/>
          <w:szCs w:val="20"/>
          <w:color w:val="auto"/>
        </w:rPr>
      </w:pPr>
      <w:r>
        <w:rPr>
          <w:rFonts w:ascii="Courier New" w:cs="Courier New" w:eastAsia="Courier New" w:hAnsi="Courier New"/>
          <w:sz w:val="14"/>
          <w:szCs w:val="14"/>
          <w:color w:val="auto"/>
        </w:rPr>
        <w:t>that could reasonably be expected to subject the Company to liability under Section 4069 or 4212(c) of ERISA.</w:t>
      </w:r>
    </w:p>
    <w:p>
      <w:pPr>
        <w:spacing w:after="0" w:line="160" w:lineRule="exact"/>
        <w:rPr>
          <w:sz w:val="20"/>
          <w:szCs w:val="20"/>
          <w:color w:val="auto"/>
        </w:rPr>
      </w:pPr>
    </w:p>
    <w:p>
      <w:pPr>
        <w:ind w:left="620"/>
        <w:spacing w:after="0"/>
        <w:tabs>
          <w:tab w:leader="none" w:pos="1280" w:val="left"/>
          <w:tab w:leader="none" w:pos="4120" w:val="left"/>
        </w:tabs>
        <w:rPr>
          <w:sz w:val="20"/>
          <w:szCs w:val="20"/>
          <w:color w:val="auto"/>
        </w:rPr>
      </w:pPr>
      <w:r>
        <w:rPr>
          <w:rFonts w:ascii="Courier New" w:cs="Courier New" w:eastAsia="Courier New" w:hAnsi="Courier New"/>
          <w:sz w:val="14"/>
          <w:szCs w:val="14"/>
          <w:color w:val="auto"/>
        </w:rPr>
        <w:t>7.12</w:t>
      </w:r>
      <w:r>
        <w:rPr>
          <w:sz w:val="20"/>
          <w:szCs w:val="20"/>
          <w:color w:val="auto"/>
        </w:rPr>
        <w:tab/>
      </w:r>
      <w:r>
        <w:rPr>
          <w:rFonts w:ascii="Courier New" w:cs="Courier New" w:eastAsia="Courier New" w:hAnsi="Courier New"/>
          <w:sz w:val="14"/>
          <w:szCs w:val="14"/>
          <w:color w:val="auto"/>
        </w:rPr>
        <w:t>Business or Accounting Changes.</w:t>
        <w:tab/>
        <w:t>The Company shall not, and shall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 suffer or permit any Semiconductor Operations Subsidiary to: (a) engage in any material line of business substantially different from those lines of business carried on by the Company and its Semiconductor Operations Subsidiaries on the date hereof, together with businesses which are appropriate extensions of or are reasonably related or incidental to the current businesses of the Company and its Semiconductor Operations Subsidiaries, or (b) make any significant change in accounting treatment or reporting practices, except as required or permitted by GAAP, or change the convention for determining the fiscal year of the Company or of any Semiconductor Operations Subsidiary.</w:t>
      </w:r>
    </w:p>
    <w:p>
      <w:pPr>
        <w:spacing w:after="0" w:line="164" w:lineRule="exact"/>
        <w:rPr>
          <w:sz w:val="20"/>
          <w:szCs w:val="20"/>
          <w:color w:val="auto"/>
        </w:rPr>
      </w:pPr>
    </w:p>
    <w:p>
      <w:pPr>
        <w:ind w:left="620"/>
        <w:spacing w:after="0"/>
        <w:tabs>
          <w:tab w:leader="none" w:pos="1280" w:val="left"/>
          <w:tab w:leader="none" w:pos="3260" w:val="left"/>
        </w:tabs>
        <w:rPr>
          <w:sz w:val="20"/>
          <w:szCs w:val="20"/>
          <w:color w:val="auto"/>
        </w:rPr>
      </w:pPr>
      <w:r>
        <w:rPr>
          <w:rFonts w:ascii="Courier New" w:cs="Courier New" w:eastAsia="Courier New" w:hAnsi="Courier New"/>
          <w:sz w:val="14"/>
          <w:szCs w:val="14"/>
          <w:color w:val="auto"/>
        </w:rPr>
        <w:t>7.13</w:t>
      </w:r>
      <w:r>
        <w:rPr>
          <w:sz w:val="20"/>
          <w:szCs w:val="20"/>
          <w:color w:val="auto"/>
        </w:rPr>
        <w:tab/>
      </w:r>
      <w:r>
        <w:rPr>
          <w:rFonts w:ascii="Courier New" w:cs="Courier New" w:eastAsia="Courier New" w:hAnsi="Courier New"/>
          <w:sz w:val="14"/>
          <w:szCs w:val="14"/>
          <w:color w:val="auto"/>
        </w:rPr>
        <w:t>Adjusted Quick Ratio.</w:t>
        <w:tab/>
        <w:t>The Company shall not permit, as of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last day of any fiscal quarter, the ratio of (a) the sum of (i) cash, cash equivalents and liquid investments, and (ii) net trade accounts receivable of the Company and its Semiconductor Operations Subsidiaries on a combined basis as shown in the Semiconductor Operations Supplemental Schedules, to (b) the sum (without duplication) of (i) current liabilities of the Company and its Semiconductor Operations Subsidiaries on a combined basis (plus long-term liabilities related to customer deposits) as shown in the Semiconductor Operations Supplemental Schedules, and (ii) any Loans outstanding, to be less than the amount set forth below for the applicable date:</w:t>
      </w:r>
    </w:p>
    <w:p>
      <w:pPr>
        <w:spacing w:after="0" w:line="200" w:lineRule="exact"/>
        <w:rPr>
          <w:sz w:val="20"/>
          <w:szCs w:val="20"/>
          <w:color w:val="auto"/>
        </w:rPr>
      </w:pPr>
    </w:p>
    <w:p>
      <w:pPr>
        <w:spacing w:after="0" w:line="295"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As of the last day of the</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Minimum</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Adjusted</w:t>
            </w:r>
          </w:p>
        </w:tc>
      </w:tr>
      <w:tr>
        <w:trPr>
          <w:trHeight w:val="166"/>
        </w:trPr>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fiscal</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quarter ending</w:t>
            </w:r>
          </w:p>
        </w:tc>
        <w:tc>
          <w:tcPr>
            <w:tcW w:w="1880" w:type="dxa"/>
            <w:vAlign w:val="bottom"/>
            <w:gridSpan w:val="3"/>
          </w:tcPr>
          <w:p>
            <w:pPr>
              <w:ind w:left="760"/>
              <w:spacing w:after="0"/>
              <w:rPr>
                <w:sz w:val="20"/>
                <w:szCs w:val="20"/>
                <w:color w:val="auto"/>
              </w:rPr>
            </w:pPr>
            <w:r>
              <w:rPr>
                <w:rFonts w:ascii="Courier New" w:cs="Courier New" w:eastAsia="Courier New" w:hAnsi="Courier New"/>
                <w:sz w:val="14"/>
                <w:szCs w:val="14"/>
                <w:color w:val="auto"/>
              </w:rPr>
              <w:t>Quick Ratio</w:t>
            </w:r>
          </w:p>
        </w:tc>
      </w:tr>
      <w:tr>
        <w:trPr>
          <w:trHeight w:val="166"/>
        </w:trPr>
        <w:tc>
          <w:tcPr>
            <w:tcW w:w="294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3"/>
          </w:tcPr>
          <w:p>
            <w:pPr>
              <w:ind w:left="500"/>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Closing</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Date through 2/26/98</w:t>
            </w:r>
          </w:p>
        </w:tc>
        <w:tc>
          <w:tcPr>
            <w:tcW w:w="900" w:type="dxa"/>
            <w:vAlign w:val="bottom"/>
          </w:tcPr>
          <w:p>
            <w:pPr>
              <w:ind w:left="500"/>
              <w:spacing w:after="0"/>
              <w:rPr>
                <w:sz w:val="20"/>
                <w:szCs w:val="20"/>
                <w:color w:val="auto"/>
              </w:rPr>
            </w:pPr>
            <w:r>
              <w:rPr>
                <w:rFonts w:ascii="Courier New" w:cs="Courier New" w:eastAsia="Courier New" w:hAnsi="Courier New"/>
                <w:sz w:val="14"/>
                <w:szCs w:val="14"/>
                <w:color w:val="auto"/>
              </w:rPr>
              <w:t>0.75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5/28/98</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and thereafter</w:t>
            </w:r>
          </w:p>
        </w:tc>
        <w:tc>
          <w:tcPr>
            <w:tcW w:w="900" w:type="dxa"/>
            <w:vAlign w:val="bottom"/>
          </w:tcPr>
          <w:p>
            <w:pPr>
              <w:ind w:left="500"/>
              <w:spacing w:after="0"/>
              <w:rPr>
                <w:sz w:val="20"/>
                <w:szCs w:val="20"/>
                <w:color w:val="auto"/>
              </w:rPr>
            </w:pPr>
            <w:r>
              <w:rPr>
                <w:rFonts w:ascii="Courier New" w:cs="Courier New" w:eastAsia="Courier New" w:hAnsi="Courier New"/>
                <w:sz w:val="14"/>
                <w:szCs w:val="14"/>
                <w:color w:val="auto"/>
              </w:rPr>
              <w:t>1.00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bl>
    <w:p>
      <w:pPr>
        <w:spacing w:after="0" w:line="335" w:lineRule="exact"/>
        <w:rPr>
          <w:sz w:val="20"/>
          <w:szCs w:val="20"/>
          <w:color w:val="auto"/>
        </w:rPr>
      </w:pPr>
    </w:p>
    <w:p>
      <w:pPr>
        <w:ind w:left="620"/>
        <w:spacing w:after="0"/>
        <w:tabs>
          <w:tab w:leader="none" w:pos="1280" w:val="left"/>
          <w:tab w:leader="none" w:pos="3860" w:val="left"/>
        </w:tabs>
        <w:rPr>
          <w:sz w:val="20"/>
          <w:szCs w:val="20"/>
          <w:color w:val="auto"/>
        </w:rPr>
      </w:pPr>
      <w:r>
        <w:rPr>
          <w:rFonts w:ascii="Courier New" w:cs="Courier New" w:eastAsia="Courier New" w:hAnsi="Courier New"/>
          <w:sz w:val="14"/>
          <w:szCs w:val="14"/>
          <w:color w:val="auto"/>
        </w:rPr>
        <w:t>7.14</w:t>
      </w:r>
      <w:r>
        <w:rPr>
          <w:sz w:val="20"/>
          <w:szCs w:val="20"/>
          <w:color w:val="auto"/>
        </w:rPr>
        <w:tab/>
      </w:r>
      <w:r>
        <w:rPr>
          <w:rFonts w:ascii="Courier New" w:cs="Courier New" w:eastAsia="Courier New" w:hAnsi="Courier New"/>
          <w:sz w:val="14"/>
          <w:szCs w:val="14"/>
          <w:color w:val="auto"/>
        </w:rPr>
        <w:t>Combined Tangible Net Worth.</w:t>
        <w:tab/>
        <w:t>The Company shall not permit, as of</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last day of any fiscal quarter, Combined Tangible Net Worth to be less than an amount equal to $2,017,142,130, plus the sum of (a) 75% of Combined Net</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Income (not reduced by Combined Net Loss for any period) earned in each fiscal quarterly accounting period commencing with the fiscal quarter ending May 29, 1997, and (b) 100% of the amount by which Combined Tangible Net Worth increases as a result of any secondary public or private offering of equity securities by the Company and its Semiconductor Operations Subsidiaries (not in connection with an Acquisition or employee stock option or purchase plans) after the Closing Date.</w:t>
      </w:r>
    </w:p>
    <w:p>
      <w:pPr>
        <w:spacing w:after="0" w:line="164" w:lineRule="exact"/>
        <w:rPr>
          <w:sz w:val="20"/>
          <w:szCs w:val="20"/>
          <w:color w:val="auto"/>
        </w:rPr>
      </w:pPr>
    </w:p>
    <w:p>
      <w:pPr>
        <w:ind w:left="620"/>
        <w:spacing w:after="0"/>
        <w:tabs>
          <w:tab w:leader="none" w:pos="1280" w:val="left"/>
          <w:tab w:leader="none" w:pos="2740" w:val="left"/>
        </w:tabs>
        <w:rPr>
          <w:sz w:val="20"/>
          <w:szCs w:val="20"/>
          <w:color w:val="auto"/>
        </w:rPr>
      </w:pPr>
      <w:r>
        <w:rPr>
          <w:rFonts w:ascii="Courier New" w:cs="Courier New" w:eastAsia="Courier New" w:hAnsi="Courier New"/>
          <w:sz w:val="14"/>
          <w:szCs w:val="14"/>
          <w:color w:val="auto"/>
        </w:rPr>
        <w:t>7.15</w:t>
      </w:r>
      <w:r>
        <w:rPr>
          <w:sz w:val="20"/>
          <w:szCs w:val="20"/>
          <w:color w:val="auto"/>
        </w:rPr>
        <w:tab/>
      </w:r>
      <w:r>
        <w:rPr>
          <w:rFonts w:ascii="Courier New" w:cs="Courier New" w:eastAsia="Courier New" w:hAnsi="Courier New"/>
          <w:sz w:val="14"/>
          <w:szCs w:val="14"/>
          <w:color w:val="auto"/>
        </w:rPr>
        <w:t>Leverage Ratio.</w:t>
        <w:tab/>
        <w:t>The Company shall not permit, as of the last day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any fiscal quarter, the Leverage Ratio to exceed 0.75 to 1.00.</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78" w:name="page79"/>
    <w:bookmarkEnd w:id="78"/>
    <w:p>
      <w:pPr>
        <w:ind w:left="620"/>
        <w:spacing w:after="0"/>
        <w:tabs>
          <w:tab w:leader="none" w:pos="1280" w:val="left"/>
          <w:tab w:leader="none" w:pos="4560" w:val="left"/>
        </w:tabs>
        <w:rPr>
          <w:sz w:val="20"/>
          <w:szCs w:val="20"/>
          <w:color w:val="auto"/>
        </w:rPr>
      </w:pPr>
      <w:r>
        <w:rPr>
          <w:rFonts w:ascii="Courier New" w:cs="Courier New" w:eastAsia="Courier New" w:hAnsi="Courier New"/>
          <w:sz w:val="14"/>
          <w:szCs w:val="14"/>
          <w:color w:val="auto"/>
        </w:rPr>
        <w:t>7.16</w:t>
      </w:r>
      <w:r>
        <w:rPr>
          <w:sz w:val="20"/>
          <w:szCs w:val="20"/>
          <w:color w:val="auto"/>
        </w:rPr>
        <w:tab/>
      </w:r>
      <w:r>
        <w:rPr>
          <w:rFonts w:ascii="Courier New" w:cs="Courier New" w:eastAsia="Courier New" w:hAnsi="Courier New"/>
          <w:sz w:val="14"/>
          <w:szCs w:val="14"/>
          <w:color w:val="auto"/>
        </w:rPr>
        <w:t>Minimum Fixed Charge Coverage Ratio.</w:t>
        <w:tab/>
        <w:t>The Company shall not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permit, as of the last day of any fiscal quarter, the ratio of (a) EBITDA for the period consisting of the four consecutive fiscal quarters ending on such day to (b) the sum of (i) interest expense included in EBITDA for such period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(unadjusted for interest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if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and (ii) current portion of long-term</w:t>
            </w:r>
          </w:p>
        </w:tc>
      </w:tr>
      <w:tr>
        <w:trPr>
          <w:trHeight w:val="166"/>
        </w:trPr>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debt, to be less</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than the following</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opposite the period indicated:</w:t>
            </w:r>
          </w:p>
        </w:tc>
      </w:tr>
      <w:tr>
        <w:trPr>
          <w:trHeight w:val="663"/>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Minimum Fixed</w:t>
            </w:r>
          </w:p>
        </w:tc>
      </w:tr>
      <w:tr>
        <w:trPr>
          <w:trHeight w:val="166"/>
        </w:trPr>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As of the</w:t>
            </w:r>
          </w:p>
        </w:tc>
        <w:tc>
          <w:tcPr>
            <w:tcW w:w="16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last day of the</w:t>
            </w: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Charge Coverage</w:t>
            </w:r>
          </w:p>
        </w:tc>
      </w:tr>
      <w:tr>
        <w:trPr>
          <w:trHeight w:val="166"/>
        </w:trPr>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w:t>
            </w:r>
          </w:p>
        </w:tc>
        <w:tc>
          <w:tcPr>
            <w:tcW w:w="16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quarter ending</w:t>
            </w:r>
          </w:p>
        </w:tc>
        <w:tc>
          <w:tcPr>
            <w:tcW w:w="4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Ratio</w:t>
            </w:r>
          </w:p>
        </w:tc>
      </w:tr>
      <w:tr>
        <w:trPr>
          <w:trHeight w:val="166"/>
        </w:trPr>
        <w:tc>
          <w:tcPr>
            <w:tcW w:w="1380" w:type="dxa"/>
            <w:vAlign w:val="bottom"/>
            <w:gridSpan w:val="2"/>
          </w:tcPr>
          <w:p>
            <w:pPr>
              <w:ind w:left="620"/>
              <w:spacing w:after="0"/>
              <w:rPr>
                <w:sz w:val="20"/>
                <w:szCs w:val="20"/>
                <w:color w:val="auto"/>
              </w:rPr>
            </w:pPr>
            <w:r>
              <w:rPr>
                <w:rFonts w:ascii="Courier New" w:cs="Courier New" w:eastAsia="Courier New" w:hAnsi="Courier New"/>
                <w:sz w:val="6"/>
                <w:szCs w:val="6"/>
                <w:color w:val="auto"/>
                <w:w w:val="76"/>
              </w:rPr>
              <w:t>---------------------------</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2/27/97</w:t>
            </w:r>
          </w:p>
        </w:tc>
        <w:tc>
          <w:tcPr>
            <w:tcW w:w="90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5/29/97</w:t>
            </w:r>
          </w:p>
        </w:tc>
        <w:tc>
          <w:tcPr>
            <w:tcW w:w="9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8/28/97</w:t>
            </w:r>
          </w:p>
        </w:tc>
        <w:tc>
          <w:tcPr>
            <w:tcW w:w="9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331"/>
        </w:trPr>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11/27/97</w:t>
            </w:r>
          </w:p>
        </w:tc>
        <w:tc>
          <w:tcPr>
            <w:tcW w:w="900" w:type="dxa"/>
            <w:vAlign w:val="bottom"/>
          </w:tcPr>
          <w:p>
            <w:pPr>
              <w:spacing w:after="0"/>
              <w:rPr>
                <w:sz w:val="24"/>
                <w:szCs w:val="2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2/26/98</w:t>
            </w:r>
          </w:p>
        </w:tc>
        <w:tc>
          <w:tcPr>
            <w:tcW w:w="9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5/28/98</w:t>
            </w:r>
          </w:p>
        </w:tc>
        <w:tc>
          <w:tcPr>
            <w:tcW w:w="9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9/03/98</w:t>
            </w:r>
          </w:p>
        </w:tc>
        <w:tc>
          <w:tcPr>
            <w:tcW w:w="9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331"/>
        </w:trPr>
        <w:tc>
          <w:tcPr>
            <w:tcW w:w="130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Courier New" w:cs="Courier New" w:eastAsia="Courier New" w:hAnsi="Courier New"/>
                <w:sz w:val="14"/>
                <w:szCs w:val="14"/>
                <w:color w:val="auto"/>
              </w:rPr>
              <w:t>12/03/98 and</w:t>
            </w:r>
          </w:p>
        </w:tc>
        <w:tc>
          <w:tcPr>
            <w:tcW w:w="4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166"/>
        </w:trPr>
        <w:tc>
          <w:tcPr>
            <w:tcW w:w="13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w w:val="99"/>
              </w:rPr>
              <w:t>thereafter</w:t>
            </w:r>
          </w:p>
        </w:tc>
        <w:tc>
          <w:tcPr>
            <w:tcW w:w="90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c>
          <w:tcPr>
            <w:tcW w:w="3360" w:type="dxa"/>
            <w:vAlign w:val="bottom"/>
          </w:tcPr>
          <w:p>
            <w:pPr>
              <w:spacing w:after="0"/>
              <w:rPr>
                <w:sz w:val="20"/>
                <w:szCs w:val="20"/>
                <w:color w:val="auto"/>
              </w:rPr>
            </w:pPr>
            <w:r>
              <w:rPr>
                <w:rFonts w:ascii="Courier New" w:cs="Courier New" w:eastAsia="Courier New" w:hAnsi="Courier New"/>
                <w:sz w:val="14"/>
                <w:szCs w:val="14"/>
                <w:color w:val="auto"/>
              </w:rPr>
              <w:t>to 1.00</w:t>
            </w:r>
          </w:p>
        </w:tc>
      </w:tr>
      <w:tr>
        <w:trPr>
          <w:trHeight w:val="497"/>
        </w:trPr>
        <w:tc>
          <w:tcPr>
            <w:tcW w:w="1300" w:type="dxa"/>
            <w:vAlign w:val="bottom"/>
          </w:tcPr>
          <w:p>
            <w:pPr>
              <w:ind w:left="620"/>
              <w:spacing w:after="0"/>
              <w:rPr>
                <w:sz w:val="20"/>
                <w:szCs w:val="20"/>
                <w:color w:val="auto"/>
              </w:rPr>
            </w:pPr>
            <w:r>
              <w:rPr>
                <w:rFonts w:ascii="Courier New" w:cs="Courier New" w:eastAsia="Courier New" w:hAnsi="Courier New"/>
                <w:sz w:val="14"/>
                <w:szCs w:val="14"/>
                <w:color w:val="auto"/>
              </w:rPr>
              <w:t>7.17</w:t>
            </w:r>
          </w:p>
        </w:tc>
        <w:tc>
          <w:tcPr>
            <w:tcW w:w="17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Maximum Combined Net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Loss.</w:t>
            </w: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The Company shall not permit Combined</w:t>
            </w:r>
          </w:p>
        </w:tc>
      </w:tr>
      <w:tr>
        <w:trPr>
          <w:trHeight w:val="166"/>
        </w:trPr>
        <w:tc>
          <w:tcPr>
            <w:tcW w:w="1300" w:type="dxa"/>
            <w:vAlign w:val="bottom"/>
          </w:tcPr>
          <w:p>
            <w:pPr>
              <w:spacing w:after="0"/>
              <w:rPr>
                <w:sz w:val="14"/>
                <w:szCs w:val="14"/>
                <w:color w:val="auto"/>
              </w:rPr>
            </w:pPr>
          </w:p>
        </w:tc>
        <w:tc>
          <w:tcPr>
            <w:tcW w:w="22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360" w:type="dxa"/>
            <w:vAlign w:val="bottom"/>
          </w:tcPr>
          <w:p>
            <w:pPr>
              <w:spacing w:after="0"/>
              <w:rPr>
                <w:sz w:val="14"/>
                <w:szCs w:val="14"/>
                <w:color w:val="auto"/>
              </w:rPr>
            </w:pPr>
          </w:p>
        </w:tc>
      </w:tr>
    </w:tbl>
    <w:p>
      <w:pPr>
        <w:spacing w:after="0" w:line="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Net Loss to exceed (a) 2% of Combined Tangible Net Worth in any fiscal quarter or (b) 5% of Combined Tangible Net Worth in any period of four consecutive fiscal quarters.</w:t>
      </w:r>
    </w:p>
    <w:p>
      <w:pPr>
        <w:spacing w:after="0" w:line="163" w:lineRule="exact"/>
        <w:rPr>
          <w:sz w:val="20"/>
          <w:szCs w:val="20"/>
          <w:color w:val="auto"/>
        </w:rPr>
      </w:pPr>
    </w:p>
    <w:p>
      <w:pPr>
        <w:ind w:left="620"/>
        <w:spacing w:after="0"/>
        <w:tabs>
          <w:tab w:leader="none" w:pos="1280" w:val="left"/>
          <w:tab w:leader="none" w:pos="4380" w:val="left"/>
        </w:tabs>
        <w:rPr>
          <w:sz w:val="20"/>
          <w:szCs w:val="20"/>
          <w:color w:val="auto"/>
        </w:rPr>
      </w:pPr>
      <w:r>
        <w:rPr>
          <w:rFonts w:ascii="Courier New" w:cs="Courier New" w:eastAsia="Courier New" w:hAnsi="Courier New"/>
          <w:sz w:val="14"/>
          <w:szCs w:val="14"/>
          <w:color w:val="auto"/>
        </w:rPr>
        <w:t>7.18</w:t>
      </w:r>
      <w:r>
        <w:rPr>
          <w:sz w:val="20"/>
          <w:szCs w:val="20"/>
          <w:color w:val="auto"/>
        </w:rPr>
        <w:tab/>
      </w:r>
      <w:r>
        <w:rPr>
          <w:rFonts w:ascii="Courier New" w:cs="Courier New" w:eastAsia="Courier New" w:hAnsi="Courier New"/>
          <w:sz w:val="14"/>
          <w:szCs w:val="14"/>
          <w:color w:val="auto"/>
        </w:rPr>
        <w:t>Material Semiconductor Operations.</w:t>
        <w:tab/>
        <w:t>The Company shall not permit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any Material Semiconductor Operations to be conducted, individually or in the aggregate, by any Subsidiaries which are not Semiconductor Operations Subsidiaries. The Company shall not permit any Semiconductor Operations Subsidiary to be a non Wholly-Owned Subsidiary.</w:t>
      </w:r>
    </w:p>
    <w:p>
      <w:pPr>
        <w:spacing w:after="0" w:line="32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ARTICLE VIII - EVENTS OF DEFAULT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spacing w:after="0"/>
        <w:tabs>
          <w:tab w:leader="none" w:pos="1280" w:val="left"/>
          <w:tab w:leader="none" w:pos="2920" w:val="left"/>
        </w:tabs>
        <w:rPr>
          <w:sz w:val="20"/>
          <w:szCs w:val="20"/>
          <w:color w:val="auto"/>
        </w:rPr>
      </w:pPr>
      <w:r>
        <w:rPr>
          <w:rFonts w:ascii="Courier New" w:cs="Courier New" w:eastAsia="Courier New" w:hAnsi="Courier New"/>
          <w:sz w:val="14"/>
          <w:szCs w:val="14"/>
          <w:color w:val="auto"/>
        </w:rPr>
        <w:t>8.01</w:t>
      </w:r>
      <w:r>
        <w:rPr>
          <w:sz w:val="20"/>
          <w:szCs w:val="20"/>
          <w:color w:val="auto"/>
        </w:rPr>
        <w:tab/>
      </w:r>
      <w:r>
        <w:rPr>
          <w:rFonts w:ascii="Courier New" w:cs="Courier New" w:eastAsia="Courier New" w:hAnsi="Courier New"/>
          <w:sz w:val="14"/>
          <w:szCs w:val="14"/>
          <w:color w:val="auto"/>
        </w:rPr>
        <w:t>Event of Default.</w:t>
        <w:tab/>
        <w:t>Any of the following shall constitute an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"Event of Default":</w:t>
      </w:r>
    </w:p>
    <w:p>
      <w:pPr>
        <w:spacing w:after="0" w:line="7"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60" w:hanging="349"/>
        <w:spacing w:after="0"/>
        <w:tabs>
          <w:tab w:leader="none" w:pos="960" w:val="left"/>
        </w:tabs>
        <w:numPr>
          <w:ilvl w:val="1"/>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Non-Payment.  The Company fails to pay, (i) when and as required to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 paid herein, any amount of principal of any Loan, (ii) any amount of interest or commitment fee payable hereunder within five days after the same becomes due, or (iii) any other amount payable hereunder or under any other Loan Document within 30 days after the same becomes due; or</w:t>
      </w:r>
    </w:p>
    <w:p>
      <w:pPr>
        <w:spacing w:after="0" w:line="162" w:lineRule="exact"/>
        <w:rPr>
          <w:sz w:val="20"/>
          <w:szCs w:val="20"/>
          <w:color w:val="auto"/>
        </w:rPr>
      </w:pPr>
    </w:p>
    <w:p>
      <w:pPr>
        <w:ind w:left="960" w:hanging="349"/>
        <w:spacing w:after="0"/>
        <w:tabs>
          <w:tab w:leader="none" w:pos="9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 or Warranty.  Any representation</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79" w:name="page80"/>
    <w:bookmarkEnd w:id="79"/>
    <w:p>
      <w:pPr>
        <w:jc w:val="both"/>
        <w:ind w:right="3599"/>
        <w:spacing w:after="0" w:line="252" w:lineRule="auto"/>
        <w:rPr>
          <w:sz w:val="20"/>
          <w:szCs w:val="20"/>
          <w:color w:val="auto"/>
        </w:rPr>
      </w:pPr>
      <w:r>
        <w:rPr>
          <w:rFonts w:ascii="Courier New" w:cs="Courier New" w:eastAsia="Courier New" w:hAnsi="Courier New"/>
          <w:sz w:val="14"/>
          <w:szCs w:val="14"/>
          <w:color w:val="auto"/>
        </w:rPr>
        <w:t>or warranty by the Company or any Semiconductor Operations Subsidiary made or deemed made herein or in any other Loan Document is incorrect in any material respect on or as of the date made or deemed made; or</w:t>
      </w:r>
    </w:p>
    <w:p>
      <w:pPr>
        <w:spacing w:after="0" w:line="163" w:lineRule="exact"/>
        <w:rPr>
          <w:sz w:val="20"/>
          <w:szCs w:val="20"/>
          <w:color w:val="auto"/>
        </w:rPr>
      </w:pPr>
    </w:p>
    <w:p>
      <w:pPr>
        <w:ind w:left="960" w:hanging="349"/>
        <w:spacing w:after="0"/>
        <w:tabs>
          <w:tab w:leader="none" w:pos="96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Defaults.  The Company fails to perform or observe any term,</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 or agreement contained in Section 6.13 or in Article VII; or</w:t>
      </w:r>
    </w:p>
    <w:p>
      <w:pPr>
        <w:spacing w:after="0" w:line="173" w:lineRule="exact"/>
        <w:rPr>
          <w:sz w:val="20"/>
          <w:szCs w:val="20"/>
          <w:color w:val="auto"/>
        </w:rPr>
      </w:pPr>
    </w:p>
    <w:p>
      <w:pPr>
        <w:ind w:left="960" w:hanging="349"/>
        <w:spacing w:after="0"/>
        <w:tabs>
          <w:tab w:leader="none" w:pos="96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Defaults.  (i) The Company fails to perform or observe any</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term, covenant or agreement contained in any of Sections 6.01, 6.02(a), 6.02(b), 6.03 or 6.10(b), and such default shall continue unremedied for a period of five days after the earlier of (a) the date upon which a Responsible Officer knew or reasonably should have known of such failure, and (b) the date upon which written notice thereof is given to the Company by the Agent or any Bank; or (ii) the Company fails to perform or observe any other term or covenant contained in this Agreement or any other Loan Document, and such default shall continue unremedied for a period of 20 days after the earlier of (x) the date upon which a Responsible Officer knew or reasonably should have known of such failure, and</w:t>
      </w:r>
    </w:p>
    <w:p>
      <w:pPr>
        <w:spacing w:after="0" w:line="4" w:lineRule="exact"/>
        <w:rPr>
          <w:sz w:val="20"/>
          <w:szCs w:val="20"/>
          <w:color w:val="auto"/>
        </w:rPr>
      </w:pPr>
    </w:p>
    <w:p>
      <w:pPr>
        <w:ind w:right="3599" w:firstLine="8"/>
        <w:spacing w:after="0" w:line="255" w:lineRule="auto"/>
        <w:tabs>
          <w:tab w:leader="none" w:pos="344"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upon which written notice thereof is given to the Company by the Agent or any Bank; or</w:t>
      </w:r>
    </w:p>
    <w:p>
      <w:pPr>
        <w:spacing w:after="0" w:line="160" w:lineRule="exact"/>
        <w:rPr>
          <w:sz w:val="20"/>
          <w:szCs w:val="20"/>
          <w:color w:val="auto"/>
        </w:rPr>
      </w:pPr>
    </w:p>
    <w:p>
      <w:pPr>
        <w:ind w:left="960" w:hanging="349"/>
        <w:spacing w:after="0"/>
        <w:tabs>
          <w:tab w:leader="none" w:pos="9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Cross-Acceleration - Indebtedness.  The Company or any Semiconductor</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Operations Subsidiary (i) fails to make any payment in respect of any individual item of Indebtedness having an aggregate principal amount (including amounts owing to all creditors under any combined or syndicated credit arrangement) of more than $10,000,000, or with respect to any multiple items of Indebtedness having an aggregate principal amount (including amounts owing to all creditors under any combined or syndicated credit arrangement) of more than $20,000,000, when due (whether by scheduled maturity, required prepayment, acceleration, demand, or otherwise) and such failure continues after the applicable grace or notice period, if any, specified in the relevant document on the date of such failure, or (ii) fails to perform or observe any other condition or covenant, or any other event shall occur or condition exist, under any agreement or instrument relating to any such Indebtedness described in Section 8.01(e)(i) hereof and such failure continues after the applicable grace or notice period, if any, specified in the relevant document on the date of such failure, if, in the case of clause (i) or clause (ii), the effect of such failure, event or condition results in the holder or holders of such Indebtedness or beneficiary or beneficiaries of such Indebtedness (or a trustee or agent on behalf of such holder or holders or beneficiary or beneficiaries) declaring such Indebtedness to be due and payable prior to its stated maturity; or</w:t>
      </w:r>
    </w:p>
    <w:p>
      <w:pPr>
        <w:spacing w:after="0" w:line="174" w:lineRule="exact"/>
        <w:rPr>
          <w:sz w:val="20"/>
          <w:szCs w:val="20"/>
          <w:color w:val="auto"/>
        </w:rPr>
      </w:pPr>
    </w:p>
    <w:p>
      <w:pPr>
        <w:ind w:left="960" w:hanging="349"/>
        <w:spacing w:after="0"/>
        <w:tabs>
          <w:tab w:leader="none" w:pos="9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Cross-Acceleration - Swap Obligations.   There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80" w:name="page81"/>
    <w:bookmarkEnd w:id="80"/>
    <w:p>
      <w:pPr>
        <w:ind w:right="3419"/>
        <w:spacing w:after="0" w:line="251" w:lineRule="auto"/>
        <w:rPr>
          <w:sz w:val="20"/>
          <w:szCs w:val="20"/>
          <w:color w:val="auto"/>
        </w:rPr>
      </w:pPr>
      <w:r>
        <w:rPr>
          <w:rFonts w:ascii="Courier New" w:cs="Courier New" w:eastAsia="Courier New" w:hAnsi="Courier New"/>
          <w:sz w:val="14"/>
          <w:szCs w:val="14"/>
          <w:color w:val="auto"/>
        </w:rPr>
        <w:t>occurs under any Swap Contract an Early Termination Date (as defined in such Swap Contract) resulting from (i) any event of default under such Swap Contract as to which the Company or any Semiconductor Operations Subsidiary is the Defaulting Party (as defined in such Swap Contract), or (ii) any Termination Event (as defined in such Swap Contract) as to which the Company or any Semiconductor Operations Subsidiary is an Affected Party (as defined in such Swap Contract), and, in either event, the Swap Termination Value owed by the Company or such Semiconductor Operations Subsidiary as a result thereof is greater than $10,000,000; or</w:t>
      </w:r>
    </w:p>
    <w:p>
      <w:pPr>
        <w:spacing w:after="0" w:line="164" w:lineRule="exact"/>
        <w:rPr>
          <w:sz w:val="20"/>
          <w:szCs w:val="20"/>
          <w:color w:val="auto"/>
        </w:rPr>
      </w:pPr>
    </w:p>
    <w:p>
      <w:pPr>
        <w:ind w:left="960" w:hanging="349"/>
        <w:spacing w:after="0"/>
        <w:tabs>
          <w:tab w:leader="none" w:pos="96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Insolvency; Voluntary Proceedings.  The Company or any Semiconductor</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Operations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except as may otherwise be permitted herein, (iii) voluntarily commences any Insolvency Proceeding with respect to itself, or (iv) takes any action to effectuate or authorize any of the foregoing; or</w:t>
      </w:r>
    </w:p>
    <w:p>
      <w:pPr>
        <w:spacing w:after="0" w:line="164" w:lineRule="exact"/>
        <w:rPr>
          <w:sz w:val="20"/>
          <w:szCs w:val="20"/>
          <w:color w:val="auto"/>
        </w:rPr>
      </w:pPr>
    </w:p>
    <w:p>
      <w:pPr>
        <w:ind w:left="960" w:hanging="349"/>
        <w:spacing w:after="0"/>
        <w:tabs>
          <w:tab w:leader="none" w:pos="9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Proceedings.  (i) Any involuntary Insolvency Proceeding</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is commenced or filed against the Company or any Semiconductor Operations Subsidiary, or any writ, judgment, warrant of attachment, execution or similar process, is issued or levied against a substantial part of the Company's or any Semiconductor Operations Subsidiary's properties, and any such proceeding or petition shall not be dismissed, or such writ, judgment, warrant of attachment, execution or similar process shall not be released, vacated or fully bonded within 60 days after commencement, filing or levy, (ii) the Company or any Semiconductor Operations Subsidiary admits the material allegations of a petition against it in any Insolvency Proceeding, or an order for relief (or similar order under non-U.S. law) is ordered in any Insolvency Proceeding, or</w:t>
      </w:r>
    </w:p>
    <w:p>
      <w:pPr>
        <w:spacing w:after="0" w:line="4" w:lineRule="exact"/>
        <w:rPr>
          <w:sz w:val="20"/>
          <w:szCs w:val="20"/>
          <w:color w:val="auto"/>
        </w:rPr>
      </w:pPr>
    </w:p>
    <w:p>
      <w:pPr>
        <w:ind w:right="3419" w:firstLine="8"/>
        <w:spacing w:after="0" w:line="252" w:lineRule="auto"/>
        <w:tabs>
          <w:tab w:leader="none" w:pos="51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Semiconductor Operations Subsidiary acquiesces in the appointment of a receiver, trustee, custodian, conservator, liquidator, mortgagee in possession (or agent therefor), or other similar Person for itself or a substantial portion of its property or business; or</w:t>
      </w:r>
    </w:p>
    <w:p>
      <w:pPr>
        <w:spacing w:after="0" w:line="162" w:lineRule="exact"/>
        <w:rPr>
          <w:sz w:val="20"/>
          <w:szCs w:val="20"/>
          <w:color w:val="auto"/>
        </w:rPr>
      </w:pPr>
    </w:p>
    <w:p>
      <w:pPr>
        <w:ind w:left="960" w:hanging="349"/>
        <w:spacing w:after="0"/>
        <w:tabs>
          <w:tab w:leader="none" w:pos="96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(i) An ERISA Event shall occur with respect to a Pension Plan</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or Multiemployer Plan which has resulted or could reasonably be expected to result in liability of the Company under Title IV of ERISA to the Pension Plan, Multiemployer Plan or the PBGC in an aggregate amount in excess of 5% of Combined Tangible Net Worth, (ii) the aggregate amount of Unfunded Pension Liability among all Pension Plans at any time exceeds 5% of Combined Tangible Net Worth, or (iii) the Company or any ERISA Affiliate shall fail to pay when due, after the expiration of any applicable grace period, any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81" w:name="page82"/>
    <w:bookmarkEnd w:id="81"/>
    <w:p>
      <w:pPr>
        <w:ind w:right="3419"/>
        <w:spacing w:after="0" w:line="252" w:lineRule="auto"/>
        <w:rPr>
          <w:sz w:val="20"/>
          <w:szCs w:val="20"/>
          <w:color w:val="auto"/>
        </w:rPr>
      </w:pPr>
      <w:r>
        <w:rPr>
          <w:rFonts w:ascii="Courier New" w:cs="Courier New" w:eastAsia="Courier New" w:hAnsi="Courier New"/>
          <w:sz w:val="14"/>
          <w:szCs w:val="14"/>
          <w:color w:val="auto"/>
        </w:rPr>
        <w:t>installment payment with respect to its withdrawal liability under Section 4201 of ERISA under a Multiemployer Plan in an aggregate amount in excess of 5% of Combined Tangible Net Worth; or</w:t>
      </w:r>
    </w:p>
    <w:p>
      <w:pPr>
        <w:spacing w:after="0" w:line="163" w:lineRule="exact"/>
        <w:rPr>
          <w:sz w:val="20"/>
          <w:szCs w:val="20"/>
          <w:color w:val="auto"/>
        </w:rPr>
      </w:pPr>
    </w:p>
    <w:p>
      <w:pPr>
        <w:ind w:left="960" w:hanging="349"/>
        <w:spacing w:after="0"/>
        <w:tabs>
          <w:tab w:leader="none" w:pos="96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Monetary Judgments.  One or more non-interlocutory judgments, non-</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interlocutory orders, decrees or arbitration awards is entered against the Company or any Semiconductor Operations Subsidiary involving in the aggregate a liability (to the extent not covered by independent third-party insurance as to which the insurer does not dispute coverage) as to any single or related series of transactions, incidents or conditions, of $20,000,000 or more, and the same shall remain unsatisfied, unvacated and unstayed pending appeal for a period of 30 consecutive days after the entry thereof; or</w:t>
      </w:r>
    </w:p>
    <w:p>
      <w:pPr>
        <w:spacing w:after="0" w:line="164" w:lineRule="exact"/>
        <w:rPr>
          <w:sz w:val="20"/>
          <w:szCs w:val="20"/>
          <w:color w:val="auto"/>
        </w:rPr>
      </w:pPr>
    </w:p>
    <w:p>
      <w:pPr>
        <w:ind w:left="960" w:hanging="349"/>
        <w:spacing w:after="0"/>
        <w:tabs>
          <w:tab w:leader="none" w:pos="96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Non-Monetary Judgments.  Any non-monetary judgment, order or decree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is entered against the Company or any Semiconductor Operations Subsidiary which could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65" w:lineRule="exact"/>
        <w:rPr>
          <w:sz w:val="20"/>
          <w:szCs w:val="20"/>
          <w:color w:val="auto"/>
        </w:rPr>
      </w:pPr>
    </w:p>
    <w:p>
      <w:pPr>
        <w:ind w:left="960" w:hanging="349"/>
        <w:spacing w:after="0"/>
        <w:tabs>
          <w:tab w:leader="none" w:pos="96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If (i) any Person or two or more Persons acting</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concert, other than J.R. Simplot, J.R. Simplot Company, Simplot Canada Limited, a member of J.R. Simplot's immediate family and any other Persons controlled by or under common control with any of the foregoing, shall either acquire beneficial ownership, directly or indirectly, of, or acquire by contract or otherwise, or enter into a contract or arrangement which upon consummation will result in its or their acquisition of, or control over, securities of the Company (or other securities convertible into such securities) representing 30% or more of the combined voting power of all securities of the Company entitled to vote in the election of directors; or (ii) during any period of up to 12 consecutive months, commencing after the Closing Date, individuals who at the beginning of such 12-month period were directors of the Company shall cease for any reason to constitute a majority of the Board of Directors of the Company unless the persons replacing such individuals were nominated by the Board of Directors of the Company; or</w:t>
      </w:r>
    </w:p>
    <w:p>
      <w:pPr>
        <w:spacing w:after="0" w:line="162" w:lineRule="exact"/>
        <w:rPr>
          <w:sz w:val="20"/>
          <w:szCs w:val="20"/>
          <w:color w:val="auto"/>
        </w:rPr>
      </w:pPr>
    </w:p>
    <w:p>
      <w:pPr>
        <w:ind w:left="960" w:hanging="349"/>
        <w:spacing w:after="0"/>
        <w:tabs>
          <w:tab w:leader="none" w:pos="96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of Governmental Licenses.  Any Governmental Authority revokes or</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fails to renew any material license, permit or franchise of the Company or any Semiconductor Operations Subsidiary, or the Company or any Semiconductor Operations Subsidiary for any reason loses any material governmental license, permit or franchise, or the Company or any Semiconductor Operations Subsidiary suffers the imposition of any restraining order, escrow, suspension or impound of funds in connection with any proceeding (judicial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82" w:name="page83"/>
    <w:bookmarkEnd w:id="82"/>
    <w:p>
      <w:pPr>
        <w:ind w:right="3599"/>
        <w:spacing w:after="0" w:line="252" w:lineRule="auto"/>
        <w:rPr>
          <w:sz w:val="20"/>
          <w:szCs w:val="20"/>
          <w:color w:val="auto"/>
        </w:rPr>
      </w:pPr>
      <w:r>
        <w:rPr>
          <w:rFonts w:ascii="Courier New" w:cs="Courier New" w:eastAsia="Courier New" w:hAnsi="Courier New"/>
          <w:sz w:val="14"/>
          <w:szCs w:val="14"/>
          <w:color w:val="auto"/>
        </w:rPr>
        <w:t>administrative) with respect to any material governmental license, permit or franchise and the effect of such revocation, failure to renew, loss or imposition could reasonably be expected to have a Material Adverse Effect; or</w:t>
      </w:r>
    </w:p>
    <w:p>
      <w:pPr>
        <w:spacing w:after="0" w:line="163" w:lineRule="exact"/>
        <w:rPr>
          <w:sz w:val="20"/>
          <w:szCs w:val="20"/>
          <w:color w:val="auto"/>
        </w:rPr>
      </w:pPr>
    </w:p>
    <w:p>
      <w:pPr>
        <w:ind w:left="960" w:hanging="349"/>
        <w:spacing w:after="0"/>
        <w:tabs>
          <w:tab w:leader="none" w:pos="9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Subordinated Debt; Loss of Subordination.  Any event occurs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which gives the holder or holders of any Permitted Subordinated Debt (or an agent or trustee on its or their behalf) the right to declare such Permitted Subordinated Debt due before the date on which it otherwise would become due, or the right to require the issuer thereof to redeem or purchase, or offer to redeem or purchase, all or any portion of any Permitted Subordinated Debt; or a final unstayed judgment is entered by a court of competent jurisdiction that any Permitted Subordinated Debt is not subordinated in accordance with its terms to the Obligations.</w:t>
      </w:r>
    </w:p>
    <w:p>
      <w:pPr>
        <w:spacing w:after="0" w:line="164" w:lineRule="exact"/>
        <w:rPr>
          <w:sz w:val="20"/>
          <w:szCs w:val="20"/>
          <w:color w:val="auto"/>
        </w:rPr>
      </w:pPr>
    </w:p>
    <w:p>
      <w:pPr>
        <w:ind w:left="620"/>
        <w:spacing w:after="0"/>
        <w:tabs>
          <w:tab w:leader="none" w:pos="1280" w:val="left"/>
          <w:tab w:leader="none" w:pos="2220" w:val="left"/>
        </w:tabs>
        <w:rPr>
          <w:sz w:val="20"/>
          <w:szCs w:val="20"/>
          <w:color w:val="auto"/>
        </w:rPr>
      </w:pPr>
      <w:r>
        <w:rPr>
          <w:rFonts w:ascii="Courier New" w:cs="Courier New" w:eastAsia="Courier New" w:hAnsi="Courier New"/>
          <w:sz w:val="14"/>
          <w:szCs w:val="14"/>
          <w:color w:val="auto"/>
        </w:rPr>
        <w:t>8.02</w:t>
      </w:r>
      <w:r>
        <w:rPr>
          <w:sz w:val="20"/>
          <w:szCs w:val="20"/>
          <w:color w:val="auto"/>
        </w:rPr>
        <w:tab/>
      </w:r>
      <w:r>
        <w:rPr>
          <w:rFonts w:ascii="Courier New" w:cs="Courier New" w:eastAsia="Courier New" w:hAnsi="Courier New"/>
          <w:sz w:val="14"/>
          <w:szCs w:val="14"/>
          <w:color w:val="auto"/>
        </w:rPr>
        <w:t>Remedies.</w:t>
        <w:tab/>
        <w:t>If any Event of Default occurs, the Agent shall, at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request of, or may, with the consent of, the Majority Banks: (a) declare the commitment of each Bank to make Loans to be terminated, whereupon such commitments shall be terminated, (b) 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Company, and</w:t>
      </w:r>
    </w:p>
    <w:p>
      <w:pPr>
        <w:spacing w:after="0" w:line="3" w:lineRule="exact"/>
        <w:rPr>
          <w:sz w:val="20"/>
          <w:szCs w:val="20"/>
          <w:color w:val="auto"/>
        </w:rPr>
      </w:pPr>
    </w:p>
    <w:p>
      <w:pPr>
        <w:ind w:right="3339" w:firstLine="8"/>
        <w:spacing w:after="0" w:line="250" w:lineRule="auto"/>
        <w:tabs>
          <w:tab w:leader="none" w:pos="34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on behalf of itself and the Banks all rights and remedies available to it and the Banks under the Loan Documents or applicable law; provided,</w:t>
      </w:r>
    </w:p>
    <w:p>
      <w:pPr>
        <w:spacing w:after="0" w:line="1"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upon the occurrence of any event specified in subsection (g)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firstLine="8"/>
        <w:spacing w:after="0" w:line="251" w:lineRule="auto"/>
        <w:tabs>
          <w:tab w:leader="none" w:pos="3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Section 8.01 (in the case of clause (i) of subsection (h) upon the expiration of the 60-day period mentioned therein), the obligation of each Bank to make Loans shall automatically terminate and the unpaid principal amount of all outstanding Loans and all interest and other amounts as aforesaid shall automatically become due and payable without further act of the Agent or any Bank.</w:t>
      </w:r>
    </w:p>
    <w:p>
      <w:pPr>
        <w:spacing w:after="0" w:line="164" w:lineRule="exact"/>
        <w:rPr>
          <w:sz w:val="20"/>
          <w:szCs w:val="20"/>
          <w:color w:val="auto"/>
        </w:rPr>
      </w:pPr>
    </w:p>
    <w:p>
      <w:pPr>
        <w:ind w:left="620"/>
        <w:spacing w:after="0"/>
        <w:tabs>
          <w:tab w:leader="none" w:pos="1280" w:val="left"/>
          <w:tab w:leader="none" w:pos="3260" w:val="left"/>
        </w:tabs>
        <w:rPr>
          <w:sz w:val="20"/>
          <w:szCs w:val="20"/>
          <w:color w:val="auto"/>
        </w:rPr>
      </w:pPr>
      <w:r>
        <w:rPr>
          <w:rFonts w:ascii="Courier New" w:cs="Courier New" w:eastAsia="Courier New" w:hAnsi="Courier New"/>
          <w:sz w:val="14"/>
          <w:szCs w:val="14"/>
          <w:color w:val="auto"/>
        </w:rPr>
        <w:t>8.03</w:t>
      </w:r>
      <w:r>
        <w:rPr>
          <w:sz w:val="20"/>
          <w:szCs w:val="20"/>
          <w:color w:val="auto"/>
        </w:rPr>
        <w:tab/>
      </w:r>
      <w:r>
        <w:rPr>
          <w:rFonts w:ascii="Courier New" w:cs="Courier New" w:eastAsia="Courier New" w:hAnsi="Courier New"/>
          <w:sz w:val="14"/>
          <w:szCs w:val="14"/>
          <w:color w:val="auto"/>
        </w:rPr>
        <w:t>Rights Not Exclusive.</w:t>
        <w:tab/>
        <w:t>The rights provided for in this Agreement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and the other Loan Documents are cumulative and are not exclusive of any other rights, powers, privileges or remedies provided by law or in equity, or under any other instrument, document or agreement now existing or hereafter arising.</w:t>
      </w:r>
    </w:p>
    <w:p>
      <w:pPr>
        <w:spacing w:after="0" w:line="163" w:lineRule="exact"/>
        <w:rPr>
          <w:sz w:val="20"/>
          <w:szCs w:val="20"/>
          <w:color w:val="auto"/>
        </w:rPr>
      </w:pPr>
    </w:p>
    <w:p>
      <w:pPr>
        <w:ind w:left="620"/>
        <w:spacing w:after="0"/>
        <w:tabs>
          <w:tab w:leader="none" w:pos="1280" w:val="left"/>
          <w:tab w:leader="none" w:pos="4560" w:val="left"/>
        </w:tabs>
        <w:rPr>
          <w:sz w:val="20"/>
          <w:szCs w:val="20"/>
          <w:color w:val="auto"/>
        </w:rPr>
      </w:pPr>
      <w:r>
        <w:rPr>
          <w:rFonts w:ascii="Courier New" w:cs="Courier New" w:eastAsia="Courier New" w:hAnsi="Courier New"/>
          <w:sz w:val="14"/>
          <w:szCs w:val="14"/>
          <w:color w:val="auto"/>
        </w:rPr>
        <w:t>8.04</w:t>
      </w:r>
      <w:r>
        <w:rPr>
          <w:sz w:val="20"/>
          <w:szCs w:val="20"/>
          <w:color w:val="auto"/>
        </w:rPr>
        <w:tab/>
      </w:r>
      <w:r>
        <w:rPr>
          <w:rFonts w:ascii="Courier New" w:cs="Courier New" w:eastAsia="Courier New" w:hAnsi="Courier New"/>
          <w:sz w:val="14"/>
          <w:szCs w:val="14"/>
          <w:color w:val="auto"/>
        </w:rPr>
        <w:t>Certain Financial Covenant Defaults.</w:t>
        <w:tab/>
        <w:t>In the event that, after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taking into account any extraordinary charge to earnings taken or to be taken as of the end of any fiscal period of the Company (a "Charge"), and if solely by</w:t>
      </w:r>
    </w:p>
    <w:p>
      <w:pPr>
        <w:spacing w:after="0" w:line="1"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virtue of such Charge, there would exist an Event of Default due to the breach of any of Sections 7.13, 7.14, 7.15, 7.16 or 7.17 as of</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83" w:name="page84"/>
    <w:bookmarkEnd w:id="83"/>
    <w:p>
      <w:pPr>
        <w:ind w:right="3419"/>
        <w:spacing w:after="0" w:line="251" w:lineRule="auto"/>
        <w:rPr>
          <w:sz w:val="20"/>
          <w:szCs w:val="20"/>
          <w:color w:val="auto"/>
        </w:rPr>
      </w:pPr>
      <w:r>
        <w:rPr>
          <w:rFonts w:ascii="Courier New" w:cs="Courier New" w:eastAsia="Courier New" w:hAnsi="Courier New"/>
          <w:sz w:val="14"/>
          <w:szCs w:val="14"/>
          <w:color w:val="auto"/>
        </w:rPr>
        <w:t>such fiscal period end date on which the Company announces publicly it will take, is taking or has taken such Charge (including an announcement in the form of a statement in a report filed with the SEC) or, if such announcement is made prior to such fiscal period end date, the date that is such fiscal period end date, and (b) the date the Company delivers to the Agent its audited annual or unaudited quarterly financial statements in respect of such fiscal period reflecting such Charge as taken.</w:t>
      </w:r>
    </w:p>
    <w:p>
      <w:pPr>
        <w:spacing w:after="0" w:line="33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ARTICLE IX - THE AGENT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spacing w:after="0"/>
        <w:tabs>
          <w:tab w:leader="none" w:pos="1280" w:val="left"/>
          <w:tab w:leader="none" w:pos="4820" w:val="left"/>
        </w:tabs>
        <w:rPr>
          <w:sz w:val="20"/>
          <w:szCs w:val="20"/>
          <w:color w:val="auto"/>
        </w:rPr>
      </w:pPr>
      <w:r>
        <w:rPr>
          <w:rFonts w:ascii="Courier New" w:cs="Courier New" w:eastAsia="Courier New" w:hAnsi="Courier New"/>
          <w:sz w:val="14"/>
          <w:szCs w:val="14"/>
          <w:color w:val="auto"/>
        </w:rPr>
        <w:t>9.01</w:t>
      </w:r>
      <w:r>
        <w:rPr>
          <w:sz w:val="20"/>
          <w:szCs w:val="20"/>
          <w:color w:val="auto"/>
        </w:rPr>
        <w:tab/>
      </w:r>
      <w:r>
        <w:rPr>
          <w:rFonts w:ascii="Courier New" w:cs="Courier New" w:eastAsia="Courier New" w:hAnsi="Courier New"/>
          <w:sz w:val="14"/>
          <w:szCs w:val="14"/>
          <w:color w:val="auto"/>
        </w:rPr>
        <w:t>Appointment and Authorization; "Agent".</w:t>
        <w:tab/>
        <w:t>Each Bank hereby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irrevocably (subject to Section 9.09) appoints, designates and authorizes the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in this Agreement or in any other Loan Document, the Agent shall not have any duties or responsibilities, except those expressly set forth herein, nor shall the Agent have or be deemed to have any fiduciary relationship with any Bank, and no implied covenants, functions, responsibilities, duties, obligations or liabilities shall be read into this Agreement or any other Loan Document or otherwise exist against the Agent. Without limiting the generality of the foregoing sentence, the use of the term "agent" in this Agreement with reference to the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339" w:lineRule="exact"/>
        <w:rPr>
          <w:sz w:val="20"/>
          <w:szCs w:val="20"/>
          <w:color w:val="auto"/>
        </w:rPr>
      </w:pPr>
    </w:p>
    <w:p>
      <w:pPr>
        <w:ind w:left="620"/>
        <w:spacing w:after="0"/>
        <w:tabs>
          <w:tab w:leader="none" w:pos="1280" w:val="left"/>
          <w:tab w:leader="none" w:pos="3260" w:val="left"/>
        </w:tabs>
        <w:rPr>
          <w:sz w:val="20"/>
          <w:szCs w:val="20"/>
          <w:color w:val="auto"/>
        </w:rPr>
      </w:pPr>
      <w:r>
        <w:rPr>
          <w:rFonts w:ascii="Courier New" w:cs="Courier New" w:eastAsia="Courier New" w:hAnsi="Courier New"/>
          <w:sz w:val="14"/>
          <w:szCs w:val="14"/>
          <w:color w:val="auto"/>
        </w:rPr>
        <w:t>9.02</w:t>
      </w:r>
      <w:r>
        <w:rPr>
          <w:sz w:val="20"/>
          <w:szCs w:val="20"/>
          <w:color w:val="auto"/>
        </w:rPr>
        <w:tab/>
      </w:r>
      <w:r>
        <w:rPr>
          <w:rFonts w:ascii="Courier New" w:cs="Courier New" w:eastAsia="Courier New" w:hAnsi="Courier New"/>
          <w:sz w:val="14"/>
          <w:szCs w:val="14"/>
          <w:color w:val="auto"/>
        </w:rPr>
        <w:t>Delegation of Duties.</w:t>
        <w:tab/>
        <w:t>The Agent may execute any of its duties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under this Agreement or any other Loan Document by or through agents, employees or attorneys-in-fact and shall be entitled to advice of counsel concerning all matters pertaining to such duties. The Agent shall not be responsible for the negligence or misconduct of any agent or attorney-in-fact that it selects with reasonable care.</w:t>
      </w:r>
    </w:p>
    <w:p>
      <w:pPr>
        <w:spacing w:after="0" w:line="165" w:lineRule="exact"/>
        <w:rPr>
          <w:sz w:val="20"/>
          <w:szCs w:val="20"/>
          <w:color w:val="auto"/>
        </w:rPr>
      </w:pPr>
    </w:p>
    <w:p>
      <w:pPr>
        <w:ind w:left="620"/>
        <w:spacing w:after="0"/>
        <w:tabs>
          <w:tab w:leader="none" w:pos="1280" w:val="left"/>
          <w:tab w:leader="none" w:pos="3080" w:val="left"/>
        </w:tabs>
        <w:rPr>
          <w:sz w:val="20"/>
          <w:szCs w:val="20"/>
          <w:color w:val="auto"/>
        </w:rPr>
      </w:pPr>
      <w:r>
        <w:rPr>
          <w:rFonts w:ascii="Courier New" w:cs="Courier New" w:eastAsia="Courier New" w:hAnsi="Courier New"/>
          <w:sz w:val="14"/>
          <w:szCs w:val="14"/>
          <w:color w:val="auto"/>
        </w:rPr>
        <w:t>9.03</w:t>
      </w:r>
      <w:r>
        <w:rPr>
          <w:sz w:val="20"/>
          <w:szCs w:val="20"/>
          <w:color w:val="auto"/>
        </w:rPr>
        <w:tab/>
      </w:r>
      <w:r>
        <w:rPr>
          <w:rFonts w:ascii="Courier New" w:cs="Courier New" w:eastAsia="Courier New" w:hAnsi="Courier New"/>
          <w:sz w:val="14"/>
          <w:szCs w:val="14"/>
          <w:color w:val="auto"/>
        </w:rPr>
        <w:t>Liability of Agent.</w:t>
        <w:tab/>
        <w:t>None of the Agent-Related Persons shall (i)</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 liable for any action taken or omitted to be taken by any of them under or in connection with this Agreement or any other Loan Document or the transactions contemplated hereby (except for its own gross negligence or</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84" w:name="page85"/>
    <w:bookmarkEnd w:id="84"/>
    <w:p>
      <w:pPr>
        <w:ind w:right="3339"/>
        <w:spacing w:after="0" w:line="251" w:lineRule="auto"/>
        <w:rPr>
          <w:sz w:val="20"/>
          <w:szCs w:val="20"/>
          <w:color w:val="auto"/>
        </w:rPr>
      </w:pPr>
      <w:r>
        <w:rPr>
          <w:rFonts w:ascii="Courier New" w:cs="Courier New" w:eastAsia="Courier New" w:hAnsi="Courier New"/>
          <w:sz w:val="14"/>
          <w:szCs w:val="14"/>
          <w:color w:val="auto"/>
        </w:rPr>
        <w:t>willful misconduct), or (ii) be responsible in any manner to any of the Banks for any recital, statement, representation or warranty made by the Company or any Subsidiary or Affiliate of the Company, or any officer thereof, contained in this Agreement or in any other Loan Document, or in any certificate, report, statement or other document referred to or provided for in, or received by the Agent under or in connection with, this Agreement or any other Loan Document, or the validity, effectiveness, genuineness, enforceability or sufficiency of this Agreement or any other Loan Document, or for any failure of the Company or any other party to any Loan Document to perform its obligations hereunder or thereunder. No Agent-Related Person shall be under any obligation to any Bank to ascertain or to inquire as to the observance or performance of any of the agreements contained in, or conditions of, this Agreement or any other Loan Document, or to inspect the properties, books or records of the Company or any of the Company's Subsidiaries or Affiliates.</w:t>
      </w:r>
    </w:p>
    <w:p>
      <w:pPr>
        <w:spacing w:after="0" w:line="328" w:lineRule="exact"/>
        <w:rPr>
          <w:sz w:val="20"/>
          <w:szCs w:val="20"/>
          <w:color w:val="auto"/>
        </w:rPr>
      </w:pPr>
    </w:p>
    <w:p>
      <w:pPr>
        <w:ind w:left="620"/>
        <w:spacing w:after="0"/>
        <w:tabs>
          <w:tab w:leader="none" w:pos="1280" w:val="left"/>
          <w:tab w:leader="none" w:pos="3000" w:val="left"/>
          <w:tab w:leader="none" w:pos="3440" w:val="left"/>
        </w:tabs>
        <w:rPr>
          <w:sz w:val="20"/>
          <w:szCs w:val="20"/>
          <w:color w:val="auto"/>
        </w:rPr>
      </w:pPr>
      <w:r>
        <w:rPr>
          <w:rFonts w:ascii="Courier New" w:cs="Courier New" w:eastAsia="Courier New" w:hAnsi="Courier New"/>
          <w:sz w:val="14"/>
          <w:szCs w:val="14"/>
          <w:color w:val="auto"/>
        </w:rPr>
        <w:t>9.04</w:t>
      </w:r>
      <w:r>
        <w:rPr>
          <w:sz w:val="20"/>
          <w:szCs w:val="20"/>
          <w:color w:val="auto"/>
        </w:rPr>
        <w:tab/>
      </w:r>
      <w:r>
        <w:rPr>
          <w:rFonts w:ascii="Courier New" w:cs="Courier New" w:eastAsia="Courier New" w:hAnsi="Courier New"/>
          <w:sz w:val="14"/>
          <w:szCs w:val="14"/>
          <w:color w:val="auto"/>
        </w:rPr>
        <w:t>Reliance by Agent.</w:t>
        <w:tab/>
        <w:t>(a)</w:t>
        <w:tab/>
        <w:t>The Agent shall be entitled to rely, and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shall be fully protected in relying, upon any writing, resolution,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the Company), independent accountants and other experts selected by the Agent. The Agent shall be fully justified in failing or refusing to take any action under this Agreement or any other Loan Document unless it shall first receive such advice or concurrence of the Majority Banks as it deems appropriate and, if it so requests, it shall first be indemnified to its satisfaction by the Banks against any and all liability and expense which may be incurred by it by reason of taking or continuing to take any such action. The Agent shall in all cases be fully protected in acting, or in refraining from acting, under this Agreement or any other Loan Document in accordance with a request or consent of the Majority Banks and such request and any action taken or failure to act pursuant thereto shall be binding upon all of the Banks.</w:t>
      </w:r>
    </w:p>
    <w:p>
      <w:pPr>
        <w:spacing w:after="0" w:line="173" w:lineRule="exact"/>
        <w:rPr>
          <w:sz w:val="20"/>
          <w:szCs w:val="20"/>
          <w:color w:val="auto"/>
        </w:rPr>
      </w:pPr>
    </w:p>
    <w:p>
      <w:pPr>
        <w:ind w:right="3419" w:firstLine="870"/>
        <w:spacing w:after="0" w:line="251" w:lineRule="auto"/>
        <w:tabs>
          <w:tab w:leader="none" w:pos="1206"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compliance with the conditions specified in Section 4.01, each Bank that has executed this Agreement shall be deemed to have consented to, approved or accepted or to be satisfied with, each document or other matter either sent by the Agent to such Bank for consent, approval, acceptance or satisfaction, or required thereunder to be consented to or approved by or acceptable or satisfactory to the Bank.</w:t>
      </w:r>
    </w:p>
    <w:p>
      <w:pPr>
        <w:spacing w:after="0" w:line="164" w:lineRule="exact"/>
        <w:rPr>
          <w:sz w:val="20"/>
          <w:szCs w:val="20"/>
          <w:color w:val="auto"/>
        </w:rPr>
      </w:pPr>
    </w:p>
    <w:p>
      <w:pPr>
        <w:ind w:left="620"/>
        <w:spacing w:after="0"/>
        <w:tabs>
          <w:tab w:leader="none" w:pos="1280" w:val="left"/>
          <w:tab w:leader="none" w:pos="3000" w:val="left"/>
        </w:tabs>
        <w:rPr>
          <w:sz w:val="20"/>
          <w:szCs w:val="20"/>
          <w:color w:val="auto"/>
        </w:rPr>
      </w:pPr>
      <w:r>
        <w:rPr>
          <w:rFonts w:ascii="Courier New" w:cs="Courier New" w:eastAsia="Courier New" w:hAnsi="Courier New"/>
          <w:sz w:val="14"/>
          <w:szCs w:val="14"/>
          <w:color w:val="auto"/>
        </w:rPr>
        <w:t>9.05</w:t>
      </w:r>
      <w:r>
        <w:rPr>
          <w:sz w:val="20"/>
          <w:szCs w:val="20"/>
          <w:color w:val="auto"/>
        </w:rPr>
        <w:tab/>
      </w:r>
      <w:r>
        <w:rPr>
          <w:rFonts w:ascii="Courier New" w:cs="Courier New" w:eastAsia="Courier New" w:hAnsi="Courier New"/>
          <w:sz w:val="14"/>
          <w:szCs w:val="14"/>
          <w:color w:val="auto"/>
        </w:rPr>
        <w:t>Notice of Default.</w:t>
        <w:tab/>
        <w:t>The Agent shall not be deemed to have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knowledge or notice of the occurrence of any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85" w:name="page86"/>
    <w:bookmarkEnd w:id="85"/>
    <w:p>
      <w:pPr>
        <w:ind w:right="3339"/>
        <w:spacing w:after="0" w:line="250" w:lineRule="auto"/>
        <w:rPr>
          <w:sz w:val="20"/>
          <w:szCs w:val="20"/>
          <w:color w:val="auto"/>
        </w:rPr>
      </w:pPr>
      <w:r>
        <w:rPr>
          <w:rFonts w:ascii="Courier New" w:cs="Courier New" w:eastAsia="Courier New" w:hAnsi="Courier New"/>
          <w:sz w:val="14"/>
          <w:szCs w:val="14"/>
          <w:color w:val="auto"/>
        </w:rPr>
        <w:t>Default or Event of Default, except with respect to defaults in the payment of principal, interest and fees required to be paid to the Agent for the account of the Banks, unless the Agent shall have received written notice from a Bank or the Company referring to this Agreement, describing such Default or Event of Default and stating that such notice is a "notice of default". The Agent will notify the Banks of its receipt of any such notice. The Agent shall take such action with respect to such Default or Event of Default as may be requested by the Majority Banks in accordance with Article VIII; provided, however, that</w:t>
      </w:r>
    </w:p>
    <w:p>
      <w:pPr>
        <w:spacing w:after="0" w:line="3" w:lineRule="exact"/>
        <w:rPr>
          <w:sz w:val="20"/>
          <w:szCs w:val="20"/>
          <w:color w:val="auto"/>
        </w:rPr>
      </w:pPr>
    </w:p>
    <w:p>
      <w:pPr>
        <w:ind w:left="4480"/>
        <w:spacing w:after="0"/>
        <w:tabs>
          <w:tab w:leader="none" w:pos="53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unless and until the Agent has received any such request, the Agent may (but shall not be obligated to) take such action, or refrain from taking such action, with respect to such Default or Event of Default as it shall deem advisable or in the best interest of the Banks.</w:t>
      </w:r>
    </w:p>
    <w:p>
      <w:pPr>
        <w:spacing w:after="0" w:line="162" w:lineRule="exact"/>
        <w:rPr>
          <w:sz w:val="20"/>
          <w:szCs w:val="20"/>
          <w:color w:val="auto"/>
        </w:rPr>
      </w:pPr>
    </w:p>
    <w:p>
      <w:pPr>
        <w:ind w:left="620"/>
        <w:spacing w:after="0"/>
        <w:tabs>
          <w:tab w:leader="none" w:pos="1280" w:val="left"/>
          <w:tab w:leader="none" w:pos="2840" w:val="left"/>
        </w:tabs>
        <w:rPr>
          <w:sz w:val="20"/>
          <w:szCs w:val="20"/>
          <w:color w:val="auto"/>
        </w:rPr>
      </w:pPr>
      <w:r>
        <w:rPr>
          <w:rFonts w:ascii="Courier New" w:cs="Courier New" w:eastAsia="Courier New" w:hAnsi="Courier New"/>
          <w:sz w:val="14"/>
          <w:szCs w:val="14"/>
          <w:color w:val="auto"/>
        </w:rPr>
        <w:t>9.06</w:t>
      </w:r>
      <w:r>
        <w:rPr>
          <w:sz w:val="20"/>
          <w:szCs w:val="20"/>
          <w:color w:val="auto"/>
        </w:rPr>
        <w:tab/>
      </w:r>
      <w:r>
        <w:rPr>
          <w:rFonts w:ascii="Courier New" w:cs="Courier New" w:eastAsia="Courier New" w:hAnsi="Courier New"/>
          <w:sz w:val="14"/>
          <w:szCs w:val="14"/>
          <w:color w:val="auto"/>
        </w:rPr>
        <w:t>Credit Decision.</w:t>
        <w:tab/>
        <w:t>Each Bank acknowledges that none of the Agent-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Related Persons has made any representation or warranty to it, and that no act by the Agent hereinafter taken, including any review of the affairs of the Company and its Subsidiaries, shall be deemed to constitute any representation or warranty by any Agent-Related Person to any Bank. Each Bank represents to the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 worthiness of the Company and its Subsidiaries, and all applicable bank regulatory laws relating to the transactions contemplated hereby, and made its own decision to enter into this Agreement and to extend credit to the Company hereunder. Each Bank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 worthiness of the Company. Except for notices, reports and other documents expressly herein required to be furnished to the Banks by the Agent, the Agent shall not have any duty or responsibility to provide any Bank with any credit or other information concerning the business, prospects, operations, property, financial and other condition or credit worthiness of the Company which may come into the possession of any of the Agent-Related Persons.</w:t>
      </w:r>
    </w:p>
    <w:p>
      <w:pPr>
        <w:spacing w:after="0" w:line="176" w:lineRule="exact"/>
        <w:rPr>
          <w:sz w:val="20"/>
          <w:szCs w:val="20"/>
          <w:color w:val="auto"/>
        </w:rPr>
      </w:pPr>
    </w:p>
    <w:p>
      <w:pPr>
        <w:ind w:left="620"/>
        <w:spacing w:after="0"/>
        <w:tabs>
          <w:tab w:leader="none" w:pos="1280" w:val="left"/>
          <w:tab w:leader="none" w:pos="3600" w:val="left"/>
        </w:tabs>
        <w:rPr>
          <w:sz w:val="20"/>
          <w:szCs w:val="20"/>
          <w:color w:val="auto"/>
        </w:rPr>
      </w:pPr>
      <w:r>
        <w:rPr>
          <w:rFonts w:ascii="Courier New" w:cs="Courier New" w:eastAsia="Courier New" w:hAnsi="Courier New"/>
          <w:sz w:val="14"/>
          <w:szCs w:val="14"/>
          <w:color w:val="auto"/>
        </w:rPr>
        <w:t>9.07</w:t>
      </w:r>
      <w:r>
        <w:rPr>
          <w:sz w:val="20"/>
          <w:szCs w:val="20"/>
          <w:color w:val="auto"/>
        </w:rPr>
        <w:tab/>
      </w:r>
      <w:r>
        <w:rPr>
          <w:rFonts w:ascii="Courier New" w:cs="Courier New" w:eastAsia="Courier New" w:hAnsi="Courier New"/>
          <w:sz w:val="14"/>
          <w:szCs w:val="14"/>
          <w:color w:val="auto"/>
        </w:rPr>
        <w:t>Indemnification of Agent.</w:t>
        <w:tab/>
        <w:t>Whether or not the transactions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contemplated hereby are consummated, the Banks shall indemnify upon demand the Agent-Related Persons (to the extent not reimbursed by or on behalf of the Company and</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86" w:name="page87"/>
    <w:bookmarkEnd w:id="86"/>
    <w:p>
      <w:pPr>
        <w:ind w:right="3679"/>
        <w:spacing w:after="0" w:line="250" w:lineRule="auto"/>
        <w:rPr>
          <w:sz w:val="20"/>
          <w:szCs w:val="20"/>
          <w:color w:val="auto"/>
        </w:rPr>
      </w:pPr>
      <w:r>
        <w:rPr>
          <w:rFonts w:ascii="Courier New" w:cs="Courier New" w:eastAsia="Courier New" w:hAnsi="Courier New"/>
          <w:sz w:val="14"/>
          <w:szCs w:val="14"/>
          <w:color w:val="auto"/>
        </w:rPr>
        <w:t>without limiting the obligation of the Company to do so), pro rata, from and against any and all Indemnified Liabilities; provided, however, that no Bank</w:t>
      </w:r>
    </w:p>
    <w:p>
      <w:pPr>
        <w:spacing w:after="0" w:line="1" w:lineRule="exact"/>
        <w:rPr>
          <w:sz w:val="20"/>
          <w:szCs w:val="20"/>
          <w:color w:val="auto"/>
        </w:rPr>
      </w:pPr>
    </w:p>
    <w:p>
      <w:pPr>
        <w:ind w:left="3880"/>
        <w:spacing w:after="0"/>
        <w:tabs>
          <w:tab w:leader="none" w:pos="472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shall be liable for the payment to the Agent-Related Persons of any portion of such Indemnified Liabilities resulting solely from such Person's gross negligence or willful misconduct. Without limitation of the foregoing, each Bank shall reimburse the Agent upon demand for its ratable share of any costs or out-of-pocket expenses (including Attorney Costs) incurred by the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Agent is not reimbursed for such expenses by or on behalf of the Company. The undertaking in this Section shall survive the payment of all Obligations hereunder and the resignation or replacement of the Agent.</w:t>
      </w:r>
    </w:p>
    <w:p>
      <w:pPr>
        <w:spacing w:after="0" w:line="329" w:lineRule="exact"/>
        <w:rPr>
          <w:sz w:val="20"/>
          <w:szCs w:val="20"/>
          <w:color w:val="auto"/>
        </w:rPr>
      </w:pPr>
    </w:p>
    <w:p>
      <w:pPr>
        <w:ind w:left="620"/>
        <w:spacing w:after="0"/>
        <w:tabs>
          <w:tab w:leader="none" w:pos="1280" w:val="left"/>
          <w:tab w:leader="none" w:pos="3960" w:val="left"/>
        </w:tabs>
        <w:rPr>
          <w:sz w:val="20"/>
          <w:szCs w:val="20"/>
          <w:color w:val="auto"/>
        </w:rPr>
      </w:pPr>
      <w:r>
        <w:rPr>
          <w:rFonts w:ascii="Courier New" w:cs="Courier New" w:eastAsia="Courier New" w:hAnsi="Courier New"/>
          <w:sz w:val="14"/>
          <w:szCs w:val="14"/>
          <w:color w:val="auto"/>
        </w:rPr>
        <w:t>9.08</w:t>
      </w:r>
      <w:r>
        <w:rPr>
          <w:sz w:val="20"/>
          <w:szCs w:val="20"/>
          <w:color w:val="auto"/>
        </w:rPr>
        <w:tab/>
      </w:r>
      <w:r>
        <w:rPr>
          <w:rFonts w:ascii="Courier New" w:cs="Courier New" w:eastAsia="Courier New" w:hAnsi="Courier New"/>
          <w:sz w:val="14"/>
          <w:szCs w:val="14"/>
          <w:color w:val="auto"/>
        </w:rPr>
        <w:t>Agent in Individual Capacity.</w:t>
        <w:tab/>
        <w:t>BofA (and any successor Agent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pursuant to Section 9.09) and its Affiliates may make loans to, issue letters of credit for the account of, accept deposits from, acquire equity interests in and generally engage in any kind of banking, trust, financial advisory, underwriting or other business with the Company and its Subsidiaries and Affiliates as though BofA (or such successor Agent) were not the Agent hereunder and without notice to or consent of the Banks. The Banks acknowledge that, pursuant to such activities, BofA (and any successor Agent pursuant to Section 9.09) or its Affiliates may receive information regarding the Company or its Affiliates (including information that may be subject to confidentiality obligations in favor of the Company or such Subsidiary) and acknowledge that the Agent shall be under no obligation to provide such information to them. With respect to its Loans, BofA (and any successor Agent pursuant to Section 9.09) shall have the same rights and powers under this Agreement as any other Bank and may exercise the same as though it were not the Agent, and the terms "Bank" and "Banks" include BofA (or such successor Agent) in its individual capacity.</w:t>
      </w:r>
    </w:p>
    <w:p>
      <w:pPr>
        <w:spacing w:after="0" w:line="172" w:lineRule="exact"/>
        <w:rPr>
          <w:sz w:val="20"/>
          <w:szCs w:val="20"/>
          <w:color w:val="auto"/>
        </w:rPr>
      </w:pPr>
    </w:p>
    <w:p>
      <w:pPr>
        <w:ind w:left="620"/>
        <w:spacing w:after="0"/>
        <w:tabs>
          <w:tab w:leader="none" w:pos="1280" w:val="left"/>
          <w:tab w:leader="none" w:pos="2840" w:val="left"/>
        </w:tabs>
        <w:rPr>
          <w:sz w:val="20"/>
          <w:szCs w:val="20"/>
          <w:color w:val="auto"/>
        </w:rPr>
      </w:pPr>
      <w:r>
        <w:rPr>
          <w:rFonts w:ascii="Courier New" w:cs="Courier New" w:eastAsia="Courier New" w:hAnsi="Courier New"/>
          <w:sz w:val="14"/>
          <w:szCs w:val="14"/>
          <w:color w:val="auto"/>
        </w:rPr>
        <w:t>9.09</w:t>
      </w:r>
      <w:r>
        <w:rPr>
          <w:sz w:val="20"/>
          <w:szCs w:val="20"/>
          <w:color w:val="auto"/>
        </w:rPr>
        <w:tab/>
      </w:r>
      <w:r>
        <w:rPr>
          <w:rFonts w:ascii="Courier New" w:cs="Courier New" w:eastAsia="Courier New" w:hAnsi="Courier New"/>
          <w:sz w:val="14"/>
          <w:szCs w:val="14"/>
          <w:color w:val="auto"/>
        </w:rPr>
        <w:t>Successor Agent.</w:t>
        <w:tab/>
        <w:t>The Agent may, and at the request of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Majority Banks shall, resign as Agent upon 30 days' notice to the Banks. If the Agent resigns under this Agreement, the Majority Banks shall appoint from among the Banks a successor agent for the Banks, which successor agent shall be approved by the Company. If no successor agent is appointed prior to the effective date of the resignation of the Agent, the Agent may appoint, after consulting with the Banks and the Company, a successor agent from among the Banks. Upon the acceptance of its appointment as successor agent hereunder, such successor agent shall succeed to all the rights, powers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87" w:name="page88"/>
    <w:bookmarkEnd w:id="87"/>
    <w:p>
      <w:pPr>
        <w:ind w:right="3339"/>
        <w:spacing w:after="0" w:line="251" w:lineRule="auto"/>
        <w:rPr>
          <w:sz w:val="20"/>
          <w:szCs w:val="20"/>
          <w:color w:val="auto"/>
        </w:rPr>
      </w:pPr>
      <w:r>
        <w:rPr>
          <w:rFonts w:ascii="Courier New" w:cs="Courier New" w:eastAsia="Courier New" w:hAnsi="Courier New"/>
          <w:sz w:val="14"/>
          <w:szCs w:val="14"/>
          <w:color w:val="auto"/>
        </w:rPr>
        <w:t>and duties of the retiring Agent and the term "Agent" shall mean such successor agent and the retiring Agent's appointment, powers and duties as Agent shall be terminated. After any retiring Agent's resignation hereunder as Agent, the provisions of this Article IX and Sections 10.04 and 10.05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Banks shall perform all of the duties of the Agent hereunder until such time, if any, as the Majority Banks appoint a successor agent as provided for above.</w:t>
      </w:r>
    </w:p>
    <w:p>
      <w:pPr>
        <w:spacing w:after="0" w:line="329" w:lineRule="exact"/>
        <w:rPr>
          <w:sz w:val="20"/>
          <w:szCs w:val="20"/>
          <w:color w:val="auto"/>
        </w:rPr>
      </w:pPr>
    </w:p>
    <w:p>
      <w:pPr>
        <w:ind w:left="620"/>
        <w:spacing w:after="0"/>
        <w:tabs>
          <w:tab w:leader="none" w:pos="1280" w:val="left"/>
          <w:tab w:leader="none" w:pos="2840" w:val="left"/>
        </w:tabs>
        <w:rPr>
          <w:sz w:val="20"/>
          <w:szCs w:val="20"/>
          <w:color w:val="auto"/>
        </w:rPr>
      </w:pPr>
      <w:r>
        <w:rPr>
          <w:rFonts w:ascii="Courier New" w:cs="Courier New" w:eastAsia="Courier New" w:hAnsi="Courier New"/>
          <w:sz w:val="14"/>
          <w:szCs w:val="14"/>
          <w:color w:val="auto"/>
        </w:rPr>
        <w:t>9.10</w:t>
      </w:r>
      <w:r>
        <w:rPr>
          <w:sz w:val="20"/>
          <w:szCs w:val="20"/>
          <w:color w:val="auto"/>
        </w:rPr>
        <w:tab/>
      </w:r>
      <w:r>
        <w:rPr>
          <w:rFonts w:ascii="Courier New" w:cs="Courier New" w:eastAsia="Courier New" w:hAnsi="Courier New"/>
          <w:sz w:val="14"/>
          <w:szCs w:val="14"/>
          <w:color w:val="auto"/>
        </w:rPr>
        <w:t>Withholding Tax.</w:t>
        <w:tab/>
        <w:t>(a) If any Bank is a "foreign corporation,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partnership or trust within the meaning of the Code and such Bank claims exemption from, or a reduction of, U.S. withholding tax under Sections 1441 or 1442 of the Code, such Bank agrees with and in favor of the Agent, to deliver to the Agent:</w:t>
      </w:r>
    </w:p>
    <w:p>
      <w:pPr>
        <w:spacing w:after="0" w:line="327" w:lineRule="exact"/>
        <w:rPr>
          <w:sz w:val="20"/>
          <w:szCs w:val="20"/>
          <w:color w:val="auto"/>
        </w:rPr>
      </w:pPr>
    </w:p>
    <w:p>
      <w:pPr>
        <w:ind w:left="620" w:right="3339" w:firstLine="680"/>
        <w:spacing w:after="0" w:line="251" w:lineRule="auto"/>
        <w:tabs>
          <w:tab w:leader="none" w:pos="191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Bank claims an exemption from, or a reduction of, withholding tax under a United States tax treaty, two properly completed and executed copies of IRS Form 1001 before the payment of any interest in the first calendar year and before the payment of any interest in each third succeeding calendar year during which interest may be paid under this Agreement;</w:t>
      </w:r>
    </w:p>
    <w:p>
      <w:pPr>
        <w:spacing w:after="0" w:line="164" w:lineRule="exact"/>
        <w:rPr>
          <w:rFonts w:ascii="Courier New" w:cs="Courier New" w:eastAsia="Courier New" w:hAnsi="Courier New"/>
          <w:sz w:val="14"/>
          <w:szCs w:val="14"/>
          <w:color w:val="auto"/>
        </w:rPr>
      </w:pPr>
    </w:p>
    <w:p>
      <w:pPr>
        <w:ind w:left="620" w:right="3339" w:firstLine="680"/>
        <w:spacing w:after="0" w:line="251" w:lineRule="auto"/>
        <w:tabs>
          <w:tab w:leader="none" w:pos="191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Bank claims that interest paid under this Agreement is exempt from United States withholding tax because it is effectively connected with a United States trade or business of such Bank, two properly completed and executed copies of IRS Form 4224 before the payment of any interest is due in the first taxable year of such Bank and in each succeeding taxable year of such Bank during which interest may be paid under this Agreement; and</w:t>
      </w:r>
    </w:p>
    <w:p>
      <w:pPr>
        <w:spacing w:after="0" w:line="164" w:lineRule="exact"/>
        <w:rPr>
          <w:rFonts w:ascii="Courier New" w:cs="Courier New" w:eastAsia="Courier New" w:hAnsi="Courier New"/>
          <w:sz w:val="14"/>
          <w:szCs w:val="14"/>
          <w:color w:val="auto"/>
        </w:rPr>
      </w:pPr>
    </w:p>
    <w:p>
      <w:pPr>
        <w:ind w:left="620" w:right="3339" w:firstLine="680"/>
        <w:spacing w:after="0" w:line="252" w:lineRule="auto"/>
        <w:tabs>
          <w:tab w:leader="none" w:pos="191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form or forms as may be required under the Code or other laws of the United States as a condition to exemption from, or reduction of, United States withholding tax.</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Such Bank agrees to promptly notify the Agent of any change in circumstances which would modify or render invalid any claimed exemption or reduction.</w:t>
      </w:r>
    </w:p>
    <w:p>
      <w:pPr>
        <w:spacing w:after="0" w:line="160" w:lineRule="exact"/>
        <w:rPr>
          <w:sz w:val="20"/>
          <w:szCs w:val="20"/>
          <w:color w:val="auto"/>
        </w:rPr>
      </w:pPr>
    </w:p>
    <w:p>
      <w:pPr>
        <w:ind w:right="3339" w:firstLine="870"/>
        <w:spacing w:after="0" w:line="252" w:lineRule="auto"/>
        <w:tabs>
          <w:tab w:leader="none" w:pos="129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claims exemption from, or reduction of, withholding tax under a United States tax treaty by providing IRS Form 1001 and such Bank sells, assigns, grants a participation in, or otherwise transfers all or part of the Obligations of the Company to such Bank, such Bank agrees to</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88" w:name="page89"/>
    <w:bookmarkEnd w:id="88"/>
    <w:p>
      <w:pPr>
        <w:ind w:right="3599"/>
        <w:spacing w:after="0" w:line="252" w:lineRule="auto"/>
        <w:rPr>
          <w:sz w:val="20"/>
          <w:szCs w:val="20"/>
          <w:color w:val="auto"/>
        </w:rPr>
      </w:pPr>
      <w:r>
        <w:rPr>
          <w:rFonts w:ascii="Courier New" w:cs="Courier New" w:eastAsia="Courier New" w:hAnsi="Courier New"/>
          <w:sz w:val="14"/>
          <w:szCs w:val="14"/>
          <w:color w:val="auto"/>
        </w:rPr>
        <w:t>notify the Agent of the percentage amount in which it is no longer the beneficial owner of Obligations of the Company to such Bank. To the extent of such percentage amount, the Agent will treat such Bank's IRS Form 1001 as no longer valid.</w:t>
      </w:r>
    </w:p>
    <w:p>
      <w:pPr>
        <w:spacing w:after="0" w:line="162" w:lineRule="exact"/>
        <w:rPr>
          <w:sz w:val="20"/>
          <w:szCs w:val="20"/>
          <w:color w:val="auto"/>
        </w:rPr>
      </w:pPr>
    </w:p>
    <w:p>
      <w:pPr>
        <w:ind w:right="3339" w:firstLine="870"/>
        <w:spacing w:after="0" w:line="251" w:lineRule="auto"/>
        <w:tabs>
          <w:tab w:leader="none" w:pos="129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claiming exemption from United States withholding tax by filing IRS Form 4224 with the Agent sells, assigns, grants a participation in, or otherwise transfers all or part of the Obligations of the Company to such Bank, such Bank agrees to notify the Agent of the percentage amount which it is no longer the beneficial owner of Obligations of the Company to such Bank. To the extent of such percentage amount, the Agent will treat such Bank's IRS Form 4224 as no longer valid.</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Bank is entitled to a reduction in the applicable withholding tax, the Agent may withhold from any interest payment to such Bank an amount equivalent to the applicable withholding tax after taking into account such reduction. However, if the forms or other documentation required by subsection (a) of this Section are not delivered to the Agent, then the Agent may withhold from any interest payment to such Bank not providing such forms or other documentation an amount equivalent to the applicable withholding tax imposed by Sections 1441 and 1442 of the Code, without reduction.</w:t>
      </w:r>
    </w:p>
    <w:p>
      <w:pPr>
        <w:spacing w:after="0" w:line="163"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IRS or any other Governmental Authority of the United States or other jurisdiction asserts a claim that the Agent did not properly withhold tax from amounts paid to or for the account of any Bank because the appropriate form was not delivered or was not properly executed, or because such Bank failed to notify the Agent of a change in circumstances which rendered the exemption from, or reduction of, withholding tax ineffective, or for any other reason) such Bank shall indemnify the Agent fully for all amounts paid, directly or indirectly, by the Agent as tax or otherwise, including penalties and interest, and including any taxes imposed by any jurisdiction on the amounts payable to the Agent under this Section, together with all costs and expenses including Attorney Costs). The obligation of the Banks under this subsection shall survive the payment of all Obligations and the resignation or replacement of the Agent.</w:t>
      </w:r>
    </w:p>
    <w:p>
      <w:pPr>
        <w:spacing w:after="0" w:line="329" w:lineRule="exact"/>
        <w:rPr>
          <w:sz w:val="20"/>
          <w:szCs w:val="20"/>
          <w:color w:val="auto"/>
        </w:rPr>
      </w:pPr>
    </w:p>
    <w:p>
      <w:pPr>
        <w:ind w:left="620"/>
        <w:spacing w:after="0"/>
        <w:tabs>
          <w:tab w:leader="none" w:pos="1280" w:val="left"/>
          <w:tab w:leader="none" w:pos="2320" w:val="left"/>
        </w:tabs>
        <w:rPr>
          <w:sz w:val="20"/>
          <w:szCs w:val="20"/>
          <w:color w:val="auto"/>
        </w:rPr>
      </w:pPr>
      <w:r>
        <w:rPr>
          <w:rFonts w:ascii="Courier New" w:cs="Courier New" w:eastAsia="Courier New" w:hAnsi="Courier New"/>
          <w:sz w:val="14"/>
          <w:szCs w:val="14"/>
          <w:color w:val="auto"/>
        </w:rPr>
        <w:t>9.11</w:t>
      </w:r>
      <w:r>
        <w:rPr>
          <w:sz w:val="20"/>
          <w:szCs w:val="20"/>
          <w:color w:val="auto"/>
        </w:rPr>
        <w:tab/>
      </w:r>
      <w:r>
        <w:rPr>
          <w:rFonts w:ascii="Courier New" w:cs="Courier New" w:eastAsia="Courier New" w:hAnsi="Courier New"/>
          <w:sz w:val="14"/>
          <w:szCs w:val="14"/>
          <w:color w:val="auto"/>
        </w:rPr>
        <w:t>Co-Agents.</w:t>
        <w:tab/>
        <w:t>None of the Banks identified on the facing page or</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signature pages of this Agreement as a "co-agent" shall have any right, power, obligation, liability, responsibility or duty under this Agreement other than those applicable to all Banks as such. Without limiting the foregoing, none of the Banks so identified as a "co-agent" shall have or be deemed to have any fiduciary relationship with any Bank. Each Bank acknowledges that it has not relied, and will not rely, on any of the Banks so identified in deciding to</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enter into this Agreement or in taking or not taking action hereunder.</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ARTICLE X - MISCELLANEOUS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620"/>
        <w:spacing w:after="0"/>
        <w:tabs>
          <w:tab w:leader="none" w:pos="1280" w:val="left"/>
          <w:tab w:leader="none" w:pos="3440" w:val="left"/>
        </w:tabs>
        <w:rPr>
          <w:sz w:val="20"/>
          <w:szCs w:val="20"/>
          <w:color w:val="auto"/>
        </w:rPr>
      </w:pPr>
      <w:r>
        <w:rPr>
          <w:rFonts w:ascii="Courier New" w:cs="Courier New" w:eastAsia="Courier New" w:hAnsi="Courier New"/>
          <w:sz w:val="14"/>
          <w:szCs w:val="14"/>
          <w:color w:val="auto"/>
        </w:rPr>
        <w:t>10.01</w:t>
      </w:r>
      <w:r>
        <w:rPr>
          <w:sz w:val="20"/>
          <w:szCs w:val="20"/>
          <w:color w:val="auto"/>
        </w:rPr>
        <w:tab/>
      </w:r>
      <w:r>
        <w:rPr>
          <w:rFonts w:ascii="Courier New" w:cs="Courier New" w:eastAsia="Courier New" w:hAnsi="Courier New"/>
          <w:sz w:val="14"/>
          <w:szCs w:val="14"/>
          <w:color w:val="auto"/>
        </w:rPr>
        <w:t>Amendments and Waivers.</w:t>
        <w:tab/>
        <w:t>No amendment or waiver of any provision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this Agreement or any other Loan Document, and no consent with respect to any departure by the Company or any applicable Subsidiary therefrom, shall be effective unless the same shall be in writing and signed by the Majority Banks (or by the Agent at the written request of the Majority Banks) and the Company and acknowledged by the Agent, and then any such waiver or consent shall be effective only in the specific instance and for the specific purpose for which given; provided, however, that no such waiver, amendment, or consent shall,</w:t>
      </w:r>
    </w:p>
    <w:p>
      <w:pPr>
        <w:spacing w:after="0" w:line="3" w:lineRule="exact"/>
        <w:rPr>
          <w:sz w:val="20"/>
          <w:szCs w:val="20"/>
          <w:color w:val="auto"/>
        </w:rPr>
      </w:pPr>
    </w:p>
    <w:p>
      <w:pPr>
        <w:ind w:left="620"/>
        <w:spacing w:after="0"/>
        <w:tabs>
          <w:tab w:leader="none" w:pos="14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unless in writing and signed by all the Banks and the Company and acknowledged by the Agent, do any of the following: (a) increase or extend the Commitment of any Bank (or reinstate any Commitment terminated pursuant to Section 8.02), (b) postpone or delay any date fixed by this Agreement or any other Loan Document for any payment of principal, interest, fees or other amounts due to the Banks (or any of them) hereunder or under any other Loan Document, (c) reduce the principal of, or the rate of interest specified herein on any Loan, or (subject to clause (ii) below) any fees or other amounts payable hereunder or under any other Loan Document, (d) change the percentage of the Commitments or of the aggregate unpaid principal amount of the Loans which is required for the Banks or any of them to take any action hereunder, or (e) amend this Section, Section 2.13 or Section 2.14, or any provision herein providing for consent or other action by all Banks; and, provided further, that (i) no amendment, waiver or</w:t>
      </w:r>
    </w:p>
    <w:p>
      <w:pPr>
        <w:spacing w:after="0" w:line="6"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consent shall, unless in writing and signed by the Agent in addition to the Majority Banks or all the Banks, as the case may be, affect the rights or duties of the Agent under this Agreement or any other Loan Document, (ii) the fee letters referred to in Section 2.09 may be amended, or rights or privileges thereunder waived, in a writing executed by the parties thereto; and (iii) nothing herein shall be construed to prohibit deemed amendments from taking effect pursuant to Sections 3.07 or 10.08(c) hereof.</w:t>
      </w:r>
    </w:p>
    <w:p>
      <w:pPr>
        <w:spacing w:after="0" w:line="164" w:lineRule="exact"/>
        <w:rPr>
          <w:sz w:val="20"/>
          <w:szCs w:val="20"/>
          <w:color w:val="auto"/>
        </w:rPr>
      </w:pPr>
    </w:p>
    <w:p>
      <w:pPr>
        <w:ind w:left="620"/>
        <w:spacing w:after="0"/>
        <w:tabs>
          <w:tab w:leader="none" w:pos="1280" w:val="left"/>
          <w:tab w:leader="none" w:pos="2140" w:val="left"/>
          <w:tab w:leader="none" w:pos="2580" w:val="left"/>
        </w:tabs>
        <w:rPr>
          <w:sz w:val="20"/>
          <w:szCs w:val="20"/>
          <w:color w:val="auto"/>
        </w:rPr>
      </w:pPr>
      <w:r>
        <w:rPr>
          <w:rFonts w:ascii="Courier New" w:cs="Courier New" w:eastAsia="Courier New" w:hAnsi="Courier New"/>
          <w:sz w:val="14"/>
          <w:szCs w:val="14"/>
          <w:color w:val="auto"/>
        </w:rPr>
        <w:t>10.02</w:t>
      </w:r>
      <w:r>
        <w:rPr>
          <w:sz w:val="20"/>
          <w:szCs w:val="20"/>
          <w:color w:val="auto"/>
        </w:rPr>
        <w:tab/>
      </w:r>
      <w:r>
        <w:rPr>
          <w:rFonts w:ascii="Courier New" w:cs="Courier New" w:eastAsia="Courier New" w:hAnsi="Courier New"/>
          <w:sz w:val="14"/>
          <w:szCs w:val="14"/>
          <w:color w:val="auto"/>
        </w:rPr>
        <w:t>Notices.</w:t>
        <w:tab/>
        <w:t>(a)</w:t>
        <w:tab/>
        <w:t>All notices, requests, consents, approvals,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waivers and other communications shall be in writing (including, unless the context expressly otherwise provides, by facsimile transmission, provided that any matter transmitted by the Company by facsimile (i) shall be immediately confirmed by a telephone call to the recipient at the number specified on Schedule 10.02, and (ii) shall be followed promptly by delivery of a hard copy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original thereof) and mailed, faxed or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4"/>
          <w:szCs w:val="14"/>
          <w:color w:val="auto"/>
        </w:rPr>
        <w:t>delivered, to the address or facsimile number specified for notices on Schedule</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10.02; or, as directed to the Company or the Agent, to such other address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shall be designated by such party in a written notice to the other parties, and as directed to any other party, at such other address as shall be designated by such party in a written notice to the Company and the Agent.</w:t>
      </w:r>
    </w:p>
    <w:p>
      <w:pPr>
        <w:spacing w:after="0" w:line="163" w:lineRule="exact"/>
        <w:rPr>
          <w:sz w:val="20"/>
          <w:szCs w:val="20"/>
          <w:color w:val="auto"/>
        </w:rPr>
      </w:pPr>
    </w:p>
    <w:p>
      <w:pPr>
        <w:ind w:right="3599" w:firstLine="611"/>
        <w:spacing w:after="0" w:line="251" w:lineRule="auto"/>
        <w:tabs>
          <w:tab w:leader="none" w:pos="103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such notices, requests and communications shall, when transmitted by overnight delivery, or faxed, be effective when delivered for overnight (next-day) delivery, or transmitted in legible form by facsimile machine, respectively, or if mailed, upon receipt by the addressee, or if delivered, upon delivery; except that notices pursuant to Article II or IX to the Agent shall not be effective until actually received by the Agent.</w:t>
      </w:r>
    </w:p>
    <w:p>
      <w:pPr>
        <w:spacing w:after="0" w:line="164" w:lineRule="exact"/>
        <w:rPr>
          <w:rFonts w:ascii="Courier New" w:cs="Courier New" w:eastAsia="Courier New" w:hAnsi="Courier New"/>
          <w:sz w:val="14"/>
          <w:szCs w:val="14"/>
          <w:color w:val="auto"/>
        </w:rPr>
      </w:pPr>
    </w:p>
    <w:p>
      <w:pPr>
        <w:ind w:right="3339" w:firstLine="611"/>
        <w:spacing w:after="0" w:line="251" w:lineRule="auto"/>
        <w:tabs>
          <w:tab w:leader="none" w:pos="103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of the Agent and the Banks herein to receive certain notices by telephone or facsimile is solely for the convenience and at the request of the Company. The Agent and the Banks shall be entitled to rely on the authority of any Person purporting to be a Person authorized by the Company to give such notice and the Agent and the Banks shall not have any liability to the Company or other Person on account of any action taken or not taken by the Agent or the Banks in reliance upon such telephonic or facsimile notice. The obligation of the Company to repay the Loans shall not be affected in any way or to any extent by any failure by the Agent and the Banks to receive written confirmation of any telephonic or facsimile notice or the receipt by the Agent and the Banks of a confirmation which is at variance with the terms understood by the Agent and the Banks to be contained in the telephonic or facsimile notice.</w:t>
      </w:r>
    </w:p>
    <w:p>
      <w:pPr>
        <w:spacing w:after="0" w:line="329" w:lineRule="exact"/>
        <w:rPr>
          <w:sz w:val="20"/>
          <w:szCs w:val="20"/>
          <w:color w:val="auto"/>
        </w:rPr>
      </w:pPr>
    </w:p>
    <w:p>
      <w:pPr>
        <w:ind w:left="620"/>
        <w:spacing w:after="0"/>
        <w:tabs>
          <w:tab w:leader="none" w:pos="1280" w:val="left"/>
          <w:tab w:leader="none" w:pos="4120" w:val="left"/>
        </w:tabs>
        <w:rPr>
          <w:sz w:val="20"/>
          <w:szCs w:val="20"/>
          <w:color w:val="auto"/>
        </w:rPr>
      </w:pPr>
      <w:r>
        <w:rPr>
          <w:rFonts w:ascii="Courier New" w:cs="Courier New" w:eastAsia="Courier New" w:hAnsi="Courier New"/>
          <w:sz w:val="14"/>
          <w:szCs w:val="14"/>
          <w:color w:val="auto"/>
        </w:rPr>
        <w:t>10.03</w:t>
      </w:r>
      <w:r>
        <w:rPr>
          <w:sz w:val="20"/>
          <w:szCs w:val="20"/>
          <w:color w:val="auto"/>
        </w:rPr>
        <w:tab/>
      </w:r>
      <w:r>
        <w:rPr>
          <w:rFonts w:ascii="Courier New" w:cs="Courier New" w:eastAsia="Courier New" w:hAnsi="Courier New"/>
          <w:sz w:val="14"/>
          <w:szCs w:val="14"/>
          <w:color w:val="auto"/>
        </w:rPr>
        <w:t>No Waiver; Cumulative Remedies.</w:t>
        <w:tab/>
        <w:t>No failure to exercise and no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delay in exercising, on the part of the Agent or any Bank, any right, remedy, power or privilege hereunder, shall operate as a waiver thereof; nor shall any single or partial exercise of any right, remedy, power or privilege hereunder preclude any other or further exercise thereof or the exercise of any other right, remedy, power or privilege.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91" w:name="page92"/>
    <w:bookmarkEnd w:id="91"/>
    <w:p>
      <w:pPr>
        <w:ind w:left="620"/>
        <w:spacing w:after="0"/>
        <w:tabs>
          <w:tab w:leader="none" w:pos="1280" w:val="left"/>
          <w:tab w:leader="none" w:pos="3080" w:val="left"/>
        </w:tabs>
        <w:rPr>
          <w:sz w:val="20"/>
          <w:szCs w:val="20"/>
          <w:color w:val="auto"/>
        </w:rPr>
      </w:pPr>
      <w:r>
        <w:rPr>
          <w:rFonts w:ascii="Courier New" w:cs="Courier New" w:eastAsia="Courier New" w:hAnsi="Courier New"/>
          <w:sz w:val="14"/>
          <w:szCs w:val="14"/>
          <w:color w:val="auto"/>
        </w:rPr>
        <w:t>10.04</w:t>
      </w:r>
      <w:r>
        <w:rPr>
          <w:sz w:val="20"/>
          <w:szCs w:val="20"/>
          <w:color w:val="auto"/>
        </w:rPr>
        <w:tab/>
      </w:r>
      <w:r>
        <w:rPr>
          <w:rFonts w:ascii="Courier New" w:cs="Courier New" w:eastAsia="Courier New" w:hAnsi="Courier New"/>
          <w:sz w:val="14"/>
          <w:szCs w:val="14"/>
          <w:color w:val="auto"/>
        </w:rPr>
        <w:t>Costs and Expenses.</w:t>
        <w:tab/>
        <w:t>The Company shall: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611"/>
        <w:spacing w:after="0" w:line="251" w:lineRule="auto"/>
        <w:tabs>
          <w:tab w:leader="none" w:pos="103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or not the transactions contemplated hereby are consummated, pay or reimburse BofA (including in its capacity as Agent) and the Arranger for all reasonable costs and expenses incurred by them in connection with the development, preparation, delivery, administration and execution of, and any amendment, supplement, waiver or modification to (in each case, whether or not consummated), this Agreement, any Loan Document and any other documents prepared in connection herewith or therewith, the consummation of the transactions contemplated hereby and thereby, and in connection with any borrowing base audit of the Company by the Agent, including Attorney Costs incurred by them with respect thereto; and</w:t>
      </w:r>
    </w:p>
    <w:p>
      <w:pPr>
        <w:spacing w:after="0" w:line="163" w:lineRule="exact"/>
        <w:rPr>
          <w:rFonts w:ascii="Courier New" w:cs="Courier New" w:eastAsia="Courier New" w:hAnsi="Courier New"/>
          <w:sz w:val="14"/>
          <w:szCs w:val="14"/>
          <w:color w:val="auto"/>
        </w:rPr>
      </w:pPr>
    </w:p>
    <w:p>
      <w:pPr>
        <w:ind w:right="3339" w:firstLine="611"/>
        <w:spacing w:after="0" w:line="251" w:lineRule="auto"/>
        <w:tabs>
          <w:tab w:leader="none" w:pos="1034"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or reimburse the Agent, the Arranger and each Bank for all costs and expenses (including Attorney Costs) incurred by them in connection with the enforcement, attempted enforcement, or preservation of any rights or remedies under this Agreement or any other Loan Document during the existence of an Event of Default or after acceleration of the Loans (including in connection with any "workout" or restructuring regarding the Loans, and including in any Insolvency Proceeding or appellate proceeding). The agreements in this Section shall survive the payment of all other Obligations.</w:t>
      </w:r>
    </w:p>
    <w:p>
      <w:pPr>
        <w:spacing w:after="0" w:line="164" w:lineRule="exact"/>
        <w:rPr>
          <w:sz w:val="20"/>
          <w:szCs w:val="20"/>
          <w:color w:val="auto"/>
        </w:rPr>
      </w:pPr>
    </w:p>
    <w:p>
      <w:pPr>
        <w:ind w:left="620"/>
        <w:spacing w:after="0"/>
        <w:tabs>
          <w:tab w:leader="none" w:pos="1280" w:val="left"/>
          <w:tab w:leader="none" w:pos="3520" w:val="left"/>
        </w:tabs>
        <w:rPr>
          <w:sz w:val="20"/>
          <w:szCs w:val="20"/>
          <w:color w:val="auto"/>
        </w:rPr>
      </w:pPr>
      <w:r>
        <w:rPr>
          <w:rFonts w:ascii="Courier New" w:cs="Courier New" w:eastAsia="Courier New" w:hAnsi="Courier New"/>
          <w:sz w:val="14"/>
          <w:szCs w:val="14"/>
          <w:color w:val="auto"/>
        </w:rPr>
        <w:t>10.05</w:t>
      </w:r>
      <w:r>
        <w:rPr>
          <w:sz w:val="20"/>
          <w:szCs w:val="20"/>
          <w:color w:val="auto"/>
        </w:rPr>
        <w:tab/>
      </w:r>
      <w:r>
        <w:rPr>
          <w:rFonts w:ascii="Courier New" w:cs="Courier New" w:eastAsia="Courier New" w:hAnsi="Courier New"/>
          <w:sz w:val="14"/>
          <w:szCs w:val="14"/>
          <w:color w:val="auto"/>
        </w:rPr>
        <w:t>Company Indemnification.</w:t>
        <w:tab/>
        <w:t>Whether or not the transactions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contemplated hereby are consummated, the Company shall indemnify, defend and hold the Agent-Related Persons, and each Bank and each of its respective officers, directors, employees, counsel, agents and attorneys-in-fact (each, an "Indemnified Person") harmless from and against any and all liabilities,</w:t>
      </w:r>
    </w:p>
    <w:p>
      <w:pPr>
        <w:spacing w:after="0" w:line="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obligations, losses, damages, penalties, actions, judgments, suits, costs, charges, expenses and disbursements (including Attorney Costs) of any kind or nature whatsoever which may at any time (including at any time following repayment of the Loans and the termination, resignation or replacement of the Agent or replacement of any Bank) be imposed on, incurred by or asserted against any such Person in favor of any third-party in any way relating to or arising out of this Agreement or any document contemplated by or referred to herein, or the transactions contemplated hereby, or any action taken or omitted by any such Person under or in connection with any of the foregoing, including with respect to any investigation, litigation or proceeding (including any Insolvency Proceeding or appellate proceeding) related to or arising out of this Agreement or the Loans or the use of the proceeds thereof, whether or not any Indemnified Person is a party thereto (all the foregoing, collectively, the "Indemnified Liabilities"); provided, that the Company shall have no obligation</w:t>
      </w:r>
    </w:p>
    <w:p>
      <w:pPr>
        <w:spacing w:after="0" w:line="6"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hereunder to any Indemnified Person with respect to Indemnified Liabilities resulting from the gross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92" w:name="page93"/>
    <w:bookmarkEnd w:id="92"/>
    <w:p>
      <w:pPr>
        <w:ind w:right="3519"/>
        <w:spacing w:after="0" w:line="255" w:lineRule="auto"/>
        <w:rPr>
          <w:sz w:val="20"/>
          <w:szCs w:val="20"/>
          <w:color w:val="auto"/>
        </w:rPr>
      </w:pPr>
      <w:r>
        <w:rPr>
          <w:rFonts w:ascii="Courier New" w:cs="Courier New" w:eastAsia="Courier New" w:hAnsi="Courier New"/>
          <w:sz w:val="14"/>
          <w:szCs w:val="14"/>
          <w:color w:val="auto"/>
        </w:rPr>
        <w:t>negligence or willful misconduct of such Indemnified Person. The agreements in this Section shall survive payment of all other Obligations.</w:t>
      </w:r>
    </w:p>
    <w:p>
      <w:pPr>
        <w:spacing w:after="0" w:line="160" w:lineRule="exact"/>
        <w:rPr>
          <w:sz w:val="20"/>
          <w:szCs w:val="20"/>
          <w:color w:val="auto"/>
        </w:rPr>
      </w:pPr>
    </w:p>
    <w:p>
      <w:pPr>
        <w:ind w:left="620"/>
        <w:spacing w:after="0"/>
        <w:tabs>
          <w:tab w:leader="none" w:pos="1280" w:val="left"/>
          <w:tab w:leader="none" w:pos="3080" w:val="left"/>
        </w:tabs>
        <w:rPr>
          <w:sz w:val="20"/>
          <w:szCs w:val="20"/>
          <w:color w:val="auto"/>
        </w:rPr>
      </w:pPr>
      <w:r>
        <w:rPr>
          <w:rFonts w:ascii="Courier New" w:cs="Courier New" w:eastAsia="Courier New" w:hAnsi="Courier New"/>
          <w:sz w:val="14"/>
          <w:szCs w:val="14"/>
          <w:color w:val="auto"/>
        </w:rPr>
        <w:t>10.06</w:t>
      </w:r>
      <w:r>
        <w:rPr>
          <w:sz w:val="20"/>
          <w:szCs w:val="20"/>
          <w:color w:val="auto"/>
        </w:rPr>
        <w:tab/>
      </w:r>
      <w:r>
        <w:rPr>
          <w:rFonts w:ascii="Courier New" w:cs="Courier New" w:eastAsia="Courier New" w:hAnsi="Courier New"/>
          <w:sz w:val="14"/>
          <w:szCs w:val="14"/>
          <w:color w:val="auto"/>
        </w:rPr>
        <w:t>Payments Set Aside.</w:t>
        <w:tab/>
        <w:t>To the extent that the Company makes 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payment to the Agent or the Banks, or the Agent or the Banks exercise their right of set-off, and such payment or the proceeds of such set-off or any part thereof are subsequently invalidated, declared to be fraudulent or preferential, set aside or required (including pursuant to any settlement entered into by the Agent or such Bank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Bank severally agrees to pay to the Agent upon demand its pro rata share of any amount so recovered from or repaid by the Agent.</w:t>
      </w:r>
    </w:p>
    <w:p>
      <w:pPr>
        <w:spacing w:after="0" w:line="163" w:lineRule="exact"/>
        <w:rPr>
          <w:sz w:val="20"/>
          <w:szCs w:val="20"/>
          <w:color w:val="auto"/>
        </w:rPr>
      </w:pPr>
    </w:p>
    <w:p>
      <w:pPr>
        <w:ind w:left="620"/>
        <w:spacing w:after="0"/>
        <w:tabs>
          <w:tab w:leader="none" w:pos="1280" w:val="left"/>
          <w:tab w:leader="none" w:pos="3440" w:val="left"/>
        </w:tabs>
        <w:rPr>
          <w:sz w:val="20"/>
          <w:szCs w:val="20"/>
          <w:color w:val="auto"/>
        </w:rPr>
      </w:pPr>
      <w:r>
        <w:rPr>
          <w:rFonts w:ascii="Courier New" w:cs="Courier New" w:eastAsia="Courier New" w:hAnsi="Courier New"/>
          <w:sz w:val="14"/>
          <w:szCs w:val="14"/>
          <w:color w:val="auto"/>
        </w:rPr>
        <w:t>10.07</w:t>
      </w:r>
      <w:r>
        <w:rPr>
          <w:sz w:val="20"/>
          <w:szCs w:val="20"/>
          <w:color w:val="auto"/>
        </w:rPr>
        <w:tab/>
      </w:r>
      <w:r>
        <w:rPr>
          <w:rFonts w:ascii="Courier New" w:cs="Courier New" w:eastAsia="Courier New" w:hAnsi="Courier New"/>
          <w:sz w:val="14"/>
          <w:szCs w:val="14"/>
          <w:color w:val="auto"/>
        </w:rPr>
        <w:t>Successors and Assigns.</w:t>
        <w:tab/>
        <w:t>The provisions of this Agreement shall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be binding upon and inure to the benefit of the parties hereto and their respective successors and assigns, except that the Company may not assign or transfer any of its rights or obligations under this Agreement without the prior written consent of the Agent and each Bank.</w:t>
      </w:r>
    </w:p>
    <w:p>
      <w:pPr>
        <w:spacing w:after="0" w:line="162" w:lineRule="exact"/>
        <w:rPr>
          <w:sz w:val="20"/>
          <w:szCs w:val="20"/>
          <w:color w:val="auto"/>
        </w:rPr>
      </w:pPr>
    </w:p>
    <w:p>
      <w:pPr>
        <w:ind w:left="620"/>
        <w:spacing w:after="0"/>
        <w:tabs>
          <w:tab w:leader="none" w:pos="1280" w:val="left"/>
          <w:tab w:leader="none" w:pos="4300" w:val="left"/>
          <w:tab w:leader="none" w:pos="4720" w:val="left"/>
        </w:tabs>
        <w:rPr>
          <w:sz w:val="20"/>
          <w:szCs w:val="20"/>
          <w:color w:val="auto"/>
        </w:rPr>
      </w:pPr>
      <w:r>
        <w:rPr>
          <w:rFonts w:ascii="Courier New" w:cs="Courier New" w:eastAsia="Courier New" w:hAnsi="Courier New"/>
          <w:sz w:val="14"/>
          <w:szCs w:val="14"/>
          <w:color w:val="auto"/>
        </w:rPr>
        <w:t>10.08</w:t>
      </w:r>
      <w:r>
        <w:rPr>
          <w:sz w:val="20"/>
          <w:szCs w:val="20"/>
          <w:color w:val="auto"/>
        </w:rPr>
        <w:tab/>
      </w:r>
      <w:r>
        <w:rPr>
          <w:rFonts w:ascii="Courier New" w:cs="Courier New" w:eastAsia="Courier New" w:hAnsi="Courier New"/>
          <w:sz w:val="14"/>
          <w:szCs w:val="14"/>
          <w:color w:val="auto"/>
        </w:rPr>
        <w:t>Assignments, Participations, etc.</w:t>
        <w:tab/>
        <w:t>(a)</w:t>
        <w:tab/>
        <w:t>Any Bank may, with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written consent of the Company (at all times other than during the existence of an Event of Default) and the Agent, which consents shall not unreasonably be withheld, at any time assign and delegate to one or more Eligible Assignees (provided that no written consent of the Company or the Agent shall be required in connection with any assignment and delegation by a Bank to an Eligible Assignee that is an Affiliate of such Bank or to another Bank party hereto) (each an "Assignee") all, or any ratable part of all, of the Loans, the</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Commitments and the other rights and obligations of such Bank hereunder, in a minimum amount of $10,000,000, or such lesser amount which represents a Bank's entire Commitment (provided that no minimum amount limitation shall apply in connection with any assignment and delegation by a Bank to an Eligible Assignee that is an Affiliate of such Bank or to another Bank party hereto); provided,</w:t>
      </w:r>
    </w:p>
    <w:p>
      <w:pPr>
        <w:spacing w:after="0" w:line="2"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Company and the Agent may continue to deal solely and directly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such Bank in connection with the interest so assigned to an Assignee until</w:t>
      </w:r>
    </w:p>
    <w:p>
      <w:pPr>
        <w:spacing w:after="0" w:line="7" w:lineRule="exact"/>
        <w:rPr>
          <w:sz w:val="20"/>
          <w:szCs w:val="20"/>
          <w:color w:val="auto"/>
        </w:rPr>
      </w:pPr>
    </w:p>
    <w:p>
      <w:pPr>
        <w:ind w:right="3339" w:firstLine="8"/>
        <w:spacing w:after="0" w:line="251" w:lineRule="auto"/>
        <w:tabs>
          <w:tab w:leader="none" w:pos="344"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notice of such assignment, together with payment instructions, addresses and related information with respect to the Assignee, shall have been given to the Company and the Agent by such Bank and the Assignee; (ii) such Bank and its Assignee shall have delivered to the Company and the Agent an Assignment and Acceptance substantially in the</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form of Exhibit F ("Assignment and Acceptance"), together with any Note or Notes</w:t>
      </w:r>
    </w:p>
    <w:p>
      <w:pPr>
        <w:spacing w:after="0" w:line="7" w:lineRule="exact"/>
        <w:rPr>
          <w:sz w:val="20"/>
          <w:szCs w:val="20"/>
          <w:color w:val="auto"/>
        </w:rPr>
      </w:pPr>
    </w:p>
    <w:p>
      <w:pPr>
        <w:ind w:left="700"/>
        <w:spacing w:after="0"/>
        <w:tabs>
          <w:tab w:leader="none" w:pos="1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subject to such assignment, and (iii) the assignor Bank or Assignee has paid to the Agent a processing fee in the amount of $3,500.</w:t>
      </w:r>
    </w:p>
    <w:p>
      <w:pPr>
        <w:spacing w:after="0" w:line="160" w:lineRule="exact"/>
        <w:rPr>
          <w:sz w:val="20"/>
          <w:szCs w:val="20"/>
          <w:color w:val="auto"/>
        </w:rPr>
      </w:pPr>
    </w:p>
    <w:p>
      <w:pPr>
        <w:ind w:right="3339" w:firstLine="611"/>
        <w:spacing w:after="0" w:line="251" w:lineRule="auto"/>
        <w:tabs>
          <w:tab w:leader="none" w:pos="103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date that the Agent notifies the assignor Bank that the Agent and the Company have received (and provided their consent, if required, with respect to) an executed Assignment and Acceptance and payment of the above-referenced processing fee, (i) the Assignee thereunder shall be a party hereto and, to the extent that rights and obligations hereunder have been assigned to it pursuant to such Assignment and Acceptance, shall have the rights and obligations of a Bank under the Loan Documents, and (ii) the assignor Bank shall, to the extent that rights and obligations hereunder and under the other Loan Documents have been assigned by it pursuant to such Assignment and Acceptance, relinquish its rights and be released from its obligations under the Loan Documents.</w:t>
      </w:r>
    </w:p>
    <w:p>
      <w:pPr>
        <w:spacing w:after="0" w:line="163" w:lineRule="exact"/>
        <w:rPr>
          <w:rFonts w:ascii="Courier New" w:cs="Courier New" w:eastAsia="Courier New" w:hAnsi="Courier New"/>
          <w:sz w:val="14"/>
          <w:szCs w:val="14"/>
          <w:color w:val="auto"/>
        </w:rPr>
      </w:pPr>
    </w:p>
    <w:p>
      <w:pPr>
        <w:ind w:right="3339" w:firstLine="611"/>
        <w:spacing w:after="0" w:line="250" w:lineRule="auto"/>
        <w:tabs>
          <w:tab w:leader="none" w:pos="103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five Business Days after the Company's receipt of notice by the Agent that it has received an executed Assignment and Acceptance and payment of the processing fee, (and provided that the Company consents to such assignment in accordance with Section 10.08(a)), the Company shall execute and deliver to the Agent, new Notes evidencing such Assignee's assigned Loans and Commitment and, if the assignor Bank has retained a portion of its Loans and its Commitment, replacement Notes in the principal amount of the Loans retained by the assignor Bank (such Notes to be in exchange for, but not in payment of, the Notes held by such Bank). Immediately upon each Assignee's making its processing fee payment under the Assignment and Acceptance,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Bank pro tanto.</w:t>
      </w:r>
    </w:p>
    <w:p>
      <w:pPr>
        <w:spacing w:after="0" w:line="6" w:lineRule="exact"/>
        <w:rPr>
          <w:rFonts w:ascii="Courier New" w:cs="Courier New" w:eastAsia="Courier New" w:hAnsi="Courier New"/>
          <w:sz w:val="14"/>
          <w:szCs w:val="14"/>
          <w:color w:val="auto"/>
        </w:rPr>
      </w:pPr>
    </w:p>
    <w:p>
      <w:pPr>
        <w:ind w:left="4320" w:hanging="350"/>
        <w:spacing w:after="0"/>
        <w:tabs>
          <w:tab w:leader="none" w:pos="4320" w:val="left"/>
        </w:tabs>
        <w:numPr>
          <w:ilvl w:val="1"/>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679" w:firstLine="611"/>
        <w:spacing w:after="0" w:line="250" w:lineRule="auto"/>
        <w:tabs>
          <w:tab w:leader="none" w:pos="103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sell to one or more commercial banks or other Persons not Affiliates of the Company (a "Participant") participating</w:t>
      </w:r>
    </w:p>
    <w:p>
      <w:pPr>
        <w:spacing w:after="0" w:line="1"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interests in any Loans, the Commitment of that Bank and the other interests of that Bank (the "originating Bank") hereunder and under the other Loan Documents; provided, however, that (i) the originating Bank's obligations under this</w:t>
      </w:r>
    </w:p>
    <w:p>
      <w:pPr>
        <w:spacing w:after="0" w:line="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Agreement shall remain unchanged, (ii) the originating Bank shall remain solely responsible for the performance of such obligations, (iii) the Company and the Agent shall continue to deal solely and directly with the originating Bank in connection with the originating Bank's rights and obligations under this Agreement and the other Loan Documents, and (iv) no Bank shall transfer or grant any participating interest under which the Participant has rights to approve any amendment to, or any consent or waiver with</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94" w:name="page95"/>
    <w:bookmarkEnd w:id="94"/>
    <w:p>
      <w:pPr>
        <w:ind w:right="3339"/>
        <w:spacing w:after="0" w:line="250" w:lineRule="auto"/>
        <w:rPr>
          <w:sz w:val="20"/>
          <w:szCs w:val="20"/>
          <w:color w:val="auto"/>
        </w:rPr>
      </w:pPr>
      <w:r>
        <w:rPr>
          <w:rFonts w:ascii="Courier New" w:cs="Courier New" w:eastAsia="Courier New" w:hAnsi="Courier New"/>
          <w:sz w:val="14"/>
          <w:szCs w:val="14"/>
          <w:color w:val="auto"/>
        </w:rPr>
        <w:t>respect to, this Agreement or any other Loan Document, except to the extent such amendment, consent or waiver would require unanimous consent of the Banks as described in the first proviso to Section 10.01. In the case of any such</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participation, the Participant shall be entitled to the benefit of Sections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3.01, 3.03 and 10.05 as though it were also a Bank hereunder (provided, however, that no Participant shall be entitled to greater benefits under any such Section than the Bank which sold such participation would have been entitled to), and if amounts outstanding under this Agreement are due and unpaid, or shall have been declared or shall have become due and payable upon the occurrence of an Event of Default, each Participant shall be deemed to have the right of set-off in respect of its participating interest in amounts owing under this Agreement to the same extent as if the amount of its participating interest were owing directly to it as a Bank under this Agreement.</w:t>
      </w:r>
    </w:p>
    <w:p>
      <w:pPr>
        <w:spacing w:after="0" w:line="164" w:lineRule="exact"/>
        <w:rPr>
          <w:sz w:val="20"/>
          <w:szCs w:val="20"/>
          <w:color w:val="auto"/>
        </w:rPr>
      </w:pPr>
    </w:p>
    <w:p>
      <w:pPr>
        <w:ind w:right="3339" w:firstLine="611"/>
        <w:spacing w:after="0" w:line="251" w:lineRule="auto"/>
        <w:tabs>
          <w:tab w:leader="none" w:pos="103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this Agreement, any Bank may at any time, without the consent of any Person, create a security interest in, or pledge, all or any portion of its rights under and interest in this Agreement and any Note held by it in favor of any Federal Reserve Bank in accordance with Regulation A of the FRB or U.S. Treasury Regulation 31 CFR (S)203.14, and such Federal Reserve Bank may enforce such pledge or security interest in any manner permitted under applicable law.</w:t>
      </w:r>
    </w:p>
    <w:p>
      <w:pPr>
        <w:spacing w:after="0" w:line="164" w:lineRule="exact"/>
        <w:rPr>
          <w:sz w:val="20"/>
          <w:szCs w:val="20"/>
          <w:color w:val="auto"/>
        </w:rPr>
      </w:pPr>
    </w:p>
    <w:p>
      <w:pPr>
        <w:ind w:left="620"/>
        <w:spacing w:after="0"/>
        <w:tabs>
          <w:tab w:leader="none" w:pos="1280" w:val="left"/>
          <w:tab w:leader="none" w:pos="2840" w:val="left"/>
        </w:tabs>
        <w:rPr>
          <w:sz w:val="20"/>
          <w:szCs w:val="20"/>
          <w:color w:val="auto"/>
        </w:rPr>
      </w:pPr>
      <w:r>
        <w:rPr>
          <w:rFonts w:ascii="Courier New" w:cs="Courier New" w:eastAsia="Courier New" w:hAnsi="Courier New"/>
          <w:sz w:val="14"/>
          <w:szCs w:val="14"/>
          <w:color w:val="auto"/>
        </w:rPr>
        <w:t>10.09</w:t>
      </w:r>
      <w:r>
        <w:rPr>
          <w:sz w:val="20"/>
          <w:szCs w:val="20"/>
          <w:color w:val="auto"/>
        </w:rPr>
        <w:tab/>
      </w:r>
      <w:r>
        <w:rPr>
          <w:rFonts w:ascii="Courier New" w:cs="Courier New" w:eastAsia="Courier New" w:hAnsi="Courier New"/>
          <w:sz w:val="14"/>
          <w:szCs w:val="14"/>
          <w:color w:val="auto"/>
        </w:rPr>
        <w:t>Confidentiality.</w:t>
        <w:tab/>
        <w:t>Each Bank agrees to take and to cause its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Affiliates to take normal and reasonable precautions and exercise due care to maintain the confidentiality of all confidential information provided to it by the Company or any Subsidiary, or by the Agent on the Company's or such Subsidiary's behalf, under this Agreement or any other Loan Document, and neither it nor any of its Affiliates shall use any such information other than in connection with or in enforcement of this Agreement and the other Loan Documents or in connection with other business now or hereafter existing or contemplated with the Company or any Subsidiary; except to the extent such information (i) was or becomes generally available to the public other than as a result of disclosure by the Bank, or (ii) was or becomes available on a non-confidential basis from a source other than the Company, provided that such source is not bound by a confidentiality agreement with the Company known to the Bank; provided, however, that any Bank may disclose such information (A) at the</w:t>
      </w:r>
    </w:p>
    <w:p>
      <w:pPr>
        <w:spacing w:after="0" w:line="6" w:lineRule="exact"/>
        <w:rPr>
          <w:sz w:val="20"/>
          <w:szCs w:val="20"/>
          <w:color w:val="auto"/>
        </w:rPr>
      </w:pPr>
    </w:p>
    <w:p>
      <w:pPr>
        <w:ind w:left="520"/>
        <w:spacing w:after="0"/>
        <w:tabs>
          <w:tab w:leader="none" w:pos="136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request or pursuant to any requirement of any Governmental Authority to which the Bank is subject or in connection with an examination of such Bank by any such authority; (B) pursuant to subpoena or other court process, provided, that the Bank shall use its reasonable, good faith efforts to provide prior written notice (unless prohibited from doing so by any applicable Requirement of Law) to the Company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95" w:name="page96"/>
    <w:bookmarkEnd w:id="95"/>
    <w:p>
      <w:pPr>
        <w:ind w:right="3339"/>
        <w:spacing w:after="0" w:line="250" w:lineRule="auto"/>
        <w:rPr>
          <w:sz w:val="20"/>
          <w:szCs w:val="20"/>
          <w:color w:val="auto"/>
        </w:rPr>
      </w:pPr>
      <w:r>
        <w:rPr>
          <w:rFonts w:ascii="Courier New" w:cs="Courier New" w:eastAsia="Courier New" w:hAnsi="Courier New"/>
          <w:sz w:val="14"/>
          <w:szCs w:val="14"/>
          <w:color w:val="auto"/>
        </w:rPr>
        <w:t>to allow the Company to seek a protective order; (C) when required to do so in accordance with the provisions of any applicable Requirement of Law; (D) to the extent reasonably required in connection with any litigation or proceeding (except as set forth in clause (E)) to which the Agent, any Bank or their respective Affiliates may be party, provided, that the Bank shall use its reasonable, good faith efforts to provide prior written notice (unless prohibited from doing so by any applicable Requirement of Law) to the Company to allow the Company to seek a protective order; (E) to the extent reasonably required in connection with the exercise of any remedy hereunder or under any other Loan Document; (F) to such Bank's independent auditors and other professional advisors, provided such persons have a need to know such information and agree to be bound by the terms of this Section 10.09 as so they were a party hereto; (G) to any Participant or Assignee, actual or potential, provided that such Person agrees in writing to keep such information confidential to the same extent required of the Banks hereunder; (H) as to any Bank or its Affiliate, as expressly permitted under the terms of any other document or agreement regarding confidentiality to which the Company or any Subsidiary is party or is deemed party with such Bank or such Affiliate; and (I) to its Affiliates. Upon the execution hereof by all the parties, the confidentiality undertaking set forth in this Section shall replace and supersede the terms of any confidentiality agreement between the Company and any of the Agent or the Banks executed prior to the Closing Date and shall survive the termination of this Agreement for a period of 12 months.</w:t>
      </w:r>
    </w:p>
    <w:p>
      <w:pPr>
        <w:spacing w:after="0" w:line="341" w:lineRule="exact"/>
        <w:rPr>
          <w:sz w:val="20"/>
          <w:szCs w:val="20"/>
          <w:color w:val="auto"/>
        </w:rPr>
      </w:pPr>
    </w:p>
    <w:p>
      <w:pPr>
        <w:ind w:left="620"/>
        <w:spacing w:after="0"/>
        <w:tabs>
          <w:tab w:leader="none" w:pos="1280" w:val="left"/>
          <w:tab w:leader="none" w:pos="214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Set-off.</w:t>
        <w:tab/>
        <w:t>In addition to any rights and remedies of the Banks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provided by law, if an Event of Default exists or the Loans have been accelerated, each Bank is authorized at any time and from time to time, without prior notice to the Company, any such notice being waived by the Company to the fullest extent permitted by law, to set off and apply any and all deposits (general or special, time or demand, provisional or final) at any time held by, and other indebtedness at any time owing by, such Bank to or for the credit or the account of the Company against any and all Obligations owing to such Bank, now or hereafter existing, irrespective of whether or not the Agent or such Bank shall have made demand under this Agreement or any Loan Document and although such Obligations may be contingent or unmatured. Each Bank agrees promptly to notify the Company and the Agent after any such set-off and application made by such Bank; provided, however, that the failure to give such notice shall not</w:t>
      </w:r>
    </w:p>
    <w:p>
      <w:pPr>
        <w:spacing w:after="0" w:line="5" w:lineRule="exact"/>
        <w:rPr>
          <w:sz w:val="20"/>
          <w:szCs w:val="20"/>
          <w:color w:val="auto"/>
        </w:rPr>
      </w:pPr>
    </w:p>
    <w:p>
      <w:pPr>
        <w:ind w:left="960"/>
        <w:spacing w:after="0"/>
        <w:tabs>
          <w:tab w:leader="none" w:pos="180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affect the validity of such set-off and application.</w:t>
      </w:r>
    </w:p>
    <w:p>
      <w:pPr>
        <w:spacing w:after="0" w:line="173" w:lineRule="exact"/>
        <w:rPr>
          <w:sz w:val="20"/>
          <w:szCs w:val="20"/>
          <w:color w:val="auto"/>
        </w:rPr>
      </w:pPr>
    </w:p>
    <w:p>
      <w:pPr>
        <w:ind w:left="620"/>
        <w:spacing w:after="0"/>
        <w:tabs>
          <w:tab w:leader="none" w:pos="1280" w:val="left"/>
          <w:tab w:leader="none" w:pos="5580" w:val="left"/>
        </w:tabs>
        <w:rPr>
          <w:sz w:val="20"/>
          <w:szCs w:val="20"/>
          <w:color w:val="auto"/>
        </w:rPr>
      </w:pPr>
      <w:r>
        <w:rPr>
          <w:rFonts w:ascii="Courier New" w:cs="Courier New" w:eastAsia="Courier New" w:hAnsi="Courier New"/>
          <w:sz w:val="14"/>
          <w:szCs w:val="14"/>
          <w:color w:val="auto"/>
        </w:rPr>
        <w:t>10.11</w:t>
      </w:r>
      <w:r>
        <w:rPr>
          <w:sz w:val="20"/>
          <w:szCs w:val="20"/>
          <w:color w:val="auto"/>
        </w:rPr>
        <w:tab/>
      </w:r>
      <w:r>
        <w:rPr>
          <w:rFonts w:ascii="Courier New" w:cs="Courier New" w:eastAsia="Courier New" w:hAnsi="Courier New"/>
          <w:sz w:val="14"/>
          <w:szCs w:val="14"/>
          <w:color w:val="auto"/>
        </w:rPr>
        <w:t>Notification of Addresses, Lending Offices, Etc.</w:t>
        <w:tab/>
        <w:t>Each Bank shall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notify the Agent in writing of any changes in the address to which notices to the Bank should be directed, of addresses of any Lending Office, of payment instructions in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96" w:name="page97"/>
    <w:bookmarkEnd w:id="96"/>
    <w:p>
      <w:pPr>
        <w:ind w:right="4379"/>
        <w:spacing w:after="0" w:line="255" w:lineRule="auto"/>
        <w:rPr>
          <w:sz w:val="20"/>
          <w:szCs w:val="20"/>
          <w:color w:val="auto"/>
        </w:rPr>
      </w:pPr>
      <w:r>
        <w:rPr>
          <w:rFonts w:ascii="Courier New" w:cs="Courier New" w:eastAsia="Courier New" w:hAnsi="Courier New"/>
          <w:sz w:val="14"/>
          <w:szCs w:val="14"/>
          <w:color w:val="auto"/>
        </w:rPr>
        <w:t>respect of all payments to be made to it hereunder and of such other administrative information as the Agent shall reasonably request.</w:t>
      </w:r>
    </w:p>
    <w:p>
      <w:pPr>
        <w:spacing w:after="0" w:line="160" w:lineRule="exact"/>
        <w:rPr>
          <w:sz w:val="20"/>
          <w:szCs w:val="20"/>
          <w:color w:val="auto"/>
        </w:rPr>
      </w:pPr>
    </w:p>
    <w:p>
      <w:pPr>
        <w:ind w:left="620"/>
        <w:spacing w:after="0"/>
        <w:tabs>
          <w:tab w:leader="none" w:pos="1280" w:val="left"/>
          <w:tab w:leader="none" w:pos="258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Counterparts.</w:t>
        <w:tab/>
        <w:t>This Agreement may be executed in any number of</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separate counterparts, each of which, when so executed, shall be deemed an original, and all of said counterparts taken together shall be deemed to constitute but one and the same instrument. Each of the parties hereto understands and agrees that this Agreement and any other Loan Document may be delivered by any party hereto or thereto either in the form of an executed original or an executed original sent by facsimile transmission to be followed promptly by mailing of a hard copy original, and that receipt by the Agent of a facsimile transmitted document purportedly bearing the signature of a Bank or the Company shall bind such Bank or the Company, respectively, with the same force and effect as the delivery of a hard copy original. Any failure by the Agent to receive the hard copy executed original of such document shall not diminish the binding effect of receipt of the facsimile transmitted executed original of such document of the party whose hard copy page was not received by the Agent.</w:t>
      </w:r>
    </w:p>
    <w:p>
      <w:pPr>
        <w:spacing w:after="0" w:line="328" w:lineRule="exact"/>
        <w:rPr>
          <w:sz w:val="20"/>
          <w:szCs w:val="20"/>
          <w:color w:val="auto"/>
        </w:rPr>
      </w:pPr>
    </w:p>
    <w:p>
      <w:pPr>
        <w:ind w:left="620"/>
        <w:spacing w:after="0"/>
        <w:tabs>
          <w:tab w:leader="none" w:pos="1280" w:val="left"/>
          <w:tab w:leader="none" w:pos="258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Severability.</w:t>
        <w:tab/>
        <w:t>The illegality or unenforceability of 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provision of this Agreement or any instrument or agreement required hereunder shall not in any way affect or impair the legality or enforceability of the remaining provisions of this Agreement or any instrument or agreement required hereunder.</w:t>
      </w:r>
    </w:p>
    <w:p>
      <w:pPr>
        <w:spacing w:after="0" w:line="162" w:lineRule="exact"/>
        <w:rPr>
          <w:sz w:val="20"/>
          <w:szCs w:val="20"/>
          <w:color w:val="auto"/>
        </w:rPr>
      </w:pPr>
    </w:p>
    <w:p>
      <w:pPr>
        <w:ind w:left="620"/>
        <w:spacing w:after="0"/>
        <w:tabs>
          <w:tab w:leader="none" w:pos="1280" w:val="left"/>
          <w:tab w:leader="none" w:pos="378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No Third Parties Benefited.</w:t>
        <w:tab/>
        <w:t>This Agreement is made and entered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into for the sole protection and legal benefit of the Company, the Banks, the Agent and the Agent-Related Persons, and their permitted successors and assigns, and no other Person shall be a direct or indirect legal beneficiary of, or have any direct or indirect cause of action or claim in connection with, this Agreement or any of the other Loan Documents.</w:t>
      </w:r>
    </w:p>
    <w:p>
      <w:pPr>
        <w:spacing w:after="0" w:line="165" w:lineRule="exact"/>
        <w:rPr>
          <w:sz w:val="20"/>
          <w:szCs w:val="20"/>
          <w:color w:val="auto"/>
        </w:rPr>
      </w:pPr>
    </w:p>
    <w:p>
      <w:pPr>
        <w:ind w:left="620"/>
        <w:spacing w:after="0"/>
        <w:tabs>
          <w:tab w:leader="none" w:pos="1280" w:val="left"/>
          <w:tab w:leader="none" w:pos="4120" w:val="left"/>
          <w:tab w:leader="none" w:pos="456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Governing Law and Jurisdiction.</w:t>
        <w:tab/>
        <w:t>(a)</w:t>
        <w:tab/>
        <w:t>THIS AGREEMENT AND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NOTES SHALL BE GOVERNED BY, AND CONSTRUED IN ACCORDANCE WITH, THE LAW OF THE STATE OF CALIFORNIA; PROVIDED THAT THE AGENT AND THE BANKS SHALL RETAIN ALL RIGHTS ARISING UNDER FEDERAL LAW.</w:t>
      </w:r>
    </w:p>
    <w:p>
      <w:pPr>
        <w:spacing w:after="0" w:line="163" w:lineRule="exact"/>
        <w:rPr>
          <w:sz w:val="20"/>
          <w:szCs w:val="20"/>
          <w:color w:val="auto"/>
        </w:rPr>
      </w:pPr>
    </w:p>
    <w:p>
      <w:pPr>
        <w:ind w:right="3339" w:firstLine="611"/>
        <w:spacing w:after="0" w:line="251" w:lineRule="auto"/>
        <w:tabs>
          <w:tab w:leader="none" w:pos="1034"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THE COMPANY, THE AGENT AND THE BANKS CONSENTS, FOR ITSELF AND IN RESPECT OF ITS PROPERTY, TO THE NON-EXCLUSIVE JURISDICTION OF THOSE COURTS. EACH OF THE COMPANY, THE AGENT AND THE BANKS IRREVOCABLY WAIVES ANY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97" w:name="page98"/>
    <w:bookmarkEnd w:id="97"/>
    <w:p>
      <w:pPr>
        <w:ind w:right="3859"/>
        <w:spacing w:after="0" w:line="250" w:lineRule="auto"/>
        <w:rPr>
          <w:sz w:val="20"/>
          <w:szCs w:val="20"/>
          <w:color w:val="auto"/>
        </w:rPr>
      </w:pPr>
      <w:r>
        <w:rPr>
          <w:rFonts w:ascii="Courier New" w:cs="Courier New" w:eastAsia="Courier New" w:hAnsi="Courier New"/>
          <w:sz w:val="14"/>
          <w:szCs w:val="14"/>
          <w:color w:val="auto"/>
        </w:rPr>
        <w:t>OBJECTION, INCLUDING ANY OBJECTION TO THE LAYING OF VENUE OR BASED ON THE GROUNDS OF FORUM NON CONVENIENS, WHICH IT MAY NOW OR HEREAFTER HAVE TO THE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BRINGING OF ANY ACTION OR PROCEEDING IN SUCH JURISDICTION IN RESPECT OF THIS AGREEMENT OR ANY DOCUMENT RELATED HERETO. THE COMPANY, THE AGENT AND THE BANKS EACH WAIVE PERSONAL SERVICE OF ANY SUMMONS, COMPLAINT OR OTHER PROCESS, WHICH MAY BE MADE BY ANY OTHER MEANS PERMITTED BY CALIFORNIA LAW.</w:t>
      </w:r>
    </w:p>
    <w:p>
      <w:pPr>
        <w:spacing w:after="0" w:line="162" w:lineRule="exact"/>
        <w:rPr>
          <w:sz w:val="20"/>
          <w:szCs w:val="20"/>
          <w:color w:val="auto"/>
        </w:rPr>
      </w:pPr>
    </w:p>
    <w:p>
      <w:pPr>
        <w:ind w:left="620"/>
        <w:spacing w:after="0"/>
        <w:tabs>
          <w:tab w:leader="none" w:pos="1280" w:val="left"/>
          <w:tab w:leader="none" w:pos="326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Waiver of Jury Trial.</w:t>
        <w:tab/>
        <w:t>THE COMPANY, THE BANKS AND THE AGENT EACH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WAIVE THEIR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AGENT-RELATED PERSON, PARTICIPANT OR ASSIGNEE, WHETHER WITH RESPECT TO CONTRACT CLAIMS, TORT CLAIMS, OR OTHERWISE. THE COMPANY, THE BANKS AND THE AGENT EACH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62" w:lineRule="exact"/>
        <w:rPr>
          <w:sz w:val="20"/>
          <w:szCs w:val="20"/>
          <w:color w:val="auto"/>
        </w:rPr>
      </w:pPr>
    </w:p>
    <w:p>
      <w:pPr>
        <w:ind w:left="620"/>
        <w:spacing w:after="0"/>
        <w:tabs>
          <w:tab w:leader="none" w:pos="1280" w:val="left"/>
          <w:tab w:leader="none" w:pos="292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Entire Agreement.</w:t>
        <w:tab/>
        <w:t>This Agreement, together with the other Loan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Documents, embodies the entire agreement and understanding among the Company, the Banks and the Agent, and supersedes all prior or contemporaneous agreements and understandings of such Persons, verbal or written, relating to the subject matter hereof and thereof.</w:t>
      </w:r>
    </w:p>
    <w:p>
      <w:pPr>
        <w:spacing w:after="0" w:line="162" w:lineRule="exact"/>
        <w:rPr>
          <w:sz w:val="20"/>
          <w:szCs w:val="20"/>
          <w:color w:val="auto"/>
        </w:rPr>
      </w:pPr>
    </w:p>
    <w:p>
      <w:pPr>
        <w:ind w:left="620"/>
        <w:spacing w:after="0"/>
        <w:tabs>
          <w:tab w:leader="none" w:pos="1200" w:val="left"/>
          <w:tab w:leader="none" w:pos="5420" w:val="left"/>
        </w:tabs>
        <w:rPr>
          <w:sz w:val="20"/>
          <w:szCs w:val="20"/>
          <w:color w:val="auto"/>
        </w:rPr>
      </w:pPr>
      <w:r>
        <w:rPr>
          <w:rFonts w:ascii="Courier New" w:cs="Courier New" w:eastAsia="Courier New" w:hAnsi="Courier New"/>
          <w:sz w:val="14"/>
          <w:szCs w:val="14"/>
          <w:color w:val="auto"/>
        </w:rPr>
        <w:t>10.18</w:t>
        <w:tab/>
        <w:t>Amendment and Restatement of Existing Facility.</w:t>
        <w:tab/>
        <w:t>From and after</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Closing Date, this Agreement amends and restates the Existing Facility.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sectPr>
      </w:pPr>
    </w:p>
    <w:bookmarkStart w:id="98" w:name="page99"/>
    <w:bookmarkEnd w:id="98"/>
    <w:p>
      <w:pPr>
        <w:jc w:val="both"/>
        <w:ind w:right="3419" w:firstLine="86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Agreement to be duly executed and delivered in San Francisco, California by their proper and duly authorized officers as of the day and year first above written.</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MICRON TECHNOLOGY, INC.</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2600"/>
        <w:spacing w:after="0"/>
        <w:tabs>
          <w:tab w:leader="none" w:pos="3180" w:val="left"/>
        </w:tabs>
        <w:rPr>
          <w:sz w:val="20"/>
          <w:szCs w:val="20"/>
          <w:color w:val="auto"/>
        </w:rPr>
      </w:pPr>
      <w:r>
        <w:rPr>
          <w:rFonts w:ascii="Courier New" w:cs="Courier New" w:eastAsia="Courier New" w:hAnsi="Courier New"/>
          <w:sz w:val="14"/>
          <w:szCs w:val="14"/>
          <w:color w:val="auto"/>
        </w:rPr>
        <w:t>Name:</w:t>
        <w:tab/>
        <w:t>Norman Schlachter</w:t>
      </w:r>
    </w:p>
    <w:p>
      <w:pPr>
        <w:spacing w:after="0" w:line="7" w:lineRule="exact"/>
        <w:rPr>
          <w:sz w:val="20"/>
          <w:szCs w:val="20"/>
          <w:color w:val="auto"/>
        </w:rPr>
      </w:pPr>
    </w:p>
    <w:p>
      <w:pPr>
        <w:ind w:left="2600"/>
        <w:spacing w:after="0"/>
        <w:tabs>
          <w:tab w:leader="none" w:pos="3260" w:val="left"/>
        </w:tabs>
        <w:rPr>
          <w:sz w:val="20"/>
          <w:szCs w:val="20"/>
          <w:color w:val="auto"/>
        </w:rPr>
      </w:pPr>
      <w:r>
        <w:rPr>
          <w:rFonts w:ascii="Courier New" w:cs="Courier New" w:eastAsia="Courier New" w:hAnsi="Courier New"/>
          <w:sz w:val="14"/>
          <w:szCs w:val="14"/>
          <w:color w:val="auto"/>
        </w:rPr>
        <w:t>Title:</w:t>
        <w:tab/>
        <w:t>Treasurer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S-1</w:t>
      </w:r>
    </w:p>
    <w:p>
      <w:pPr>
        <w:sectPr>
          <w:pgSz w:w="11900" w:h="16838" w:orient="portrait"/>
          <w:cols w:equalWidth="0" w:num="1">
            <w:col w:w="10239"/>
          </w:cols>
          <w:pgMar w:left="220" w:top="616" w:right="1440" w:bottom="1440" w:gutter="0" w:footer="0" w:header="0"/>
        </w:sectPr>
      </w:pPr>
    </w:p>
    <w:bookmarkStart w:id="99" w:name="page100"/>
    <w:bookmarkEnd w:id="99"/>
    <w:p>
      <w:pPr>
        <w:ind w:left="1380"/>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as Agent and a Bank</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tabs>
          <w:tab w:leader="none" w:pos="1960" w:val="left"/>
        </w:tabs>
        <w:rPr>
          <w:sz w:val="20"/>
          <w:szCs w:val="20"/>
          <w:color w:val="auto"/>
        </w:rPr>
      </w:pPr>
      <w:r>
        <w:rPr>
          <w:rFonts w:ascii="Courier New" w:cs="Courier New" w:eastAsia="Courier New" w:hAnsi="Courier New"/>
          <w:sz w:val="14"/>
          <w:szCs w:val="14"/>
          <w:color w:val="auto"/>
        </w:rPr>
        <w:t>Name:</w:t>
        <w:tab/>
        <w:t>Michael J. McCutchin</w:t>
      </w:r>
    </w:p>
    <w:p>
      <w:pPr>
        <w:spacing w:after="0" w:line="7" w:lineRule="exact"/>
        <w:rPr>
          <w:sz w:val="20"/>
          <w:szCs w:val="20"/>
          <w:color w:val="auto"/>
        </w:rPr>
      </w:pPr>
    </w:p>
    <w:p>
      <w:pPr>
        <w:ind w:left="1380"/>
        <w:spacing w:after="0"/>
        <w:tabs>
          <w:tab w:leader="none" w:pos="2040" w:val="left"/>
        </w:tabs>
        <w:rPr>
          <w:sz w:val="20"/>
          <w:szCs w:val="20"/>
          <w:color w:val="auto"/>
        </w:rPr>
      </w:pPr>
      <w:r>
        <w:rPr>
          <w:rFonts w:ascii="Courier New" w:cs="Courier New" w:eastAsia="Courier New" w:hAnsi="Courier New"/>
          <w:sz w:val="14"/>
          <w:szCs w:val="14"/>
          <w:color w:val="auto"/>
        </w:rPr>
        <w:t>Title:</w:t>
        <w:tab/>
        <w:t>Managing Director</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S-2</w:t>
      </w:r>
    </w:p>
    <w:p>
      <w:pPr>
        <w:sectPr>
          <w:pgSz w:w="11900" w:h="16838" w:orient="portrait"/>
          <w:cols w:equalWidth="0" w:num="1">
            <w:col w:w="9019"/>
          </w:cols>
          <w:pgMar w:left="1440" w:top="616" w:right="1440" w:bottom="1440" w:gutter="0" w:footer="0" w:header="0"/>
        </w:sectPr>
      </w:pPr>
    </w:p>
    <w:bookmarkStart w:id="100" w:name="page101"/>
    <w:bookmarkEnd w:id="100"/>
    <w:p>
      <w:pPr>
        <w:ind w:left="1380"/>
        <w:spacing w:after="0"/>
        <w:rPr>
          <w:sz w:val="20"/>
          <w:szCs w:val="20"/>
          <w:color w:val="auto"/>
        </w:rPr>
      </w:pPr>
      <w:r>
        <w:rPr>
          <w:rFonts w:ascii="Courier New" w:cs="Courier New" w:eastAsia="Courier New" w:hAnsi="Courier New"/>
          <w:sz w:val="14"/>
          <w:szCs w:val="14"/>
          <w:color w:val="auto"/>
        </w:rPr>
        <w:t>ABN AMRO BANK N.V., SEATTLE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BRANCH, as Co-Agent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S-3</w:t>
      </w:r>
    </w:p>
    <w:p>
      <w:pPr>
        <w:sectPr>
          <w:pgSz w:w="11900" w:h="16838" w:orient="portrait"/>
          <w:cols w:equalWidth="0" w:num="1">
            <w:col w:w="9019"/>
          </w:cols>
          <w:pgMar w:left="1440" w:top="616" w:right="1440" w:bottom="1440" w:gutter="0" w:footer="0" w:header="0"/>
        </w:sectPr>
      </w:pPr>
    </w:p>
    <w:bookmarkStart w:id="101" w:name="page102"/>
    <w:bookmarkEnd w:id="101"/>
    <w:p>
      <w:pPr>
        <w:ind w:left="1380"/>
        <w:spacing w:after="0"/>
        <w:rPr>
          <w:sz w:val="20"/>
          <w:szCs w:val="20"/>
          <w:color w:val="auto"/>
        </w:rPr>
      </w:pPr>
      <w:r>
        <w:rPr>
          <w:rFonts w:ascii="Courier New" w:cs="Courier New" w:eastAsia="Courier New" w:hAnsi="Courier New"/>
          <w:sz w:val="14"/>
          <w:szCs w:val="14"/>
          <w:color w:val="auto"/>
        </w:rPr>
        <w:t>THE BANK OF NOVA SCOTIA,</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as Co-Agent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S-4</w:t>
      </w:r>
    </w:p>
    <w:p>
      <w:pPr>
        <w:sectPr>
          <w:pgSz w:w="11900" w:h="16838" w:orient="portrait"/>
          <w:cols w:equalWidth="0" w:num="1">
            <w:col w:w="9019"/>
          </w:cols>
          <w:pgMar w:left="1440" w:top="616" w:right="1440" w:bottom="1440" w:gutter="0" w:footer="0" w:header="0"/>
        </w:sectPr>
      </w:pPr>
    </w:p>
    <w:bookmarkStart w:id="102" w:name="page103"/>
    <w:bookmarkEnd w:id="102"/>
    <w:p>
      <w:pPr>
        <w:ind w:left="1380"/>
        <w:spacing w:after="0"/>
        <w:rPr>
          <w:sz w:val="20"/>
          <w:szCs w:val="20"/>
          <w:color w:val="auto"/>
        </w:rPr>
      </w:pPr>
      <w:r>
        <w:rPr>
          <w:rFonts w:ascii="Courier New" w:cs="Courier New" w:eastAsia="Courier New" w:hAnsi="Courier New"/>
          <w:sz w:val="14"/>
          <w:szCs w:val="14"/>
          <w:color w:val="auto"/>
        </w:rPr>
        <w:t>FLEET NATIONAL BANK,</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as Co-Agent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S-5</w:t>
      </w:r>
    </w:p>
    <w:p>
      <w:pPr>
        <w:sectPr>
          <w:pgSz w:w="11900" w:h="16838" w:orient="portrait"/>
          <w:cols w:equalWidth="0" w:num="1">
            <w:col w:w="9019"/>
          </w:cols>
          <w:pgMar w:left="1440" w:top="616" w:right="1440" w:bottom="1440" w:gutter="0" w:footer="0" w:header="0"/>
        </w:sectPr>
      </w:pPr>
    </w:p>
    <w:bookmarkStart w:id="103" w:name="page104"/>
    <w:bookmarkEnd w:id="103"/>
    <w:p>
      <w:pPr>
        <w:ind w:left="1380"/>
        <w:spacing w:after="0"/>
        <w:rPr>
          <w:sz w:val="20"/>
          <w:szCs w:val="20"/>
          <w:color w:val="auto"/>
        </w:rPr>
      </w:pPr>
      <w:r>
        <w:rPr>
          <w:rFonts w:ascii="Courier New" w:cs="Courier New" w:eastAsia="Courier New" w:hAnsi="Courier New"/>
          <w:sz w:val="14"/>
          <w:szCs w:val="14"/>
          <w:color w:val="auto"/>
        </w:rPr>
        <w:t>PNC BANK, NATIONAL ASSOCIATION,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as Co-Agent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S-6</w:t>
      </w:r>
    </w:p>
    <w:p>
      <w:pPr>
        <w:sectPr>
          <w:pgSz w:w="11900" w:h="16838" w:orient="portrait"/>
          <w:cols w:equalWidth="0" w:num="1">
            <w:col w:w="9019"/>
          </w:cols>
          <w:pgMar w:left="1440" w:top="616" w:right="1440" w:bottom="1440" w:gutter="0" w:footer="0" w:header="0"/>
        </w:sectPr>
      </w:pPr>
    </w:p>
    <w:bookmarkStart w:id="104" w:name="page105"/>
    <w:bookmarkEnd w:id="104"/>
    <w:p>
      <w:pPr>
        <w:ind w:left="1380"/>
        <w:spacing w:after="0"/>
        <w:rPr>
          <w:sz w:val="20"/>
          <w:szCs w:val="20"/>
          <w:color w:val="auto"/>
        </w:rPr>
      </w:pPr>
      <w:r>
        <w:rPr>
          <w:rFonts w:ascii="Courier New" w:cs="Courier New" w:eastAsia="Courier New" w:hAnsi="Courier New"/>
          <w:sz w:val="14"/>
          <w:szCs w:val="14"/>
          <w:color w:val="auto"/>
        </w:rPr>
        <w:t>UNITED STATES NATIONAL BANK OF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OREGON, as Co-Agent</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S-7</w:t>
      </w:r>
    </w:p>
    <w:p>
      <w:pPr>
        <w:sectPr>
          <w:pgSz w:w="11900" w:h="16838" w:orient="portrait"/>
          <w:cols w:equalWidth="0" w:num="1">
            <w:col w:w="9019"/>
          </w:cols>
          <w:pgMar w:left="1440" w:top="616" w:right="1440" w:bottom="1440" w:gutter="0" w:footer="0" w:header="0"/>
        </w:sectPr>
      </w:pPr>
    </w:p>
    <w:bookmarkStart w:id="105" w:name="page106"/>
    <w:bookmarkEnd w:id="105"/>
    <w:p>
      <w:pPr>
        <w:ind w:left="1380"/>
        <w:spacing w:after="0"/>
        <w:rPr>
          <w:sz w:val="20"/>
          <w:szCs w:val="20"/>
          <w:color w:val="auto"/>
        </w:rPr>
      </w:pPr>
      <w:r>
        <w:rPr>
          <w:rFonts w:ascii="Courier New" w:cs="Courier New" w:eastAsia="Courier New" w:hAnsi="Courier New"/>
          <w:sz w:val="14"/>
          <w:szCs w:val="14"/>
          <w:color w:val="auto"/>
        </w:rPr>
        <w:t>ROYAL BANK OF CANADA</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S-8</w:t>
      </w:r>
    </w:p>
    <w:p>
      <w:pPr>
        <w:sectPr>
          <w:pgSz w:w="11900" w:h="16838" w:orient="portrait"/>
          <w:cols w:equalWidth="0" w:num="1">
            <w:col w:w="9019"/>
          </w:cols>
          <w:pgMar w:left="1440" w:top="616" w:right="1440" w:bottom="1440" w:gutter="0" w:footer="0" w:header="0"/>
        </w:sectPr>
      </w:pPr>
    </w:p>
    <w:bookmarkStart w:id="106" w:name="page107"/>
    <w:bookmarkEnd w:id="106"/>
    <w:p>
      <w:pPr>
        <w:ind w:left="1380"/>
        <w:spacing w:after="0"/>
        <w:rPr>
          <w:sz w:val="20"/>
          <w:szCs w:val="20"/>
          <w:color w:val="auto"/>
        </w:rPr>
      </w:pPr>
      <w:r>
        <w:rPr>
          <w:rFonts w:ascii="Courier New" w:cs="Courier New" w:eastAsia="Courier New" w:hAnsi="Courier New"/>
          <w:sz w:val="14"/>
          <w:szCs w:val="14"/>
          <w:color w:val="auto"/>
        </w:rPr>
        <w:t>BANQUE NATIONALE DE PARIS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S-9</w:t>
      </w:r>
    </w:p>
    <w:p>
      <w:pPr>
        <w:sectPr>
          <w:pgSz w:w="11900" w:h="16838" w:orient="portrait"/>
          <w:cols w:equalWidth="0" w:num="1">
            <w:col w:w="9019"/>
          </w:cols>
          <w:pgMar w:left="1440" w:top="616" w:right="1440" w:bottom="1440" w:gutter="0" w:footer="0" w:header="0"/>
        </w:sectPr>
      </w:pPr>
    </w:p>
    <w:bookmarkStart w:id="107" w:name="page108"/>
    <w:bookmarkEnd w:id="107"/>
    <w:p>
      <w:pPr>
        <w:ind w:left="1380"/>
        <w:spacing w:after="0"/>
        <w:rPr>
          <w:sz w:val="20"/>
          <w:szCs w:val="20"/>
          <w:color w:val="auto"/>
        </w:rPr>
      </w:pPr>
      <w:r>
        <w:rPr>
          <w:rFonts w:ascii="Courier New" w:cs="Courier New" w:eastAsia="Courier New" w:hAnsi="Courier New"/>
          <w:sz w:val="14"/>
          <w:szCs w:val="14"/>
          <w:color w:val="auto"/>
        </w:rPr>
        <w:t>KEYBANK NATIONAL ASSOCIATION</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S-10</w:t>
      </w:r>
    </w:p>
    <w:p>
      <w:pPr>
        <w:sectPr>
          <w:pgSz w:w="11900" w:h="16838" w:orient="portrait"/>
          <w:cols w:equalWidth="0" w:num="1">
            <w:col w:w="9019"/>
          </w:cols>
          <w:pgMar w:left="1440" w:top="616" w:right="1440" w:bottom="1440" w:gutter="0" w:footer="0" w:header="0"/>
        </w:sectPr>
      </w:pPr>
    </w:p>
    <w:bookmarkStart w:id="108" w:name="page109"/>
    <w:bookmarkEnd w:id="108"/>
    <w:p>
      <w:pPr>
        <w:ind w:left="1380"/>
        <w:spacing w:after="0"/>
        <w:rPr>
          <w:sz w:val="20"/>
          <w:szCs w:val="20"/>
          <w:color w:val="auto"/>
        </w:rPr>
      </w:pPr>
      <w:r>
        <w:rPr>
          <w:rFonts w:ascii="Courier New" w:cs="Courier New" w:eastAsia="Courier New" w:hAnsi="Courier New"/>
          <w:sz w:val="14"/>
          <w:szCs w:val="14"/>
          <w:color w:val="auto"/>
        </w:rPr>
        <w:t>MELLON BANK, N.A.</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S-11</w:t>
      </w:r>
    </w:p>
    <w:p>
      <w:pPr>
        <w:sectPr>
          <w:pgSz w:w="11900" w:h="16838" w:orient="portrait"/>
          <w:cols w:equalWidth="0" w:num="1">
            <w:col w:w="9019"/>
          </w:cols>
          <w:pgMar w:left="1440" w:top="616" w:right="1440" w:bottom="1440" w:gutter="0" w:footer="0" w:header="0"/>
        </w:sectPr>
      </w:pPr>
    </w:p>
    <w:bookmarkStart w:id="109" w:name="page110"/>
    <w:bookmarkEnd w:id="109"/>
    <w:p>
      <w:pPr>
        <w:ind w:left="1380"/>
        <w:spacing w:after="0"/>
        <w:rPr>
          <w:sz w:val="20"/>
          <w:szCs w:val="20"/>
          <w:color w:val="auto"/>
        </w:rPr>
      </w:pPr>
      <w:r>
        <w:rPr>
          <w:rFonts w:ascii="Courier New" w:cs="Courier New" w:eastAsia="Courier New" w:hAnsi="Courier New"/>
          <w:sz w:val="14"/>
          <w:szCs w:val="14"/>
          <w:color w:val="auto"/>
        </w:rPr>
        <w:t>THE DAI-ICHI KANGYO BANK,</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LIMITED, SAN FRANCISCO AGENCY</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S-12</w:t>
      </w:r>
    </w:p>
    <w:p>
      <w:pPr>
        <w:sectPr>
          <w:pgSz w:w="11900" w:h="16838" w:orient="portrait"/>
          <w:cols w:equalWidth="0" w:num="1">
            <w:col w:w="9019"/>
          </w:cols>
          <w:pgMar w:left="1440" w:top="616" w:right="1440" w:bottom="1440" w:gutter="0" w:footer="0" w:header="0"/>
        </w:sectPr>
      </w:pPr>
    </w:p>
    <w:bookmarkStart w:id="110" w:name="page111"/>
    <w:bookmarkEnd w:id="110"/>
    <w:p>
      <w:pPr>
        <w:ind w:left="1380"/>
        <w:spacing w:after="0"/>
        <w:rPr>
          <w:sz w:val="20"/>
          <w:szCs w:val="20"/>
          <w:color w:val="auto"/>
        </w:rPr>
      </w:pPr>
      <w:r>
        <w:rPr>
          <w:rFonts w:ascii="Courier New" w:cs="Courier New" w:eastAsia="Courier New" w:hAnsi="Courier New"/>
          <w:sz w:val="14"/>
          <w:szCs w:val="14"/>
          <w:color w:val="auto"/>
        </w:rPr>
        <w:t>THE FUJI BANK, LIMITED, LOS</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ANGELES AGENCY</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S-13</w:t>
      </w:r>
    </w:p>
    <w:p>
      <w:pPr>
        <w:sectPr>
          <w:pgSz w:w="11900" w:h="16838" w:orient="portrait"/>
          <w:cols w:equalWidth="0" w:num="1">
            <w:col w:w="9019"/>
          </w:cols>
          <w:pgMar w:left="1440" w:top="616" w:right="1440" w:bottom="1440" w:gutter="0" w:footer="0" w:header="0"/>
        </w:sectPr>
      </w:pPr>
    </w:p>
    <w:bookmarkStart w:id="111" w:name="page112"/>
    <w:bookmarkEnd w:id="111"/>
    <w:p>
      <w:pPr>
        <w:ind w:left="1380"/>
        <w:spacing w:after="0"/>
        <w:rPr>
          <w:sz w:val="20"/>
          <w:szCs w:val="20"/>
          <w:color w:val="auto"/>
        </w:rPr>
      </w:pPr>
      <w:r>
        <w:rPr>
          <w:rFonts w:ascii="Courier New" w:cs="Courier New" w:eastAsia="Courier New" w:hAnsi="Courier New"/>
          <w:sz w:val="14"/>
          <w:szCs w:val="14"/>
          <w:color w:val="auto"/>
        </w:rPr>
        <w:t>THE INDUSTRIAL BANK OF JAPAN,</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LIMITED, SAN FRANCISCO AGENCY</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S-14</w:t>
      </w:r>
    </w:p>
    <w:p>
      <w:pPr>
        <w:sectPr>
          <w:pgSz w:w="11900" w:h="16838" w:orient="portrait"/>
          <w:cols w:equalWidth="0" w:num="1">
            <w:col w:w="9019"/>
          </w:cols>
          <w:pgMar w:left="1440" w:top="616" w:right="1440" w:bottom="1440" w:gutter="0" w:footer="0" w:header="0"/>
        </w:sectPr>
      </w:pPr>
    </w:p>
    <w:bookmarkStart w:id="112" w:name="page113"/>
    <w:bookmarkEnd w:id="112"/>
    <w:p>
      <w:pPr>
        <w:ind w:left="1380"/>
        <w:spacing w:after="0"/>
        <w:rPr>
          <w:sz w:val="20"/>
          <w:szCs w:val="20"/>
          <w:color w:val="auto"/>
        </w:rPr>
      </w:pPr>
      <w:r>
        <w:rPr>
          <w:rFonts w:ascii="Courier New" w:cs="Courier New" w:eastAsia="Courier New" w:hAnsi="Courier New"/>
          <w:sz w:val="14"/>
          <w:szCs w:val="14"/>
          <w:color w:val="auto"/>
        </w:rPr>
        <w:t>THE SUMITOMO BANK LIMITED</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S-15</w:t>
      </w:r>
    </w:p>
    <w:p>
      <w:pPr>
        <w:sectPr>
          <w:pgSz w:w="11900" w:h="16838" w:orient="portrait"/>
          <w:cols w:equalWidth="0" w:num="1">
            <w:col w:w="9019"/>
          </w:cols>
          <w:pgMar w:left="1440" w:top="616" w:right="1440" w:bottom="1440" w:gutter="0" w:footer="0" w:header="0"/>
        </w:sectPr>
      </w:pPr>
    </w:p>
    <w:bookmarkStart w:id="113" w:name="page114"/>
    <w:bookmarkEnd w:id="113"/>
    <w:p>
      <w:pPr>
        <w:ind w:left="1380"/>
        <w:spacing w:after="0"/>
        <w:rPr>
          <w:sz w:val="20"/>
          <w:szCs w:val="20"/>
          <w:color w:val="auto"/>
        </w:rPr>
      </w:pPr>
      <w:r>
        <w:rPr>
          <w:rFonts w:ascii="Courier New" w:cs="Courier New" w:eastAsia="Courier New" w:hAnsi="Courier New"/>
          <w:sz w:val="14"/>
          <w:szCs w:val="14"/>
          <w:color w:val="auto"/>
        </w:rPr>
        <w:t>FIRST SECURITY BANK, N.A.</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S-16</w:t>
      </w:r>
    </w:p>
    <w:p>
      <w:pPr>
        <w:sectPr>
          <w:pgSz w:w="11900" w:h="16838" w:orient="portrait"/>
          <w:cols w:equalWidth="0" w:num="1">
            <w:col w:w="9019"/>
          </w:cols>
          <w:pgMar w:left="1440" w:top="616" w:right="1440" w:bottom="1440" w:gutter="0" w:footer="0" w:header="0"/>
        </w:sectPr>
      </w:pPr>
    </w:p>
    <w:bookmarkStart w:id="114" w:name="page115"/>
    <w:bookmarkEnd w:id="114"/>
    <w:p>
      <w:pPr>
        <w:ind w:left="1380"/>
        <w:spacing w:after="0"/>
        <w:rPr>
          <w:sz w:val="20"/>
          <w:szCs w:val="20"/>
          <w:color w:val="auto"/>
        </w:rPr>
      </w:pPr>
      <w:r>
        <w:rPr>
          <w:rFonts w:ascii="Courier New" w:cs="Courier New" w:eastAsia="Courier New" w:hAnsi="Courier New"/>
          <w:sz w:val="14"/>
          <w:szCs w:val="14"/>
          <w:color w:val="auto"/>
        </w:rPr>
        <w:t>THE LONG-TERM CREDIT BANK OF</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JAPAN, LTD., LOS ANGELES AGENCY</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S-17</w:t>
      </w:r>
    </w:p>
    <w:p>
      <w:pPr>
        <w:sectPr>
          <w:pgSz w:w="11900" w:h="16838" w:orient="portrait"/>
          <w:cols w:equalWidth="0" w:num="1">
            <w:col w:w="9019"/>
          </w:cols>
          <w:pgMar w:left="1440" w:top="616" w:right="1440" w:bottom="1440" w:gutter="0" w:footer="0" w:header="0"/>
        </w:sectPr>
      </w:pPr>
    </w:p>
    <w:bookmarkStart w:id="115" w:name="page116"/>
    <w:bookmarkEnd w:id="115"/>
    <w:p>
      <w:pPr>
        <w:ind w:left="1380"/>
        <w:spacing w:after="0"/>
        <w:rPr>
          <w:sz w:val="20"/>
          <w:szCs w:val="20"/>
          <w:color w:val="auto"/>
        </w:rPr>
      </w:pPr>
      <w:r>
        <w:rPr>
          <w:rFonts w:ascii="Courier New" w:cs="Courier New" w:eastAsia="Courier New" w:hAnsi="Courier New"/>
          <w:sz w:val="14"/>
          <w:szCs w:val="14"/>
          <w:color w:val="auto"/>
        </w:rPr>
        <w:t>THE SAKURA BANK, LIMITED</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S-18</w:t>
      </w:r>
    </w:p>
    <w:p>
      <w:pPr>
        <w:sectPr>
          <w:pgSz w:w="11900" w:h="16838" w:orient="portrait"/>
          <w:cols w:equalWidth="0" w:num="1">
            <w:col w:w="9019"/>
          </w:cols>
          <w:pgMar w:left="1440" w:top="616" w:right="1440" w:bottom="1440" w:gutter="0" w:footer="0" w:header="0"/>
        </w:sectPr>
      </w:pPr>
    </w:p>
    <w:bookmarkStart w:id="116" w:name="page117"/>
    <w:bookmarkEnd w:id="116"/>
    <w:p>
      <w:pPr>
        <w:ind w:left="1380"/>
        <w:spacing w:after="0"/>
        <w:rPr>
          <w:sz w:val="20"/>
          <w:szCs w:val="20"/>
          <w:color w:val="auto"/>
        </w:rPr>
      </w:pPr>
      <w:r>
        <w:rPr>
          <w:rFonts w:ascii="Courier New" w:cs="Courier New" w:eastAsia="Courier New" w:hAnsi="Courier New"/>
          <w:sz w:val="14"/>
          <w:szCs w:val="14"/>
          <w:color w:val="auto"/>
        </w:rPr>
        <w:t>THE BANK OF NEW YORK</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S-19</w:t>
      </w:r>
    </w:p>
    <w:p>
      <w:pPr>
        <w:sectPr>
          <w:pgSz w:w="11900" w:h="16838" w:orient="portrait"/>
          <w:cols w:equalWidth="0" w:num="1">
            <w:col w:w="9019"/>
          </w:cols>
          <w:pgMar w:left="1440" w:top="616" w:right="1440" w:bottom="1440" w:gutter="0" w:footer="0" w:header="0"/>
        </w:sectPr>
      </w:pPr>
    </w:p>
    <w:bookmarkStart w:id="117" w:name="page118"/>
    <w:bookmarkEnd w:id="117"/>
    <w:p>
      <w:pPr>
        <w:ind w:left="1380"/>
        <w:spacing w:after="0"/>
        <w:rPr>
          <w:sz w:val="20"/>
          <w:szCs w:val="20"/>
          <w:color w:val="auto"/>
        </w:rPr>
      </w:pPr>
      <w:r>
        <w:rPr>
          <w:rFonts w:ascii="Courier New" w:cs="Courier New" w:eastAsia="Courier New" w:hAnsi="Courier New"/>
          <w:sz w:val="14"/>
          <w:szCs w:val="14"/>
          <w:color w:val="auto"/>
        </w:rPr>
        <w:t>BANQUE PARIBAS</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Name: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S-20</w:t>
      </w:r>
    </w:p>
    <w:p>
      <w:pPr>
        <w:sectPr>
          <w:pgSz w:w="11900" w:h="16838" w:orient="portrait"/>
          <w:cols w:equalWidth="0" w:num="1">
            <w:col w:w="9019"/>
          </w:cols>
          <w:pgMar w:left="1440" w:top="616" w:right="1440" w:bottom="1440" w:gutter="0" w:footer="0" w:header="0"/>
        </w:sectPr>
      </w:pPr>
    </w:p>
    <w:bookmarkStart w:id="118" w:name="page119"/>
    <w:bookmarkEnd w:id="118"/>
    <w:p>
      <w:pPr>
        <w:jc w:val="right"/>
        <w:ind w:right="3339"/>
        <w:spacing w:after="0"/>
        <w:rPr>
          <w:sz w:val="20"/>
          <w:szCs w:val="20"/>
          <w:color w:val="auto"/>
        </w:rPr>
      </w:pPr>
      <w:r>
        <w:rPr>
          <w:rFonts w:ascii="Courier New" w:cs="Courier New" w:eastAsia="Courier New" w:hAnsi="Courier New"/>
          <w:sz w:val="14"/>
          <w:szCs w:val="14"/>
          <w:color w:val="auto"/>
        </w:rPr>
        <w:t>SCHEDULE 2.01</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COMMITMENTS AND PRO RATA SHARES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Pro Rata</w:t>
            </w:r>
          </w:p>
        </w:tc>
      </w:tr>
      <w:tr>
        <w:trPr>
          <w:trHeight w:val="166"/>
        </w:trPr>
        <w:tc>
          <w:tcPr>
            <w:tcW w:w="3100" w:type="dxa"/>
            <w:vAlign w:val="bottom"/>
          </w:tcPr>
          <w:p>
            <w:pPr>
              <w:ind w:left="780"/>
              <w:spacing w:after="0"/>
              <w:rPr>
                <w:sz w:val="20"/>
                <w:szCs w:val="20"/>
                <w:color w:val="auto"/>
              </w:rPr>
            </w:pPr>
            <w:r>
              <w:rPr>
                <w:rFonts w:ascii="Courier New" w:cs="Courier New" w:eastAsia="Courier New" w:hAnsi="Courier New"/>
                <w:sz w:val="14"/>
                <w:szCs w:val="14"/>
                <w:color w:val="auto"/>
              </w:rPr>
              <w:t>Bank</w:t>
            </w:r>
          </w:p>
        </w:tc>
        <w:tc>
          <w:tcPr>
            <w:tcW w:w="26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Commitment</w:t>
            </w:r>
          </w:p>
        </w:tc>
        <w:tc>
          <w:tcPr>
            <w:tcW w:w="216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Share</w:t>
            </w:r>
          </w:p>
        </w:tc>
      </w:tr>
      <w:tr>
        <w:trPr>
          <w:trHeight w:val="166"/>
        </w:trPr>
        <w:tc>
          <w:tcPr>
            <w:tcW w:w="310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Bank of America National</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44,000,000</w:t>
            </w:r>
          </w:p>
        </w:tc>
        <w:tc>
          <w:tcPr>
            <w:tcW w:w="21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8.8%</w:t>
            </w: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Trust and Savings Association</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ABN AMRO Bank, N.V.,</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3100" w:type="dxa"/>
            <w:vAlign w:val="bottom"/>
          </w:tcPr>
          <w:p>
            <w:pPr>
              <w:ind w:left="100"/>
              <w:spacing w:after="0"/>
              <w:rPr>
                <w:sz w:val="20"/>
                <w:szCs w:val="20"/>
                <w:color w:val="auto"/>
              </w:rPr>
            </w:pPr>
            <w:r>
              <w:rPr>
                <w:rFonts w:ascii="Courier New" w:cs="Courier New" w:eastAsia="Courier New" w:hAnsi="Courier New"/>
                <w:sz w:val="14"/>
                <w:szCs w:val="14"/>
                <w:color w:val="auto"/>
              </w:rPr>
              <w:t>Seattle Branch</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7.0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Bank of Nova Scotia</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7.0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Fleet National Bank</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7.0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PNC Bank, National Association</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7.0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United States National Bank</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of Oregon</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7.0</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Royal Bank of Canada</w:t>
            </w:r>
          </w:p>
        </w:tc>
        <w:tc>
          <w:tcPr>
            <w:tcW w:w="260" w:type="dxa"/>
            <w:vAlign w:val="bottom"/>
          </w:tcPr>
          <w:p>
            <w:pPr>
              <w:spacing w:after="0"/>
              <w:rPr>
                <w:sz w:val="24"/>
                <w:szCs w:val="2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6.0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Banque Nationale de Paris</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KeyBank National Association</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Mellon Bank, N.A.</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Dai-Ichi Kangyo Bank,</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Limited, San Francisco Agency</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Fuji Bank, Limited,</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Los Angeles Agency</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Industrial Bank of Japan,</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Limited, San Francisco Agency</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Sumitomo Bank Limited</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5.0</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First Security Bank, N.A.</w:t>
            </w:r>
          </w:p>
        </w:tc>
        <w:tc>
          <w:tcPr>
            <w:tcW w:w="260" w:type="dxa"/>
            <w:vAlign w:val="bottom"/>
          </w:tcPr>
          <w:p>
            <w:pPr>
              <w:spacing w:after="0"/>
              <w:rPr>
                <w:sz w:val="24"/>
                <w:szCs w:val="2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3.2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Long-Term Credit Bank of</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3100" w:type="dxa"/>
            <w:vAlign w:val="bottom"/>
          </w:tcPr>
          <w:p>
            <w:pPr>
              <w:ind w:left="260"/>
              <w:spacing w:after="0"/>
              <w:rPr>
                <w:sz w:val="20"/>
                <w:szCs w:val="20"/>
                <w:color w:val="auto"/>
              </w:rPr>
            </w:pPr>
            <w:r>
              <w:rPr>
                <w:rFonts w:ascii="Courier New" w:cs="Courier New" w:eastAsia="Courier New" w:hAnsi="Courier New"/>
                <w:sz w:val="14"/>
                <w:szCs w:val="14"/>
                <w:color w:val="auto"/>
              </w:rPr>
              <w:t>Japan, Ltd., Los Angeles Agency</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3.2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Sakura Bank, Limited</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3.2</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The Bank of New York</w:t>
            </w:r>
          </w:p>
        </w:tc>
        <w:tc>
          <w:tcPr>
            <w:tcW w:w="260" w:type="dxa"/>
            <w:vAlign w:val="bottom"/>
          </w:tcPr>
          <w:p>
            <w:pPr>
              <w:spacing w:after="0"/>
              <w:rPr>
                <w:sz w:val="24"/>
                <w:szCs w:val="2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2.8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Banque Paribas</w:t>
            </w:r>
          </w:p>
        </w:tc>
        <w:tc>
          <w:tcPr>
            <w:tcW w:w="26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2.8</w:t>
            </w:r>
          </w:p>
        </w:tc>
      </w:tr>
      <w:tr>
        <w:trPr>
          <w:trHeight w:val="166"/>
        </w:trPr>
        <w:tc>
          <w:tcPr>
            <w:tcW w:w="3100" w:type="dxa"/>
            <w:vAlign w:val="bottom"/>
          </w:tcPr>
          <w:p>
            <w:pPr>
              <w:spacing w:after="0"/>
              <w:rPr>
                <w:sz w:val="14"/>
                <w:szCs w:val="14"/>
                <w:color w:val="auto"/>
              </w:rPr>
            </w:pP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100" w:type="dxa"/>
            <w:vAlign w:val="bottom"/>
          </w:tcPr>
          <w:p>
            <w:pPr>
              <w:ind w:left="780"/>
              <w:spacing w:after="0"/>
              <w:rPr>
                <w:sz w:val="20"/>
                <w:szCs w:val="20"/>
                <w:color w:val="auto"/>
              </w:rPr>
            </w:pPr>
            <w:r>
              <w:rPr>
                <w:rFonts w:ascii="Courier New" w:cs="Courier New" w:eastAsia="Courier New" w:hAnsi="Courier New"/>
                <w:sz w:val="14"/>
                <w:szCs w:val="14"/>
                <w:color w:val="auto"/>
              </w:rPr>
              <w:t>TOTAL</w:t>
            </w:r>
          </w:p>
        </w:tc>
        <w:tc>
          <w:tcPr>
            <w:tcW w:w="16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$500,000,000</w:t>
            </w:r>
          </w:p>
        </w:tc>
        <w:tc>
          <w:tcPr>
            <w:tcW w:w="2160" w:type="dxa"/>
            <w:vAlign w:val="bottom"/>
          </w:tcPr>
          <w:p>
            <w:pPr>
              <w:jc w:val="right"/>
              <w:ind w:right="1648"/>
              <w:spacing w:after="0"/>
              <w:rPr>
                <w:sz w:val="20"/>
                <w:szCs w:val="20"/>
                <w:color w:val="auto"/>
              </w:rPr>
            </w:pPr>
            <w:r>
              <w:rPr>
                <w:rFonts w:ascii="Courier New" w:cs="Courier New" w:eastAsia="Courier New" w:hAnsi="Courier New"/>
                <w:sz w:val="14"/>
                <w:szCs w:val="14"/>
                <w:color w:val="auto"/>
                <w:w w:val="99"/>
              </w:rPr>
              <w:t>100.0</w:t>
            </w:r>
          </w:p>
        </w:tc>
      </w:tr>
      <w:tr>
        <w:trPr>
          <w:trHeight w:val="497"/>
        </w:trPr>
        <w:tc>
          <w:tcPr>
            <w:tcW w:w="4740" w:type="dxa"/>
            <w:vAlign w:val="bottom"/>
            <w:gridSpan w:val="3"/>
          </w:tcPr>
          <w:p>
            <w:pPr>
              <w:ind w:left="2080"/>
              <w:spacing w:after="0"/>
              <w:rPr>
                <w:sz w:val="20"/>
                <w:szCs w:val="20"/>
                <w:color w:val="auto"/>
              </w:rPr>
            </w:pPr>
            <w:r>
              <w:rPr>
                <w:rFonts w:ascii="Courier New" w:cs="Courier New" w:eastAsia="Courier New" w:hAnsi="Courier New"/>
                <w:sz w:val="14"/>
                <w:szCs w:val="14"/>
                <w:color w:val="auto"/>
              </w:rPr>
              <w:t>COMMITMENTS AND PRO RATA SHARES</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10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w:t>
            </w:r>
          </w:p>
        </w:tc>
        <w:tc>
          <w:tcPr>
            <w:tcW w:w="216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19" w:name="page120"/>
    <w:bookmarkEnd w:id="119"/>
    <w:p>
      <w:pPr>
        <w:jc w:val="right"/>
        <w:ind w:right="3339"/>
        <w:spacing w:after="0"/>
        <w:rPr>
          <w:sz w:val="20"/>
          <w:szCs w:val="20"/>
          <w:color w:val="auto"/>
        </w:rPr>
      </w:pPr>
      <w:r>
        <w:rPr>
          <w:rFonts w:ascii="Courier New" w:cs="Courier New" w:eastAsia="Courier New" w:hAnsi="Courier New"/>
          <w:sz w:val="14"/>
          <w:szCs w:val="14"/>
          <w:color w:val="auto"/>
        </w:rPr>
        <w:t>SCHEDULE 10.02</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OFFSHORE AND DOMESTIC LENDING OFFICES,</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ADDRESSES FOR NOTICES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8000 S. Federal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Stop 157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 83706-9632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Norman L. Schlachter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Treasurer</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(208) 368-3766</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(208) 368-4095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SAVINGS ASSOCIATION, as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for Notices of Borrowing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of Conversion/Continuation: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Agency Management Services #5596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1455 Market Street, 13th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California 94103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Blanca Vinje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Sr. Associate Agency Officer</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(415) 436-2783</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(415) 436-2700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(other than Notice of Borrowing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Notices of Conversion/Continuation):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Products-High Technology-SF #3697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555 California Street, 41st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Michael J. McCutchin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Managing Director</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(415) 622-4589</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(415) 622-2514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Payment Office:</w:t>
            </w:r>
          </w:p>
        </w:tc>
        <w:tc>
          <w:tcPr>
            <w:tcW w:w="1420" w:type="dxa"/>
            <w:vAlign w:val="bottom"/>
          </w:tcPr>
          <w:p>
            <w:pPr>
              <w:spacing w:after="0"/>
              <w:rPr>
                <w:sz w:val="14"/>
                <w:szCs w:val="14"/>
                <w:color w:val="auto"/>
              </w:rPr>
            </w:pPr>
          </w:p>
        </w:tc>
      </w:tr>
      <w:tr>
        <w:trPr>
          <w:trHeight w:val="331"/>
        </w:trPr>
        <w:tc>
          <w:tcPr>
            <w:tcW w:w="5480" w:type="dxa"/>
            <w:vAlign w:val="bottom"/>
          </w:tcPr>
          <w:p>
            <w:pPr>
              <w:jc w:val="center"/>
              <w:ind w:left="1268"/>
              <w:spacing w:after="0"/>
              <w:rPr>
                <w:sz w:val="20"/>
                <w:szCs w:val="20"/>
                <w:color w:val="auto"/>
              </w:rPr>
            </w:pPr>
            <w:r>
              <w:rPr>
                <w:rFonts w:ascii="Courier New" w:cs="Courier New" w:eastAsia="Courier New" w:hAnsi="Courier New"/>
                <w:sz w:val="14"/>
                <w:szCs w:val="14"/>
                <w:color w:val="auto"/>
              </w:rPr>
              <w:t>LENDING OFFICES AND ADDRESSES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548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-1-</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 No. 121-000-358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 Gateway Boulevard, Fourth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Concord, California 94520</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Account No.:</w:t>
        <w:tab/>
        <w:t>12332-15032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Micron Technology,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Agency Management Services #5596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SAVINGS ASSOCIATION, as a Bank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(other than Notice of Borrowing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Notices of Conversion/Continuation):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Michael J. McCutchin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Managing Director</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(415) 622-4589</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(415) 622-2514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ABA No. 121-000-358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 Gateway Boulevard, Fourth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Concord, California 94520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No.: 12331-83980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Micron Technology,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PNC BANK, NATIONAL ASSOCIATION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Notices:</w:t>
            </w:r>
          </w:p>
        </w:tc>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PNC Bank, National Association</w:t>
            </w:r>
          </w:p>
        </w:tc>
        <w:tc>
          <w:tcPr>
            <w:tcW w:w="1420" w:type="dxa"/>
            <w:vAlign w:val="bottom"/>
          </w:tcPr>
          <w:p>
            <w:pPr>
              <w:spacing w:after="0"/>
              <w:rPr>
                <w:sz w:val="24"/>
                <w:szCs w:val="2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One PNC Plaza</w:t>
            </w:r>
          </w:p>
        </w:tc>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249 5th Avenue, Mail Stop: P-1-P0PP-02-4</w:t>
            </w:r>
          </w:p>
        </w:tc>
        <w:tc>
          <w:tcPr>
            <w:tcW w:w="142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Pittsburgh, PA 15222</w:t>
            </w:r>
          </w:p>
        </w:tc>
        <w:tc>
          <w:tcPr>
            <w:tcW w:w="35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Attention: Philip Liebscher</w:t>
            </w:r>
          </w:p>
        </w:tc>
        <w:tc>
          <w:tcPr>
            <w:tcW w:w="1420" w:type="dxa"/>
            <w:vAlign w:val="bottom"/>
          </w:tcPr>
          <w:p>
            <w:pPr>
              <w:spacing w:after="0"/>
              <w:rPr>
                <w:sz w:val="14"/>
                <w:szCs w:val="14"/>
                <w:color w:val="auto"/>
              </w:rPr>
            </w:pPr>
          </w:p>
        </w:tc>
      </w:tr>
      <w:tr>
        <w:trPr>
          <w:trHeight w:val="166"/>
        </w:trPr>
        <w:tc>
          <w:tcPr>
            <w:tcW w:w="548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Vice President</w:t>
            </w:r>
          </w:p>
        </w:tc>
        <w:tc>
          <w:tcPr>
            <w:tcW w:w="1420" w:type="dxa"/>
            <w:vAlign w:val="bottom"/>
          </w:tcPr>
          <w:p>
            <w:pPr>
              <w:spacing w:after="0"/>
              <w:rPr>
                <w:sz w:val="14"/>
                <w:szCs w:val="14"/>
                <w:color w:val="auto"/>
              </w:rPr>
            </w:pPr>
          </w:p>
        </w:tc>
      </w:tr>
      <w:tr>
        <w:trPr>
          <w:trHeight w:val="166"/>
        </w:trPr>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Telephone:</w:t>
            </w:r>
          </w:p>
        </w:tc>
        <w:tc>
          <w:tcPr>
            <w:tcW w:w="358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(412) 762-3202</w:t>
            </w:r>
          </w:p>
        </w:tc>
        <w:tc>
          <w:tcPr>
            <w:tcW w:w="1420" w:type="dxa"/>
            <w:vAlign w:val="bottom"/>
          </w:tcPr>
          <w:p>
            <w:pPr>
              <w:spacing w:after="0"/>
              <w:rPr>
                <w:sz w:val="14"/>
                <w:szCs w:val="14"/>
                <w:color w:val="auto"/>
              </w:rPr>
            </w:pPr>
          </w:p>
        </w:tc>
      </w:tr>
      <w:tr>
        <w:trPr>
          <w:trHeight w:val="166"/>
        </w:trPr>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Facsimile:</w:t>
            </w:r>
          </w:p>
        </w:tc>
        <w:tc>
          <w:tcPr>
            <w:tcW w:w="358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(412) 762-6484</w:t>
            </w:r>
          </w:p>
        </w:tc>
        <w:tc>
          <w:tcPr>
            <w:tcW w:w="1420" w:type="dxa"/>
            <w:vAlign w:val="bottom"/>
          </w:tcPr>
          <w:p>
            <w:pPr>
              <w:spacing w:after="0"/>
              <w:rPr>
                <w:sz w:val="14"/>
                <w:szCs w:val="14"/>
                <w:color w:val="auto"/>
              </w:rPr>
            </w:pPr>
          </w:p>
        </w:tc>
      </w:tr>
      <w:tr>
        <w:trPr>
          <w:trHeight w:val="331"/>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Domestic and Offshore Lending Office:</w:t>
            </w:r>
          </w:p>
        </w:tc>
        <w:tc>
          <w:tcPr>
            <w:tcW w:w="1420" w:type="dxa"/>
            <w:vAlign w:val="bottom"/>
          </w:tcPr>
          <w:p>
            <w:pPr>
              <w:spacing w:after="0"/>
              <w:rPr>
                <w:sz w:val="24"/>
                <w:szCs w:val="24"/>
                <w:color w:val="auto"/>
              </w:rPr>
            </w:pPr>
          </w:p>
        </w:tc>
      </w:tr>
      <w:tr>
        <w:trPr>
          <w:trHeight w:val="331"/>
        </w:trPr>
        <w:tc>
          <w:tcPr>
            <w:tcW w:w="1900" w:type="dxa"/>
            <w:vAlign w:val="bottom"/>
          </w:tcPr>
          <w:p>
            <w:pPr>
              <w:spacing w:after="0"/>
              <w:rPr>
                <w:sz w:val="24"/>
                <w:szCs w:val="24"/>
                <w:color w:val="auto"/>
              </w:rPr>
            </w:pPr>
          </w:p>
        </w:tc>
        <w:tc>
          <w:tcPr>
            <w:tcW w:w="35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LENDING OFFICES AND ADDRESSES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1900" w:type="dxa"/>
            <w:vAlign w:val="bottom"/>
          </w:tcPr>
          <w:p>
            <w:pPr>
              <w:spacing w:after="0"/>
              <w:rPr>
                <w:sz w:val="14"/>
                <w:szCs w:val="14"/>
                <w:color w:val="auto"/>
              </w:rPr>
            </w:pPr>
          </w:p>
        </w:tc>
        <w:tc>
          <w:tcPr>
            <w:tcW w:w="358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-2-</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4"/>
          <w:szCs w:val="14"/>
          <w:color w:val="auto"/>
        </w:rPr>
        <w:t>PNC Bank, National Association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One PNC Plaza</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249 5th Avenue, Mail Stop:</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P-1-P0PP-02-4</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Pittsburgh, PA 15222</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Attention: Sally Hunter</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Telephone:</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(412)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768-3807</w:t>
            </w: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Facsimile:</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(412)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768-4586</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UNITED STATES NATIONAL</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BANK OF OREGON</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Notices: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United States National</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Bank of Oregon</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111 S.W. Fifth Avenue</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Suite 400</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Portland, OR 97204</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Attention: Jeff A. Killian</w:t>
            </w:r>
          </w:p>
        </w:tc>
        <w:tc>
          <w:tcPr>
            <w:tcW w:w="1120" w:type="dxa"/>
            <w:vAlign w:val="bottom"/>
          </w:tcPr>
          <w:p>
            <w:pPr>
              <w:spacing w:after="0"/>
              <w:rPr>
                <w:sz w:val="14"/>
                <w:szCs w:val="14"/>
                <w:color w:val="auto"/>
              </w:rPr>
            </w:pPr>
          </w:p>
        </w:tc>
      </w:tr>
      <w:tr>
        <w:trPr>
          <w:trHeight w:val="166"/>
        </w:trPr>
        <w:tc>
          <w:tcPr>
            <w:tcW w:w="242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Vice President</w:t>
            </w:r>
          </w:p>
        </w:tc>
        <w:tc>
          <w:tcPr>
            <w:tcW w:w="112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Telephone:</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(503)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275-6350</w:t>
            </w: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Facsimile:</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(503)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275-5795</w:t>
            </w:r>
          </w:p>
        </w:tc>
      </w:tr>
      <w:tr>
        <w:trPr>
          <w:trHeight w:val="331"/>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Domestic and Offshore Lending Office:</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United States National</w:t>
            </w:r>
          </w:p>
        </w:tc>
        <w:tc>
          <w:tcPr>
            <w:tcW w:w="1560" w:type="dxa"/>
            <w:vAlign w:val="bottom"/>
            <w:gridSpan w:val="2"/>
          </w:tcPr>
          <w:p>
            <w:pPr>
              <w:spacing w:after="0"/>
              <w:rPr>
                <w:sz w:val="20"/>
                <w:szCs w:val="20"/>
                <w:color w:val="auto"/>
              </w:rPr>
            </w:pPr>
            <w:r>
              <w:rPr>
                <w:rFonts w:ascii="Courier New" w:cs="Courier New" w:eastAsia="Courier New" w:hAnsi="Courier New"/>
                <w:sz w:val="14"/>
                <w:szCs w:val="14"/>
                <w:color w:val="auto"/>
              </w:rPr>
              <w:t>Bank of Oregon</w:t>
            </w:r>
          </w:p>
        </w:tc>
      </w:tr>
      <w:tr>
        <w:trPr>
          <w:trHeight w:val="166"/>
        </w:trPr>
        <w:tc>
          <w:tcPr>
            <w:tcW w:w="3540" w:type="dxa"/>
            <w:vAlign w:val="bottom"/>
            <w:gridSpan w:val="3"/>
          </w:tcPr>
          <w:p>
            <w:pPr>
              <w:spacing w:after="0"/>
              <w:rPr>
                <w:sz w:val="20"/>
                <w:szCs w:val="20"/>
                <w:color w:val="auto"/>
              </w:rPr>
            </w:pPr>
            <w:r>
              <w:rPr>
                <w:rFonts w:ascii="Courier New" w:cs="Courier New" w:eastAsia="Courier New" w:hAnsi="Courier New"/>
                <w:sz w:val="14"/>
                <w:szCs w:val="14"/>
                <w:color w:val="auto"/>
              </w:rPr>
              <w:t>Oregon Corporate Loan Servicing</w:t>
            </w: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555 S.W. Oak</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Suite PL7</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Portland, OR 97204</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Attention: Lan Tran</w:t>
            </w: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Telephone:</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(503)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275-3337</w:t>
            </w: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Facsimile:</w:t>
            </w:r>
          </w:p>
        </w:tc>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(503)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275-4600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ABN AMRO BANK, N.V., SEATTLE BRANCH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ABN AMRO Bank, N.V., Seattle Branch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 University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Union Square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2323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 98101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Lee-Lee Miao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(206) 654-0362</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(206) 682-5641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ABN</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AMRO Bank,</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N.V., Seattle Branch</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600</w:t>
            </w:r>
          </w:p>
        </w:tc>
        <w:tc>
          <w:tcPr>
            <w:tcW w:w="960" w:type="dxa"/>
            <w:vAlign w:val="bottom"/>
          </w:tcPr>
          <w:p>
            <w:pPr>
              <w:ind w:left="60"/>
              <w:spacing w:after="0"/>
              <w:rPr>
                <w:sz w:val="20"/>
                <w:szCs w:val="20"/>
                <w:color w:val="auto"/>
              </w:rPr>
            </w:pPr>
            <w:r>
              <w:rPr>
                <w:rFonts w:ascii="Courier New" w:cs="Courier New" w:eastAsia="Courier New" w:hAnsi="Courier New"/>
                <w:sz w:val="14"/>
                <w:szCs w:val="14"/>
                <w:color w:val="auto"/>
              </w:rPr>
              <w:t>University</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420" w:type="dxa"/>
            <w:vAlign w:val="bottom"/>
          </w:tcPr>
          <w:p>
            <w:pPr>
              <w:spacing w:after="0"/>
              <w:rPr>
                <w:sz w:val="14"/>
                <w:szCs w:val="14"/>
                <w:color w:val="auto"/>
              </w:rPr>
            </w:pPr>
          </w:p>
        </w:tc>
      </w:tr>
      <w:tr>
        <w:trPr>
          <w:trHeight w:val="331"/>
        </w:trPr>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LENDING OFFICES AND ADDRESSES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4"/>
          <w:szCs w:val="14"/>
          <w:color w:val="auto"/>
        </w:rPr>
        <w:t>One Union Square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2323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 98101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Suzanne Smith</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(206) 587-0281</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(206) 682-5641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NOVA SCOTIA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The Bank of Nova Scotia</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580</w:t>
            </w:r>
          </w:p>
        </w:tc>
        <w:tc>
          <w:tcPr>
            <w:tcW w:w="1680" w:type="dxa"/>
            <w:vAlign w:val="bottom"/>
          </w:tcPr>
          <w:p>
            <w:pPr>
              <w:ind w:left="60"/>
              <w:spacing w:after="0"/>
              <w:rPr>
                <w:sz w:val="20"/>
                <w:szCs w:val="20"/>
                <w:color w:val="auto"/>
              </w:rPr>
            </w:pPr>
            <w:r>
              <w:rPr>
                <w:rFonts w:ascii="Courier New" w:cs="Courier New" w:eastAsia="Courier New" w:hAnsi="Courier New"/>
                <w:sz w:val="14"/>
                <w:szCs w:val="14"/>
                <w:color w:val="auto"/>
              </w:rPr>
              <w:t>California Street</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Suite 2100</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San Francisco, CA 94104</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Attention: Maarten Van Otterloo</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51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Senior Relationship Manager</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Telephone:</w:t>
            </w:r>
          </w:p>
        </w:tc>
        <w:tc>
          <w:tcPr>
            <w:tcW w:w="35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616-4161</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Facsimile:</w:t>
            </w:r>
          </w:p>
        </w:tc>
        <w:tc>
          <w:tcPr>
            <w:tcW w:w="35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397-0791</w:t>
            </w:r>
          </w:p>
        </w:tc>
        <w:tc>
          <w:tcPr>
            <w:tcW w:w="1420" w:type="dxa"/>
            <w:vAlign w:val="bottom"/>
          </w:tcPr>
          <w:p>
            <w:pPr>
              <w:spacing w:after="0"/>
              <w:rPr>
                <w:sz w:val="14"/>
                <w:szCs w:val="1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Domestic and Offshore Lending Office:</w:t>
            </w:r>
          </w:p>
        </w:tc>
        <w:tc>
          <w:tcPr>
            <w:tcW w:w="1420" w:type="dxa"/>
            <w:vAlign w:val="bottom"/>
          </w:tcPr>
          <w:p>
            <w:pPr>
              <w:spacing w:after="0"/>
              <w:rPr>
                <w:sz w:val="24"/>
                <w:szCs w:val="24"/>
                <w:color w:val="auto"/>
              </w:rPr>
            </w:pPr>
          </w:p>
        </w:tc>
      </w:tr>
      <w:tr>
        <w:trPr>
          <w:trHeight w:val="331"/>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The Bank of Nova Scotia</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580 California Street</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Suite 2100</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San Francisco, CA  94104</w:t>
            </w:r>
          </w:p>
        </w:tc>
        <w:tc>
          <w:tcPr>
            <w:tcW w:w="1420" w:type="dxa"/>
            <w:vAlign w:val="bottom"/>
          </w:tcPr>
          <w:p>
            <w:pPr>
              <w:spacing w:after="0"/>
              <w:rPr>
                <w:sz w:val="14"/>
                <w:szCs w:val="14"/>
                <w:color w:val="auto"/>
              </w:rPr>
            </w:pPr>
          </w:p>
        </w:tc>
      </w:tr>
      <w:tr>
        <w:trPr>
          <w:trHeight w:val="166"/>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Attention: Maarten Van Otterloo</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51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Senior Relationship Manager</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Telephone:</w:t>
            </w:r>
          </w:p>
        </w:tc>
        <w:tc>
          <w:tcPr>
            <w:tcW w:w="35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616-4161</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Facsimile:</w:t>
            </w:r>
          </w:p>
        </w:tc>
        <w:tc>
          <w:tcPr>
            <w:tcW w:w="35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397-0791</w:t>
            </w:r>
          </w:p>
        </w:tc>
        <w:tc>
          <w:tcPr>
            <w:tcW w:w="1420" w:type="dxa"/>
            <w:vAlign w:val="bottom"/>
          </w:tcPr>
          <w:p>
            <w:pPr>
              <w:spacing w:after="0"/>
              <w:rPr>
                <w:sz w:val="14"/>
                <w:szCs w:val="1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THE INDUSTRIAL BANK OF JAPAN, LIMITED,</w:t>
            </w:r>
          </w:p>
        </w:tc>
        <w:tc>
          <w:tcPr>
            <w:tcW w:w="142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SAN FRANCISCO AGENCY</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Notices:</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The Industrial Bank of Japan, Limited,</w:t>
            </w:r>
          </w:p>
        </w:tc>
        <w:tc>
          <w:tcPr>
            <w:tcW w:w="142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San Francisco Agency</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555 California Street</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Suite 3110</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San Francisco, CA 94104</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Attention: Michael D. McCorriston</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518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Vice President</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Telephone:</w:t>
            </w:r>
          </w:p>
        </w:tc>
        <w:tc>
          <w:tcPr>
            <w:tcW w:w="35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693-1822</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1680" w:type="dxa"/>
            <w:vAlign w:val="bottom"/>
          </w:tcPr>
          <w:p>
            <w:pPr>
              <w:ind w:left="660"/>
              <w:spacing w:after="0"/>
              <w:rPr>
                <w:sz w:val="20"/>
                <w:szCs w:val="20"/>
                <w:color w:val="auto"/>
              </w:rPr>
            </w:pPr>
            <w:r>
              <w:rPr>
                <w:rFonts w:ascii="Courier New" w:cs="Courier New" w:eastAsia="Courier New" w:hAnsi="Courier New"/>
                <w:sz w:val="14"/>
                <w:szCs w:val="14"/>
                <w:color w:val="auto"/>
              </w:rPr>
              <w:t>Facsimile:</w:t>
            </w:r>
          </w:p>
        </w:tc>
        <w:tc>
          <w:tcPr>
            <w:tcW w:w="350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982-1917</w:t>
            </w:r>
          </w:p>
        </w:tc>
        <w:tc>
          <w:tcPr>
            <w:tcW w:w="1420" w:type="dxa"/>
            <w:vAlign w:val="bottom"/>
          </w:tcPr>
          <w:p>
            <w:pPr>
              <w:spacing w:after="0"/>
              <w:rPr>
                <w:sz w:val="14"/>
                <w:szCs w:val="1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Domestic and Offshore Lending Office:</w:t>
            </w:r>
          </w:p>
        </w:tc>
        <w:tc>
          <w:tcPr>
            <w:tcW w:w="1420" w:type="dxa"/>
            <w:vAlign w:val="bottom"/>
          </w:tcPr>
          <w:p>
            <w:pPr>
              <w:spacing w:after="0"/>
              <w:rPr>
                <w:sz w:val="24"/>
                <w:szCs w:val="2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The Industrial Bank of Japan, Limited,</w:t>
            </w:r>
          </w:p>
        </w:tc>
        <w:tc>
          <w:tcPr>
            <w:tcW w:w="142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San Francisco Agency</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555 California Street</w:t>
            </w:r>
          </w:p>
        </w:tc>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LENDING OFFICES AND ADDRESSES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5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-4-</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4"/>
          <w:szCs w:val="14"/>
          <w:color w:val="auto"/>
        </w:rPr>
        <w:t>Suite 3110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Jeannette O'Donnell</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(415) 693-1831</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(415) 982-1917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KEYBANK NATIONAL ASSOCIATION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KeyBank National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Fifth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 98104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J. T. Taylor</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(206) 684-6057</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(206) 684-6035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KeyBank National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Fifth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48th Floor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 98104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ROYAL BANK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OF CANADA</w:t>
            </w: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Notices:</w:t>
            </w:r>
          </w:p>
        </w:tc>
        <w:tc>
          <w:tcPr>
            <w:tcW w:w="10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1"/>
        </w:trPr>
        <w:tc>
          <w:tcPr>
            <w:tcW w:w="920" w:type="dxa"/>
            <w:vAlign w:val="bottom"/>
          </w:tcPr>
          <w:p>
            <w:pPr>
              <w:spacing w:after="0"/>
              <w:rPr>
                <w:sz w:val="20"/>
                <w:szCs w:val="20"/>
                <w:color w:val="auto"/>
              </w:rPr>
            </w:pPr>
            <w:r>
              <w:rPr>
                <w:rFonts w:ascii="Courier New" w:cs="Courier New" w:eastAsia="Courier New" w:hAnsi="Courier New"/>
                <w:sz w:val="14"/>
                <w:szCs w:val="14"/>
                <w:color w:val="auto"/>
              </w:rPr>
              <w:t>Royal Bank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of Canada</w:t>
            </w:r>
          </w:p>
        </w:tc>
        <w:tc>
          <w:tcPr>
            <w:tcW w:w="3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600 Wilshire Boulevard</w:t>
            </w: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Suite 800</w:t>
            </w:r>
          </w:p>
        </w:tc>
        <w:tc>
          <w:tcPr>
            <w:tcW w:w="10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Los Angeles, CA 90017</w:t>
            </w: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Attention: Michael Cole</w:t>
            </w: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Manager</w:t>
            </w: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Telephone:</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(213) 955-5328</w:t>
            </w:r>
          </w:p>
        </w:tc>
        <w:tc>
          <w:tcPr>
            <w:tcW w:w="150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Facsimile:</w:t>
            </w: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(213) 955-5350</w:t>
            </w:r>
          </w:p>
        </w:tc>
        <w:tc>
          <w:tcPr>
            <w:tcW w:w="1500" w:type="dxa"/>
            <w:vAlign w:val="bottom"/>
          </w:tcPr>
          <w:p>
            <w:pPr>
              <w:spacing w:after="0"/>
              <w:rPr>
                <w:sz w:val="14"/>
                <w:szCs w:val="14"/>
                <w:color w:val="auto"/>
              </w:rPr>
            </w:pPr>
          </w:p>
        </w:tc>
      </w:tr>
      <w:tr>
        <w:trPr>
          <w:trHeight w:val="331"/>
        </w:trPr>
        <w:tc>
          <w:tcPr>
            <w:tcW w:w="5400" w:type="dxa"/>
            <w:vAlign w:val="bottom"/>
            <w:gridSpan w:val="3"/>
          </w:tcPr>
          <w:p>
            <w:pPr>
              <w:spacing w:after="0"/>
              <w:rPr>
                <w:sz w:val="20"/>
                <w:szCs w:val="20"/>
                <w:color w:val="auto"/>
              </w:rPr>
            </w:pPr>
            <w:r>
              <w:rPr>
                <w:rFonts w:ascii="Courier New" w:cs="Courier New" w:eastAsia="Courier New" w:hAnsi="Courier New"/>
                <w:sz w:val="14"/>
                <w:szCs w:val="14"/>
                <w:color w:val="auto"/>
              </w:rPr>
              <w:t>Domestic and Offshore Lending Office:</w:t>
            </w:r>
          </w:p>
        </w:tc>
        <w:tc>
          <w:tcPr>
            <w:tcW w:w="1500" w:type="dxa"/>
            <w:vAlign w:val="bottom"/>
          </w:tcPr>
          <w:p>
            <w:pPr>
              <w:spacing w:after="0"/>
              <w:rPr>
                <w:sz w:val="24"/>
                <w:szCs w:val="24"/>
                <w:color w:val="auto"/>
              </w:rPr>
            </w:pPr>
          </w:p>
        </w:tc>
      </w:tr>
      <w:tr>
        <w:trPr>
          <w:trHeight w:val="331"/>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Royal Bank of Canada</w:t>
            </w:r>
          </w:p>
        </w:tc>
        <w:tc>
          <w:tcPr>
            <w:tcW w:w="34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600 Wilshire Boulevard</w:t>
            </w: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Suite 800</w:t>
            </w:r>
          </w:p>
        </w:tc>
        <w:tc>
          <w:tcPr>
            <w:tcW w:w="10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1980" w:type="dxa"/>
            <w:vAlign w:val="bottom"/>
            <w:gridSpan w:val="2"/>
          </w:tcPr>
          <w:p>
            <w:pPr>
              <w:spacing w:after="0"/>
              <w:rPr>
                <w:sz w:val="20"/>
                <w:szCs w:val="20"/>
                <w:color w:val="auto"/>
              </w:rPr>
            </w:pPr>
            <w:r>
              <w:rPr>
                <w:rFonts w:ascii="Courier New" w:cs="Courier New" w:eastAsia="Courier New" w:hAnsi="Courier New"/>
                <w:sz w:val="14"/>
                <w:szCs w:val="14"/>
                <w:color w:val="auto"/>
              </w:rPr>
              <w:t>Los Angeles, CA 90017</w:t>
            </w:r>
          </w:p>
        </w:tc>
        <w:tc>
          <w:tcPr>
            <w:tcW w:w="34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1"/>
        </w:trPr>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Courier New" w:cs="Courier New" w:eastAsia="Courier New" w:hAnsi="Courier New"/>
                <w:sz w:val="14"/>
                <w:szCs w:val="14"/>
                <w:color w:val="auto"/>
              </w:rPr>
              <w:t>LENDING OFFICES AND ADDRESSES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20" w:type="dxa"/>
            <w:vAlign w:val="bottom"/>
          </w:tcPr>
          <w:p>
            <w:pPr>
              <w:jc w:val="right"/>
              <w:ind w:right="1788"/>
              <w:spacing w:after="0"/>
              <w:rPr>
                <w:sz w:val="20"/>
                <w:szCs w:val="20"/>
                <w:color w:val="auto"/>
              </w:rPr>
            </w:pPr>
            <w:r>
              <w:rPr>
                <w:rFonts w:ascii="Courier New" w:cs="Courier New" w:eastAsia="Courier New" w:hAnsi="Courier New"/>
                <w:sz w:val="14"/>
                <w:szCs w:val="14"/>
                <w:color w:val="auto"/>
              </w:rPr>
              <w:t>-5-</w:t>
            </w:r>
          </w:p>
        </w:tc>
        <w:tc>
          <w:tcPr>
            <w:tcW w:w="150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4"/>
          <w:szCs w:val="14"/>
          <w:color w:val="auto"/>
        </w:rPr>
        <w:t>BANQUE NATIONALE DE PARIS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Banque Nationale de Paris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 Montgomery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3rd Floor</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San Francisco, CA</w:t>
        <w:tab/>
        <w:t>94104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Rafael Lumanlan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(415) 956-0707</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(415) 296-8954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gridSpan w:val="5"/>
          </w:tcPr>
          <w:p>
            <w:pPr>
              <w:spacing w:after="0"/>
              <w:rPr>
                <w:sz w:val="20"/>
                <w:szCs w:val="20"/>
                <w:color w:val="auto"/>
              </w:rPr>
            </w:pPr>
            <w:r>
              <w:rPr>
                <w:rFonts w:ascii="Courier New" w:cs="Courier New" w:eastAsia="Courier New" w:hAnsi="Courier New"/>
                <w:sz w:val="14"/>
                <w:szCs w:val="14"/>
                <w:color w:val="auto"/>
              </w:rPr>
              <w:t>Banque Nationale de Paris, San Francisco Branch</w:t>
            </w:r>
          </w:p>
        </w:tc>
        <w:tc>
          <w:tcPr>
            <w:tcW w:w="138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180</w:t>
            </w:r>
          </w:p>
        </w:tc>
        <w:tc>
          <w:tcPr>
            <w:tcW w:w="16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Montgomery Street</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480" w:type="dxa"/>
            <w:vAlign w:val="bottom"/>
            <w:gridSpan w:val="3"/>
          </w:tcPr>
          <w:p>
            <w:pPr>
              <w:spacing w:after="0"/>
              <w:rPr>
                <w:sz w:val="20"/>
                <w:szCs w:val="20"/>
                <w:color w:val="auto"/>
              </w:rPr>
            </w:pPr>
            <w:r>
              <w:rPr>
                <w:rFonts w:ascii="Courier New" w:cs="Courier New" w:eastAsia="Courier New" w:hAnsi="Courier New"/>
                <w:sz w:val="14"/>
                <w:szCs w:val="14"/>
                <w:color w:val="auto"/>
              </w:rPr>
              <w:t>San Francisco, CA</w:t>
            </w:r>
          </w:p>
        </w:tc>
        <w:tc>
          <w:tcPr>
            <w:tcW w:w="3960" w:type="dxa"/>
            <w:vAlign w:val="bottom"/>
            <w:gridSpan w:val="2"/>
          </w:tcPr>
          <w:p>
            <w:pPr>
              <w:jc w:val="right"/>
              <w:ind w:right="3288"/>
              <w:spacing w:after="0"/>
              <w:rPr>
                <w:sz w:val="20"/>
                <w:szCs w:val="20"/>
                <w:color w:val="auto"/>
              </w:rPr>
            </w:pPr>
            <w:r>
              <w:rPr>
                <w:rFonts w:ascii="Courier New" w:cs="Courier New" w:eastAsia="Courier New" w:hAnsi="Courier New"/>
                <w:sz w:val="14"/>
                <w:szCs w:val="14"/>
                <w:color w:val="auto"/>
              </w:rPr>
              <w:t>94104</w:t>
            </w:r>
          </w:p>
        </w:tc>
        <w:tc>
          <w:tcPr>
            <w:tcW w:w="1380" w:type="dxa"/>
            <w:vAlign w:val="bottom"/>
          </w:tcPr>
          <w:p>
            <w:pPr>
              <w:spacing w:after="0"/>
              <w:rPr>
                <w:sz w:val="14"/>
                <w:szCs w:val="14"/>
                <w:color w:val="auto"/>
              </w:rPr>
            </w:pP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Telephone:</w:t>
            </w:r>
          </w:p>
        </w:tc>
        <w:tc>
          <w:tcPr>
            <w:tcW w:w="4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(415) 956-0707</w:t>
            </w:r>
          </w:p>
        </w:tc>
        <w:tc>
          <w:tcPr>
            <w:tcW w:w="1380" w:type="dxa"/>
            <w:vAlign w:val="bottom"/>
          </w:tcPr>
          <w:p>
            <w:pPr>
              <w:spacing w:after="0"/>
              <w:rPr>
                <w:sz w:val="14"/>
                <w:szCs w:val="14"/>
                <w:color w:val="auto"/>
              </w:rPr>
            </w:pP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Telex:  RCA</w:t>
            </w:r>
          </w:p>
        </w:tc>
        <w:tc>
          <w:tcPr>
            <w:tcW w:w="4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278900 (Answerback:  BNPS UR)</w:t>
            </w:r>
          </w:p>
        </w:tc>
        <w:tc>
          <w:tcPr>
            <w:tcW w:w="1380" w:type="dxa"/>
            <w:vAlign w:val="bottom"/>
          </w:tcPr>
          <w:p>
            <w:pPr>
              <w:spacing w:after="0"/>
              <w:rPr>
                <w:sz w:val="14"/>
                <w:szCs w:val="14"/>
                <w:color w:val="auto"/>
              </w:rPr>
            </w:pP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44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(415) 989-9041</w:t>
            </w:r>
          </w:p>
        </w:tc>
        <w:tc>
          <w:tcPr>
            <w:tcW w:w="1380" w:type="dxa"/>
            <w:vAlign w:val="bottom"/>
          </w:tcPr>
          <w:p>
            <w:pPr>
              <w:spacing w:after="0"/>
              <w:rPr>
                <w:sz w:val="14"/>
                <w:szCs w:val="14"/>
                <w:color w:val="auto"/>
              </w:rPr>
            </w:pPr>
          </w:p>
        </w:tc>
      </w:tr>
      <w:tr>
        <w:trPr>
          <w:trHeight w:val="331"/>
        </w:trPr>
        <w:tc>
          <w:tcPr>
            <w:tcW w:w="5440" w:type="dxa"/>
            <w:vAlign w:val="bottom"/>
            <w:gridSpan w:val="5"/>
          </w:tcPr>
          <w:p>
            <w:pPr>
              <w:spacing w:after="0"/>
              <w:rPr>
                <w:sz w:val="20"/>
                <w:szCs w:val="20"/>
                <w:color w:val="auto"/>
              </w:rPr>
            </w:pPr>
            <w:r>
              <w:rPr>
                <w:rFonts w:ascii="Courier New" w:cs="Courier New" w:eastAsia="Courier New" w:hAnsi="Courier New"/>
                <w:sz w:val="14"/>
                <w:szCs w:val="14"/>
                <w:color w:val="auto"/>
              </w:rPr>
              <w:t>THE FUJI BANK, LIMITED, LOS ANGELES AGENCY</w:t>
            </w:r>
          </w:p>
        </w:tc>
        <w:tc>
          <w:tcPr>
            <w:tcW w:w="1380" w:type="dxa"/>
            <w:vAlign w:val="bottom"/>
          </w:tcPr>
          <w:p>
            <w:pPr>
              <w:spacing w:after="0"/>
              <w:rPr>
                <w:sz w:val="24"/>
                <w:szCs w:val="24"/>
                <w:color w:val="auto"/>
              </w:rPr>
            </w:pPr>
          </w:p>
        </w:tc>
      </w:tr>
      <w:tr>
        <w:trPr>
          <w:trHeight w:val="331"/>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Notices:</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The Fuji Bank, Limited,</w:t>
            </w:r>
          </w:p>
        </w:tc>
        <w:tc>
          <w:tcPr>
            <w:tcW w:w="3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Los Angeles Agency</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333 South Grand Avenue</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25th Floor, Suite 3900</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480" w:type="dxa"/>
            <w:vAlign w:val="bottom"/>
            <w:gridSpan w:val="3"/>
          </w:tcPr>
          <w:p>
            <w:pPr>
              <w:spacing w:after="0"/>
              <w:rPr>
                <w:sz w:val="20"/>
                <w:szCs w:val="20"/>
                <w:color w:val="auto"/>
              </w:rPr>
            </w:pPr>
            <w:r>
              <w:rPr>
                <w:rFonts w:ascii="Courier New" w:cs="Courier New" w:eastAsia="Courier New" w:hAnsi="Courier New"/>
                <w:sz w:val="14"/>
                <w:szCs w:val="14"/>
                <w:color w:val="auto"/>
              </w:rPr>
              <w:t>Los Angeles, CA</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90071</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440" w:type="dxa"/>
            <w:vAlign w:val="bottom"/>
            <w:gridSpan w:val="5"/>
          </w:tcPr>
          <w:p>
            <w:pPr>
              <w:spacing w:after="0"/>
              <w:rPr>
                <w:sz w:val="20"/>
                <w:szCs w:val="20"/>
                <w:color w:val="auto"/>
              </w:rPr>
            </w:pPr>
            <w:r>
              <w:rPr>
                <w:rFonts w:ascii="Courier New" w:cs="Courier New" w:eastAsia="Courier New" w:hAnsi="Courier New"/>
                <w:sz w:val="14"/>
                <w:szCs w:val="14"/>
                <w:color w:val="auto"/>
              </w:rPr>
              <w:t>Attention: Steve Brennan</w:t>
            </w:r>
          </w:p>
        </w:tc>
        <w:tc>
          <w:tcPr>
            <w:tcW w:w="138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80" w:type="dxa"/>
            <w:vAlign w:val="bottom"/>
            <w:gridSpan w:val="3"/>
          </w:tcPr>
          <w:p>
            <w:pPr>
              <w:jc w:val="right"/>
              <w:ind w:right="2168"/>
              <w:spacing w:after="0"/>
              <w:rPr>
                <w:sz w:val="20"/>
                <w:szCs w:val="20"/>
                <w:color w:val="auto"/>
              </w:rPr>
            </w:pPr>
            <w:r>
              <w:rPr>
                <w:rFonts w:ascii="Courier New" w:cs="Courier New" w:eastAsia="Courier New" w:hAnsi="Courier New"/>
                <w:sz w:val="14"/>
                <w:szCs w:val="14"/>
                <w:color w:val="auto"/>
              </w:rPr>
              <w:t>Vice President and Manager</w:t>
            </w:r>
          </w:p>
        </w:tc>
        <w:tc>
          <w:tcPr>
            <w:tcW w:w="138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Telephone:</w:t>
            </w:r>
          </w:p>
        </w:tc>
        <w:tc>
          <w:tcPr>
            <w:tcW w:w="346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(213) 253-4174</w:t>
            </w:r>
          </w:p>
        </w:tc>
        <w:tc>
          <w:tcPr>
            <w:tcW w:w="138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Facsimile:</w:t>
            </w:r>
          </w:p>
        </w:tc>
        <w:tc>
          <w:tcPr>
            <w:tcW w:w="346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(213) 253-4198</w:t>
            </w:r>
          </w:p>
        </w:tc>
        <w:tc>
          <w:tcPr>
            <w:tcW w:w="1380" w:type="dxa"/>
            <w:vAlign w:val="bottom"/>
          </w:tcPr>
          <w:p>
            <w:pPr>
              <w:spacing w:after="0"/>
              <w:rPr>
                <w:sz w:val="14"/>
                <w:szCs w:val="14"/>
                <w:color w:val="auto"/>
              </w:rPr>
            </w:pPr>
          </w:p>
        </w:tc>
      </w:tr>
      <w:tr>
        <w:trPr>
          <w:trHeight w:val="331"/>
        </w:trPr>
        <w:tc>
          <w:tcPr>
            <w:tcW w:w="5440" w:type="dxa"/>
            <w:vAlign w:val="bottom"/>
            <w:gridSpan w:val="5"/>
          </w:tcPr>
          <w:p>
            <w:pPr>
              <w:spacing w:after="0"/>
              <w:rPr>
                <w:sz w:val="20"/>
                <w:szCs w:val="20"/>
                <w:color w:val="auto"/>
              </w:rPr>
            </w:pPr>
            <w:r>
              <w:rPr>
                <w:rFonts w:ascii="Courier New" w:cs="Courier New" w:eastAsia="Courier New" w:hAnsi="Courier New"/>
                <w:sz w:val="14"/>
                <w:szCs w:val="14"/>
                <w:color w:val="auto"/>
              </w:rPr>
              <w:t>Domestic and Offshore Lending Office:</w:t>
            </w:r>
          </w:p>
        </w:tc>
        <w:tc>
          <w:tcPr>
            <w:tcW w:w="1380" w:type="dxa"/>
            <w:vAlign w:val="bottom"/>
          </w:tcPr>
          <w:p>
            <w:pPr>
              <w:spacing w:after="0"/>
              <w:rPr>
                <w:sz w:val="24"/>
                <w:szCs w:val="24"/>
                <w:color w:val="auto"/>
              </w:rPr>
            </w:pPr>
          </w:p>
        </w:tc>
      </w:tr>
      <w:tr>
        <w:trPr>
          <w:trHeight w:val="331"/>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The Fuji Bank, Limited,</w:t>
            </w:r>
          </w:p>
        </w:tc>
        <w:tc>
          <w:tcPr>
            <w:tcW w:w="34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Los Angeles Agency</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333 South Grand Avenue</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25th Floor, Suite 3900</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480" w:type="dxa"/>
            <w:vAlign w:val="bottom"/>
            <w:gridSpan w:val="3"/>
          </w:tcPr>
          <w:p>
            <w:pPr>
              <w:spacing w:after="0"/>
              <w:rPr>
                <w:sz w:val="20"/>
                <w:szCs w:val="20"/>
                <w:color w:val="auto"/>
              </w:rPr>
            </w:pPr>
            <w:r>
              <w:rPr>
                <w:rFonts w:ascii="Courier New" w:cs="Courier New" w:eastAsia="Courier New" w:hAnsi="Courier New"/>
                <w:sz w:val="14"/>
                <w:szCs w:val="14"/>
                <w:color w:val="auto"/>
              </w:rPr>
              <w:t>Los Angeles, CA</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90071</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Attention: Vivian Chang</w:t>
            </w:r>
          </w:p>
        </w:tc>
        <w:tc>
          <w:tcPr>
            <w:tcW w:w="3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Telephone:</w:t>
            </w:r>
          </w:p>
        </w:tc>
        <w:tc>
          <w:tcPr>
            <w:tcW w:w="346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(213) 253-4129</w:t>
            </w:r>
          </w:p>
        </w:tc>
        <w:tc>
          <w:tcPr>
            <w:tcW w:w="138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Facsimile:</w:t>
            </w:r>
          </w:p>
        </w:tc>
        <w:tc>
          <w:tcPr>
            <w:tcW w:w="346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(213) 253-4198</w:t>
            </w:r>
          </w:p>
        </w:tc>
        <w:tc>
          <w:tcPr>
            <w:tcW w:w="1380" w:type="dxa"/>
            <w:vAlign w:val="bottom"/>
          </w:tcPr>
          <w:p>
            <w:pPr>
              <w:spacing w:after="0"/>
              <w:rPr>
                <w:sz w:val="14"/>
                <w:szCs w:val="14"/>
                <w:color w:val="auto"/>
              </w:rPr>
            </w:pPr>
          </w:p>
        </w:tc>
      </w:tr>
      <w:tr>
        <w:trPr>
          <w:trHeight w:val="331"/>
        </w:trPr>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LENDING OFFICES AND ADDRESSES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6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4"/>
          <w:szCs w:val="14"/>
          <w:color w:val="auto"/>
        </w:rPr>
        <w:t>THE BANK OF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10990 Wilshire Boulevard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1125</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Los Angeles, CA</w:t>
        <w:tab/>
        <w:t>90024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Robert Louk</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(310) 996-8663</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(310) 996-8667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Wall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22nd Floor</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New York, NY</w:t>
        <w:tab/>
        <w:t>10286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Sandra Morgan</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(212) 635-6743</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(212) 635-6877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DAI-ICHI KANGYO BANK,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AGENCY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Courier New" w:cs="Courier New" w:eastAsia="Courier New" w:hAnsi="Courier New"/>
                <w:sz w:val="14"/>
                <w:szCs w:val="14"/>
                <w:color w:val="auto"/>
              </w:rPr>
              <w:t>Notices:</w:t>
            </w:r>
          </w:p>
        </w:tc>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The Dai-Ichi Kangyo Bank, Limited,</w:t>
            </w:r>
          </w:p>
        </w:tc>
        <w:tc>
          <w:tcPr>
            <w:tcW w:w="1420" w:type="dxa"/>
            <w:vAlign w:val="bottom"/>
          </w:tcPr>
          <w:p>
            <w:pPr>
              <w:spacing w:after="0"/>
              <w:rPr>
                <w:sz w:val="24"/>
                <w:szCs w:val="24"/>
                <w:color w:val="auto"/>
              </w:rPr>
            </w:pP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San Francisco Agency</w:t>
            </w: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101 California Street</w:t>
            </w: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Suite 4000</w:t>
            </w:r>
          </w:p>
        </w:tc>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San Francisco, CA</w:t>
            </w:r>
          </w:p>
        </w:tc>
        <w:tc>
          <w:tcPr>
            <w:tcW w:w="3920" w:type="dxa"/>
            <w:vAlign w:val="bottom"/>
            <w:gridSpan w:val="2"/>
          </w:tcPr>
          <w:p>
            <w:pPr>
              <w:jc w:val="right"/>
              <w:ind w:right="3328"/>
              <w:spacing w:after="0"/>
              <w:rPr>
                <w:sz w:val="20"/>
                <w:szCs w:val="20"/>
                <w:color w:val="auto"/>
              </w:rPr>
            </w:pPr>
            <w:r>
              <w:rPr>
                <w:rFonts w:ascii="Courier New" w:cs="Courier New" w:eastAsia="Courier New" w:hAnsi="Courier New"/>
                <w:sz w:val="14"/>
                <w:szCs w:val="14"/>
                <w:color w:val="auto"/>
              </w:rPr>
              <w:t>94111</w:t>
            </w:r>
          </w:p>
        </w:tc>
        <w:tc>
          <w:tcPr>
            <w:tcW w:w="1420" w:type="dxa"/>
            <w:vAlign w:val="bottom"/>
          </w:tcPr>
          <w:p>
            <w:pPr>
              <w:spacing w:after="0"/>
              <w:rPr>
                <w:sz w:val="14"/>
                <w:szCs w:val="14"/>
                <w:color w:val="auto"/>
              </w:rPr>
            </w:pPr>
          </w:p>
        </w:tc>
      </w:tr>
      <w:tr>
        <w:trPr>
          <w:trHeight w:val="166"/>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Attention: Virgilio N. Madrid</w:t>
            </w:r>
          </w:p>
        </w:tc>
        <w:tc>
          <w:tcPr>
            <w:tcW w:w="1420" w:type="dxa"/>
            <w:vAlign w:val="bottom"/>
          </w:tcPr>
          <w:p>
            <w:pPr>
              <w:spacing w:after="0"/>
              <w:rPr>
                <w:sz w:val="14"/>
                <w:szCs w:val="14"/>
                <w:color w:val="auto"/>
              </w:rPr>
            </w:pPr>
          </w:p>
        </w:tc>
      </w:tr>
      <w:tr>
        <w:trPr>
          <w:trHeight w:val="166"/>
        </w:trPr>
        <w:tc>
          <w:tcPr>
            <w:tcW w:w="5480" w:type="dxa"/>
            <w:vAlign w:val="bottom"/>
            <w:gridSpan w:val="3"/>
          </w:tcPr>
          <w:p>
            <w:pPr>
              <w:ind w:left="960"/>
              <w:spacing w:after="0"/>
              <w:rPr>
                <w:sz w:val="20"/>
                <w:szCs w:val="20"/>
                <w:color w:val="auto"/>
              </w:rPr>
            </w:pPr>
            <w:r>
              <w:rPr>
                <w:rFonts w:ascii="Courier New" w:cs="Courier New" w:eastAsia="Courier New" w:hAnsi="Courier New"/>
                <w:sz w:val="14"/>
                <w:szCs w:val="14"/>
                <w:color w:val="auto"/>
              </w:rPr>
              <w:t>Vice President</w:t>
            </w:r>
          </w:p>
        </w:tc>
        <w:tc>
          <w:tcPr>
            <w:tcW w:w="1420" w:type="dxa"/>
            <w:vAlign w:val="bottom"/>
          </w:tcPr>
          <w:p>
            <w:pPr>
              <w:spacing w:after="0"/>
              <w:rPr>
                <w:sz w:val="14"/>
                <w:szCs w:val="14"/>
                <w:color w:val="auto"/>
              </w:rPr>
            </w:pPr>
          </w:p>
        </w:tc>
      </w:tr>
      <w:tr>
        <w:trPr>
          <w:trHeight w:val="166"/>
        </w:trPr>
        <w:tc>
          <w:tcPr>
            <w:tcW w:w="19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Telephone:</w:t>
            </w:r>
          </w:p>
        </w:tc>
        <w:tc>
          <w:tcPr>
            <w:tcW w:w="354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393-1811</w:t>
            </w:r>
          </w:p>
        </w:tc>
        <w:tc>
          <w:tcPr>
            <w:tcW w:w="1420" w:type="dxa"/>
            <w:vAlign w:val="bottom"/>
          </w:tcPr>
          <w:p>
            <w:pPr>
              <w:spacing w:after="0"/>
              <w:rPr>
                <w:sz w:val="14"/>
                <w:szCs w:val="14"/>
                <w:color w:val="auto"/>
              </w:rPr>
            </w:pPr>
          </w:p>
        </w:tc>
      </w:tr>
      <w:tr>
        <w:trPr>
          <w:trHeight w:val="166"/>
        </w:trPr>
        <w:tc>
          <w:tcPr>
            <w:tcW w:w="19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Facsimile:</w:t>
            </w:r>
          </w:p>
        </w:tc>
        <w:tc>
          <w:tcPr>
            <w:tcW w:w="354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788-7868</w:t>
            </w:r>
          </w:p>
        </w:tc>
        <w:tc>
          <w:tcPr>
            <w:tcW w:w="1420" w:type="dxa"/>
            <w:vAlign w:val="bottom"/>
          </w:tcPr>
          <w:p>
            <w:pPr>
              <w:spacing w:after="0"/>
              <w:rPr>
                <w:sz w:val="14"/>
                <w:szCs w:val="1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Domestic and Offshore Lending Office:</w:t>
            </w:r>
          </w:p>
        </w:tc>
        <w:tc>
          <w:tcPr>
            <w:tcW w:w="1420" w:type="dxa"/>
            <w:vAlign w:val="bottom"/>
          </w:tcPr>
          <w:p>
            <w:pPr>
              <w:spacing w:after="0"/>
              <w:rPr>
                <w:sz w:val="24"/>
                <w:szCs w:val="24"/>
                <w:color w:val="auto"/>
              </w:rPr>
            </w:pPr>
          </w:p>
        </w:tc>
      </w:tr>
      <w:tr>
        <w:trPr>
          <w:trHeight w:val="331"/>
        </w:trPr>
        <w:tc>
          <w:tcPr>
            <w:tcW w:w="5480" w:type="dxa"/>
            <w:vAlign w:val="bottom"/>
            <w:gridSpan w:val="3"/>
          </w:tcPr>
          <w:p>
            <w:pPr>
              <w:spacing w:after="0"/>
              <w:rPr>
                <w:sz w:val="20"/>
                <w:szCs w:val="20"/>
                <w:color w:val="auto"/>
              </w:rPr>
            </w:pPr>
            <w:r>
              <w:rPr>
                <w:rFonts w:ascii="Courier New" w:cs="Courier New" w:eastAsia="Courier New" w:hAnsi="Courier New"/>
                <w:sz w:val="14"/>
                <w:szCs w:val="14"/>
                <w:color w:val="auto"/>
              </w:rPr>
              <w:t>The Dai-Ichi Kangyo Bank, Limited,</w:t>
            </w:r>
          </w:p>
        </w:tc>
        <w:tc>
          <w:tcPr>
            <w:tcW w:w="1420" w:type="dxa"/>
            <w:vAlign w:val="bottom"/>
          </w:tcPr>
          <w:p>
            <w:pPr>
              <w:spacing w:after="0"/>
              <w:rPr>
                <w:sz w:val="24"/>
                <w:szCs w:val="24"/>
                <w:color w:val="auto"/>
              </w:rPr>
            </w:pP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San Francisco Agency</w:t>
            </w: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101 California Street</w:t>
            </w: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Suite 4000</w:t>
            </w:r>
          </w:p>
        </w:tc>
        <w:tc>
          <w:tcPr>
            <w:tcW w:w="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San Francisco, CA</w:t>
            </w:r>
          </w:p>
        </w:tc>
        <w:tc>
          <w:tcPr>
            <w:tcW w:w="3920" w:type="dxa"/>
            <w:vAlign w:val="bottom"/>
            <w:gridSpan w:val="2"/>
          </w:tcPr>
          <w:p>
            <w:pPr>
              <w:jc w:val="right"/>
              <w:ind w:right="3328"/>
              <w:spacing w:after="0"/>
              <w:rPr>
                <w:sz w:val="20"/>
                <w:szCs w:val="20"/>
                <w:color w:val="auto"/>
              </w:rPr>
            </w:pPr>
            <w:r>
              <w:rPr>
                <w:rFonts w:ascii="Courier New" w:cs="Courier New" w:eastAsia="Courier New" w:hAnsi="Courier New"/>
                <w:sz w:val="14"/>
                <w:szCs w:val="14"/>
                <w:color w:val="auto"/>
              </w:rPr>
              <w:t>94111</w:t>
            </w:r>
          </w:p>
        </w:tc>
        <w:tc>
          <w:tcPr>
            <w:tcW w:w="1420" w:type="dxa"/>
            <w:vAlign w:val="bottom"/>
          </w:tcPr>
          <w:p>
            <w:pPr>
              <w:spacing w:after="0"/>
              <w:rPr>
                <w:sz w:val="14"/>
                <w:szCs w:val="14"/>
                <w:color w:val="auto"/>
              </w:rPr>
            </w:pP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Attention: Karen Leung</w:t>
            </w:r>
          </w:p>
        </w:tc>
        <w:tc>
          <w:tcPr>
            <w:tcW w:w="35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Telephone:</w:t>
            </w:r>
          </w:p>
        </w:tc>
        <w:tc>
          <w:tcPr>
            <w:tcW w:w="354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393-1815</w:t>
            </w:r>
          </w:p>
        </w:tc>
        <w:tc>
          <w:tcPr>
            <w:tcW w:w="1420" w:type="dxa"/>
            <w:vAlign w:val="bottom"/>
          </w:tcPr>
          <w:p>
            <w:pPr>
              <w:spacing w:after="0"/>
              <w:rPr>
                <w:sz w:val="14"/>
                <w:szCs w:val="14"/>
                <w:color w:val="auto"/>
              </w:rPr>
            </w:pPr>
          </w:p>
        </w:tc>
      </w:tr>
      <w:tr>
        <w:trPr>
          <w:trHeight w:val="166"/>
        </w:trPr>
        <w:tc>
          <w:tcPr>
            <w:tcW w:w="1940" w:type="dxa"/>
            <w:vAlign w:val="bottom"/>
            <w:gridSpan w:val="2"/>
          </w:tcPr>
          <w:p>
            <w:pPr>
              <w:ind w:left="960"/>
              <w:spacing w:after="0"/>
              <w:rPr>
                <w:sz w:val="20"/>
                <w:szCs w:val="20"/>
                <w:color w:val="auto"/>
              </w:rPr>
            </w:pPr>
            <w:r>
              <w:rPr>
                <w:rFonts w:ascii="Courier New" w:cs="Courier New" w:eastAsia="Courier New" w:hAnsi="Courier New"/>
                <w:sz w:val="14"/>
                <w:szCs w:val="14"/>
                <w:color w:val="auto"/>
              </w:rPr>
              <w:t>Facsimile:</w:t>
            </w:r>
          </w:p>
        </w:tc>
        <w:tc>
          <w:tcPr>
            <w:tcW w:w="354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(415) 788-7868</w:t>
            </w:r>
          </w:p>
        </w:tc>
        <w:tc>
          <w:tcPr>
            <w:tcW w:w="1420" w:type="dxa"/>
            <w:vAlign w:val="bottom"/>
          </w:tcPr>
          <w:p>
            <w:pPr>
              <w:spacing w:after="0"/>
              <w:rPr>
                <w:sz w:val="14"/>
                <w:szCs w:val="14"/>
                <w:color w:val="auto"/>
              </w:rPr>
            </w:pPr>
          </w:p>
        </w:tc>
      </w:tr>
      <w:tr>
        <w:trPr>
          <w:trHeight w:val="331"/>
        </w:trPr>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LENDING OFFICES AND ADDRESSES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-7-</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4"/>
          <w:szCs w:val="14"/>
          <w:color w:val="auto"/>
        </w:rPr>
        <w:t>FIRST SECURITY BANK, 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Security Bank,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3276 Elder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 83705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Brian W. Cook</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Telephone:</w:t>
        <w:tab/>
        <w:t>(208) 393-2162</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Facsimile:</w:t>
        <w:tab/>
        <w:t>(208) 393-2472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Security Bank,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3276 Elder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 83705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Rhonda Miller</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Telephone:</w:t>
        <w:tab/>
        <w:t>(208) 393-4117</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Facsimile:</w:t>
        <w:tab/>
        <w:t>(208) 393-4540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FLEET NATIONAL BANK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Fleet National Bank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Federal Street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Boston, MA</w:t>
        <w:tab/>
        <w:t>02211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Frank Benesh</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Telephone:</w:t>
        <w:tab/>
        <w:t>(617) 346-0617</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Facsimile:</w:t>
        <w:tab/>
        <w:t>(617) 346-0568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Fleet National Bank</w:t>
            </w: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One Federal</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Street</w:t>
            </w: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Boston, MA</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02211</w:t>
            </w: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460" w:type="dxa"/>
            <w:vAlign w:val="bottom"/>
            <w:gridSpan w:val="3"/>
          </w:tcPr>
          <w:p>
            <w:pPr>
              <w:spacing w:after="0"/>
              <w:rPr>
                <w:sz w:val="20"/>
                <w:szCs w:val="20"/>
                <w:color w:val="auto"/>
              </w:rPr>
            </w:pPr>
            <w:r>
              <w:rPr>
                <w:rFonts w:ascii="Courier New" w:cs="Courier New" w:eastAsia="Courier New" w:hAnsi="Courier New"/>
                <w:sz w:val="14"/>
                <w:szCs w:val="14"/>
                <w:color w:val="auto"/>
              </w:rPr>
              <w:t>Attention: Pauline Kowalczyk</w:t>
            </w: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Telephone: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(617)</w:t>
            </w:r>
          </w:p>
        </w:tc>
        <w:tc>
          <w:tcPr>
            <w:tcW w:w="302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346-0622</w:t>
            </w:r>
          </w:p>
        </w:tc>
        <w:tc>
          <w:tcPr>
            <w:tcW w:w="1420" w:type="dxa"/>
            <w:vAlign w:val="bottom"/>
          </w:tcPr>
          <w:p>
            <w:pPr>
              <w:spacing w:after="0"/>
              <w:rPr>
                <w:sz w:val="14"/>
                <w:szCs w:val="14"/>
                <w:color w:val="auto"/>
              </w:rPr>
            </w:pP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Facsimile: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(617)</w:t>
            </w:r>
          </w:p>
        </w:tc>
        <w:tc>
          <w:tcPr>
            <w:tcW w:w="3020" w:type="dxa"/>
            <w:vAlign w:val="bottom"/>
          </w:tcPr>
          <w:p>
            <w:pPr>
              <w:jc w:val="right"/>
              <w:ind w:right="2208"/>
              <w:spacing w:after="0"/>
              <w:rPr>
                <w:sz w:val="20"/>
                <w:szCs w:val="20"/>
                <w:color w:val="auto"/>
              </w:rPr>
            </w:pPr>
            <w:r>
              <w:rPr>
                <w:rFonts w:ascii="Courier New" w:cs="Courier New" w:eastAsia="Courier New" w:hAnsi="Courier New"/>
                <w:sz w:val="14"/>
                <w:szCs w:val="14"/>
                <w:color w:val="auto"/>
              </w:rPr>
              <w:t>346-0595</w:t>
            </w:r>
          </w:p>
        </w:tc>
        <w:tc>
          <w:tcPr>
            <w:tcW w:w="1420" w:type="dxa"/>
            <w:vAlign w:val="bottom"/>
          </w:tcPr>
          <w:p>
            <w:pPr>
              <w:spacing w:after="0"/>
              <w:rPr>
                <w:sz w:val="14"/>
                <w:szCs w:val="14"/>
                <w:color w:val="auto"/>
              </w:rPr>
            </w:pPr>
          </w:p>
        </w:tc>
      </w:tr>
      <w:tr>
        <w:trPr>
          <w:trHeight w:val="331"/>
        </w:trPr>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LENDING OFFICES AND ADDRESSES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-8-</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4"/>
          <w:szCs w:val="14"/>
          <w:color w:val="auto"/>
        </w:rPr>
        <w:t>THE LONG-TERM CREDIT BANK OF JAPAN,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LTD., LOS ANGELES AGENCY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Long-Term Credit Bank of Japan,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Ltd., Los Angeles Agency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 South Grand Avenue, Suite 3000</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Los Angeles, CA</w:t>
        <w:tab/>
        <w:t>90071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Tamotsu Ukai</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right"/>
        <w:ind w:right="6959"/>
        <w:spacing w:after="0"/>
        <w:tabs>
          <w:tab w:leader="none" w:pos="4820" w:val="left"/>
        </w:tabs>
        <w:rPr>
          <w:sz w:val="20"/>
          <w:szCs w:val="20"/>
          <w:color w:val="auto"/>
        </w:rPr>
      </w:pPr>
      <w:r>
        <w:rPr>
          <w:rFonts w:ascii="Courier New" w:cs="Courier New" w:eastAsia="Courier New" w:hAnsi="Courier New"/>
          <w:sz w:val="14"/>
          <w:szCs w:val="14"/>
          <w:color w:val="auto"/>
        </w:rPr>
        <w:t>Telephone:</w:t>
        <w:tab/>
        <w:t>(213) 689-63345</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(213) 626-1067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Long-Term Credit Bank of Japan,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Ltd., Los Angeles Agency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 South Grand Avenue, Suite 3000</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Los Angeles, CA</w:t>
        <w:tab/>
        <w:t>90071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Cindy Ly</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(213) 689-6247</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(213) 626-1067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BANK, N.A.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Mellon Bank, N.A.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 Tech Group Rep Office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435 Tasso Street, Suite 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Palo Alto, CA 93401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Sean C. Gannon</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Assistant Vice President</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(415) 326-3005</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(415) 326-2382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Mellon Bank, N.A.</w:t>
            </w: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3 Mellon Bank Center</w:t>
            </w: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Room 2304</w:t>
            </w: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Pittsburgh, PA  15259</w:t>
            </w: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Attention: D. Carr</w:t>
            </w: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Telephone: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c>
          <w:tcPr>
            <w:tcW w:w="298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234-1872</w:t>
            </w:r>
          </w:p>
        </w:tc>
        <w:tc>
          <w:tcPr>
            <w:tcW w:w="1380" w:type="dxa"/>
            <w:vAlign w:val="bottom"/>
          </w:tcPr>
          <w:p>
            <w:pPr>
              <w:spacing w:after="0"/>
              <w:rPr>
                <w:sz w:val="14"/>
                <w:szCs w:val="14"/>
                <w:color w:val="auto"/>
              </w:rPr>
            </w:pPr>
          </w:p>
        </w:tc>
      </w:tr>
      <w:tr>
        <w:trPr>
          <w:trHeight w:val="166"/>
        </w:trPr>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Facsimile: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(412)</w:t>
            </w:r>
          </w:p>
        </w:tc>
        <w:tc>
          <w:tcPr>
            <w:tcW w:w="298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234-5049</w:t>
            </w:r>
          </w:p>
        </w:tc>
        <w:tc>
          <w:tcPr>
            <w:tcW w:w="1380" w:type="dxa"/>
            <w:vAlign w:val="bottom"/>
          </w:tcPr>
          <w:p>
            <w:pPr>
              <w:spacing w:after="0"/>
              <w:rPr>
                <w:sz w:val="14"/>
                <w:szCs w:val="14"/>
                <w:color w:val="auto"/>
              </w:rPr>
            </w:pPr>
          </w:p>
        </w:tc>
      </w:tr>
      <w:tr>
        <w:trPr>
          <w:trHeight w:val="331"/>
        </w:trPr>
        <w:tc>
          <w:tcPr>
            <w:tcW w:w="1900" w:type="dxa"/>
            <w:vAlign w:val="bottom"/>
          </w:tcPr>
          <w:p>
            <w:pPr>
              <w:spacing w:after="0"/>
              <w:rPr>
                <w:sz w:val="24"/>
                <w:szCs w:val="24"/>
                <w:color w:val="auto"/>
              </w:rPr>
            </w:pPr>
          </w:p>
        </w:tc>
        <w:tc>
          <w:tcPr>
            <w:tcW w:w="354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LENDING OFFICES AND ADDRESSES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80" w:type="dxa"/>
            <w:vAlign w:val="bottom"/>
          </w:tcPr>
          <w:p>
            <w:pPr>
              <w:jc w:val="right"/>
              <w:ind w:right="1828"/>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4"/>
          <w:szCs w:val="14"/>
          <w:color w:val="auto"/>
        </w:rPr>
        <w:t>THE SUMITOMO BANK LIMITED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Sumitomo Bank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1201 Third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5320</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Seattle, WA</w:t>
        <w:tab/>
        <w:t>98101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Bob Granfelt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Telephone:</w:t>
        <w:tab/>
        <w:t>(206) 223-4050</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Facsimile:</w:t>
        <w:tab/>
        <w:t>(206) 623-8551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Sumitomo Bank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777 S. Figueroa #2600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Miriam Delgado</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Telephone:</w:t>
        <w:tab/>
        <w:t>(213) 955-0867</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Facsimile:</w:t>
        <w:tab/>
        <w:t>(213) 623-6832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SAKURA BANK,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AGENCY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Sakura Bank, Limited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Agency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345 California Street, Suite 1100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Francisco, CA 94104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J.R. Best</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Telephone:</w:t>
        <w:tab/>
        <w:t>(415) 765-0881</w:t>
      </w:r>
    </w:p>
    <w:p>
      <w:pPr>
        <w:spacing w:after="0" w:line="7" w:lineRule="exact"/>
        <w:rPr>
          <w:sz w:val="20"/>
          <w:szCs w:val="20"/>
          <w:color w:val="auto"/>
        </w:rPr>
      </w:pPr>
    </w:p>
    <w:p>
      <w:pPr>
        <w:jc w:val="right"/>
        <w:ind w:right="7039"/>
        <w:spacing w:after="0"/>
        <w:tabs>
          <w:tab w:leader="none" w:pos="4900" w:val="left"/>
        </w:tabs>
        <w:rPr>
          <w:sz w:val="20"/>
          <w:szCs w:val="20"/>
          <w:color w:val="auto"/>
        </w:rPr>
      </w:pPr>
      <w:r>
        <w:rPr>
          <w:rFonts w:ascii="Courier New" w:cs="Courier New" w:eastAsia="Courier New" w:hAnsi="Courier New"/>
          <w:sz w:val="14"/>
          <w:szCs w:val="14"/>
          <w:color w:val="auto"/>
        </w:rPr>
        <w:t>Facsimile:</w:t>
        <w:tab/>
        <w:t>(415) 765-0860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The Sakura Bank, Limited</w:t>
            </w: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San Francisco Agency</w:t>
            </w:r>
          </w:p>
        </w:tc>
        <w:tc>
          <w:tcPr>
            <w:tcW w:w="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345 California Street, Suite</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1100</w:t>
            </w:r>
          </w:p>
        </w:tc>
        <w:tc>
          <w:tcPr>
            <w:tcW w:w="1420" w:type="dxa"/>
            <w:vAlign w:val="bottom"/>
          </w:tcPr>
          <w:p>
            <w:pPr>
              <w:spacing w:after="0"/>
              <w:rPr>
                <w:sz w:val="14"/>
                <w:szCs w:val="14"/>
                <w:color w:val="auto"/>
              </w:rPr>
            </w:pPr>
          </w:p>
        </w:tc>
      </w:tr>
      <w:tr>
        <w:trPr>
          <w:trHeight w:val="166"/>
        </w:trPr>
        <w:tc>
          <w:tcPr>
            <w:tcW w:w="1980" w:type="dxa"/>
            <w:vAlign w:val="bottom"/>
          </w:tcPr>
          <w:p>
            <w:pPr>
              <w:spacing w:after="0"/>
              <w:rPr>
                <w:sz w:val="20"/>
                <w:szCs w:val="20"/>
                <w:color w:val="auto"/>
              </w:rPr>
            </w:pPr>
            <w:r>
              <w:rPr>
                <w:rFonts w:ascii="Courier New" w:cs="Courier New" w:eastAsia="Courier New" w:hAnsi="Courier New"/>
                <w:sz w:val="14"/>
                <w:szCs w:val="14"/>
                <w:color w:val="auto"/>
              </w:rPr>
              <w:t>San Francisco, CA 94104</w:t>
            </w:r>
          </w:p>
        </w:tc>
        <w:tc>
          <w:tcPr>
            <w:tcW w:w="4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Attention: Debbie T. Maranon</w:t>
            </w:r>
          </w:p>
        </w:tc>
        <w:tc>
          <w:tcPr>
            <w:tcW w:w="30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Telephone: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(415)</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765-0873</w:t>
            </w:r>
          </w:p>
        </w:tc>
        <w:tc>
          <w:tcPr>
            <w:tcW w:w="1420" w:type="dxa"/>
            <w:vAlign w:val="bottom"/>
          </w:tcPr>
          <w:p>
            <w:pPr>
              <w:spacing w:after="0"/>
              <w:rPr>
                <w:sz w:val="14"/>
                <w:szCs w:val="14"/>
                <w:color w:val="auto"/>
              </w:rPr>
            </w:pPr>
          </w:p>
        </w:tc>
      </w:tr>
      <w:tr>
        <w:trPr>
          <w:trHeight w:val="166"/>
        </w:trPr>
        <w:tc>
          <w:tcPr>
            <w:tcW w:w="1980" w:type="dxa"/>
            <w:vAlign w:val="bottom"/>
          </w:tcPr>
          <w:p>
            <w:pPr>
              <w:ind w:left="960"/>
              <w:spacing w:after="0"/>
              <w:rPr>
                <w:sz w:val="20"/>
                <w:szCs w:val="20"/>
                <w:color w:val="auto"/>
              </w:rPr>
            </w:pPr>
            <w:r>
              <w:rPr>
                <w:rFonts w:ascii="Courier New" w:cs="Courier New" w:eastAsia="Courier New" w:hAnsi="Courier New"/>
                <w:sz w:val="14"/>
                <w:szCs w:val="14"/>
                <w:color w:val="auto"/>
              </w:rPr>
              <w:t>Facsimile: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(415)</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765-0860</w:t>
            </w:r>
          </w:p>
        </w:tc>
        <w:tc>
          <w:tcPr>
            <w:tcW w:w="1420" w:type="dxa"/>
            <w:vAlign w:val="bottom"/>
          </w:tcPr>
          <w:p>
            <w:pPr>
              <w:spacing w:after="0"/>
              <w:rPr>
                <w:sz w:val="14"/>
                <w:szCs w:val="14"/>
                <w:color w:val="auto"/>
              </w:rPr>
            </w:pPr>
          </w:p>
        </w:tc>
      </w:tr>
      <w:tr>
        <w:trPr>
          <w:trHeight w:val="331"/>
        </w:trPr>
        <w:tc>
          <w:tcPr>
            <w:tcW w:w="1980" w:type="dxa"/>
            <w:vAlign w:val="bottom"/>
          </w:tcPr>
          <w:p>
            <w:pPr>
              <w:spacing w:after="0"/>
              <w:rPr>
                <w:sz w:val="24"/>
                <w:szCs w:val="24"/>
                <w:color w:val="auto"/>
              </w:rPr>
            </w:pPr>
          </w:p>
        </w:tc>
        <w:tc>
          <w:tcPr>
            <w:tcW w:w="35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LENDING OFFICES AND ADDRESSES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1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2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4"/>
          <w:szCs w:val="14"/>
          <w:color w:val="auto"/>
        </w:rPr>
        <w:t>BANQUE PARIBAS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Banque Paribas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2029 Century Park East, Suite 3900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 Angeles, CA 90067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Jeffrey P. White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Assistant Vice President</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Telephone:</w:t>
        <w:tab/>
        <w:t>(310) 551-7312</w:t>
      </w:r>
    </w:p>
    <w:p>
      <w:pPr>
        <w:spacing w:after="0" w:line="7"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Facsimile:</w:t>
        <w:tab/>
        <w:t>(310) 556-8759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and Offshore Lending Office: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Banque Paribas</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3200" w:type="dxa"/>
            <w:vAlign w:val="bottom"/>
            <w:gridSpan w:val="3"/>
          </w:tcPr>
          <w:p>
            <w:pPr>
              <w:spacing w:after="0"/>
              <w:rPr>
                <w:sz w:val="20"/>
                <w:szCs w:val="20"/>
                <w:color w:val="auto"/>
              </w:rPr>
            </w:pPr>
            <w:r>
              <w:rPr>
                <w:rFonts w:ascii="Courier New" w:cs="Courier New" w:eastAsia="Courier New" w:hAnsi="Courier New"/>
                <w:sz w:val="14"/>
                <w:szCs w:val="14"/>
                <w:color w:val="auto"/>
              </w:rPr>
              <w:t>2029 Century Park East, Suite 3900</w:t>
            </w: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Los Angeles, CA 90067</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Attention: Shirley Williams</w:t>
            </w:r>
          </w:p>
        </w:tc>
        <w:tc>
          <w:tcPr>
            <w:tcW w:w="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Telephone:</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(310)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551-7360</w:t>
            </w: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900" w:type="dxa"/>
            <w:vAlign w:val="bottom"/>
          </w:tcPr>
          <w:p>
            <w:pPr>
              <w:ind w:left="960"/>
              <w:spacing w:after="0"/>
              <w:rPr>
                <w:sz w:val="20"/>
                <w:szCs w:val="20"/>
                <w:color w:val="auto"/>
              </w:rPr>
            </w:pPr>
            <w:r>
              <w:rPr>
                <w:rFonts w:ascii="Courier New" w:cs="Courier New" w:eastAsia="Courier New" w:hAnsi="Courier New"/>
                <w:sz w:val="14"/>
                <w:szCs w:val="14"/>
                <w:color w:val="auto"/>
              </w:rPr>
              <w:t>Facsimile:</w:t>
            </w:r>
          </w:p>
        </w:tc>
        <w:tc>
          <w:tcPr>
            <w:tcW w:w="560" w:type="dxa"/>
            <w:vAlign w:val="bottom"/>
          </w:tcPr>
          <w:p>
            <w:pPr>
              <w:ind w:left="80"/>
              <w:spacing w:after="0"/>
              <w:rPr>
                <w:sz w:val="20"/>
                <w:szCs w:val="20"/>
                <w:color w:val="auto"/>
              </w:rPr>
            </w:pPr>
            <w:r>
              <w:rPr>
                <w:rFonts w:ascii="Courier New" w:cs="Courier New" w:eastAsia="Courier New" w:hAnsi="Courier New"/>
                <w:sz w:val="14"/>
                <w:szCs w:val="14"/>
                <w:color w:val="auto"/>
              </w:rPr>
              <w:t>(310)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553-1504</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OR (310) 556-8759</w:t>
            </w:r>
          </w:p>
        </w:tc>
        <w:tc>
          <w:tcPr>
            <w:tcW w:w="1380" w:type="dxa"/>
            <w:vAlign w:val="bottom"/>
          </w:tcPr>
          <w:p>
            <w:pPr>
              <w:spacing w:after="0"/>
              <w:rPr>
                <w:sz w:val="14"/>
                <w:szCs w:val="14"/>
                <w:color w:val="auto"/>
              </w:rPr>
            </w:pPr>
          </w:p>
        </w:tc>
      </w:tr>
      <w:tr>
        <w:trPr>
          <w:trHeight w:val="331"/>
        </w:trPr>
        <w:tc>
          <w:tcPr>
            <w:tcW w:w="1900" w:type="dxa"/>
            <w:vAlign w:val="bottom"/>
          </w:tcPr>
          <w:p>
            <w:pPr>
              <w:spacing w:after="0"/>
              <w:rPr>
                <w:sz w:val="24"/>
                <w:szCs w:val="24"/>
                <w:color w:val="auto"/>
              </w:rPr>
            </w:pPr>
          </w:p>
        </w:tc>
        <w:tc>
          <w:tcPr>
            <w:tcW w:w="362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LENDING OFFICES AND ADDRESSES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1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320" w:type="dxa"/>
            <w:vAlign w:val="bottom"/>
          </w:tcPr>
          <w:p>
            <w:pPr>
              <w:jc w:val="right"/>
              <w:ind w:right="1908"/>
              <w:spacing w:after="0"/>
              <w:rPr>
                <w:sz w:val="20"/>
                <w:szCs w:val="20"/>
                <w:color w:val="auto"/>
              </w:rPr>
            </w:pPr>
            <w:r>
              <w:rPr>
                <w:rFonts w:ascii="Courier New" w:cs="Courier New" w:eastAsia="Courier New" w:hAnsi="Courier New"/>
                <w:sz w:val="14"/>
                <w:szCs w:val="14"/>
                <w:color w:val="auto"/>
                <w:w w:val="95"/>
              </w:rPr>
              <w:t>-11-</w:t>
            </w:r>
          </w:p>
        </w:tc>
        <w:tc>
          <w:tcPr>
            <w:tcW w:w="13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0" w:name="page131"/>
    <w:bookmarkEnd w:id="130"/>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FORM OF NOTICE OF BORROWING</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720"/>
        <w:spacing w:after="0"/>
        <w:tabs>
          <w:tab w:leader="none" w:pos="4300" w:val="left"/>
        </w:tabs>
        <w:rPr>
          <w:sz w:val="20"/>
          <w:szCs w:val="20"/>
          <w:color w:val="auto"/>
        </w:rPr>
      </w:pPr>
      <w:r>
        <w:rPr>
          <w:rFonts w:ascii="Courier New" w:cs="Courier New" w:eastAsia="Courier New" w:hAnsi="Courier New"/>
          <w:sz w:val="14"/>
          <w:szCs w:val="14"/>
          <w:color w:val="auto"/>
        </w:rPr>
        <w:t>Date:</w:t>
        <w:tab/>
        <w:t>_____________, 199__</w:t>
      </w:r>
    </w:p>
    <w:p>
      <w:pPr>
        <w:spacing w:after="0" w:line="338" w:lineRule="exact"/>
        <w:rPr>
          <w:sz w:val="20"/>
          <w:szCs w:val="20"/>
          <w:color w:val="auto"/>
        </w:rPr>
      </w:pPr>
    </w:p>
    <w:p>
      <w:pPr>
        <w:jc w:val="both"/>
        <w:ind w:left="620" w:right="3419" w:hanging="619"/>
        <w:spacing w:after="0" w:line="250" w:lineRule="auto"/>
        <w:tabs>
          <w:tab w:leader="none" w:pos="60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Bank of America National Trust and Savings Association, as Agent for the Banks party to the First Amended and Restated Revolving Credit Agreement dated as of May 28, 1997 (as extended, renewed, amended or restated from time to time, the "Credit Agreement") among Micron Technology, Inc., the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right="3519"/>
        <w:spacing w:after="0" w:line="250" w:lineRule="auto"/>
        <w:rPr>
          <w:sz w:val="20"/>
          <w:szCs w:val="20"/>
          <w:color w:val="auto"/>
        </w:rPr>
      </w:pPr>
      <w:r>
        <w:rPr>
          <w:rFonts w:ascii="Courier New" w:cs="Courier New" w:eastAsia="Courier New" w:hAnsi="Courier New"/>
          <w:sz w:val="14"/>
          <w:szCs w:val="14"/>
          <w:color w:val="auto"/>
        </w:rPr>
        <w:t>several financial institutions from time to time party to the Credit Agreement (the "Banks"), and Bank of America National Trust and Savings</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Association, as Agent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undersigned, Micron Technology, Inc. (the "Company"), refers to the</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Credit Agreement, the terms defined therein being used herein as therein defined, and hereby gives you notice irrevocably, pursuant to Section 2.03 of the Credit Agreement, of the Borrowing specified below:</w:t>
      </w:r>
    </w:p>
    <w:p>
      <w:pPr>
        <w:spacing w:after="0" w:line="163" w:lineRule="exact"/>
        <w:rPr>
          <w:sz w:val="20"/>
          <w:szCs w:val="20"/>
          <w:color w:val="auto"/>
        </w:rPr>
      </w:pPr>
    </w:p>
    <w:p>
      <w:pPr>
        <w:ind w:left="1300" w:hanging="430"/>
        <w:spacing w:after="0"/>
        <w:tabs>
          <w:tab w:leader="none" w:pos="13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Day of the proposed Borrowing is _______________,</w:t>
      </w:r>
    </w:p>
    <w:p>
      <w:pPr>
        <w:spacing w:after="0" w:line="7"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199__.</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proposed Borrowing is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$_____________________.</w:t>
      </w:r>
    </w:p>
    <w:p>
      <w:pPr>
        <w:spacing w:after="0" w:line="173" w:lineRule="exact"/>
        <w:rPr>
          <w:sz w:val="20"/>
          <w:szCs w:val="20"/>
          <w:color w:val="auto"/>
        </w:rPr>
      </w:pPr>
    </w:p>
    <w:p>
      <w:pPr>
        <w:ind w:left="620" w:right="3519" w:firstLine="250"/>
        <w:spacing w:after="0" w:line="255" w:lineRule="auto"/>
        <w:tabs>
          <w:tab w:leader="none" w:pos="1309"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Borrowing is to be comprised of $___________ of [Base Rate] [Offshore Rate] Loans.</w:t>
      </w:r>
    </w:p>
    <w:p>
      <w:pPr>
        <w:spacing w:after="0" w:line="160" w:lineRule="exact"/>
        <w:rPr>
          <w:sz w:val="20"/>
          <w:szCs w:val="20"/>
          <w:color w:val="auto"/>
        </w:rPr>
      </w:pPr>
    </w:p>
    <w:p>
      <w:pPr>
        <w:ind w:left="620" w:right="3519" w:firstLine="258"/>
        <w:spacing w:after="0" w:line="255" w:lineRule="auto"/>
        <w:rPr>
          <w:sz w:val="20"/>
          <w:szCs w:val="20"/>
          <w:color w:val="auto"/>
        </w:rPr>
      </w:pPr>
      <w:r>
        <w:rPr>
          <w:rFonts w:ascii="Courier New" w:cs="Courier New" w:eastAsia="Courier New" w:hAnsi="Courier New"/>
          <w:sz w:val="14"/>
          <w:szCs w:val="14"/>
          <w:color w:val="auto"/>
        </w:rPr>
        <w:t>[4. The duration of the Interest Period for the Offshore Rate Loans included in the Borrowing shall be _____ months.]</w:t>
      </w:r>
    </w:p>
    <w:p>
      <w:pPr>
        <w:spacing w:after="0" w:line="160"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The undersigned hereby certifies that the following statements are true on the date hereof, and will be true on the date of the proposed Borrowing, before and after giving effect thereto and to the application of the proceeds therefrom:</w:t>
      </w:r>
    </w:p>
    <w:p>
      <w:pPr>
        <w:spacing w:after="0" w:line="162" w:lineRule="exact"/>
        <w:rPr>
          <w:sz w:val="20"/>
          <w:szCs w:val="20"/>
          <w:color w:val="auto"/>
        </w:rPr>
      </w:pPr>
    </w:p>
    <w:p>
      <w:pPr>
        <w:ind w:left="620" w:right="3599" w:firstLine="250"/>
        <w:spacing w:after="0" w:line="252" w:lineRule="auto"/>
        <w:tabs>
          <w:tab w:leader="none" w:pos="130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contained in Article V of the Credit Agreement (except for the representations and warranties contained</w:t>
      </w:r>
    </w:p>
    <w:p>
      <w:pPr>
        <w:spacing w:after="0" w:line="329" w:lineRule="exact"/>
        <w:rPr>
          <w:sz w:val="20"/>
          <w:szCs w:val="20"/>
          <w:color w:val="auto"/>
        </w:rPr>
      </w:pPr>
    </w:p>
    <w:p>
      <w:pPr>
        <w:ind w:left="620" w:right="3419"/>
        <w:spacing w:after="0" w:line="252" w:lineRule="auto"/>
        <w:rPr>
          <w:sz w:val="20"/>
          <w:szCs w:val="20"/>
          <w:color w:val="auto"/>
        </w:rPr>
      </w:pPr>
      <w:r>
        <w:rPr>
          <w:rFonts w:ascii="Courier New" w:cs="Courier New" w:eastAsia="Courier New" w:hAnsi="Courier New"/>
          <w:sz w:val="14"/>
          <w:szCs w:val="14"/>
          <w:color w:val="auto"/>
        </w:rPr>
        <w:t>in Sections 5.05 and 5.14) are true and correct as though made on and as of such date, except to the extent such representations and warranties relate to an earlier</w:t>
      </w:r>
    </w:p>
    <w:p>
      <w:pPr>
        <w:spacing w:after="0" w:line="163" w:lineRule="exact"/>
        <w:rPr>
          <w:sz w:val="20"/>
          <w:szCs w:val="20"/>
          <w:color w:val="auto"/>
        </w:rPr>
      </w:pPr>
    </w:p>
    <w:tbl>
      <w:tblPr>
        <w:tblLayout w:type="fixed"/>
        <w:tblInd w:w="2600" w:type="dxa"/>
        <w:tblCellMar>
          <w:top w:w="0" w:type="dxa"/>
          <w:left w:w="0" w:type="dxa"/>
          <w:bottom w:w="0" w:type="dxa"/>
          <w:right w:w="0" w:type="dxa"/>
        </w:tblCellMar>
      </w:tblPr>
      <w:tr>
        <w:trPr>
          <w:trHeight w:val="162"/>
        </w:trPr>
        <w:tc>
          <w:tcPr>
            <w:tcW w:w="2660" w:type="dxa"/>
            <w:vAlign w:val="bottom"/>
          </w:tcPr>
          <w:p>
            <w:pPr>
              <w:spacing w:after="0"/>
              <w:rPr>
                <w:sz w:val="20"/>
                <w:szCs w:val="20"/>
                <w:color w:val="auto"/>
              </w:rPr>
            </w:pPr>
            <w:r>
              <w:rPr>
                <w:rFonts w:ascii="Courier New" w:cs="Courier New" w:eastAsia="Courier New" w:hAnsi="Courier New"/>
                <w:sz w:val="14"/>
                <w:szCs w:val="14"/>
                <w:color w:val="auto"/>
              </w:rPr>
              <w:t>NOTICE OF BORROWING</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6/23/97</w:t>
            </w:r>
          </w:p>
        </w:tc>
      </w:tr>
      <w:tr>
        <w:trPr>
          <w:trHeight w:val="166"/>
        </w:trPr>
        <w:tc>
          <w:tcPr>
            <w:tcW w:w="2660" w:type="dxa"/>
            <w:vAlign w:val="bottom"/>
          </w:tcPr>
          <w:p>
            <w:pPr>
              <w:ind w:left="500"/>
              <w:spacing w:after="0"/>
              <w:rPr>
                <w:sz w:val="20"/>
                <w:szCs w:val="20"/>
                <w:color w:val="auto"/>
              </w:rPr>
            </w:pPr>
            <w:r>
              <w:rPr>
                <w:rFonts w:ascii="Courier New" w:cs="Courier New" w:eastAsia="Courier New" w:hAnsi="Courier New"/>
                <w:sz w:val="14"/>
                <w:szCs w:val="14"/>
                <w:color w:val="auto"/>
              </w:rPr>
              <w:t>A-12</w:t>
            </w:r>
          </w:p>
        </w:tc>
        <w:tc>
          <w:tcPr>
            <w:tcW w:w="164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4"/>
          <w:szCs w:val="14"/>
          <w:color w:val="auto"/>
        </w:rPr>
        <w:t>date, in which case they were true and correct as of such earlier date;</w:t>
      </w:r>
    </w:p>
    <w:p>
      <w:pPr>
        <w:spacing w:after="0" w:line="173" w:lineRule="exact"/>
        <w:rPr>
          <w:sz w:val="20"/>
          <w:szCs w:val="20"/>
          <w:color w:val="auto"/>
        </w:rPr>
      </w:pPr>
    </w:p>
    <w:p>
      <w:pPr>
        <w:ind w:right="3339" w:firstLine="250"/>
        <w:spacing w:after="0" w:line="255" w:lineRule="auto"/>
        <w:tabs>
          <w:tab w:leader="none" w:pos="68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has occurred and is continuing, or would result from such proposed Borrowing; and</w:t>
      </w:r>
    </w:p>
    <w:p>
      <w:pPr>
        <w:spacing w:after="0" w:line="159" w:lineRule="exact"/>
        <w:rPr>
          <w:rFonts w:ascii="Courier New" w:cs="Courier New" w:eastAsia="Courier New" w:hAnsi="Courier New"/>
          <w:sz w:val="14"/>
          <w:szCs w:val="14"/>
          <w:color w:val="auto"/>
        </w:rPr>
      </w:pPr>
    </w:p>
    <w:p>
      <w:pPr>
        <w:ind w:right="3339" w:firstLine="250"/>
        <w:spacing w:after="0" w:line="252" w:lineRule="auto"/>
        <w:tabs>
          <w:tab w:leader="none" w:pos="68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Borrowing will not cause the aggregate principal amount of all outstanding Loans to exceed the combined Commitments of the Banks.</w:t>
      </w:r>
    </w:p>
    <w:p>
      <w:pPr>
        <w:spacing w:after="0" w:line="329"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MICRON TECHNOLOGY, INC.</w:t>
      </w:r>
    </w:p>
    <w:p>
      <w:pPr>
        <w:spacing w:after="0" w:line="338"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NOTICE OF BORROWING</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9619"/>
          </w:cols>
          <w:pgMar w:left="840" w:top="616" w:right="1440" w:bottom="1440" w:gutter="0" w:footer="0" w:header="0"/>
        </w:sectPr>
      </w:pPr>
    </w:p>
    <w:bookmarkStart w:id="132" w:name="page133"/>
    <w:bookmarkEnd w:id="132"/>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FORM OF NOTICE OF CONVERSION/CONTINUATION</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580"/>
        <w:spacing w:after="0"/>
        <w:tabs>
          <w:tab w:leader="none" w:pos="5160" w:val="left"/>
        </w:tabs>
        <w:rPr>
          <w:sz w:val="20"/>
          <w:szCs w:val="20"/>
          <w:color w:val="auto"/>
        </w:rPr>
      </w:pPr>
      <w:r>
        <w:rPr>
          <w:rFonts w:ascii="Courier New" w:cs="Courier New" w:eastAsia="Courier New" w:hAnsi="Courier New"/>
          <w:sz w:val="14"/>
          <w:szCs w:val="14"/>
          <w:color w:val="auto"/>
        </w:rPr>
        <w:t>Date:</w:t>
        <w:tab/>
        <w:t>_____________, 199__</w:t>
      </w:r>
    </w:p>
    <w:p>
      <w:pPr>
        <w:spacing w:after="0" w:line="338" w:lineRule="exact"/>
        <w:rPr>
          <w:sz w:val="20"/>
          <w:szCs w:val="20"/>
          <w:color w:val="auto"/>
        </w:rPr>
      </w:pPr>
    </w:p>
    <w:p>
      <w:pPr>
        <w:jc w:val="both"/>
        <w:ind w:left="620" w:right="3419" w:hanging="619"/>
        <w:spacing w:after="0" w:line="250" w:lineRule="auto"/>
        <w:tabs>
          <w:tab w:leader="none" w:pos="600" w:val="left"/>
        </w:tabs>
        <w:rPr>
          <w:sz w:val="20"/>
          <w:szCs w:val="20"/>
          <w:color w:val="auto"/>
        </w:rPr>
      </w:pP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Bank of America National Trust and Savings Association, as Agent for the Banks party to the First Amended and Restated Revolving Credit Agreement dated as of May 28, 1997 (as extended, renewed, amended or restated from time to time, the "Credit Agreement") among Micron Technology, Inc., the</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right="3519"/>
        <w:spacing w:after="0" w:line="250" w:lineRule="auto"/>
        <w:rPr>
          <w:sz w:val="20"/>
          <w:szCs w:val="20"/>
          <w:color w:val="auto"/>
        </w:rPr>
      </w:pPr>
      <w:r>
        <w:rPr>
          <w:rFonts w:ascii="Courier New" w:cs="Courier New" w:eastAsia="Courier New" w:hAnsi="Courier New"/>
          <w:sz w:val="14"/>
          <w:szCs w:val="14"/>
          <w:color w:val="auto"/>
        </w:rPr>
        <w:t>several financial institutions from time to time party to the Credit Agreement (the "Banks"), and Bank of America National Trust and Savings</w:t>
      </w:r>
    </w:p>
    <w:p>
      <w:pPr>
        <w:spacing w:after="0" w:line="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Association, as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undersigned, Micron Technology, Inc. (the "Company"), refers to the</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Credit Agreement, the terms defined therein being used herein as therein defined, and hereby gives you notice irrevocably, pursuant to Section 2.04 of the Credit Agreement, of the [conversion] [continuation] of the Loans specified herein, that:</w:t>
      </w:r>
    </w:p>
    <w:p>
      <w:pPr>
        <w:spacing w:after="0" w:line="162" w:lineRule="exact"/>
        <w:rPr>
          <w:sz w:val="20"/>
          <w:szCs w:val="20"/>
          <w:color w:val="auto"/>
        </w:rPr>
      </w:pPr>
    </w:p>
    <w:p>
      <w:pPr>
        <w:ind w:left="1300" w:hanging="430"/>
        <w:spacing w:after="0"/>
        <w:tabs>
          <w:tab w:leader="none" w:pos="130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Conversion/Continuation Date is ______________, 199__.</w:t>
      </w:r>
    </w:p>
    <w:p>
      <w:pPr>
        <w:spacing w:after="0" w:line="172" w:lineRule="exact"/>
        <w:rPr>
          <w:rFonts w:ascii="Courier New" w:cs="Courier New" w:eastAsia="Courier New" w:hAnsi="Courier New"/>
          <w:sz w:val="14"/>
          <w:szCs w:val="14"/>
          <w:color w:val="auto"/>
        </w:rPr>
      </w:pPr>
    </w:p>
    <w:p>
      <w:pPr>
        <w:ind w:left="440" w:right="3519" w:firstLine="430"/>
        <w:spacing w:after="0" w:line="255" w:lineRule="auto"/>
        <w:tabs>
          <w:tab w:leader="none" w:pos="130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the Loans to be [converted] [continued] is $_______________.</w:t>
      </w:r>
    </w:p>
    <w:p>
      <w:pPr>
        <w:spacing w:after="0" w:line="159" w:lineRule="exact"/>
        <w:rPr>
          <w:rFonts w:ascii="Courier New" w:cs="Courier New" w:eastAsia="Courier New" w:hAnsi="Courier New"/>
          <w:sz w:val="14"/>
          <w:szCs w:val="14"/>
          <w:color w:val="auto"/>
        </w:rPr>
      </w:pPr>
    </w:p>
    <w:p>
      <w:pPr>
        <w:ind w:left="440" w:right="3679" w:firstLine="430"/>
        <w:spacing w:after="0" w:line="255" w:lineRule="auto"/>
        <w:tabs>
          <w:tab w:leader="none" w:pos="1301"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Loans are to be [converted into] [continued as] [Offshore Rate] [Base Rate] Loans.</w:t>
      </w:r>
    </w:p>
    <w:p>
      <w:pPr>
        <w:spacing w:after="0" w:line="160" w:lineRule="exact"/>
        <w:rPr>
          <w:sz w:val="20"/>
          <w:szCs w:val="20"/>
          <w:color w:val="auto"/>
        </w:rPr>
      </w:pPr>
    </w:p>
    <w:p>
      <w:pPr>
        <w:ind w:left="440" w:right="3519" w:firstLine="431"/>
        <w:spacing w:after="0" w:line="255" w:lineRule="auto"/>
        <w:rPr>
          <w:sz w:val="20"/>
          <w:szCs w:val="20"/>
          <w:color w:val="auto"/>
        </w:rPr>
      </w:pPr>
      <w:r>
        <w:rPr>
          <w:rFonts w:ascii="Courier New" w:cs="Courier New" w:eastAsia="Courier New" w:hAnsi="Courier New"/>
          <w:sz w:val="14"/>
          <w:szCs w:val="14"/>
          <w:color w:val="auto"/>
        </w:rPr>
        <w:t>[4. The duration of the Interest Period for the Offshore Rate Loans included in the [conversion] [continuation] shall be ___ months.]</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MICRON TECHNOLOGY, INC.</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5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NOTICE OF CONVERSION/CONTINUATION</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580" w:type="dxa"/>
            <w:vAlign w:val="bottom"/>
          </w:tcPr>
          <w:p>
            <w:pPr>
              <w:jc w:val="center"/>
              <w:ind w:right="648"/>
              <w:spacing w:after="0"/>
              <w:rPr>
                <w:sz w:val="20"/>
                <w:szCs w:val="20"/>
                <w:color w:val="auto"/>
              </w:rPr>
            </w:pPr>
            <w:r>
              <w:rPr>
                <w:rFonts w:ascii="Courier New" w:cs="Courier New" w:eastAsia="Courier New" w:hAnsi="Courier New"/>
                <w:sz w:val="14"/>
                <w:szCs w:val="14"/>
                <w:color w:val="auto"/>
              </w:rPr>
              <w:t>B-3</w:t>
            </w:r>
          </w:p>
        </w:tc>
        <w:tc>
          <w:tcPr>
            <w:tcW w:w="134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3" w:name="page134"/>
    <w:bookmarkEnd w:id="133"/>
    <w:p>
      <w:pPr>
        <w:ind w:left="6120"/>
        <w:spacing w:after="0"/>
        <w:rPr>
          <w:sz w:val="20"/>
          <w:szCs w:val="20"/>
          <w:color w:val="auto"/>
        </w:rPr>
      </w:pPr>
      <w:r>
        <w:rPr>
          <w:rFonts w:ascii="Courier New" w:cs="Courier New" w:eastAsia="Courier New" w:hAnsi="Courier New"/>
          <w:sz w:val="14"/>
          <w:szCs w:val="14"/>
          <w:color w:val="auto"/>
        </w:rPr>
        <w:t>EXHIBIT C</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FORM OF MASTER PROMISSORY NOTE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28, 1997</w:t>
      </w:r>
    </w:p>
    <w:p>
      <w:pPr>
        <w:spacing w:after="0" w:line="200" w:lineRule="exact"/>
        <w:rPr>
          <w:sz w:val="20"/>
          <w:szCs w:val="20"/>
          <w:color w:val="auto"/>
        </w:rPr>
      </w:pPr>
    </w:p>
    <w:p>
      <w:pPr>
        <w:sectPr>
          <w:pgSz w:w="11900" w:h="16838" w:orient="portrait"/>
          <w:cols w:equalWidth="0" w:num="2">
            <w:col w:w="5140" w:space="720"/>
            <w:col w:w="4379"/>
          </w:cols>
          <w:pgMar w:left="220" w:top="616" w:right="1440" w:bottom="1440" w:gutter="0" w:footer="0" w:header="0"/>
          <w:type w:val="continuous"/>
        </w:sectPr>
      </w:pPr>
    </w:p>
    <w:p>
      <w:pPr>
        <w:spacing w:after="0" w:line="138" w:lineRule="exact"/>
        <w:rPr>
          <w:sz w:val="20"/>
          <w:szCs w:val="20"/>
          <w:color w:val="auto"/>
        </w:rPr>
      </w:pPr>
    </w:p>
    <w:p>
      <w:pPr>
        <w:ind w:right="3679" w:firstLine="861"/>
        <w:spacing w:after="0" w:line="250" w:lineRule="auto"/>
        <w:rPr>
          <w:sz w:val="20"/>
          <w:szCs w:val="20"/>
          <w:color w:val="auto"/>
        </w:rPr>
      </w:pPr>
      <w:r>
        <w:rPr>
          <w:rFonts w:ascii="Courier New" w:cs="Courier New" w:eastAsia="Courier New" w:hAnsi="Courier New"/>
          <w:sz w:val="14"/>
          <w:szCs w:val="14"/>
          <w:color w:val="auto"/>
        </w:rPr>
        <w:t>FOR VALUE RECEIVED, the undersigned Micron Technology, Inc., a Delaware corporation, (the "Company") hereby promises to pay to the order of</w:t>
      </w:r>
    </w:p>
    <w:p>
      <w:pPr>
        <w:spacing w:after="0" w:line="1"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 (the "Bank"), at the Agent's Payment Office, the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aggregate unpaid principal amount of all Loans made by the Bank to the Company from time to time pursuant to the Credit Agreement described below at the times and in the amounts specified in the Credit Agreement. The Company also promises to pay interest on such unpaid principal amount at the times and at the rates specified in the Credit Agreement.</w:t>
      </w:r>
    </w:p>
    <w:p>
      <w:pPr>
        <w:spacing w:after="0" w:line="165"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Bank is hereby authorized to endorse the date, amount, and maturity of each Loan made by it and the amount and date of each payment of principal made by the Company with respect thereto on the schedule annexed to this Note and on continuations of such schedule, both schedule and continuations being hereby made a part of this Note; provided, that any failure to endorse such information on such schedule or continuation thereof shall not in any manner affect any obligation of the Company under the Credit Agreement and this Note.</w:t>
      </w:r>
    </w:p>
    <w:p>
      <w:pPr>
        <w:spacing w:after="0" w:line="330" w:lineRule="exact"/>
        <w:rPr>
          <w:sz w:val="20"/>
          <w:szCs w:val="20"/>
          <w:color w:val="auto"/>
        </w:rPr>
      </w:pPr>
    </w:p>
    <w:p>
      <w:pPr>
        <w:ind w:right="3339" w:firstLine="861"/>
        <w:spacing w:after="0" w:line="250" w:lineRule="auto"/>
        <w:rPr>
          <w:sz w:val="20"/>
          <w:szCs w:val="20"/>
          <w:color w:val="auto"/>
        </w:rPr>
      </w:pPr>
      <w:r>
        <w:rPr>
          <w:rFonts w:ascii="Courier New" w:cs="Courier New" w:eastAsia="Courier New" w:hAnsi="Courier New"/>
          <w:sz w:val="14"/>
          <w:szCs w:val="14"/>
          <w:color w:val="auto"/>
        </w:rPr>
        <w:t>This Master Promissory Note is one of the Notes referred to in, and is issued under, the First Amended and Restated Revolving Credit Agreement dated as of May 28, 1997 (as extended, renewed, amended or restated from time to time, the "Credit Agreement") among the Company, the several financial institutions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time to time party to the Credit Agreement (the "Banks"), and Bank of</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America National Trust and Savings Association, as Agent, and amends and restates any prior promissory noted delivered to the holder under the Existing Facility.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holder of this Master Promissory Note shall be entitled to the benefits provided for in the Credit Agreement. Reference is made to the Credit Agreement for the provisions on (i) the obligation of the Bank to advance funds under this Master Promissory Note, (ii) the manner in which interest is computed and accrued, (iii) the Company's rights, if any, to prepay all or part of the Loans,</w:t>
      </w:r>
    </w:p>
    <w:p>
      <w:pPr>
        <w:spacing w:after="0" w:line="2" w:lineRule="exact"/>
        <w:rPr>
          <w:sz w:val="20"/>
          <w:szCs w:val="20"/>
          <w:color w:val="auto"/>
        </w:rPr>
      </w:pPr>
    </w:p>
    <w:p>
      <w:pPr>
        <w:ind w:right="3599" w:firstLine="8"/>
        <w:spacing w:after="0" w:line="252" w:lineRule="auto"/>
        <w:tabs>
          <w:tab w:leader="none" w:pos="431"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events upon which the maturity of this Master Promissory Note may be accelerated or shall be automatically accelerated, as the case may be, (v) Attorneys Costs and other fees and expenses incurred in any</w:t>
      </w:r>
    </w:p>
    <w:p>
      <w:pPr>
        <w:spacing w:after="0" w:line="163" w:lineRule="exact"/>
        <w:rPr>
          <w:sz w:val="20"/>
          <w:szCs w:val="20"/>
          <w:color w:val="auto"/>
        </w:rPr>
      </w:pPr>
    </w:p>
    <w:tbl>
      <w:tblPr>
        <w:tblLayout w:type="fixed"/>
        <w:tblInd w:w="2420" w:type="dxa"/>
        <w:tblCellMar>
          <w:top w:w="0" w:type="dxa"/>
          <w:left w:w="0" w:type="dxa"/>
          <w:bottom w:w="0" w:type="dxa"/>
          <w:right w:w="0" w:type="dxa"/>
        </w:tblCellMar>
      </w:tblPr>
      <w:tr>
        <w:trPr>
          <w:trHeight w:val="162"/>
        </w:trPr>
        <w:tc>
          <w:tcPr>
            <w:tcW w:w="292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FORM OF PROMISSORY NOTE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2920" w:type="dxa"/>
            <w:vAlign w:val="bottom"/>
          </w:tcPr>
          <w:p>
            <w:pPr>
              <w:jc w:val="center"/>
              <w:ind w:right="868"/>
              <w:spacing w:after="0"/>
              <w:rPr>
                <w:sz w:val="20"/>
                <w:szCs w:val="20"/>
                <w:color w:val="auto"/>
              </w:rPr>
            </w:pPr>
            <w:r>
              <w:rPr>
                <w:rFonts w:ascii="Courier New" w:cs="Courier New" w:eastAsia="Courier New" w:hAnsi="Courier New"/>
                <w:sz w:val="14"/>
                <w:szCs w:val="14"/>
                <w:color w:val="auto"/>
              </w:rPr>
              <w:t>C-2</w:t>
            </w:r>
          </w:p>
        </w:tc>
        <w:tc>
          <w:tcPr>
            <w:tcW w:w="156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type w:val="continuous"/>
        </w:sectPr>
      </w:pPr>
    </w:p>
    <w:bookmarkStart w:id="134" w:name="page135"/>
    <w:bookmarkEnd w:id="134"/>
    <w:p>
      <w:pPr>
        <w:ind w:right="3419"/>
        <w:spacing w:after="0" w:line="251" w:lineRule="auto"/>
        <w:rPr>
          <w:sz w:val="20"/>
          <w:szCs w:val="20"/>
          <w:color w:val="auto"/>
        </w:rPr>
      </w:pPr>
      <w:r>
        <w:rPr>
          <w:rFonts w:ascii="Courier New" w:cs="Courier New" w:eastAsia="Courier New" w:hAnsi="Courier New"/>
          <w:sz w:val="14"/>
          <w:szCs w:val="14"/>
          <w:color w:val="auto"/>
        </w:rPr>
        <w:t>enforcement of this Master Promissory Note, (vi) the Company's right to cure certain Events of Default, and (vii) the Bank's rights to assign all or part of this Master Promissory Note to Eligible Assignees and/or to sell participating interests in any Loans, as more fully set forth in the Credit Agreement. Terms defined in the Credit Agreement shall have the same meanings herein.</w:t>
      </w:r>
    </w:p>
    <w:p>
      <w:pPr>
        <w:spacing w:after="0" w:line="16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This Master Promissory Note shall be governed by and construed and enforced in accordance with the laws of the State of California.</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IN WITNESS WHEREOF, the undersigned has caused this Master Promissory Note to be executed by its officer thereunto duly authorized.</w:t>
      </w:r>
    </w:p>
    <w:p>
      <w:pPr>
        <w:spacing w:after="0" w:line="326" w:lineRule="exact"/>
        <w:rPr>
          <w:sz w:val="20"/>
          <w:szCs w:val="20"/>
          <w:color w:val="auto"/>
        </w:rPr>
      </w:pPr>
    </w:p>
    <w:tbl>
      <w:tblPr>
        <w:tblLayout w:type="fixed"/>
        <w:tblInd w:w="216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MICRON TECHNOLOGY, INC.</w:t>
            </w:r>
          </w:p>
        </w:tc>
        <w:tc>
          <w:tcPr>
            <w:tcW w:w="1560" w:type="dxa"/>
            <w:vAlign w:val="bottom"/>
          </w:tcPr>
          <w:p>
            <w:pPr>
              <w:spacing w:after="0"/>
              <w:rPr>
                <w:sz w:val="14"/>
                <w:szCs w:val="14"/>
                <w:color w:val="auto"/>
              </w:rPr>
            </w:pPr>
          </w:p>
        </w:tc>
      </w:tr>
      <w:tr>
        <w:trPr>
          <w:trHeight w:val="497"/>
        </w:trPr>
        <w:tc>
          <w:tcPr>
            <w:tcW w:w="3180" w:type="dxa"/>
            <w:vAlign w:val="bottom"/>
          </w:tcPr>
          <w:p>
            <w:pPr>
              <w:spacing w:after="0"/>
              <w:rPr>
                <w:sz w:val="20"/>
                <w:szCs w:val="20"/>
                <w:color w:val="auto"/>
              </w:rPr>
            </w:pPr>
            <w:r>
              <w:rPr>
                <w:rFonts w:ascii="Courier New" w:cs="Courier New" w:eastAsia="Courier New" w:hAnsi="Courier New"/>
                <w:sz w:val="14"/>
                <w:szCs w:val="14"/>
                <w:color w:val="auto"/>
              </w:rPr>
              <w:t>By:</w:t>
            </w:r>
          </w:p>
        </w:tc>
        <w:tc>
          <w:tcPr>
            <w:tcW w:w="1560" w:type="dxa"/>
            <w:vAlign w:val="bottom"/>
          </w:tcPr>
          <w:p>
            <w:pPr>
              <w:spacing w:after="0"/>
              <w:rPr>
                <w:sz w:val="24"/>
                <w:szCs w:val="24"/>
                <w:color w:val="auto"/>
              </w:rPr>
            </w:pP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1560" w:type="dxa"/>
            <w:vAlign w:val="bottom"/>
          </w:tcPr>
          <w:p>
            <w:pPr>
              <w:spacing w:after="0"/>
              <w:rPr>
                <w:sz w:val="14"/>
                <w:szCs w:val="14"/>
                <w:color w:val="auto"/>
              </w:rPr>
            </w:pPr>
          </w:p>
        </w:tc>
      </w:tr>
      <w:tr>
        <w:trPr>
          <w:trHeight w:val="331"/>
        </w:trPr>
        <w:tc>
          <w:tcPr>
            <w:tcW w:w="318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FORM OF PROMISSORY NOTE</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180" w:type="dxa"/>
            <w:vAlign w:val="bottom"/>
          </w:tcPr>
          <w:p>
            <w:pPr>
              <w:jc w:val="center"/>
              <w:ind w:right="608"/>
              <w:spacing w:after="0"/>
              <w:rPr>
                <w:sz w:val="20"/>
                <w:szCs w:val="20"/>
                <w:color w:val="auto"/>
              </w:rPr>
            </w:pPr>
            <w:r>
              <w:rPr>
                <w:rFonts w:ascii="Courier New" w:cs="Courier New" w:eastAsia="Courier New" w:hAnsi="Courier New"/>
                <w:sz w:val="14"/>
                <w:szCs w:val="14"/>
                <w:color w:val="auto"/>
              </w:rPr>
              <w:t>C-2</w:t>
            </w:r>
          </w:p>
        </w:tc>
        <w:tc>
          <w:tcPr>
            <w:tcW w:w="156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5" w:name="page136"/>
    <w:bookmarkEnd w:id="135"/>
    <w:p>
      <w:pPr>
        <w:ind w:left="3100"/>
        <w:spacing w:after="0"/>
        <w:rPr>
          <w:sz w:val="20"/>
          <w:szCs w:val="20"/>
          <w:color w:val="auto"/>
        </w:rPr>
      </w:pPr>
      <w:r>
        <w:rPr>
          <w:rFonts w:ascii="Courier New" w:cs="Courier New" w:eastAsia="Courier New" w:hAnsi="Courier New"/>
          <w:sz w:val="14"/>
          <w:szCs w:val="14"/>
          <w:color w:val="auto"/>
        </w:rPr>
        <w:t>SCHEDULE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1360" w:val="left"/>
          <w:tab w:leader="none" w:pos="3260" w:val="left"/>
          <w:tab w:leader="none" w:pos="4560" w:val="left"/>
          <w:tab w:leader="none" w:pos="6200" w:val="left"/>
        </w:tabs>
        <w:rPr>
          <w:sz w:val="20"/>
          <w:szCs w:val="20"/>
          <w:color w:val="auto"/>
        </w:rPr>
      </w:pPr>
      <w:r>
        <w:rPr>
          <w:rFonts w:ascii="Courier New" w:cs="Courier New" w:eastAsia="Courier New" w:hAnsi="Courier New"/>
          <w:sz w:val="14"/>
          <w:szCs w:val="14"/>
          <w:color w:val="auto"/>
        </w:rPr>
        <w:t>Date Loan</w:t>
      </w:r>
      <w:r>
        <w:rPr>
          <w:sz w:val="20"/>
          <w:szCs w:val="20"/>
          <w:color w:val="auto"/>
        </w:rPr>
        <w:tab/>
      </w:r>
      <w:r>
        <w:rPr>
          <w:rFonts w:ascii="Courier New" w:cs="Courier New" w:eastAsia="Courier New" w:hAnsi="Courier New"/>
          <w:sz w:val="14"/>
          <w:szCs w:val="14"/>
          <w:color w:val="auto"/>
        </w:rPr>
        <w:t>Amount of Loan</w:t>
      </w:r>
      <w:r>
        <w:rPr>
          <w:sz w:val="20"/>
          <w:szCs w:val="20"/>
          <w:color w:val="auto"/>
        </w:rPr>
        <w:tab/>
      </w:r>
      <w:r>
        <w:rPr>
          <w:rFonts w:ascii="Courier New" w:cs="Courier New" w:eastAsia="Courier New" w:hAnsi="Courier New"/>
          <w:sz w:val="14"/>
          <w:szCs w:val="14"/>
          <w:color w:val="auto"/>
        </w:rPr>
        <w:t>Maturity</w:t>
      </w:r>
      <w:r>
        <w:rPr>
          <w:sz w:val="20"/>
          <w:szCs w:val="20"/>
          <w:color w:val="auto"/>
        </w:rPr>
        <w:tab/>
      </w:r>
      <w:r>
        <w:rPr>
          <w:rFonts w:ascii="Courier New" w:cs="Courier New" w:eastAsia="Courier New" w:hAnsi="Courier New"/>
          <w:sz w:val="14"/>
          <w:szCs w:val="14"/>
          <w:color w:val="auto"/>
        </w:rPr>
        <w:t>Principal</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ind w:left="100"/>
        <w:spacing w:after="0"/>
        <w:tabs>
          <w:tab w:leader="none" w:pos="3440" w:val="left"/>
          <w:tab w:leader="none" w:pos="4640" w:val="left"/>
          <w:tab w:leader="none" w:pos="5940" w:val="left"/>
        </w:tabs>
        <w:rPr>
          <w:sz w:val="20"/>
          <w:szCs w:val="20"/>
          <w:color w:val="auto"/>
        </w:rPr>
      </w:pPr>
      <w:r>
        <w:rPr>
          <w:rFonts w:ascii="Courier New" w:cs="Courier New" w:eastAsia="Courier New" w:hAnsi="Courier New"/>
          <w:sz w:val="14"/>
          <w:szCs w:val="14"/>
          <w:color w:val="auto"/>
        </w:rPr>
        <w:t>Disbursed</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Principal</w:t>
      </w:r>
    </w:p>
    <w:p>
      <w:pPr>
        <w:spacing w:after="0" w:line="7"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Paid</w:t>
      </w:r>
    </w:p>
    <w:p>
      <w:pPr>
        <w:spacing w:after="0" w:line="7" w:lineRule="exact"/>
        <w:rPr>
          <w:sz w:val="20"/>
          <w:szCs w:val="20"/>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234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FORM OF PROMISSORY NOTE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2960" w:type="dxa"/>
            <w:vAlign w:val="bottom"/>
          </w:tcPr>
          <w:p>
            <w:pPr>
              <w:ind w:left="940"/>
              <w:spacing w:after="0"/>
              <w:rPr>
                <w:sz w:val="20"/>
                <w:szCs w:val="20"/>
                <w:color w:val="auto"/>
              </w:rPr>
            </w:pPr>
            <w:r>
              <w:rPr>
                <w:rFonts w:ascii="Courier New" w:cs="Courier New" w:eastAsia="Courier New" w:hAnsi="Courier New"/>
                <w:sz w:val="14"/>
                <w:szCs w:val="14"/>
                <w:color w:val="auto"/>
              </w:rPr>
              <w:t>C-3</w:t>
            </w:r>
          </w:p>
        </w:tc>
        <w:tc>
          <w:tcPr>
            <w:tcW w:w="160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6" w:name="page137"/>
    <w:bookmarkEnd w:id="136"/>
    <w:p>
      <w:pPr>
        <w:jc w:val="right"/>
        <w:ind w:right="3339"/>
        <w:spacing w:after="0"/>
        <w:rPr>
          <w:sz w:val="20"/>
          <w:szCs w:val="20"/>
          <w:color w:val="auto"/>
        </w:rPr>
      </w:pPr>
      <w:r>
        <w:rPr>
          <w:rFonts w:ascii="Courier New" w:cs="Courier New" w:eastAsia="Courier New" w:hAnsi="Courier New"/>
          <w:sz w:val="14"/>
          <w:szCs w:val="14"/>
          <w:color w:val="auto"/>
        </w:rPr>
        <w:t>EXHIBIT D</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FORM OF COMPLIANCE CERTIFICATE</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ind w:left="1300"/>
        <w:spacing w:after="0"/>
        <w:tabs>
          <w:tab w:leader="none" w:pos="3600" w:val="left"/>
        </w:tabs>
        <w:rPr>
          <w:sz w:val="20"/>
          <w:szCs w:val="20"/>
          <w:color w:val="auto"/>
        </w:rPr>
      </w:pPr>
      <w:r>
        <w:rPr>
          <w:rFonts w:ascii="Courier New" w:cs="Courier New" w:eastAsia="Courier New" w:hAnsi="Courier New"/>
          <w:sz w:val="14"/>
          <w:szCs w:val="14"/>
          <w:color w:val="auto"/>
        </w:rPr>
        <w:t>FINANCIAL STATEMENT DATE:</w:t>
        <w:tab/>
        <w:t>______________, 199__</w:t>
      </w:r>
    </w:p>
    <w:p>
      <w:pPr>
        <w:spacing w:after="0" w:line="338" w:lineRule="exact"/>
        <w:rPr>
          <w:sz w:val="20"/>
          <w:szCs w:val="20"/>
          <w:color w:val="auto"/>
        </w:rPr>
      </w:pPr>
    </w:p>
    <w:p>
      <w:pPr>
        <w:jc w:val="both"/>
        <w:ind w:right="3679" w:firstLine="431"/>
        <w:spacing w:after="0" w:line="250" w:lineRule="auto"/>
        <w:rPr>
          <w:sz w:val="20"/>
          <w:szCs w:val="20"/>
          <w:color w:val="auto"/>
        </w:rPr>
      </w:pPr>
      <w:r>
        <w:rPr>
          <w:rFonts w:ascii="Courier New" w:cs="Courier New" w:eastAsia="Courier New" w:hAnsi="Courier New"/>
          <w:sz w:val="14"/>
          <w:szCs w:val="14"/>
          <w:color w:val="auto"/>
        </w:rPr>
        <w:t>Reference is made to that certain First Amended and Restated Revolving Credit Agreement dated as of May 28, 1997 (as extended, renewed, amended or restated from time to time, the "Credit Agreement") among Micron Technology,</w:t>
      </w:r>
    </w:p>
    <w:p>
      <w:pPr>
        <w:spacing w:after="0" w:line="1"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 (the "Company"), the several financial institutions from time to time party</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this Credit Agreement (the "Banks"), and Bank of America National Trust and</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Savings Association, as agent for the Banks (in such capacity, the "Agent").</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Unless otherwise defined herein, capitalized terms used herein have the respective meanings assigned to them in the Credit Agreement.</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undersigned Responsible Officer of the Company hereby certifies as of the date hereof that he/she is the [Chief Financial Officer] [Treasurer] of the Company, and that, as such, he/she is authorized to execute and deliver this Certificate to the Banks and the Agent on the behalf of the Company and its consolidated Subsidiaries, and that:</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[Use the following paragraph if this Certificate is delivered in connection with the financial statements required by Section 6.01(a) of the Credit Agreement.]</w:t>
      </w:r>
    </w:p>
    <w:p>
      <w:pPr>
        <w:spacing w:after="0" w:line="160" w:lineRule="exact"/>
        <w:rPr>
          <w:sz w:val="20"/>
          <w:szCs w:val="20"/>
          <w:color w:val="auto"/>
        </w:rPr>
      </w:pPr>
    </w:p>
    <w:p>
      <w:pPr>
        <w:ind w:left="860" w:hanging="421"/>
        <w:spacing w:after="0"/>
        <w:tabs>
          <w:tab w:leader="none" w:pos="86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as Schedule 1 hereto are true and correct copies of the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audited consolidated balance sheet of the Company and its Subsidiaries as at the end of the fiscal year ended _______________, 199__ and the related consolidated</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statements of operations and cash flows for the year then ended, setting forth in each case in comparative form the figures for the previous fiscal year, together with the related Semiconductor Operations Supplemental Schedules, and accompanied by the report of the Independent Auditor, whose opinion (a) states</w:t>
      </w:r>
    </w:p>
    <w:p>
      <w:pPr>
        <w:spacing w:after="0" w:line="2" w:lineRule="exact"/>
        <w:rPr>
          <w:sz w:val="20"/>
          <w:szCs w:val="20"/>
          <w:color w:val="auto"/>
        </w:rPr>
      </w:pPr>
    </w:p>
    <w:p>
      <w:pPr>
        <w:ind w:right="3339" w:firstLine="8"/>
        <w:spacing w:after="0" w:line="251" w:lineRule="auto"/>
        <w:tabs>
          <w:tab w:leader="none" w:pos="344"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consolidated financial statements present fairly in all material respects the financial position of the Company and its Subsidiaries on a consolidated basis as of the date thereof and the results of operations for the periods indicated in conformity with GAAP, except as otherwise indicated therein, and (ii) such related Semiconductor Operations Supplemental Schedules were prepared on a basis consistent with the basic consolidated financial statements of the Company and its Subsidiaries except as disclosed in the notes thereto and the information therein is fairly stated in all material respects in relation to the basic consolidated financial statements</w:t>
      </w:r>
    </w:p>
    <w:p>
      <w:pPr>
        <w:spacing w:after="0" w:line="164"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FORM OF COMPLIANCE CERTIFICATE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400" w:type="dxa"/>
            <w:vAlign w:val="bottom"/>
          </w:tcPr>
          <w:p>
            <w:pPr>
              <w:ind w:left="1200"/>
              <w:spacing w:after="0"/>
              <w:rPr>
                <w:sz w:val="20"/>
                <w:szCs w:val="20"/>
                <w:color w:val="auto"/>
              </w:rPr>
            </w:pPr>
            <w:r>
              <w:rPr>
                <w:rFonts w:ascii="Courier New" w:cs="Courier New" w:eastAsia="Courier New" w:hAnsi="Courier New"/>
                <w:sz w:val="14"/>
                <w:szCs w:val="14"/>
                <w:color w:val="auto"/>
              </w:rPr>
              <w:t>D-1</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7" w:name="page138"/>
    <w:bookmarkEnd w:id="137"/>
    <w:p>
      <w:pPr>
        <w:ind w:right="3419"/>
        <w:spacing w:after="0" w:line="251" w:lineRule="auto"/>
        <w:rPr>
          <w:sz w:val="20"/>
          <w:szCs w:val="20"/>
          <w:color w:val="auto"/>
        </w:rPr>
      </w:pPr>
      <w:r>
        <w:rPr>
          <w:rFonts w:ascii="Courier New" w:cs="Courier New" w:eastAsia="Courier New" w:hAnsi="Courier New"/>
          <w:sz w:val="14"/>
          <w:szCs w:val="14"/>
          <w:color w:val="auto"/>
        </w:rPr>
        <w:t>taken as a whole except as specifically noted therein. Such Semiconductor Operations Supplemental Schedules present fairly, in all material respects, the net assets and operations and cash flows of the Company and its Semiconductor Operations Subsidiaries (on a combined basis) for the periods covered thereby, on the basis specified and described in the notes to such schedules.</w:t>
      </w:r>
    </w:p>
    <w:p>
      <w:pPr>
        <w:spacing w:after="0" w:line="165"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[Use the following paragraph if this Certificate is delivered in connection with the financial statements required by Section 6.01(b) of the Credit Agreement.]</w:t>
      </w:r>
    </w:p>
    <w:p>
      <w:pPr>
        <w:spacing w:after="0" w:line="160" w:lineRule="exact"/>
        <w:rPr>
          <w:sz w:val="20"/>
          <w:szCs w:val="20"/>
          <w:color w:val="auto"/>
        </w:rPr>
      </w:pPr>
    </w:p>
    <w:p>
      <w:pPr>
        <w:ind w:left="860" w:hanging="421"/>
        <w:spacing w:after="0"/>
        <w:tabs>
          <w:tab w:leader="none" w:pos="8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Attached as Schedule 1 hereto are true and correct copies of the</w:t>
      </w:r>
    </w:p>
    <w:p>
      <w:pPr>
        <w:spacing w:after="0" w:line="7" w:lineRule="exact"/>
        <w:rPr>
          <w:rFonts w:ascii="Courier New" w:cs="Courier New" w:eastAsia="Courier New" w:hAnsi="Courier New"/>
          <w:sz w:val="14"/>
          <w:szCs w:val="14"/>
          <w:color w:val="auto"/>
        </w:rPr>
      </w:pPr>
    </w:p>
    <w:p>
      <w:pPr>
        <w:ind w:left="1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unaudited consolidated balance sheet of the Company and its Subsidiaries as of the end of the fiscal quarter ended _________________, 1999__ and the related</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consolidated statements of operations and cash flows for the interim periods then ended, together with the related Semiconductor Operations Supplemental Schedules. The unaudited consolidated financial statements of the Company and its Subsidiaries (a) fairly present in all material respects, in accordance with GAAP (subject to ordinary, good faith year-end adjustments, the financial position and the results of operations of the Company and its Subsidiaries on a consolidated basis, and (b) include or disclose all material indebtedness and other liabilities, direct or contingent, of the Company and its Subsidiaries on a consolidated basis as of the date thereof, including liabilities for taxes, material commitments and material Contingent Obligations. Such related Semiconductor Operations Supplemental Schedules (x) include amounts based on estimates of annual amounts and are subject to changes in estimates and ordinary year-end adjustments, (y) present fairly, in all material respects, the net assets and operations and cash flows of the Company and its Semiconductor Operations Subsidiaries (on a combined basis) for the periods covered thereby, on the basis specified and described in the notes to such schedules, and (z) were prepared on a basis consistent with the basic consolidated financial statements of the Company and its Subsidiaries except as disclosed in the notes thereto.</w:t>
      </w:r>
    </w:p>
    <w:p>
      <w:pPr>
        <w:spacing w:after="0" w:line="339" w:lineRule="exact"/>
        <w:rPr>
          <w:sz w:val="20"/>
          <w:szCs w:val="20"/>
          <w:color w:val="auto"/>
        </w:rPr>
      </w:pPr>
    </w:p>
    <w:p>
      <w:pPr>
        <w:ind w:right="3419" w:firstLine="439"/>
        <w:spacing w:after="0" w:line="251" w:lineRule="auto"/>
        <w:tabs>
          <w:tab w:leader="none" w:pos="86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reviewed and is familiar with the terms of the Credit Agreement and has made, or has caused to be made under his/her supervision, a detailed review of the transactions and conditions (financial or otherwise) of the Company during the accounting period covered by the attached financial statements.</w:t>
      </w:r>
    </w:p>
    <w:p>
      <w:pPr>
        <w:spacing w:after="0" w:line="164" w:lineRule="exact"/>
        <w:rPr>
          <w:rFonts w:ascii="Courier New" w:cs="Courier New" w:eastAsia="Courier New" w:hAnsi="Courier New"/>
          <w:sz w:val="14"/>
          <w:szCs w:val="14"/>
          <w:color w:val="auto"/>
        </w:rPr>
      </w:pPr>
    </w:p>
    <w:p>
      <w:pPr>
        <w:jc w:val="both"/>
        <w:ind w:right="3419" w:firstLine="439"/>
        <w:spacing w:after="0" w:line="252" w:lineRule="auto"/>
        <w:tabs>
          <w:tab w:leader="none" w:pos="861"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during such period, has observed, performed or satisfied all of its covenants and other agreements, and satisfied every condition in the Credit Agreement to be observed, performed or satisfied by the</w:t>
      </w:r>
    </w:p>
    <w:p>
      <w:pPr>
        <w:spacing w:after="0" w:line="163"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FORM OF COMPLIANCE CERTIFICATE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400" w:type="dxa"/>
            <w:vAlign w:val="bottom"/>
          </w:tcPr>
          <w:p>
            <w:pPr>
              <w:ind w:left="1200"/>
              <w:spacing w:after="0"/>
              <w:rPr>
                <w:sz w:val="20"/>
                <w:szCs w:val="20"/>
                <w:color w:val="auto"/>
              </w:rPr>
            </w:pPr>
            <w:r>
              <w:rPr>
                <w:rFonts w:ascii="Courier New" w:cs="Courier New" w:eastAsia="Courier New" w:hAnsi="Courier New"/>
                <w:sz w:val="14"/>
                <w:szCs w:val="14"/>
                <w:color w:val="auto"/>
              </w:rPr>
              <w:t>D-2</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8" w:name="page139"/>
    <w:bookmarkEnd w:id="138"/>
    <w:p>
      <w:pPr>
        <w:ind w:right="4019"/>
        <w:spacing w:after="0" w:line="255" w:lineRule="auto"/>
        <w:rPr>
          <w:sz w:val="20"/>
          <w:szCs w:val="20"/>
          <w:color w:val="auto"/>
        </w:rPr>
      </w:pPr>
      <w:r>
        <w:rPr>
          <w:rFonts w:ascii="Courier New" w:cs="Courier New" w:eastAsia="Courier New" w:hAnsi="Courier New"/>
          <w:sz w:val="14"/>
          <w:szCs w:val="14"/>
          <w:color w:val="auto"/>
        </w:rPr>
        <w:t>Company, and the undersigned has no knowledge of any Default or Event of Default.</w:t>
      </w:r>
    </w:p>
    <w:p>
      <w:pPr>
        <w:spacing w:after="0" w:line="160" w:lineRule="exact"/>
        <w:rPr>
          <w:sz w:val="20"/>
          <w:szCs w:val="20"/>
          <w:color w:val="auto"/>
        </w:rPr>
      </w:pPr>
    </w:p>
    <w:p>
      <w:pPr>
        <w:ind w:right="3419" w:firstLine="439"/>
        <w:spacing w:after="0" w:line="251" w:lineRule="auto"/>
        <w:tabs>
          <w:tab w:leader="none" w:pos="775"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Company contained in Article V of the Credit Agreement are true and correct as though made on and as of the date hereof (except to the extent such representations and warranties relate to an earlier date, in which case they were true and correct as of such earlier date).</w:t>
      </w:r>
    </w:p>
    <w:p>
      <w:pPr>
        <w:spacing w:after="0" w:line="164" w:lineRule="exact"/>
        <w:rPr>
          <w:rFonts w:ascii="Courier New" w:cs="Courier New" w:eastAsia="Courier New" w:hAnsi="Courier New"/>
          <w:sz w:val="14"/>
          <w:szCs w:val="14"/>
          <w:color w:val="auto"/>
        </w:rPr>
      </w:pPr>
    </w:p>
    <w:p>
      <w:pPr>
        <w:ind w:right="3419" w:firstLine="439"/>
        <w:spacing w:after="0" w:line="250" w:lineRule="auto"/>
        <w:tabs>
          <w:tab w:leader="none" w:pos="775"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financial covenant analyses and information set forth on Schedule 2 attached hereto are true and accurate on and as of the date of this</w:t>
      </w: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WITNESS WHEREOF, the undersigned has executed this Certificate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 199__.</w:t>
      </w:r>
    </w:p>
    <w:p>
      <w:pPr>
        <w:spacing w:after="0" w:line="200" w:lineRule="exact"/>
        <w:rPr>
          <w:sz w:val="20"/>
          <w:szCs w:val="20"/>
          <w:color w:val="auto"/>
        </w:rPr>
      </w:pPr>
    </w:p>
    <w:p>
      <w:pPr>
        <w:spacing w:after="0" w:line="304"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MICRON TECHNOLOGY, INC.</w:t>
            </w:r>
          </w:p>
        </w:tc>
        <w:tc>
          <w:tcPr>
            <w:tcW w:w="1420" w:type="dxa"/>
            <w:vAlign w:val="bottom"/>
          </w:tcPr>
          <w:p>
            <w:pPr>
              <w:spacing w:after="0"/>
              <w:rPr>
                <w:sz w:val="14"/>
                <w:szCs w:val="14"/>
                <w:color w:val="auto"/>
              </w:rPr>
            </w:pPr>
          </w:p>
        </w:tc>
      </w:tr>
      <w:tr>
        <w:trPr>
          <w:trHeight w:val="497"/>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By:</w:t>
            </w:r>
          </w:p>
        </w:tc>
        <w:tc>
          <w:tcPr>
            <w:tcW w:w="1420" w:type="dxa"/>
            <w:vAlign w:val="bottom"/>
          </w:tcPr>
          <w:p>
            <w:pPr>
              <w:spacing w:after="0"/>
              <w:rPr>
                <w:sz w:val="24"/>
                <w:szCs w:val="24"/>
                <w:color w:val="auto"/>
              </w:rPr>
            </w:pPr>
          </w:p>
        </w:tc>
      </w:tr>
      <w:tr>
        <w:trPr>
          <w:trHeight w:val="166"/>
        </w:trPr>
        <w:tc>
          <w:tcPr>
            <w:tcW w:w="3400" w:type="dxa"/>
            <w:vAlign w:val="bottom"/>
          </w:tcPr>
          <w:p>
            <w:pPr>
              <w:ind w:left="520"/>
              <w:spacing w:after="0"/>
              <w:rPr>
                <w:sz w:val="20"/>
                <w:szCs w:val="20"/>
                <w:color w:val="auto"/>
              </w:rPr>
            </w:pPr>
            <w:r>
              <w:rPr>
                <w:rFonts w:ascii="Courier New" w:cs="Courier New" w:eastAsia="Courier New" w:hAnsi="Courier New"/>
                <w:sz w:val="14"/>
                <w:szCs w:val="14"/>
                <w:color w:val="auto"/>
              </w:rPr>
              <w:t>Title:</w:t>
            </w:r>
          </w:p>
        </w:tc>
        <w:tc>
          <w:tcPr>
            <w:tcW w:w="1420" w:type="dxa"/>
            <w:vAlign w:val="bottom"/>
          </w:tcPr>
          <w:p>
            <w:pPr>
              <w:spacing w:after="0"/>
              <w:rPr>
                <w:sz w:val="14"/>
                <w:szCs w:val="14"/>
                <w:color w:val="auto"/>
              </w:rPr>
            </w:pPr>
          </w:p>
        </w:tc>
      </w:tr>
      <w:tr>
        <w:trPr>
          <w:trHeight w:val="331"/>
        </w:trPr>
        <w:tc>
          <w:tcPr>
            <w:tcW w:w="3400" w:type="dxa"/>
            <w:vAlign w:val="bottom"/>
          </w:tcPr>
          <w:p>
            <w:pPr>
              <w:spacing w:after="0"/>
              <w:rPr>
                <w:sz w:val="20"/>
                <w:szCs w:val="20"/>
                <w:color w:val="auto"/>
              </w:rPr>
            </w:pPr>
            <w:r>
              <w:rPr>
                <w:rFonts w:ascii="Courier New" w:cs="Courier New" w:eastAsia="Courier New" w:hAnsi="Courier New"/>
                <w:sz w:val="14"/>
                <w:szCs w:val="14"/>
                <w:color w:val="auto"/>
              </w:rPr>
              <w:t>FORM OF COMPLIANCE CERTIFICATE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400" w:type="dxa"/>
            <w:vAlign w:val="bottom"/>
          </w:tcPr>
          <w:p>
            <w:pPr>
              <w:ind w:left="1200"/>
              <w:spacing w:after="0"/>
              <w:rPr>
                <w:sz w:val="20"/>
                <w:szCs w:val="20"/>
                <w:color w:val="auto"/>
              </w:rPr>
            </w:pPr>
            <w:r>
              <w:rPr>
                <w:rFonts w:ascii="Courier New" w:cs="Courier New" w:eastAsia="Courier New" w:hAnsi="Courier New"/>
                <w:sz w:val="14"/>
                <w:szCs w:val="14"/>
                <w:color w:val="auto"/>
              </w:rPr>
              <w:t>D-3</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39" w:name="page140"/>
    <w:bookmarkEnd w:id="139"/>
    <w:p>
      <w:pPr>
        <w:ind w:left="2940"/>
        <w:spacing w:after="0"/>
        <w:rPr>
          <w:sz w:val="20"/>
          <w:szCs w:val="20"/>
          <w:color w:val="auto"/>
        </w:rPr>
      </w:pPr>
      <w:r>
        <w:rPr>
          <w:rFonts w:ascii="Courier New" w:cs="Courier New" w:eastAsia="Courier New" w:hAnsi="Courier New"/>
          <w:sz w:val="14"/>
          <w:szCs w:val="14"/>
          <w:color w:val="auto"/>
        </w:rPr>
        <w:t>SCHEDULE 2</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TO THE COMPLIANCE CERTIFICATE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 IN 000'S)</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Date: ______________, 199__</w:t>
      </w:r>
    </w:p>
    <w:p>
      <w:pPr>
        <w:spacing w:after="0" w:line="173"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For the fiscal quarter/year</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ended ______________, 199__</w:t>
      </w:r>
    </w:p>
    <w:p>
      <w:pPr>
        <w:spacing w:after="0" w:line="338" w:lineRule="exact"/>
        <w:rPr>
          <w:sz w:val="20"/>
          <w:szCs w:val="20"/>
          <w:color w:val="auto"/>
        </w:rPr>
      </w:pPr>
    </w:p>
    <w:p>
      <w:pPr>
        <w:jc w:val="both"/>
        <w:ind w:left="180" w:right="3599"/>
        <w:spacing w:after="0" w:line="255" w:lineRule="auto"/>
        <w:rPr>
          <w:sz w:val="20"/>
          <w:szCs w:val="20"/>
          <w:color w:val="auto"/>
        </w:rPr>
      </w:pPr>
      <w:r>
        <w:rPr>
          <w:rFonts w:ascii="Courier New" w:cs="Courier New" w:eastAsia="Courier New" w:hAnsi="Courier New"/>
          <w:sz w:val="14"/>
          <w:szCs w:val="14"/>
          <w:color w:val="auto"/>
        </w:rPr>
        <w:t>(Unless otherwise noted, all covenants are to be calculated on basis of the Company and the Semiconductor Operations Subsidiaries on a combined basis.)</w:t>
      </w:r>
    </w:p>
    <w:p>
      <w:pPr>
        <w:spacing w:after="0" w:line="326" w:lineRule="exact"/>
        <w:rPr>
          <w:sz w:val="20"/>
          <w:szCs w:val="20"/>
          <w:color w:val="auto"/>
        </w:rPr>
      </w:pPr>
    </w:p>
    <w:p>
      <w:pPr>
        <w:ind w:left="440" w:hanging="432"/>
        <w:spacing w:after="0"/>
        <w:tabs>
          <w:tab w:leader="none" w:pos="44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7.13:  ADJUSTED QUICK RATIO.</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860" w:hanging="421"/>
        <w:spacing w:after="0"/>
        <w:tabs>
          <w:tab w:leader="none" w:pos="86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cash equivalents and liquid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investments:</w:t>
            </w:r>
          </w:p>
        </w:tc>
        <w:tc>
          <w:tcPr>
            <w:tcW w:w="104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$_________________</w:t>
            </w:r>
          </w:p>
        </w:tc>
      </w:tr>
      <w:tr>
        <w:trPr>
          <w:trHeight w:val="331"/>
        </w:trPr>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Net trade accounts receivable:</w:t>
            </w:r>
          </w:p>
        </w:tc>
        <w:tc>
          <w:tcPr>
            <w:tcW w:w="1040" w:type="dxa"/>
            <w:vAlign w:val="bottom"/>
          </w:tcPr>
          <w:p>
            <w:pPr>
              <w:spacing w:after="0"/>
              <w:rPr>
                <w:sz w:val="24"/>
                <w:szCs w:val="2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$_________________</w:t>
            </w:r>
          </w:p>
        </w:tc>
      </w:tr>
      <w:tr>
        <w:trPr>
          <w:trHeight w:val="331"/>
        </w:trPr>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Current liabilities:</w:t>
            </w:r>
          </w:p>
        </w:tc>
        <w:tc>
          <w:tcPr>
            <w:tcW w:w="1040" w:type="dxa"/>
            <w:vAlign w:val="bottom"/>
          </w:tcPr>
          <w:p>
            <w:pPr>
              <w:spacing w:after="0"/>
              <w:rPr>
                <w:sz w:val="24"/>
                <w:szCs w:val="2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$_________________</w:t>
            </w:r>
          </w:p>
        </w:tc>
      </w:tr>
      <w:tr>
        <w:trPr>
          <w:trHeight w:val="331"/>
        </w:trPr>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Long-term liabilities related to</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customer deposits and loans:</w:t>
            </w:r>
          </w:p>
        </w:tc>
        <w:tc>
          <w:tcPr>
            <w:tcW w:w="1040" w:type="dxa"/>
            <w:vAlign w:val="bottom"/>
          </w:tcPr>
          <w:p>
            <w:pPr>
              <w:spacing w:after="0"/>
              <w:rPr>
                <w:sz w:val="14"/>
                <w:szCs w:val="1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$_________________</w:t>
            </w:r>
          </w:p>
        </w:tc>
      </w:tr>
      <w:tr>
        <w:trPr>
          <w:trHeight w:val="331"/>
        </w:trPr>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Any Loans outstanding:</w:t>
            </w:r>
          </w:p>
        </w:tc>
        <w:tc>
          <w:tcPr>
            <w:tcW w:w="1040" w:type="dxa"/>
            <w:vAlign w:val="bottom"/>
          </w:tcPr>
          <w:p>
            <w:pPr>
              <w:spacing w:after="0"/>
              <w:rPr>
                <w:sz w:val="24"/>
                <w:szCs w:val="24"/>
                <w:color w:val="auto"/>
              </w:rPr>
            </w:pPr>
          </w:p>
        </w:tc>
        <w:tc>
          <w:tcPr>
            <w:tcW w:w="19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$_________________</w:t>
            </w:r>
          </w:p>
        </w:tc>
      </w:tr>
      <w:tr>
        <w:trPr>
          <w:trHeight w:val="331"/>
        </w:trPr>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Adjusted Quick Ratio (Lines A.1 +</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A.2) / (Lines A.3 + A.4 + A.5):</w:t>
            </w:r>
          </w:p>
        </w:tc>
        <w:tc>
          <w:tcPr>
            <w:tcW w:w="104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_______</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 1.00</w:t>
            </w:r>
          </w:p>
        </w:tc>
      </w:tr>
      <w:tr>
        <w:trPr>
          <w:trHeight w:val="331"/>
        </w:trPr>
        <w:tc>
          <w:tcPr>
            <w:tcW w:w="620" w:type="dxa"/>
            <w:vAlign w:val="bottom"/>
          </w:tcPr>
          <w:p>
            <w:pPr>
              <w:spacing w:after="0"/>
              <w:rPr>
                <w:sz w:val="24"/>
                <w:szCs w:val="24"/>
                <w:color w:val="auto"/>
              </w:rPr>
            </w:pP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Line A.6 not to be less than:</w:t>
            </w: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620" w:type="dxa"/>
            <w:vAlign w:val="bottom"/>
          </w:tcPr>
          <w:p>
            <w:pPr>
              <w:spacing w:after="0"/>
              <w:rPr>
                <w:sz w:val="24"/>
                <w:szCs w:val="24"/>
                <w:color w:val="auto"/>
              </w:rPr>
            </w:pPr>
          </w:p>
        </w:tc>
        <w:tc>
          <w:tcPr>
            <w:tcW w:w="3260" w:type="dxa"/>
            <w:vAlign w:val="bottom"/>
          </w:tcPr>
          <w:p>
            <w:pPr>
              <w:ind w:left="420"/>
              <w:spacing w:after="0"/>
              <w:rPr>
                <w:sz w:val="20"/>
                <w:szCs w:val="20"/>
                <w:color w:val="auto"/>
              </w:rPr>
            </w:pPr>
            <w:r>
              <w:rPr>
                <w:rFonts w:ascii="Courier New" w:cs="Courier New" w:eastAsia="Courier New" w:hAnsi="Courier New"/>
                <w:sz w:val="14"/>
                <w:szCs w:val="14"/>
                <w:color w:val="auto"/>
              </w:rPr>
              <w:t>As of the last day of the</w:t>
            </w:r>
          </w:p>
        </w:tc>
        <w:tc>
          <w:tcPr>
            <w:tcW w:w="2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Minimum Adjusted</w:t>
            </w:r>
          </w:p>
        </w:tc>
        <w:tc>
          <w:tcPr>
            <w:tcW w:w="90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4300" w:type="dxa"/>
            <w:vAlign w:val="bottom"/>
            <w:gridSpan w:val="2"/>
          </w:tcPr>
          <w:p>
            <w:pPr>
              <w:ind w:left="1540"/>
              <w:spacing w:after="0"/>
              <w:rPr>
                <w:sz w:val="20"/>
                <w:szCs w:val="20"/>
                <w:color w:val="auto"/>
              </w:rPr>
            </w:pPr>
            <w:r>
              <w:rPr>
                <w:rFonts w:ascii="Courier New" w:cs="Courier New" w:eastAsia="Courier New" w:hAnsi="Courier New"/>
                <w:sz w:val="14"/>
                <w:szCs w:val="14"/>
                <w:color w:val="auto"/>
              </w:rPr>
              <w:t>fiscal quarter ending</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Quick</w:t>
            </w:r>
          </w:p>
        </w:tc>
        <w:tc>
          <w:tcPr>
            <w:tcW w:w="9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4300" w:type="dxa"/>
            <w:vAlign w:val="bottom"/>
            <w:gridSpan w:val="2"/>
          </w:tcPr>
          <w:p>
            <w:pPr>
              <w:ind w:left="15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900" w:type="dxa"/>
            <w:vAlign w:val="bottom"/>
          </w:tcPr>
          <w:p>
            <w:pPr>
              <w:spacing w:after="0"/>
              <w:rPr>
                <w:sz w:val="14"/>
                <w:szCs w:val="14"/>
                <w:color w:val="auto"/>
              </w:rPr>
            </w:pPr>
          </w:p>
        </w:tc>
      </w:tr>
      <w:tr>
        <w:trPr>
          <w:trHeight w:val="166"/>
        </w:trPr>
        <w:tc>
          <w:tcPr>
            <w:tcW w:w="620" w:type="dxa"/>
            <w:vAlign w:val="bottom"/>
          </w:tcPr>
          <w:p>
            <w:pPr>
              <w:spacing w:after="0"/>
              <w:rPr>
                <w:sz w:val="20"/>
                <w:szCs w:val="20"/>
                <w:color w:val="auto"/>
              </w:rPr>
            </w:pPr>
            <w:r>
              <w:rPr>
                <w:rFonts w:ascii="Courier New" w:cs="Courier New" w:eastAsia="Courier New" w:hAnsi="Courier New"/>
                <w:sz w:val="14"/>
                <w:szCs w:val="14"/>
                <w:color w:val="auto"/>
              </w:rPr>
              <w:t>Ratio</w:t>
            </w:r>
          </w:p>
        </w:tc>
        <w:tc>
          <w:tcPr>
            <w:tcW w:w="3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Courier New" w:cs="Courier New" w:eastAsia="Courier New" w:hAnsi="Courier New"/>
                <w:sz w:val="14"/>
                <w:szCs w:val="14"/>
                <w:color w:val="auto"/>
              </w:rPr>
              <w:t>Closing Date through 2/26/98</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0.75 to 1.00</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3260" w:type="dxa"/>
            <w:vAlign w:val="bottom"/>
          </w:tcPr>
          <w:p>
            <w:pPr>
              <w:ind w:left="240"/>
              <w:spacing w:after="0"/>
              <w:rPr>
                <w:sz w:val="20"/>
                <w:szCs w:val="20"/>
                <w:color w:val="auto"/>
              </w:rPr>
            </w:pPr>
            <w:r>
              <w:rPr>
                <w:rFonts w:ascii="Courier New" w:cs="Courier New" w:eastAsia="Courier New" w:hAnsi="Courier New"/>
                <w:sz w:val="14"/>
                <w:szCs w:val="14"/>
                <w:color w:val="auto"/>
              </w:rPr>
              <w:t>5/28/98 and thereafter</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1.00 to 1.00</w:t>
            </w: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620" w:type="dxa"/>
            <w:vAlign w:val="bottom"/>
          </w:tcPr>
          <w:p>
            <w:pPr>
              <w:spacing w:after="0"/>
              <w:rPr>
                <w:sz w:val="24"/>
                <w:szCs w:val="24"/>
                <w:color w:val="auto"/>
              </w:rPr>
            </w:pPr>
          </w:p>
        </w:tc>
        <w:tc>
          <w:tcPr>
            <w:tcW w:w="4300" w:type="dxa"/>
            <w:vAlign w:val="bottom"/>
            <w:gridSpan w:val="2"/>
          </w:tcPr>
          <w:p>
            <w:pPr>
              <w:ind w:left="1460"/>
              <w:spacing w:after="0"/>
              <w:rPr>
                <w:sz w:val="20"/>
                <w:szCs w:val="20"/>
                <w:color w:val="auto"/>
              </w:rPr>
            </w:pPr>
            <w:r>
              <w:rPr>
                <w:rFonts w:ascii="Courier New" w:cs="Courier New" w:eastAsia="Courier New" w:hAnsi="Courier New"/>
                <w:sz w:val="14"/>
                <w:szCs w:val="14"/>
                <w:color w:val="auto"/>
              </w:rPr>
              <w:t>FORM OF COMPLIANCE CERTIFICATE</w:t>
            </w:r>
          </w:p>
        </w:tc>
        <w:tc>
          <w:tcPr>
            <w:tcW w:w="10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620" w:type="dxa"/>
            <w:vAlign w:val="bottom"/>
          </w:tcPr>
          <w:p>
            <w:pPr>
              <w:spacing w:after="0"/>
              <w:rPr>
                <w:sz w:val="14"/>
                <w:szCs w:val="14"/>
                <w:color w:val="auto"/>
              </w:rPr>
            </w:pPr>
          </w:p>
        </w:tc>
        <w:tc>
          <w:tcPr>
            <w:tcW w:w="3260" w:type="dxa"/>
            <w:vAlign w:val="bottom"/>
          </w:tcPr>
          <w:p>
            <w:pPr>
              <w:ind w:left="2660"/>
              <w:spacing w:after="0"/>
              <w:rPr>
                <w:sz w:val="20"/>
                <w:szCs w:val="20"/>
                <w:color w:val="auto"/>
              </w:rPr>
            </w:pPr>
            <w:r>
              <w:rPr>
                <w:rFonts w:ascii="Courier New" w:cs="Courier New" w:eastAsia="Courier New" w:hAnsi="Courier New"/>
                <w:sz w:val="14"/>
                <w:szCs w:val="14"/>
                <w:color w:val="auto"/>
              </w:rPr>
              <w:t>-1-</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B. SECTION 7.14:</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COMBINED TANGIBLE NET WORTH.</w:t>
            </w:r>
          </w:p>
        </w:tc>
        <w:tc>
          <w:tcPr>
            <w:tcW w:w="1240" w:type="dxa"/>
            <w:vAlign w:val="bottom"/>
          </w:tcPr>
          <w:p>
            <w:pPr>
              <w:spacing w:after="0"/>
              <w:rPr>
                <w:sz w:val="14"/>
                <w:szCs w:val="14"/>
                <w:color w:val="auto"/>
              </w:rPr>
            </w:pPr>
          </w:p>
        </w:tc>
      </w:tr>
      <w:tr>
        <w:trPr>
          <w:trHeight w:val="166"/>
        </w:trPr>
        <w:tc>
          <w:tcPr>
            <w:tcW w:w="42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r>
      <w:tr>
        <w:trPr>
          <w:trHeight w:val="331"/>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36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Total net assets:/1/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Net book</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value of intangible assets:/1/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900" w:type="dxa"/>
            <w:vAlign w:val="bottom"/>
          </w:tcPr>
          <w:p>
            <w:pPr>
              <w:ind w:left="160"/>
              <w:spacing w:after="0"/>
              <w:rPr>
                <w:sz w:val="20"/>
                <w:szCs w:val="20"/>
                <w:color w:val="auto"/>
              </w:rPr>
            </w:pPr>
            <w:r>
              <w:rPr>
                <w:rFonts w:ascii="Courier New" w:cs="Courier New" w:eastAsia="Courier New" w:hAnsi="Courier New"/>
                <w:sz w:val="14"/>
                <w:szCs w:val="14"/>
                <w:color w:val="auto"/>
              </w:rPr>
              <w:t>Line B.1</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less Line B.2: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r>
      <w:tr>
        <w:trPr>
          <w:trHeight w:val="331"/>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36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75% of Combined Net Income (not</w:t>
            </w:r>
          </w:p>
        </w:tc>
        <w:tc>
          <w:tcPr>
            <w:tcW w:w="124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36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reduced by Combined Net Loss)</w:t>
            </w:r>
          </w:p>
        </w:tc>
        <w:tc>
          <w:tcPr>
            <w:tcW w:w="1240" w:type="dxa"/>
            <w:vAlign w:val="bottom"/>
          </w:tcPr>
          <w:p>
            <w:pPr>
              <w:spacing w:after="0"/>
              <w:rPr>
                <w:sz w:val="14"/>
                <w:szCs w:val="14"/>
                <w:color w:val="auto"/>
              </w:rPr>
            </w:pPr>
          </w:p>
        </w:tc>
      </w:tr>
      <w:tr>
        <w:trPr>
          <w:trHeight w:val="166"/>
        </w:trPr>
        <w:tc>
          <w:tcPr>
            <w:tcW w:w="620" w:type="dxa"/>
            <w:vAlign w:val="bottom"/>
          </w:tcPr>
          <w:p>
            <w:pPr>
              <w:spacing w:after="0"/>
              <w:rPr>
                <w:sz w:val="14"/>
                <w:szCs w:val="14"/>
                <w:color w:val="auto"/>
              </w:rPr>
            </w:pPr>
          </w:p>
        </w:tc>
        <w:tc>
          <w:tcPr>
            <w:tcW w:w="36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commencing with FQ ending 5/29/97: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bl>
    <w:p>
      <w:pPr>
        <w:spacing w:after="0" w:line="170" w:lineRule="exact"/>
        <w:rPr>
          <w:sz w:val="20"/>
          <w:szCs w:val="20"/>
          <w:color w:val="auto"/>
        </w:rPr>
      </w:pPr>
    </w:p>
    <w:p>
      <w:pPr>
        <w:ind w:left="780" w:hanging="513"/>
        <w:spacing w:after="0"/>
        <w:tabs>
          <w:tab w:leader="none" w:pos="7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 of increases in Combined</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Tangible Net Worth resulting</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c>
          <w:tcPr>
            <w:tcW w:w="13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35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certain equity offerings after</w:t>
            </w:r>
          </w:p>
        </w:tc>
        <w:tc>
          <w:tcPr>
            <w:tcW w:w="1340" w:type="dxa"/>
            <w:vAlign w:val="bottom"/>
          </w:tcPr>
          <w:p>
            <w:pPr>
              <w:spacing w:after="0"/>
              <w:rPr>
                <w:sz w:val="14"/>
                <w:szCs w:val="14"/>
                <w:color w:val="auto"/>
              </w:rPr>
            </w:pPr>
          </w:p>
        </w:tc>
      </w:tr>
      <w:tr>
        <w:trPr>
          <w:trHeight w:val="166"/>
        </w:trPr>
        <w:tc>
          <w:tcPr>
            <w:tcW w:w="360" w:type="dxa"/>
            <w:vAlign w:val="bottom"/>
          </w:tcPr>
          <w:p>
            <w:pPr>
              <w:spacing w:after="0"/>
              <w:rPr>
                <w:sz w:val="14"/>
                <w:szCs w:val="14"/>
                <w:color w:val="auto"/>
              </w:rPr>
            </w:pP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Closing Date:</w:t>
            </w:r>
          </w:p>
        </w:tc>
        <w:tc>
          <w:tcPr>
            <w:tcW w:w="9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6.</w:t>
            </w: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$______________ + Line B.4 +</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B.5:</w:t>
            </w:r>
          </w:p>
        </w:tc>
        <w:tc>
          <w:tcPr>
            <w:tcW w:w="13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r>
      <w:tr>
        <w:trPr>
          <w:trHeight w:val="166"/>
        </w:trPr>
        <w:tc>
          <w:tcPr>
            <w:tcW w:w="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0" w:type="dxa"/>
            <w:vAlign w:val="bottom"/>
          </w:tcPr>
          <w:p>
            <w:pPr>
              <w:spacing w:after="0"/>
              <w:rPr>
                <w:sz w:val="24"/>
                <w:szCs w:val="24"/>
                <w:color w:val="auto"/>
              </w:rPr>
            </w:pPr>
          </w:p>
        </w:tc>
        <w:tc>
          <w:tcPr>
            <w:tcW w:w="2620" w:type="dxa"/>
            <w:vAlign w:val="bottom"/>
          </w:tcPr>
          <w:p>
            <w:pPr>
              <w:ind w:left="160"/>
              <w:spacing w:after="0"/>
              <w:rPr>
                <w:sz w:val="20"/>
                <w:szCs w:val="20"/>
                <w:color w:val="auto"/>
              </w:rPr>
            </w:pPr>
            <w:r>
              <w:rPr>
                <w:rFonts w:ascii="Courier New" w:cs="Courier New" w:eastAsia="Courier New" w:hAnsi="Courier New"/>
                <w:sz w:val="14"/>
                <w:szCs w:val="14"/>
                <w:color w:val="auto"/>
              </w:rPr>
              <w:t>Line B.3 not to be less than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Line B.6</w:t>
            </w:r>
          </w:p>
        </w:tc>
        <w:tc>
          <w:tcPr>
            <w:tcW w:w="1340" w:type="dxa"/>
            <w:vAlign w:val="bottom"/>
          </w:tcPr>
          <w:p>
            <w:pPr>
              <w:spacing w:after="0"/>
              <w:rPr>
                <w:sz w:val="24"/>
                <w:szCs w:val="24"/>
                <w:color w:val="auto"/>
              </w:rPr>
            </w:pPr>
          </w:p>
        </w:tc>
      </w:tr>
    </w:tbl>
    <w:p>
      <w:pPr>
        <w:spacing w:after="0" w:line="335" w:lineRule="exact"/>
        <w:rPr>
          <w:sz w:val="20"/>
          <w:szCs w:val="20"/>
          <w:color w:val="auto"/>
        </w:rPr>
      </w:pPr>
    </w:p>
    <w:p>
      <w:pPr>
        <w:ind w:left="440" w:hanging="432"/>
        <w:spacing w:after="0"/>
        <w:tabs>
          <w:tab w:leader="none" w:pos="44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7.15:  LEVERAGE RATIO.</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Combined Adjusted Total Liabilities:</w:t>
      </w:r>
    </w:p>
    <w:p>
      <w:pPr>
        <w:spacing w:after="0" w:line="338" w:lineRule="exact"/>
        <w:rPr>
          <w:sz w:val="20"/>
          <w:szCs w:val="20"/>
          <w:color w:val="auto"/>
        </w:rPr>
      </w:pPr>
    </w:p>
    <w:p>
      <w:pPr>
        <w:ind w:left="780"/>
        <w:spacing w:after="0"/>
        <w:tabs>
          <w:tab w:leader="none" w:pos="1200" w:val="left"/>
          <w:tab w:leader="none" w:pos="4380" w:val="left"/>
        </w:tabs>
        <w:rPr>
          <w:sz w:val="20"/>
          <w:szCs w:val="20"/>
          <w:color w:val="auto"/>
        </w:rPr>
      </w:pPr>
      <w:r>
        <w:rPr>
          <w:rFonts w:ascii="Courier New" w:cs="Courier New" w:eastAsia="Courier New" w:hAnsi="Courier New"/>
          <w:sz w:val="14"/>
          <w:szCs w:val="14"/>
          <w:color w:val="auto"/>
        </w:rPr>
        <w:t>a.</w:t>
      </w:r>
      <w:r>
        <w:rPr>
          <w:sz w:val="20"/>
          <w:szCs w:val="20"/>
          <w:color w:val="auto"/>
        </w:rPr>
        <w:tab/>
      </w: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220" w:hanging="436"/>
        <w:spacing w:after="0"/>
        <w:tabs>
          <w:tab w:leader="none" w:pos="122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off-balance sheet</w:t>
      </w:r>
    </w:p>
    <w:p>
      <w:pPr>
        <w:spacing w:after="0" w:line="7" w:lineRule="exact"/>
        <w:rPr>
          <w:sz w:val="20"/>
          <w:szCs w:val="20"/>
          <w:color w:val="auto"/>
        </w:rPr>
      </w:pPr>
    </w:p>
    <w:p>
      <w:pPr>
        <w:ind w:left="1220"/>
        <w:spacing w:after="0"/>
        <w:tabs>
          <w:tab w:leader="none" w:pos="4380" w:val="left"/>
        </w:tabs>
        <w:rPr>
          <w:sz w:val="20"/>
          <w:szCs w:val="20"/>
          <w:color w:val="auto"/>
        </w:rPr>
      </w:pPr>
      <w:r>
        <w:rPr>
          <w:rFonts w:ascii="Courier New" w:cs="Courier New" w:eastAsia="Courier New" w:hAnsi="Courier New"/>
          <w:sz w:val="14"/>
          <w:szCs w:val="14"/>
          <w:color w:val="auto"/>
        </w:rPr>
        <w:t>obligations:</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1220" w:hanging="436"/>
        <w:spacing w:after="0"/>
        <w:tabs>
          <w:tab w:leader="none" w:pos="122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w:t>
      </w:r>
    </w:p>
    <w:p>
      <w:pPr>
        <w:spacing w:after="0" w:line="7" w:lineRule="exact"/>
        <w:rPr>
          <w:sz w:val="20"/>
          <w:szCs w:val="20"/>
          <w:color w:val="auto"/>
        </w:rPr>
      </w:pPr>
    </w:p>
    <w:p>
      <w:pPr>
        <w:jc w:val="right"/>
        <w:ind w:right="4719"/>
        <w:spacing w:after="0"/>
        <w:tabs>
          <w:tab w:leader="none" w:pos="2480" w:val="left"/>
        </w:tabs>
        <w:rPr>
          <w:sz w:val="20"/>
          <w:szCs w:val="20"/>
          <w:color w:val="auto"/>
        </w:rPr>
      </w:pPr>
      <w:r>
        <w:rPr>
          <w:rFonts w:ascii="Courier New" w:cs="Courier New" w:eastAsia="Courier New" w:hAnsi="Courier New"/>
          <w:sz w:val="14"/>
          <w:szCs w:val="14"/>
          <w:color w:val="auto"/>
        </w:rPr>
        <w:t>(Lines C.1a + C.1b):</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780" w:hanging="513"/>
        <w:spacing w:after="0"/>
        <w:tabs>
          <w:tab w:leader="none" w:pos="7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Line B.3 (Combined Tangible Net Worth):   $____________</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w:t>
            </w:r>
          </w:p>
        </w:tc>
        <w:tc>
          <w:tcPr>
            <w:tcW w:w="4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Leverage Ratio (Line C.1c / Line C.2): ______</w:t>
            </w:r>
          </w:p>
        </w:tc>
        <w:tc>
          <w:tcPr>
            <w:tcW w:w="21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to 1.00</w:t>
            </w:r>
          </w:p>
        </w:tc>
      </w:tr>
      <w:tr>
        <w:trPr>
          <w:trHeight w:val="331"/>
        </w:trPr>
        <w:tc>
          <w:tcPr>
            <w:tcW w:w="7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Leverage Ratio not to</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exceed 0.75 to 1</w:t>
            </w:r>
          </w:p>
        </w:tc>
        <w:tc>
          <w:tcPr>
            <w:tcW w:w="2120" w:type="dxa"/>
            <w:vAlign w:val="bottom"/>
          </w:tcPr>
          <w:p>
            <w:pPr>
              <w:spacing w:after="0"/>
              <w:rPr>
                <w:sz w:val="24"/>
                <w:szCs w:val="24"/>
                <w:color w:val="auto"/>
              </w:rPr>
            </w:pPr>
          </w:p>
        </w:tc>
      </w:tr>
      <w:tr>
        <w:trPr>
          <w:trHeight w:val="331"/>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____________________</w:t>
            </w:r>
          </w:p>
        </w:tc>
        <w:tc>
          <w:tcPr>
            <w:tcW w:w="20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6"/>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/1/ Excluding non-semiconductor</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operations and assets otherwise included</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therein.</w:t>
            </w:r>
          </w:p>
        </w:tc>
        <w:tc>
          <w:tcPr>
            <w:tcW w:w="1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31"/>
        </w:trPr>
        <w:tc>
          <w:tcPr>
            <w:tcW w:w="7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FORM OF</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COMPLIANCE CERTIFICATE</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7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6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-2-</w:t>
            </w:r>
          </w:p>
        </w:tc>
        <w:tc>
          <w:tcPr>
            <w:tcW w:w="21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41" w:name="page142"/>
    <w:bookmarkEnd w:id="141"/>
    <w:p>
      <w:pPr>
        <w:spacing w:after="0"/>
        <w:tabs>
          <w:tab w:leader="none" w:pos="1540" w:val="left"/>
        </w:tabs>
        <w:rPr>
          <w:sz w:val="20"/>
          <w:szCs w:val="20"/>
          <w:color w:val="auto"/>
        </w:rPr>
      </w:pPr>
      <w:r>
        <w:rPr>
          <w:rFonts w:ascii="Courier New" w:cs="Courier New" w:eastAsia="Courier New" w:hAnsi="Courier New"/>
          <w:sz w:val="14"/>
          <w:szCs w:val="14"/>
          <w:color w:val="auto"/>
        </w:rPr>
        <w:t>D. SECTION 7.16:</w:t>
        <w:tab/>
        <w:t>MINIMUM FIXED CHARGE COVERAGE RATIO.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6359" w:hanging="513"/>
        <w:spacing w:after="0" w:line="252" w:lineRule="auto"/>
        <w:tabs>
          <w:tab w:leader="none" w:pos="7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EBITDA for four consecutive quarters ending on date of above financial statements ("Subject Period"):</w:t>
      </w:r>
    </w:p>
    <w:p>
      <w:pPr>
        <w:spacing w:after="0" w:line="163" w:lineRule="exact"/>
        <w:rPr>
          <w:sz w:val="20"/>
          <w:szCs w:val="20"/>
          <w:color w:val="auto"/>
        </w:rPr>
      </w:pPr>
    </w:p>
    <w:p>
      <w:pPr>
        <w:ind w:left="1300" w:hanging="516"/>
        <w:spacing w:after="0"/>
        <w:tabs>
          <w:tab w:leader="none" w:pos="130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Net Income or</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Combined Net Loss:</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w:t>
            </w:r>
          </w:p>
        </w:tc>
      </w:tr>
      <w:tr>
        <w:trPr>
          <w:trHeight w:val="331"/>
        </w:trPr>
        <w:tc>
          <w:tcPr>
            <w:tcW w:w="340" w:type="dxa"/>
            <w:vAlign w:val="bottom"/>
          </w:tcPr>
          <w:p>
            <w:pPr>
              <w:spacing w:after="0"/>
              <w:rPr>
                <w:sz w:val="20"/>
                <w:szCs w:val="20"/>
                <w:color w:val="auto"/>
              </w:rPr>
            </w:pPr>
            <w:r>
              <w:rPr>
                <w:rFonts w:ascii="Courier New" w:cs="Courier New" w:eastAsia="Courier New" w:hAnsi="Courier New"/>
                <w:sz w:val="14"/>
                <w:szCs w:val="14"/>
                <w:color w:val="auto"/>
              </w:rPr>
              <w:t>b.</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Combined Interest Expense:/2/</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w:t>
            </w:r>
          </w:p>
        </w:tc>
      </w:tr>
      <w:tr>
        <w:trPr>
          <w:trHeight w:val="331"/>
        </w:trPr>
        <w:tc>
          <w:tcPr>
            <w:tcW w:w="340" w:type="dxa"/>
            <w:vAlign w:val="bottom"/>
          </w:tcPr>
          <w:p>
            <w:pPr>
              <w:spacing w:after="0"/>
              <w:rPr>
                <w:sz w:val="20"/>
                <w:szCs w:val="20"/>
                <w:color w:val="auto"/>
              </w:rPr>
            </w:pPr>
            <w:r>
              <w:rPr>
                <w:rFonts w:ascii="Courier New" w:cs="Courier New" w:eastAsia="Courier New" w:hAnsi="Courier New"/>
                <w:sz w:val="14"/>
                <w:szCs w:val="14"/>
                <w:color w:val="auto"/>
              </w:rPr>
              <w:t>c.</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Income tax expense:/1/</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w:t>
            </w:r>
          </w:p>
        </w:tc>
      </w:tr>
      <w:tr>
        <w:trPr>
          <w:trHeight w:val="331"/>
        </w:trPr>
        <w:tc>
          <w:tcPr>
            <w:tcW w:w="340" w:type="dxa"/>
            <w:vAlign w:val="bottom"/>
          </w:tcPr>
          <w:p>
            <w:pPr>
              <w:spacing w:after="0"/>
              <w:rPr>
                <w:sz w:val="20"/>
                <w:szCs w:val="20"/>
                <w:color w:val="auto"/>
              </w:rPr>
            </w:pPr>
            <w:r>
              <w:rPr>
                <w:rFonts w:ascii="Courier New" w:cs="Courier New" w:eastAsia="Courier New" w:hAnsi="Courier New"/>
                <w:sz w:val="14"/>
                <w:szCs w:val="14"/>
                <w:color w:val="auto"/>
              </w:rPr>
              <w:t>d.</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Depreciation expense:/1/</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w:t>
            </w:r>
          </w:p>
        </w:tc>
      </w:tr>
      <w:tr>
        <w:trPr>
          <w:trHeight w:val="331"/>
        </w:trPr>
        <w:tc>
          <w:tcPr>
            <w:tcW w:w="340" w:type="dxa"/>
            <w:vAlign w:val="bottom"/>
          </w:tcPr>
          <w:p>
            <w:pPr>
              <w:spacing w:after="0"/>
              <w:rPr>
                <w:sz w:val="20"/>
                <w:szCs w:val="20"/>
                <w:color w:val="auto"/>
              </w:rPr>
            </w:pPr>
            <w:r>
              <w:rPr>
                <w:rFonts w:ascii="Courier New" w:cs="Courier New" w:eastAsia="Courier New" w:hAnsi="Courier New"/>
                <w:sz w:val="14"/>
                <w:szCs w:val="14"/>
                <w:color w:val="auto"/>
              </w:rPr>
              <w:t>e.</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Amortization expense:/1/</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$__________________</w:t>
            </w:r>
          </w:p>
        </w:tc>
      </w:tr>
      <w:tr>
        <w:trPr>
          <w:trHeight w:val="331"/>
        </w:trPr>
        <w:tc>
          <w:tcPr>
            <w:tcW w:w="340" w:type="dxa"/>
            <w:vAlign w:val="bottom"/>
          </w:tcPr>
          <w:p>
            <w:pPr>
              <w:spacing w:after="0"/>
              <w:rPr>
                <w:sz w:val="20"/>
                <w:szCs w:val="20"/>
                <w:color w:val="auto"/>
              </w:rPr>
            </w:pPr>
            <w:r>
              <w:rPr>
                <w:rFonts w:ascii="Courier New" w:cs="Courier New" w:eastAsia="Courier New" w:hAnsi="Courier New"/>
                <w:sz w:val="14"/>
                <w:szCs w:val="14"/>
                <w:color w:val="auto"/>
              </w:rPr>
              <w:t>f.</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EBITDA (Lines D.1a + b +</w:t>
            </w:r>
          </w:p>
        </w:tc>
        <w:tc>
          <w:tcPr>
            <w:tcW w:w="1940" w:type="dxa"/>
            <w:vAlign w:val="bottom"/>
          </w:tcPr>
          <w:p>
            <w:pPr>
              <w:spacing w:after="0"/>
              <w:rPr>
                <w:sz w:val="24"/>
                <w:szCs w:val="24"/>
                <w:color w:val="auto"/>
              </w:rPr>
            </w:pPr>
          </w:p>
        </w:tc>
      </w:tr>
      <w:tr>
        <w:trPr>
          <w:trHeight w:val="166"/>
        </w:trPr>
        <w:tc>
          <w:tcPr>
            <w:tcW w:w="340" w:type="dxa"/>
            <w:vAlign w:val="bottom"/>
          </w:tcPr>
          <w:p>
            <w:pPr>
              <w:spacing w:after="0"/>
              <w:rPr>
                <w:sz w:val="14"/>
                <w:szCs w:val="14"/>
                <w:color w:val="auto"/>
              </w:rPr>
            </w:pP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c + d + e):</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780" w:hanging="513"/>
        <w:spacing w:after="0"/>
        <w:tabs>
          <w:tab w:leader="none" w:pos="7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interest expense</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3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for Subject Period (Line D.1b):</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3.</w:t>
            </w:r>
          </w:p>
        </w:tc>
        <w:tc>
          <w:tcPr>
            <w:tcW w:w="32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Current portion of long-term debt:</w:t>
            </w:r>
          </w:p>
        </w:tc>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$__________________</w:t>
            </w:r>
          </w:p>
        </w:tc>
      </w:tr>
      <w:tr>
        <w:trPr>
          <w:trHeight w:val="331"/>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4.</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Fixed</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Charge Coverage Ratio</w:t>
            </w: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(Line</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D.1f / (Lines D.1 + D.2):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________</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to 1.00</w:t>
            </w:r>
          </w:p>
        </w:tc>
      </w:tr>
    </w:tbl>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Fixed Charge Coverage Ratio not to be less than:</w:t>
      </w:r>
    </w:p>
    <w:p>
      <w:pPr>
        <w:spacing w:after="0" w:line="200" w:lineRule="exact"/>
        <w:rPr>
          <w:sz w:val="20"/>
          <w:szCs w:val="20"/>
          <w:color w:val="auto"/>
        </w:rPr>
      </w:pP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Minimum Fixed</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As of the last day of the</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Charge Coverage</w:t>
            </w:r>
          </w:p>
        </w:tc>
      </w:tr>
      <w:tr>
        <w:trPr>
          <w:trHeight w:val="166"/>
        </w:trPr>
        <w:tc>
          <w:tcPr>
            <w:tcW w:w="2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fiscal quarter ending</w:t>
            </w:r>
          </w:p>
        </w:tc>
        <w:tc>
          <w:tcPr>
            <w:tcW w:w="7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Ratio</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2/27/97</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2.50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5/29/97</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2.50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8/28/97</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3.00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r>
        <w:trPr>
          <w:trHeight w:val="331"/>
        </w:trPr>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11/27/97</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3.50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2/26/98</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4.00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5/28/98</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4.00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r>
        <w:trPr>
          <w:trHeight w:val="166"/>
        </w:trPr>
        <w:tc>
          <w:tcPr>
            <w:tcW w:w="276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9/03/98</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4.00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r>
        <w:trPr>
          <w:trHeight w:val="331"/>
        </w:trPr>
        <w:tc>
          <w:tcPr>
            <w:tcW w:w="2760" w:type="dxa"/>
            <w:vAlign w:val="bottom"/>
          </w:tcPr>
          <w:p>
            <w:pPr>
              <w:ind w:left="780"/>
              <w:spacing w:after="0"/>
              <w:rPr>
                <w:sz w:val="20"/>
                <w:szCs w:val="20"/>
                <w:color w:val="auto"/>
              </w:rPr>
            </w:pPr>
            <w:r>
              <w:rPr>
                <w:rFonts w:ascii="Courier New" w:cs="Courier New" w:eastAsia="Courier New" w:hAnsi="Courier New"/>
                <w:sz w:val="14"/>
                <w:szCs w:val="14"/>
                <w:color w:val="auto"/>
              </w:rPr>
              <w:t>12/03/98 and</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2760" w:type="dxa"/>
            <w:vAlign w:val="bottom"/>
          </w:tcPr>
          <w:p>
            <w:pPr>
              <w:ind w:left="780"/>
              <w:spacing w:after="0"/>
              <w:rPr>
                <w:sz w:val="20"/>
                <w:szCs w:val="20"/>
                <w:color w:val="auto"/>
              </w:rPr>
            </w:pPr>
            <w:r>
              <w:rPr>
                <w:rFonts w:ascii="Courier New" w:cs="Courier New" w:eastAsia="Courier New" w:hAnsi="Courier New"/>
                <w:sz w:val="14"/>
                <w:szCs w:val="14"/>
                <w:color w:val="auto"/>
              </w:rPr>
              <w:t>thereafter</w:t>
            </w: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5.00</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to 1.00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/2/ To the extent deducted in determining Semiconductor Operations Group Net Income or Net Loss.</w:t>
      </w:r>
    </w:p>
    <w:p>
      <w:pPr>
        <w:spacing w:after="0" w:line="160"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34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FORM OF COMPLIANCE CERTIFICATE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4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-3-</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42" w:name="page143"/>
    <w:bookmarkEnd w:id="142"/>
    <w:p>
      <w:pPr>
        <w:spacing w:after="0"/>
        <w:tabs>
          <w:tab w:leader="none" w:pos="1540" w:val="left"/>
        </w:tabs>
        <w:rPr>
          <w:sz w:val="20"/>
          <w:szCs w:val="20"/>
          <w:color w:val="auto"/>
        </w:rPr>
      </w:pPr>
      <w:r>
        <w:rPr>
          <w:rFonts w:ascii="Courier New" w:cs="Courier New" w:eastAsia="Courier New" w:hAnsi="Courier New"/>
          <w:sz w:val="14"/>
          <w:szCs w:val="14"/>
          <w:color w:val="auto"/>
        </w:rPr>
        <w:t>E. SECTION 7.17:</w:t>
        <w:tab/>
        <w:t>MAXIMUM COMBINED LOSS.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hanging="353"/>
        <w:spacing w:after="0"/>
        <w:tabs>
          <w:tab w:leader="none" w:pos="62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Net Loss for quarter</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4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ending on above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138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116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Combined Net</w:t>
            </w:r>
          </w:p>
        </w:tc>
        <w:tc>
          <w:tcPr>
            <w:tcW w:w="26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Loss for Subject Period:</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Line B.3</w:t>
            </w:r>
          </w:p>
        </w:tc>
        <w:tc>
          <w:tcPr>
            <w:tcW w:w="1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(Combined Tangible</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Net Worth):</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2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a.</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Line E.3:</w:t>
            </w:r>
          </w:p>
        </w:tc>
        <w:tc>
          <w:tcPr>
            <w:tcW w:w="13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2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b.</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6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Line E.3:</w:t>
            </w:r>
          </w:p>
        </w:tc>
        <w:tc>
          <w:tcPr>
            <w:tcW w:w="13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26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Line E.1</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not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exceed Line</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E.3a</w:t>
            </w:r>
          </w:p>
        </w:tc>
        <w:tc>
          <w:tcPr>
            <w:tcW w:w="1500" w:type="dxa"/>
            <w:vAlign w:val="bottom"/>
          </w:tcPr>
          <w:p>
            <w:pPr>
              <w:spacing w:after="0"/>
              <w:rPr>
                <w:sz w:val="24"/>
                <w:szCs w:val="24"/>
                <w:color w:val="auto"/>
              </w:rPr>
            </w:pPr>
          </w:p>
        </w:tc>
      </w:tr>
      <w:tr>
        <w:trPr>
          <w:trHeight w:val="331"/>
        </w:trPr>
        <w:tc>
          <w:tcPr>
            <w:tcW w:w="260" w:type="dxa"/>
            <w:vAlign w:val="bottom"/>
          </w:tcPr>
          <w:p>
            <w:pPr>
              <w:spacing w:after="0"/>
              <w:rPr>
                <w:sz w:val="24"/>
                <w:szCs w:val="24"/>
                <w:color w:val="auto"/>
              </w:rPr>
            </w:pPr>
          </w:p>
        </w:tc>
        <w:tc>
          <w:tcPr>
            <w:tcW w:w="8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Line E.2</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not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to</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exceed Line</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E.3b</w:t>
            </w:r>
          </w:p>
        </w:tc>
        <w:tc>
          <w:tcPr>
            <w:tcW w:w="1500" w:type="dxa"/>
            <w:vAlign w:val="bottom"/>
          </w:tcPr>
          <w:p>
            <w:pPr>
              <w:spacing w:after="0"/>
              <w:rPr>
                <w:sz w:val="24"/>
                <w:szCs w:val="24"/>
                <w:color w:val="auto"/>
              </w:rPr>
            </w:pPr>
          </w:p>
        </w:tc>
      </w:tr>
    </w:tbl>
    <w:p>
      <w:pPr>
        <w:spacing w:after="0" w:line="335"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F. SECTION 7.01(J):</w:t>
        <w:tab/>
        <w:t>PURCHASE MONEY LIENS.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hanging="353"/>
        <w:spacing w:after="0"/>
        <w:tabs>
          <w:tab w:leader="none" w:pos="62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secured by purchase money</w:t>
      </w:r>
    </w:p>
    <w:p>
      <w:pPr>
        <w:spacing w:after="0" w:line="7" w:lineRule="exact"/>
        <w:rPr>
          <w:sz w:val="20"/>
          <w:szCs w:val="20"/>
          <w:color w:val="auto"/>
        </w:rPr>
      </w:pPr>
    </w:p>
    <w:p>
      <w:pPr>
        <w:ind w:left="620"/>
        <w:spacing w:after="0"/>
        <w:tabs>
          <w:tab w:leader="none" w:pos="4720" w:val="left"/>
        </w:tabs>
        <w:rPr>
          <w:sz w:val="20"/>
          <w:szCs w:val="20"/>
          <w:color w:val="auto"/>
        </w:rPr>
      </w:pPr>
      <w:r>
        <w:rPr>
          <w:rFonts w:ascii="Courier New" w:cs="Courier New" w:eastAsia="Courier New" w:hAnsi="Courier New"/>
          <w:sz w:val="14"/>
          <w:szCs w:val="14"/>
          <w:color w:val="auto"/>
        </w:rPr>
        <w:t>and other similar security interests:</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Combined net property, plant and</w:t>
            </w:r>
          </w:p>
        </w:tc>
        <w:tc>
          <w:tcPr>
            <w:tcW w:w="1800" w:type="dxa"/>
            <w:vAlign w:val="bottom"/>
          </w:tcPr>
          <w:p>
            <w:pPr>
              <w:spacing w:after="0"/>
              <w:rPr>
                <w:sz w:val="14"/>
                <w:szCs w:val="14"/>
                <w:color w:val="auto"/>
              </w:rPr>
            </w:pPr>
          </w:p>
        </w:tc>
      </w:tr>
      <w:tr>
        <w:trPr>
          <w:trHeight w:val="166"/>
        </w:trPr>
        <w:tc>
          <w:tcPr>
            <w:tcW w:w="260" w:type="dxa"/>
            <w:vAlign w:val="bottom"/>
          </w:tcPr>
          <w:p>
            <w:pPr>
              <w:spacing w:after="0"/>
              <w:rPr>
                <w:sz w:val="14"/>
                <w:szCs w:val="14"/>
                <w:color w:val="auto"/>
              </w:rPr>
            </w:pPr>
          </w:p>
        </w:tc>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equipment:</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20% of Line F.2:</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bl>
    <w:p>
      <w:pPr>
        <w:spacing w:after="0" w:line="17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Line F.1 not to exceed Line F.3</w:t>
      </w:r>
    </w:p>
    <w:p>
      <w:pPr>
        <w:spacing w:after="0" w:line="173"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G. SECTIONS 7.01(Q), (R):</w:t>
        <w:tab/>
        <w:t>SECURED PERMITTED SWAP OBLIGATIONS; ORDINARY COURSE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SECURED INDEBTEDNESS.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tabs>
          <w:tab w:leader="none" w:pos="600" w:val="left"/>
        </w:tabs>
        <w:rPr>
          <w:sz w:val="20"/>
          <w:szCs w:val="20"/>
          <w:color w:val="auto"/>
        </w:rPr>
      </w:pPr>
      <w:r>
        <w:rPr>
          <w:rFonts w:ascii="Courier New" w:cs="Courier New" w:eastAsia="Courier New" w:hAnsi="Courier New"/>
          <w:sz w:val="14"/>
          <w:szCs w:val="14"/>
          <w:color w:val="auto"/>
        </w:rPr>
        <w:t>1.</w:t>
        <w:tab/>
        <w:t>Permitted Swap Obligations secured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by cash collateral or government</w:t>
      </w:r>
    </w:p>
    <w:p>
      <w:pPr>
        <w:spacing w:after="0" w:line="7" w:lineRule="exact"/>
        <w:rPr>
          <w:sz w:val="20"/>
          <w:szCs w:val="20"/>
          <w:color w:val="auto"/>
        </w:rPr>
      </w:pPr>
    </w:p>
    <w:p>
      <w:pPr>
        <w:ind w:left="620"/>
        <w:spacing w:after="0"/>
        <w:tabs>
          <w:tab w:leader="none" w:pos="472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620" w:hanging="353"/>
        <w:spacing w:after="0"/>
        <w:tabs>
          <w:tab w:leader="none" w:pos="62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Ordinary course secured Indebtedness</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7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for other than borrowed money:</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3.  Combined Tangible Assets:</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a.</w:t>
            </w:r>
          </w:p>
        </w:tc>
        <w:tc>
          <w:tcPr>
            <w:tcW w:w="3020" w:type="dxa"/>
            <w:vAlign w:val="bottom"/>
          </w:tcPr>
          <w:p>
            <w:pPr>
              <w:ind w:left="160"/>
              <w:spacing w:after="0"/>
              <w:rPr>
                <w:sz w:val="20"/>
                <w:szCs w:val="20"/>
                <w:color w:val="auto"/>
              </w:rPr>
            </w:pPr>
            <w:r>
              <w:rPr>
                <w:rFonts w:ascii="Courier New" w:cs="Courier New" w:eastAsia="Courier New" w:hAnsi="Courier New"/>
                <w:sz w:val="14"/>
                <w:szCs w:val="14"/>
                <w:color w:val="auto"/>
              </w:rPr>
              <w:t>Total assets:/3/</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700" w:type="dxa"/>
            <w:vAlign w:val="bottom"/>
          </w:tcPr>
          <w:p>
            <w:pPr>
              <w:ind w:left="360"/>
              <w:spacing w:after="0"/>
              <w:rPr>
                <w:sz w:val="20"/>
                <w:szCs w:val="20"/>
                <w:color w:val="auto"/>
              </w:rPr>
            </w:pPr>
            <w:r>
              <w:rPr>
                <w:rFonts w:ascii="Courier New" w:cs="Courier New" w:eastAsia="Courier New" w:hAnsi="Courier New"/>
                <w:sz w:val="14"/>
                <w:szCs w:val="14"/>
                <w:color w:val="auto"/>
              </w:rPr>
              <w:t>b.</w:t>
            </w:r>
          </w:p>
        </w:tc>
        <w:tc>
          <w:tcPr>
            <w:tcW w:w="3020" w:type="dxa"/>
            <w:vAlign w:val="bottom"/>
          </w:tcPr>
          <w:p>
            <w:pPr>
              <w:ind w:left="160"/>
              <w:spacing w:after="0"/>
              <w:rPr>
                <w:sz w:val="20"/>
                <w:szCs w:val="20"/>
                <w:color w:val="auto"/>
              </w:rPr>
            </w:pPr>
            <w:r>
              <w:rPr>
                <w:rFonts w:ascii="Courier New" w:cs="Courier New" w:eastAsia="Courier New" w:hAnsi="Courier New"/>
                <w:sz w:val="14"/>
                <w:szCs w:val="14"/>
                <w:color w:val="auto"/>
              </w:rPr>
              <w:t>Line B.2:</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_______________________</w:t>
            </w:r>
          </w:p>
        </w:tc>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/3/ Excluding non-semiconductor</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operations and assets otherwise included</w:t>
            </w:r>
          </w:p>
        </w:tc>
        <w:tc>
          <w:tcPr>
            <w:tcW w:w="64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therein.</w:t>
            </w:r>
          </w:p>
        </w:tc>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2720" w:type="dxa"/>
            <w:vAlign w:val="bottom"/>
          </w:tcPr>
          <w:p>
            <w:pPr>
              <w:ind w:left="2080"/>
              <w:spacing w:after="0"/>
              <w:rPr>
                <w:sz w:val="20"/>
                <w:szCs w:val="20"/>
                <w:color w:val="auto"/>
              </w:rPr>
            </w:pPr>
            <w:r>
              <w:rPr>
                <w:rFonts w:ascii="Courier New" w:cs="Courier New" w:eastAsia="Courier New" w:hAnsi="Courier New"/>
                <w:sz w:val="14"/>
                <w:szCs w:val="14"/>
                <w:color w:val="auto"/>
              </w:rPr>
              <w:t>FORM OF</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COMPLIANCE CERTIFICATE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2720" w:type="dxa"/>
            <w:vAlign w:val="bottom"/>
          </w:tcPr>
          <w:p>
            <w:pPr>
              <w:spacing w:after="0"/>
              <w:rPr>
                <w:sz w:val="14"/>
                <w:szCs w:val="14"/>
                <w:color w:val="auto"/>
              </w:rPr>
            </w:pPr>
          </w:p>
        </w:tc>
        <w:tc>
          <w:tcPr>
            <w:tcW w:w="3540" w:type="dxa"/>
            <w:vAlign w:val="bottom"/>
          </w:tcPr>
          <w:p>
            <w:pPr>
              <w:jc w:val="right"/>
              <w:ind w:right="2648"/>
              <w:spacing w:after="0"/>
              <w:rPr>
                <w:sz w:val="20"/>
                <w:szCs w:val="20"/>
                <w:color w:val="auto"/>
              </w:rPr>
            </w:pPr>
            <w:r>
              <w:rPr>
                <w:rFonts w:ascii="Courier New" w:cs="Courier New" w:eastAsia="Courier New" w:hAnsi="Courier New"/>
                <w:sz w:val="14"/>
                <w:szCs w:val="14"/>
                <w:color w:val="auto"/>
              </w:rPr>
              <w:t>-4-</w:t>
            </w:r>
          </w:p>
        </w:tc>
        <w:tc>
          <w:tcPr>
            <w:tcW w:w="64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43" w:name="page144"/>
    <w:bookmarkEnd w:id="1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c.</w:t>
            </w:r>
          </w:p>
        </w:tc>
        <w:tc>
          <w:tcPr>
            <w:tcW w:w="344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Line G.3a less Line G.3b:</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40" w:type="dxa"/>
            <w:vAlign w:val="bottom"/>
          </w:tcPr>
          <w:p>
            <w:pPr>
              <w:jc w:val="right"/>
              <w:ind w:right="20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331"/>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5% of Line G.3c:</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5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Lines G.1 + G 2 not to exceed Line G.4</w:t>
            </w:r>
          </w:p>
        </w:tc>
        <w:tc>
          <w:tcPr>
            <w:tcW w:w="1120" w:type="dxa"/>
            <w:vAlign w:val="bottom"/>
          </w:tcPr>
          <w:p>
            <w:pPr>
              <w:spacing w:after="0"/>
              <w:rPr>
                <w:sz w:val="24"/>
                <w:szCs w:val="24"/>
                <w:color w:val="auto"/>
              </w:rPr>
            </w:pPr>
          </w:p>
        </w:tc>
      </w:tr>
      <w:tr>
        <w:trPr>
          <w:trHeight w:val="497"/>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H. SECTION 7.03(D):  DISPOSITION OF MATERIAL ASSETS.</w:t>
            </w:r>
          </w:p>
        </w:tc>
        <w:tc>
          <w:tcPr>
            <w:tcW w:w="1120" w:type="dxa"/>
            <w:vAlign w:val="bottom"/>
          </w:tcPr>
          <w:p>
            <w:pPr>
              <w:spacing w:after="0"/>
              <w:rPr>
                <w:sz w:val="24"/>
                <w:szCs w:val="24"/>
                <w:color w:val="auto"/>
              </w:rPr>
            </w:pPr>
          </w:p>
        </w:tc>
      </w:tr>
      <w:tr>
        <w:trPr>
          <w:trHeight w:val="166"/>
        </w:trPr>
        <w:tc>
          <w:tcPr>
            <w:tcW w:w="44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497"/>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Aggregate fair market value of</w:t>
            </w:r>
          </w:p>
        </w:tc>
        <w:tc>
          <w:tcPr>
            <w:tcW w:w="112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all material (greater than $1,000,000</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individually) assets sold outside</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ordinary course of business: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Aggregate fair market value of</w:t>
            </w:r>
          </w:p>
        </w:tc>
        <w:tc>
          <w:tcPr>
            <w:tcW w:w="112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all material (greater than $1,000,000</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individually) assets disposed of pur-</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suant to sale-leaseback transactions</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not constituting Permitted Sale-</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Leaseback Transactions: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Lines H.1 + H.2: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4.</w:t>
            </w: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10% of Line G.3c (Combined</w:t>
            </w:r>
          </w:p>
        </w:tc>
        <w:tc>
          <w:tcPr>
            <w:tcW w:w="112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Tangible Assets):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5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Line H.3 not to exceed Line H.4</w:t>
            </w:r>
          </w:p>
        </w:tc>
        <w:tc>
          <w:tcPr>
            <w:tcW w:w="1120" w:type="dxa"/>
            <w:vAlign w:val="bottom"/>
          </w:tcPr>
          <w:p>
            <w:pPr>
              <w:spacing w:after="0"/>
              <w:rPr>
                <w:sz w:val="24"/>
                <w:szCs w:val="24"/>
                <w:color w:val="auto"/>
              </w:rPr>
            </w:pPr>
          </w:p>
        </w:tc>
      </w:tr>
      <w:tr>
        <w:trPr>
          <w:trHeight w:val="497"/>
        </w:trPr>
        <w:tc>
          <w:tcPr>
            <w:tcW w:w="5600" w:type="dxa"/>
            <w:vAlign w:val="bottom"/>
            <w:gridSpan w:val="4"/>
          </w:tcPr>
          <w:p>
            <w:pPr>
              <w:spacing w:after="0"/>
              <w:rPr>
                <w:sz w:val="20"/>
                <w:szCs w:val="20"/>
                <w:color w:val="auto"/>
              </w:rPr>
            </w:pPr>
            <w:r>
              <w:rPr>
                <w:rFonts w:ascii="Courier New" w:cs="Courier New" w:eastAsia="Courier New" w:hAnsi="Courier New"/>
                <w:sz w:val="14"/>
                <w:szCs w:val="14"/>
                <w:color w:val="auto"/>
              </w:rPr>
              <w:t>I. SECTION 7.05(D):  INVESTMENTS IN MICRON ELECTRONICS, INC.</w:t>
            </w:r>
          </w:p>
        </w:tc>
      </w:tr>
      <w:tr>
        <w:trPr>
          <w:trHeight w:val="166"/>
        </w:trPr>
        <w:tc>
          <w:tcPr>
            <w:tcW w:w="560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r>
      <w:tr>
        <w:trPr>
          <w:trHeight w:val="497"/>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Aggregate principal amount of all</w:t>
            </w:r>
          </w:p>
        </w:tc>
        <w:tc>
          <w:tcPr>
            <w:tcW w:w="1120" w:type="dxa"/>
            <w:vAlign w:val="bottom"/>
          </w:tcPr>
          <w:p>
            <w:pPr>
              <w:spacing w:after="0"/>
              <w:rPr>
                <w:sz w:val="24"/>
                <w:szCs w:val="2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outstanding extensions of credit to,</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plus cumulative amount of all equity</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3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contributions made since Closing Date</w:t>
            </w:r>
          </w:p>
        </w:tc>
        <w:tc>
          <w:tcPr>
            <w:tcW w:w="112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 Micron Electronics, Inc:</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520" w:type="dxa"/>
            <w:vAlign w:val="bottom"/>
          </w:tcPr>
          <w:p>
            <w:pPr>
              <w:spacing w:after="0"/>
              <w:rPr>
                <w:sz w:val="24"/>
                <w:szCs w:val="24"/>
                <w:color w:val="auto"/>
              </w:rPr>
            </w:pPr>
          </w:p>
        </w:tc>
        <w:tc>
          <w:tcPr>
            <w:tcW w:w="3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Line I.1 not to exceed $100,000,000</w:t>
            </w:r>
          </w:p>
        </w:tc>
        <w:tc>
          <w:tcPr>
            <w:tcW w:w="1120" w:type="dxa"/>
            <w:vAlign w:val="bottom"/>
          </w:tcPr>
          <w:p>
            <w:pPr>
              <w:spacing w:after="0"/>
              <w:rPr>
                <w:sz w:val="24"/>
                <w:szCs w:val="24"/>
                <w:color w:val="auto"/>
              </w:rPr>
            </w:pPr>
          </w:p>
        </w:tc>
      </w:tr>
    </w:tbl>
    <w:p>
      <w:pPr>
        <w:spacing w:after="0" w:line="335"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J. SECTION 7.05(E):</w:t>
        <w:tab/>
        <w:t>INVESTMENTS IN NON SEMICONDUCTOR OPERATIONS SUBSIDIARIES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 THAN MICRON ELECTRONICS, INC.).</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080" w:type="dxa"/>
        <w:tblCellMar>
          <w:top w:w="0" w:type="dxa"/>
          <w:left w:w="0" w:type="dxa"/>
          <w:bottom w:w="0" w:type="dxa"/>
          <w:right w:w="0" w:type="dxa"/>
        </w:tblCellMar>
      </w:tblPr>
      <w:tr>
        <w:trPr>
          <w:trHeight w:val="162"/>
        </w:trPr>
        <w:tc>
          <w:tcPr>
            <w:tcW w:w="34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FORM OF COMPLIANCE CERTIFICATE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34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-5-</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44" w:name="page145"/>
    <w:bookmarkEnd w:id="144"/>
    <w:p>
      <w:pPr>
        <w:ind w:left="620" w:right="6519" w:hanging="353"/>
        <w:spacing w:after="0" w:line="250" w:lineRule="auto"/>
        <w:tabs>
          <w:tab w:leader="none" w:pos="62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principal amount of all outstanding extensions of credit to, plus cumulative amount of all equity</w:t>
      </w:r>
    </w:p>
    <w:p>
      <w:pPr>
        <w:spacing w:after="0" w:line="1"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20" w:right="64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made since Closing Date in, non Semiconductor Operations Subsidiaries other than Micron</w:t>
      </w:r>
    </w:p>
    <w:p>
      <w:pPr>
        <w:spacing w:after="0" w:line="1" w:lineRule="exact"/>
        <w:rPr>
          <w:sz w:val="20"/>
          <w:szCs w:val="20"/>
          <w:color w:val="auto"/>
        </w:rPr>
      </w:pPr>
    </w:p>
    <w:p>
      <w:pPr>
        <w:ind w:left="620"/>
        <w:spacing w:after="0"/>
        <w:tabs>
          <w:tab w:leader="none" w:pos="4460" w:val="left"/>
        </w:tabs>
        <w:rPr>
          <w:sz w:val="20"/>
          <w:szCs w:val="20"/>
          <w:color w:val="auto"/>
        </w:rPr>
      </w:pPr>
      <w:r>
        <w:rPr>
          <w:rFonts w:ascii="Courier New" w:cs="Courier New" w:eastAsia="Courier New" w:hAnsi="Courier New"/>
          <w:sz w:val="14"/>
          <w:szCs w:val="14"/>
          <w:color w:val="auto"/>
        </w:rPr>
        <w:t>Electronics, Inc.:</w:t>
      </w:r>
      <w:r>
        <w:rPr>
          <w:sz w:val="20"/>
          <w:szCs w:val="20"/>
          <w:color w:val="auto"/>
        </w:rPr>
        <w:tab/>
      </w:r>
      <w:r>
        <w:rPr>
          <w:rFonts w:ascii="Courier New" w:cs="Courier New" w:eastAsia="Courier New" w:hAnsi="Courier New"/>
          <w:sz w:val="14"/>
          <w:szCs w:val="14"/>
          <w:color w:val="auto"/>
        </w:rPr>
        <w:t>$____________</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Line J.1 not to exceed Line E.3b (5% of Combined Tangible Net Worth)</w:t>
      </w:r>
    </w:p>
    <w:p>
      <w:pPr>
        <w:spacing w:after="0" w:line="173"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K. SECTION 7.05(G):</w:t>
        <w:tab/>
        <w:t>ACQUISITIONS OR MINORITY INTERESTS.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Cumulative aggregate consideration paid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(including assumption of debt),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aggregate principal amount of all out-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standing extensions of credit, plus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cumulative amount of all equity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contributions made since Closing</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Date in connection with:</w:t>
      </w:r>
    </w:p>
    <w:p>
      <w:pPr>
        <w:spacing w:after="0" w:line="173"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Acquisitions:</w:t>
      </w:r>
    </w:p>
    <w:p>
      <w:pPr>
        <w:spacing w:after="0" w:line="173" w:lineRule="exact"/>
        <w:rPr>
          <w:sz w:val="20"/>
          <w:szCs w:val="20"/>
          <w:color w:val="auto"/>
        </w:r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Acquisitions of minority interests: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sectPr>
          <w:pgSz w:w="11900" w:h="16838" w:orient="portrait"/>
          <w:cols w:equalWidth="0" w:num="2">
            <w:col w:w="3800" w:space="680"/>
            <w:col w:w="5759"/>
          </w:cols>
          <w:pgMar w:left="220" w:top="616" w:right="1440" w:bottom="1440" w:gutter="0" w:footer="0" w:header="0"/>
          <w:type w:val="continuous"/>
        </w:sectPr>
      </w:pPr>
    </w:p>
    <w:p>
      <w:pPr>
        <w:ind w:left="780" w:right="6179" w:hanging="513"/>
        <w:spacing w:after="0" w:line="250" w:lineRule="auto"/>
        <w:tabs>
          <w:tab w:leader="none" w:pos="7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of minority interests in Subsidiaries that are not Wholly-Owned</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Semiconductor Operations Subsidiaries:$____________</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Lines K.1 +</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K.2 + K.3:</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25% of Line</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G.3c</w:t>
            </w:r>
          </w:p>
        </w:tc>
        <w:tc>
          <w:tcPr>
            <w:tcW w:w="1620" w:type="dxa"/>
            <w:vAlign w:val="bottom"/>
          </w:tcPr>
          <w:p>
            <w:pPr>
              <w:spacing w:after="0"/>
              <w:rPr>
                <w:sz w:val="24"/>
                <w:szCs w:val="24"/>
                <w:color w:val="auto"/>
              </w:rPr>
            </w:pPr>
          </w:p>
        </w:tc>
      </w:tr>
      <w:tr>
        <w:trPr>
          <w:trHeight w:val="166"/>
        </w:trPr>
        <w:tc>
          <w:tcPr>
            <w:tcW w:w="620" w:type="dxa"/>
            <w:vAlign w:val="bottom"/>
          </w:tcPr>
          <w:p>
            <w:pPr>
              <w:spacing w:after="0"/>
              <w:rPr>
                <w:sz w:val="14"/>
                <w:szCs w:val="14"/>
                <w:color w:val="auto"/>
              </w:rPr>
            </w:pPr>
          </w:p>
        </w:tc>
        <w:tc>
          <w:tcPr>
            <w:tcW w:w="3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(Combined Tangible Assets):</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620" w:type="dxa"/>
            <w:vAlign w:val="bottom"/>
          </w:tcPr>
          <w:p>
            <w:pPr>
              <w:spacing w:after="0"/>
              <w:rPr>
                <w:sz w:val="24"/>
                <w:szCs w:val="24"/>
                <w:color w:val="auto"/>
              </w:rPr>
            </w:pPr>
          </w:p>
        </w:tc>
        <w:tc>
          <w:tcPr>
            <w:tcW w:w="336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Line K.4 not to exceed Line K.5</w:t>
            </w:r>
          </w:p>
        </w:tc>
        <w:tc>
          <w:tcPr>
            <w:tcW w:w="1620" w:type="dxa"/>
            <w:vAlign w:val="bottom"/>
          </w:tcPr>
          <w:p>
            <w:pPr>
              <w:spacing w:after="0"/>
              <w:rPr>
                <w:sz w:val="24"/>
                <w:szCs w:val="24"/>
                <w:color w:val="auto"/>
              </w:rPr>
            </w:pPr>
          </w:p>
        </w:tc>
      </w:tr>
      <w:tr>
        <w:trPr>
          <w:trHeight w:val="331"/>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L. SECTION 7.05(O):</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OTHER INVESTMENTS.</w:t>
            </w:r>
          </w:p>
        </w:tc>
        <w:tc>
          <w:tcPr>
            <w:tcW w:w="1620" w:type="dxa"/>
            <w:vAlign w:val="bottom"/>
          </w:tcPr>
          <w:p>
            <w:pPr>
              <w:spacing w:after="0"/>
              <w:rPr>
                <w:sz w:val="24"/>
                <w:szCs w:val="24"/>
                <w:color w:val="auto"/>
              </w:rPr>
            </w:pPr>
          </w:p>
        </w:tc>
      </w:tr>
    </w:tbl>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6359" w:hanging="513"/>
        <w:spacing w:after="0" w:line="250" w:lineRule="auto"/>
        <w:tabs>
          <w:tab w:leader="none" w:pos="7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Cumulative aggregate consideration paid (including assumption of debt), aggregate principal amount of all outstanding extensions of credit, plus cumulative amount of all</w:t>
      </w:r>
    </w:p>
    <w:p>
      <w:pPr>
        <w:spacing w:after="0" w:line="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equity contributions made since</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Closing Date not otherwise</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permitted by Section 7.05: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sectPr>
          <w:pgSz w:w="11900" w:h="16838" w:orient="portrait"/>
          <w:cols w:equalWidth="0" w:num="2">
            <w:col w:w="3760" w:space="720"/>
            <w:col w:w="5759"/>
          </w:cols>
          <w:pgMar w:left="220" w:top="616" w:right="1440" w:bottom="1440" w:gutter="0" w:footer="0" w:header="0"/>
          <w:type w:val="continuous"/>
        </w:sectPr>
      </w:pPr>
    </w:p>
    <w:p>
      <w:pPr>
        <w:ind w:left="780" w:hanging="513"/>
        <w:spacing w:after="0"/>
        <w:tabs>
          <w:tab w:leader="none" w:pos="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of Line G.3c (Combined</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Tangible</w:t>
            </w:r>
          </w:p>
        </w:tc>
        <w:tc>
          <w:tcPr>
            <w:tcW w:w="12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Assets):</w:t>
            </w:r>
          </w:p>
        </w:tc>
        <w:tc>
          <w:tcPr>
            <w:tcW w:w="32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$____________</w:t>
            </w:r>
          </w:p>
        </w:tc>
        <w:tc>
          <w:tcPr>
            <w:tcW w:w="940" w:type="dxa"/>
            <w:vAlign w:val="bottom"/>
          </w:tcPr>
          <w:p>
            <w:pPr>
              <w:spacing w:after="0"/>
              <w:rPr>
                <w:sz w:val="14"/>
                <w:szCs w:val="14"/>
                <w:color w:val="auto"/>
              </w:rPr>
            </w:pP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Line L.1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not to exceed</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Line L.2</w:t>
            </w:r>
          </w:p>
        </w:tc>
        <w:tc>
          <w:tcPr>
            <w:tcW w:w="940" w:type="dxa"/>
            <w:vAlign w:val="bottom"/>
          </w:tcPr>
          <w:p>
            <w:pPr>
              <w:spacing w:after="0"/>
              <w:rPr>
                <w:sz w:val="24"/>
                <w:szCs w:val="24"/>
                <w:color w:val="auto"/>
              </w:rPr>
            </w:pPr>
          </w:p>
        </w:tc>
      </w:tr>
      <w:tr>
        <w:trPr>
          <w:trHeight w:val="331"/>
        </w:trPr>
        <w:tc>
          <w:tcPr>
            <w:tcW w:w="7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FORM OF</w:t>
            </w:r>
          </w:p>
        </w:tc>
        <w:tc>
          <w:tcPr>
            <w:tcW w:w="3240" w:type="dxa"/>
            <w:vAlign w:val="bottom"/>
          </w:tcPr>
          <w:p>
            <w:pPr>
              <w:ind w:left="40"/>
              <w:spacing w:after="0"/>
              <w:rPr>
                <w:sz w:val="20"/>
                <w:szCs w:val="20"/>
                <w:color w:val="auto"/>
              </w:rPr>
            </w:pPr>
            <w:r>
              <w:rPr>
                <w:rFonts w:ascii="Courier New" w:cs="Courier New" w:eastAsia="Courier New" w:hAnsi="Courier New"/>
                <w:sz w:val="14"/>
                <w:szCs w:val="14"/>
                <w:color w:val="auto"/>
              </w:rPr>
              <w:t>COMPLIANCE CERTIFICATE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4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type w:val="continuous"/>
        </w:sectPr>
      </w:pPr>
    </w:p>
    <w:bookmarkStart w:id="145" w:name="page146"/>
    <w:bookmarkEnd w:id="145"/>
    <w:p>
      <w:pPr>
        <w:spacing w:after="0"/>
        <w:tabs>
          <w:tab w:leader="none" w:pos="1800" w:val="left"/>
        </w:tabs>
        <w:rPr>
          <w:sz w:val="20"/>
          <w:szCs w:val="20"/>
          <w:color w:val="auto"/>
        </w:rPr>
      </w:pPr>
      <w:r>
        <w:rPr>
          <w:rFonts w:ascii="Courier New" w:cs="Courier New" w:eastAsia="Courier New" w:hAnsi="Courier New"/>
          <w:sz w:val="14"/>
          <w:szCs w:val="14"/>
          <w:color w:val="auto"/>
        </w:rPr>
        <w:t>M. SECTION 7.06(H):</w:t>
        <w:tab/>
        <w:t>INDEBTEDNESS INCURRED FROM OTHER THAN COMPANY OR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SEMICONDUCTOR OPERATIONS SUBSIDIARIES.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6179" w:hanging="513"/>
        <w:spacing w:after="0" w:line="250" w:lineRule="auto"/>
        <w:tabs>
          <w:tab w:leader="none" w:pos="7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incurred by Semiconductor Operations Subsidiaries from Persons other than Company or Semiconductor</w:t>
      </w:r>
    </w:p>
    <w:p>
      <w:pPr>
        <w:sectPr>
          <w:pgSz w:w="11900" w:h="16838" w:orient="portrait"/>
          <w:cols w:equalWidth="0" w:num="1">
            <w:col w:w="10239"/>
          </w:cols>
          <w:pgMar w:left="220" w:top="616" w:right="1440" w:bottom="1440" w:gutter="0" w:footer="0" w:header="0"/>
        </w:sectPr>
      </w:pP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Operations Subsidiaries: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$____________</w:t>
      </w:r>
    </w:p>
    <w:p>
      <w:pPr>
        <w:spacing w:after="0" w:line="173"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Line M.1 not to exceed $50,000,000</w:t>
      </w:r>
    </w:p>
    <w:p>
      <w:pPr>
        <w:spacing w:after="0" w:line="173"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N. SECTION 7.06(J):</w:t>
        <w:tab/>
        <w:t>PERMITTED SUBORDINATED DEBT.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780" w:hanging="513"/>
        <w:spacing w:after="0"/>
        <w:tabs>
          <w:tab w:leader="none" w:pos="780"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Permitted Subordinated Debt of Company:$____________</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Line N.1 not to exceed $500,000,000</w:t>
      </w:r>
    </w:p>
    <w:p>
      <w:pPr>
        <w:spacing w:after="0" w:line="338" w:lineRule="exact"/>
        <w:rPr>
          <w:rFonts w:ascii="Courier New" w:cs="Courier New" w:eastAsia="Courier New" w:hAnsi="Courier New"/>
          <w:sz w:val="14"/>
          <w:szCs w:val="14"/>
          <w:color w:val="auto"/>
        </w:rPr>
      </w:pPr>
    </w:p>
    <w:p>
      <w:pPr>
        <w:ind w:left="260" w:hanging="252"/>
        <w:spacing w:after="0"/>
        <w:tabs>
          <w:tab w:leader="none" w:pos="26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7.06(K)):  SENIOR UNSECURED DEBT.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4"/>
              </w:rPr>
              <w:t>1.</w:t>
            </w:r>
          </w:p>
        </w:tc>
        <w:tc>
          <w:tcPr>
            <w:tcW w:w="3560" w:type="dxa"/>
            <w:vAlign w:val="bottom"/>
          </w:tcPr>
          <w:p>
            <w:pPr>
              <w:ind w:left="160"/>
              <w:spacing w:after="0"/>
              <w:rPr>
                <w:sz w:val="20"/>
                <w:szCs w:val="20"/>
                <w:color w:val="auto"/>
              </w:rPr>
            </w:pPr>
            <w:r>
              <w:rPr>
                <w:rFonts w:ascii="Courier New" w:cs="Courier New" w:eastAsia="Courier New" w:hAnsi="Courier New"/>
                <w:sz w:val="14"/>
                <w:szCs w:val="14"/>
                <w:color w:val="auto"/>
              </w:rPr>
              <w:t>Senior Unsecured Debt of Company:</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$____________</w:t>
            </w:r>
          </w:p>
        </w:tc>
      </w:tr>
      <w:tr>
        <w:trPr>
          <w:trHeight w:val="331"/>
        </w:trPr>
        <w:tc>
          <w:tcPr>
            <w:tcW w:w="360" w:type="dxa"/>
            <w:vAlign w:val="bottom"/>
          </w:tcPr>
          <w:p>
            <w:pPr>
              <w:spacing w:after="0"/>
              <w:rPr>
                <w:sz w:val="24"/>
                <w:szCs w:val="24"/>
                <w:color w:val="auto"/>
              </w:rPr>
            </w:pPr>
          </w:p>
        </w:tc>
        <w:tc>
          <w:tcPr>
            <w:tcW w:w="3560" w:type="dxa"/>
            <w:vAlign w:val="bottom"/>
          </w:tcPr>
          <w:p>
            <w:pPr>
              <w:ind w:left="160"/>
              <w:spacing w:after="0"/>
              <w:rPr>
                <w:sz w:val="20"/>
                <w:szCs w:val="20"/>
                <w:color w:val="auto"/>
              </w:rPr>
            </w:pPr>
            <w:r>
              <w:rPr>
                <w:rFonts w:ascii="Courier New" w:cs="Courier New" w:eastAsia="Courier New" w:hAnsi="Courier New"/>
                <w:sz w:val="14"/>
                <w:szCs w:val="14"/>
                <w:color w:val="auto"/>
              </w:rPr>
              <w:t>Line O.1 not to exceed $300,000,000</w:t>
            </w:r>
          </w:p>
        </w:tc>
        <w:tc>
          <w:tcPr>
            <w:tcW w:w="1520" w:type="dxa"/>
            <w:vAlign w:val="bottom"/>
          </w:tcPr>
          <w:p>
            <w:pPr>
              <w:spacing w:after="0"/>
              <w:rPr>
                <w:sz w:val="24"/>
                <w:szCs w:val="24"/>
                <w:color w:val="auto"/>
              </w:rPr>
            </w:pPr>
          </w:p>
        </w:tc>
      </w:tr>
    </w:tbl>
    <w:p>
      <w:pPr>
        <w:spacing w:after="0" w:line="335"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P. SECTION 7.06(P):</w:t>
        <w:tab/>
        <w:t>OTHER INDEBTEDNESS AND CONTINGENT OBLIGATIONS FOR OTHER</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THAN BORROWED MONEY.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right="6619" w:hanging="513"/>
        <w:spacing w:after="0" w:line="250" w:lineRule="auto"/>
        <w:tabs>
          <w:tab w:leader="none" w:pos="7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Indebtedness and Contingent Obligations other than for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borrowed money:</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$____________</w:t>
            </w:r>
          </w:p>
        </w:tc>
        <w:tc>
          <w:tcPr>
            <w:tcW w:w="900" w:type="dxa"/>
            <w:vAlign w:val="bottom"/>
          </w:tcPr>
          <w:p>
            <w:pPr>
              <w:spacing w:after="0"/>
              <w:rPr>
                <w:sz w:val="14"/>
                <w:szCs w:val="14"/>
                <w:color w:val="auto"/>
              </w:rPr>
            </w:pPr>
          </w:p>
        </w:tc>
      </w:tr>
      <w:tr>
        <w:trPr>
          <w:trHeight w:val="331"/>
        </w:trPr>
        <w:tc>
          <w:tcPr>
            <w:tcW w:w="620" w:type="dxa"/>
            <w:vAlign w:val="bottom"/>
          </w:tcPr>
          <w:p>
            <w:pPr>
              <w:spacing w:after="0"/>
              <w:rPr>
                <w:sz w:val="24"/>
                <w:szCs w:val="24"/>
                <w:color w:val="auto"/>
              </w:rPr>
            </w:pPr>
          </w:p>
        </w:tc>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Line P.1 not to exceed $50,000,000</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97"/>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Q. SECTION 7.09(D): DISTRIBUTIONS.</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3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Distributions during Subject Period:</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$____________</w:t>
            </w:r>
          </w:p>
        </w:tc>
        <w:tc>
          <w:tcPr>
            <w:tcW w:w="900" w:type="dxa"/>
            <w:vAlign w:val="bottom"/>
          </w:tcPr>
          <w:p>
            <w:pPr>
              <w:spacing w:after="0"/>
              <w:rPr>
                <w:sz w:val="24"/>
                <w:szCs w:val="24"/>
                <w:color w:val="auto"/>
              </w:rPr>
            </w:pPr>
          </w:p>
        </w:tc>
      </w:tr>
      <w:tr>
        <w:trPr>
          <w:trHeight w:val="331"/>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25% of Line D.1a (Combined Net Income):</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$____________</w:t>
            </w:r>
          </w:p>
        </w:tc>
        <w:tc>
          <w:tcPr>
            <w:tcW w:w="900" w:type="dxa"/>
            <w:vAlign w:val="bottom"/>
          </w:tcPr>
          <w:p>
            <w:pPr>
              <w:spacing w:after="0"/>
              <w:rPr>
                <w:sz w:val="24"/>
                <w:szCs w:val="24"/>
                <w:color w:val="auto"/>
              </w:rPr>
            </w:pPr>
          </w:p>
        </w:tc>
      </w:tr>
      <w:tr>
        <w:trPr>
          <w:trHeight w:val="331"/>
        </w:trPr>
        <w:tc>
          <w:tcPr>
            <w:tcW w:w="620" w:type="dxa"/>
            <w:vAlign w:val="bottom"/>
          </w:tcPr>
          <w:p>
            <w:pPr>
              <w:spacing w:after="0"/>
              <w:rPr>
                <w:sz w:val="24"/>
                <w:szCs w:val="24"/>
                <w:color w:val="auto"/>
              </w:rPr>
            </w:pPr>
          </w:p>
        </w:tc>
        <w:tc>
          <w:tcPr>
            <w:tcW w:w="3740" w:type="dxa"/>
            <w:vAlign w:val="bottom"/>
          </w:tcPr>
          <w:p>
            <w:pPr>
              <w:ind w:left="160"/>
              <w:spacing w:after="0"/>
              <w:rPr>
                <w:sz w:val="20"/>
                <w:szCs w:val="20"/>
                <w:color w:val="auto"/>
              </w:rPr>
            </w:pPr>
            <w:r>
              <w:rPr>
                <w:rFonts w:ascii="Courier New" w:cs="Courier New" w:eastAsia="Courier New" w:hAnsi="Courier New"/>
                <w:sz w:val="14"/>
                <w:szCs w:val="14"/>
                <w:color w:val="auto"/>
              </w:rPr>
              <w:t>Line Q.1 not to exceed Line Q.2</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620" w:type="dxa"/>
            <w:vAlign w:val="bottom"/>
          </w:tcPr>
          <w:p>
            <w:pPr>
              <w:spacing w:after="0"/>
              <w:rPr>
                <w:sz w:val="24"/>
                <w:szCs w:val="24"/>
                <w:color w:val="auto"/>
              </w:rPr>
            </w:pPr>
          </w:p>
        </w:tc>
        <w:tc>
          <w:tcPr>
            <w:tcW w:w="5380" w:type="dxa"/>
            <w:vAlign w:val="bottom"/>
            <w:gridSpan w:val="2"/>
          </w:tcPr>
          <w:p>
            <w:pPr>
              <w:ind w:left="1460"/>
              <w:spacing w:after="0"/>
              <w:rPr>
                <w:sz w:val="20"/>
                <w:szCs w:val="20"/>
                <w:color w:val="auto"/>
              </w:rPr>
            </w:pPr>
            <w:r>
              <w:rPr>
                <w:rFonts w:ascii="Courier New" w:cs="Courier New" w:eastAsia="Courier New" w:hAnsi="Courier New"/>
                <w:sz w:val="14"/>
                <w:szCs w:val="14"/>
                <w:color w:val="auto"/>
              </w:rPr>
              <w:t>FORM OF COMPLIANCE CERTIFICATE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620" w:type="dxa"/>
            <w:vAlign w:val="bottom"/>
          </w:tcPr>
          <w:p>
            <w:pPr>
              <w:spacing w:after="0"/>
              <w:rPr>
                <w:sz w:val="14"/>
                <w:szCs w:val="14"/>
                <w:color w:val="auto"/>
              </w:rPr>
            </w:pPr>
          </w:p>
        </w:tc>
        <w:tc>
          <w:tcPr>
            <w:tcW w:w="3740" w:type="dxa"/>
            <w:vAlign w:val="bottom"/>
          </w:tcPr>
          <w:p>
            <w:pPr>
              <w:ind w:left="2580"/>
              <w:spacing w:after="0"/>
              <w:rPr>
                <w:sz w:val="20"/>
                <w:szCs w:val="20"/>
                <w:color w:val="auto"/>
              </w:rPr>
            </w:pPr>
            <w:r>
              <w:rPr>
                <w:rFonts w:ascii="Courier New" w:cs="Courier New" w:eastAsia="Courier New" w:hAnsi="Courier New"/>
                <w:sz w:val="14"/>
                <w:szCs w:val="14"/>
                <w:color w:val="auto"/>
              </w:rPr>
              <w:t>-7-</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type w:val="continuous"/>
        </w:sectPr>
      </w:pPr>
    </w:p>
    <w:bookmarkStart w:id="146" w:name="page147"/>
    <w:bookmarkEnd w:id="146"/>
    <w:p>
      <w:pPr>
        <w:ind w:left="4920"/>
        <w:spacing w:after="0"/>
        <w:rPr>
          <w:sz w:val="20"/>
          <w:szCs w:val="20"/>
          <w:color w:val="auto"/>
        </w:rPr>
      </w:pPr>
      <w:r>
        <w:rPr>
          <w:rFonts w:ascii="Courier New" w:cs="Courier New" w:eastAsia="Courier New" w:hAnsi="Courier New"/>
          <w:sz w:val="14"/>
          <w:szCs w:val="14"/>
          <w:color w:val="auto"/>
        </w:rPr>
        <w:t>EXHIBIT E-1</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left="80" w:right="4459"/>
        <w:spacing w:after="0" w:line="255" w:lineRule="auto"/>
        <w:rPr>
          <w:sz w:val="20"/>
          <w:szCs w:val="20"/>
          <w:color w:val="auto"/>
        </w:rPr>
      </w:pPr>
      <w:r>
        <w:rPr>
          <w:rFonts w:ascii="Courier New" w:cs="Courier New" w:eastAsia="Courier New" w:hAnsi="Courier New"/>
          <w:sz w:val="14"/>
          <w:szCs w:val="14"/>
          <w:color w:val="auto"/>
        </w:rPr>
        <w:t>FORM OF OPINION OF COMPANY'S ASSISTANT GENERAL COUNSEL ------------------------------------------------------</w:t>
      </w:r>
    </w:p>
    <w:p>
      <w:pPr>
        <w:spacing w:after="0" w:line="160"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ATTACHMENT HERETO.</w:t>
      </w:r>
    </w:p>
    <w:p>
      <w:pPr>
        <w:sectPr>
          <w:pgSz w:w="11900" w:h="16838" w:orient="portrait"/>
          <w:cols w:equalWidth="0" w:num="1">
            <w:col w:w="9199"/>
          </w:cols>
          <w:pgMar w:left="1260" w:top="616" w:right="1440" w:bottom="1440" w:gutter="0" w:footer="0" w:header="0"/>
        </w:sectPr>
      </w:pPr>
    </w:p>
    <w:p>
      <w:pPr>
        <w:spacing w:after="0" w:line="173" w:lineRule="exact"/>
        <w:rPr>
          <w:sz w:val="20"/>
          <w:szCs w:val="20"/>
          <w:color w:val="auto"/>
        </w:rPr>
      </w:pPr>
    </w:p>
    <w:p>
      <w:pPr>
        <w:jc w:val="center"/>
        <w:spacing w:after="0" w:line="255" w:lineRule="auto"/>
        <w:rPr>
          <w:sz w:val="20"/>
          <w:szCs w:val="20"/>
          <w:color w:val="auto"/>
        </w:rPr>
      </w:pPr>
      <w:r>
        <w:rPr>
          <w:rFonts w:ascii="Courier New" w:cs="Courier New" w:eastAsia="Courier New" w:hAnsi="Courier New"/>
          <w:sz w:val="14"/>
          <w:szCs w:val="14"/>
          <w:color w:val="auto"/>
        </w:rPr>
        <w:t>FORM OF OPINION OF COMPANY'S ASSOCIATE GENERAL COUNSEL E-1-1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5/23/97</w:t>
      </w:r>
    </w:p>
    <w:p>
      <w:pPr>
        <w:sectPr>
          <w:pgSz w:w="11900" w:h="16838" w:orient="portrait"/>
          <w:cols w:equalWidth="0" w:num="2">
            <w:col w:w="4660" w:space="600"/>
            <w:col w:w="3939"/>
          </w:cols>
          <w:pgMar w:left="1260" w:top="616" w:right="1440" w:bottom="1440" w:gutter="0" w:footer="0" w:header="0"/>
          <w:type w:val="continuous"/>
        </w:sectPr>
      </w:pPr>
    </w:p>
    <w:bookmarkStart w:id="147" w:name="page148"/>
    <w:bookmarkEnd w:id="147"/>
    <w:p>
      <w:pPr>
        <w:ind w:left="4740"/>
        <w:spacing w:after="0"/>
        <w:rPr>
          <w:sz w:val="20"/>
          <w:szCs w:val="20"/>
          <w:color w:val="auto"/>
        </w:rPr>
      </w:pPr>
      <w:r>
        <w:rPr>
          <w:rFonts w:ascii="Courier New" w:cs="Courier New" w:eastAsia="Courier New" w:hAnsi="Courier New"/>
          <w:sz w:val="14"/>
          <w:szCs w:val="14"/>
          <w:color w:val="auto"/>
        </w:rPr>
        <w:t>EXHIBIT E-2</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FORM OF OPINION OF COMPANY'S OUTSIDE COUNSEL</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SEE ATTACHMENT HERETO.</w:t>
      </w:r>
    </w:p>
    <w:p>
      <w:pPr>
        <w:sectPr>
          <w:pgSz w:w="11900" w:h="16838" w:orient="portrait"/>
          <w:cols w:equalWidth="0" w:num="1">
            <w:col w:w="9019"/>
          </w:cols>
          <w:pgMar w:left="1440" w:top="616" w:right="1440" w:bottom="1440" w:gutter="0" w:footer="0" w:header="0"/>
        </w:sectPr>
      </w:pPr>
    </w:p>
    <w:p>
      <w:pPr>
        <w:spacing w:after="0" w:line="17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FORM OF OPINION OF COMPANY'S OUTSIDE COUNSEL</w:t>
      </w:r>
    </w:p>
    <w:p>
      <w:pPr>
        <w:spacing w:after="0" w:line="7" w:lineRule="exact"/>
        <w:rPr>
          <w:sz w:val="20"/>
          <w:szCs w:val="20"/>
          <w:color w:val="auto"/>
        </w:rPr>
      </w:pPr>
    </w:p>
    <w:p>
      <w:pPr>
        <w:jc w:val="center"/>
        <w:ind w:left="20"/>
        <w:spacing w:after="0"/>
        <w:rPr>
          <w:sz w:val="20"/>
          <w:szCs w:val="20"/>
          <w:color w:val="auto"/>
        </w:rPr>
      </w:pPr>
      <w:r>
        <w:rPr>
          <w:rFonts w:ascii="Courier New" w:cs="Courier New" w:eastAsia="Courier New" w:hAnsi="Courier New"/>
          <w:sz w:val="14"/>
          <w:szCs w:val="14"/>
          <w:color w:val="auto"/>
        </w:rPr>
        <w:t>E-2-2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5/23/97</w:t>
      </w:r>
    </w:p>
    <w:p>
      <w:pPr>
        <w:sectPr>
          <w:pgSz w:w="11900" w:h="16838" w:orient="portrait"/>
          <w:cols w:equalWidth="0" w:num="2">
            <w:col w:w="4360" w:space="720"/>
            <w:col w:w="3939"/>
          </w:cols>
          <w:pgMar w:left="1440" w:top="616" w:right="1440" w:bottom="1440" w:gutter="0" w:footer="0" w:header="0"/>
          <w:type w:val="continuous"/>
        </w:sectPr>
      </w:pPr>
    </w:p>
    <w:bookmarkStart w:id="148" w:name="page149"/>
    <w:bookmarkEnd w:id="148"/>
    <w:p>
      <w:pPr>
        <w:jc w:val="right"/>
        <w:ind w:right="3339"/>
        <w:spacing w:after="0"/>
        <w:rPr>
          <w:sz w:val="20"/>
          <w:szCs w:val="20"/>
          <w:color w:val="auto"/>
        </w:rPr>
      </w:pPr>
      <w:r>
        <w:rPr>
          <w:rFonts w:ascii="Courier New" w:cs="Courier New" w:eastAsia="Courier New" w:hAnsi="Courier New"/>
          <w:sz w:val="14"/>
          <w:szCs w:val="14"/>
          <w:color w:val="auto"/>
        </w:rPr>
        <w:t>EXHIBIT F</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FORM OF ASSIGNMENT AND ACCEPTANCE AGREEMENT</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This ASSIGNMENT AND ACCEPTANCE AGREEMENT (this "Assignment and</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Acceptance") dated as of ____________, 199__ is made between 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"Assignor") and ________________ (the "Assignee").</w:t>
      </w:r>
    </w:p>
    <w:p>
      <w:pPr>
        <w:spacing w:after="0" w:line="7" w:lineRule="exact"/>
        <w:rPr>
          <w:sz w:val="20"/>
          <w:szCs w:val="20"/>
          <w:color w:val="auto"/>
        </w:rPr>
      </w:pPr>
    </w:p>
    <w:p>
      <w:pPr>
        <w:ind w:left="52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RECITALS</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WHEREAS, the Assignor is party to that certain First Amended and Restated Revolving Credit Agreement dated as of May 28, 1997 (as amended, amended and restated, modified, supplemented or renewed, the "Credit Agreement") among</w:t>
      </w:r>
    </w:p>
    <w:p>
      <w:pPr>
        <w:spacing w:after="0" w:line="1"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 (the "Company"), the several financial institutions from</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to time party thereto (including the Assignor, the "Banks"), and Bank of</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America National Trust and Savings Association, as agent for the Banks (the "Agent"). Any terms defined in the Credit Agreement and not defined in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Assignment and Acceptance are used herein as defined in the Credit Agreement;</w:t>
      </w:r>
    </w:p>
    <w:p>
      <w:pPr>
        <w:spacing w:after="0" w:line="173" w:lineRule="exact"/>
        <w:rPr>
          <w:sz w:val="20"/>
          <w:szCs w:val="20"/>
          <w:color w:val="auto"/>
        </w:rPr>
      </w:pPr>
    </w:p>
    <w:p>
      <w:pPr>
        <w:ind w:right="3599" w:firstLine="603"/>
        <w:spacing w:after="0" w:line="250" w:lineRule="auto"/>
        <w:rPr>
          <w:sz w:val="20"/>
          <w:szCs w:val="20"/>
          <w:color w:val="auto"/>
        </w:rPr>
      </w:pPr>
      <w:r>
        <w:rPr>
          <w:rFonts w:ascii="Courier New" w:cs="Courier New" w:eastAsia="Courier New" w:hAnsi="Courier New"/>
          <w:sz w:val="14"/>
          <w:szCs w:val="14"/>
          <w:color w:val="auto"/>
        </w:rPr>
        <w:t>WHEREAS, as provided under the Credit Agreement, the Assignor has committed to making Loans (the "Loans") to the Company in an aggregate amount</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to exceed $__________ (the "Commitment");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603"/>
        <w:spacing w:after="0" w:line="252" w:lineRule="auto"/>
        <w:rPr>
          <w:sz w:val="20"/>
          <w:szCs w:val="20"/>
          <w:color w:val="auto"/>
        </w:rPr>
      </w:pPr>
      <w:r>
        <w:rPr>
          <w:rFonts w:ascii="Courier New" w:cs="Courier New" w:eastAsia="Courier New" w:hAnsi="Courier New"/>
          <w:sz w:val="14"/>
          <w:szCs w:val="14"/>
          <w:color w:val="auto"/>
        </w:rPr>
        <w:t>WHEREAS, [the Assignor has made Loans in the aggregate principal amount of $__________ to the Company] [no Loans are outstanding under the Credit Agreement]; and</w:t>
      </w:r>
    </w:p>
    <w:p>
      <w:pPr>
        <w:spacing w:after="0" w:line="163" w:lineRule="exact"/>
        <w:rPr>
          <w:sz w:val="20"/>
          <w:szCs w:val="20"/>
          <w:color w:val="auto"/>
        </w:rPr>
      </w:pPr>
    </w:p>
    <w:p>
      <w:pPr>
        <w:ind w:right="3339" w:firstLine="603"/>
        <w:spacing w:after="0" w:line="250" w:lineRule="auto"/>
        <w:rPr>
          <w:sz w:val="20"/>
          <w:szCs w:val="20"/>
          <w:color w:val="auto"/>
        </w:rPr>
      </w:pPr>
      <w:r>
        <w:rPr>
          <w:rFonts w:ascii="Courier New" w:cs="Courier New" w:eastAsia="Courier New" w:hAnsi="Courier New"/>
          <w:sz w:val="14"/>
          <w:szCs w:val="14"/>
          <w:color w:val="auto"/>
        </w:rPr>
        <w:t>WHEREAS, the Assignor wishes to assign to the Assignee [part of the] [all] rights and obligations of the Assignor under the Credit Agreement in respect of its Commitment, [together with a corresponding portion of each of its outstanding Loans], in an amount equal to $__________ (the "Assigned Amount"),</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on the terms and subject to the conditions set forth herein and the Assignee wishes to accept assignment of such rights and to assume such obligations from the Assignor on such terms and subject to such conditions.</w:t>
      </w:r>
    </w:p>
    <w:p>
      <w:pPr>
        <w:spacing w:after="0" w:line="329" w:lineRule="exact"/>
        <w:rPr>
          <w:sz w:val="20"/>
          <w:szCs w:val="20"/>
          <w:color w:val="auto"/>
        </w:rPr>
      </w:pPr>
    </w:p>
    <w:p>
      <w:pPr>
        <w:ind w:right="4119" w:firstLine="603"/>
        <w:spacing w:after="0" w:line="255" w:lineRule="auto"/>
        <w:rPr>
          <w:sz w:val="20"/>
          <w:szCs w:val="20"/>
          <w:color w:val="auto"/>
        </w:rPr>
      </w:pPr>
      <w:r>
        <w:rPr>
          <w:rFonts w:ascii="Courier New" w:cs="Courier New" w:eastAsia="Courier New" w:hAnsi="Courier New"/>
          <w:sz w:val="14"/>
          <w:szCs w:val="14"/>
          <w:color w:val="auto"/>
        </w:rPr>
        <w:t>NOW, THEREFORE, in consideration of the foregoing and the mutual agreements contained herein, the parties hereto agree as follows:</w:t>
      </w:r>
    </w:p>
    <w:p>
      <w:pPr>
        <w:spacing w:after="0" w:line="326"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1.  Assignment and</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Acceptance.</w:t>
            </w:r>
          </w:p>
        </w:tc>
        <w:tc>
          <w:tcPr>
            <w:tcW w:w="1080" w:type="dxa"/>
            <w:vAlign w:val="bottom"/>
          </w:tcPr>
          <w:p>
            <w:pPr>
              <w:spacing w:after="0"/>
              <w:rPr>
                <w:sz w:val="14"/>
                <w:szCs w:val="14"/>
                <w:color w:val="auto"/>
              </w:rPr>
            </w:pPr>
          </w:p>
        </w:tc>
      </w:tr>
      <w:tr>
        <w:trPr>
          <w:trHeight w:val="166"/>
        </w:trPr>
        <w:tc>
          <w:tcPr>
            <w:tcW w:w="5120" w:type="dxa"/>
            <w:vAlign w:val="bottom"/>
            <w:gridSpan w:val="2"/>
          </w:tcPr>
          <w:p>
            <w:pPr>
              <w:jc w:val="right"/>
              <w:ind w:right="2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FORM OF</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1580" w:type="dxa"/>
            <w:vAlign w:val="bottom"/>
          </w:tcPr>
          <w:p>
            <w:pPr>
              <w:spacing w:after="0"/>
              <w:rPr>
                <w:sz w:val="14"/>
                <w:szCs w:val="14"/>
                <w:color w:val="auto"/>
              </w:rPr>
            </w:pPr>
          </w:p>
        </w:tc>
        <w:tc>
          <w:tcPr>
            <w:tcW w:w="3540" w:type="dxa"/>
            <w:vAlign w:val="bottom"/>
          </w:tcPr>
          <w:p>
            <w:pPr>
              <w:ind w:left="1080"/>
              <w:spacing w:after="0"/>
              <w:rPr>
                <w:sz w:val="20"/>
                <w:szCs w:val="20"/>
                <w:color w:val="auto"/>
              </w:rPr>
            </w:pPr>
            <w:r>
              <w:rPr>
                <w:rFonts w:ascii="Courier New" w:cs="Courier New" w:eastAsia="Courier New" w:hAnsi="Courier New"/>
                <w:sz w:val="14"/>
                <w:szCs w:val="14"/>
                <w:color w:val="auto"/>
              </w:rPr>
              <w:t>F-1</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49" w:name="page150"/>
    <w:bookmarkEnd w:id="149"/>
    <w:p>
      <w:pPr>
        <w:ind w:right="3339" w:firstLine="870"/>
        <w:spacing w:after="0" w:line="250" w:lineRule="auto"/>
        <w:tabs>
          <w:tab w:leader="none" w:pos="1292"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this Assignment and Acceptance, (i) the Assignor hereby sells, transfers and assigns to the Assignee, and (ii) the Assignee hereby purchases, assumes and undertakes from the Assignor, without recourse and without representation or warranty (except as provided in this Assignment and Acceptance) ___% (the "Assignee's Percentage</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of (A) the Commitment [and the Loans] of the Assignor and (B)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related rights, benefits, obligations, liabilities and indemnities of the Assignor under and in connection with the Credit Agreement and the Loan Documents.</w:t>
      </w:r>
    </w:p>
    <w:p>
      <w:pPr>
        <w:spacing w:after="0" w:line="163" w:lineRule="exact"/>
        <w:rPr>
          <w:sz w:val="20"/>
          <w:szCs w:val="20"/>
          <w:color w:val="auto"/>
        </w:rPr>
      </w:pPr>
    </w:p>
    <w:p>
      <w:pPr>
        <w:ind w:right="3339" w:firstLine="870"/>
        <w:spacing w:after="0" w:line="250" w:lineRule="auto"/>
        <w:tabs>
          <w:tab w:leader="none" w:pos="129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effect on and after the Effective Date (as defined in Section 5 hereof), the Assignee shall be a party to the Credit Agreement and succeed to all of the rights and be obligated to perform all of the obligations of a Bank under the Credit Agreement, including the requirements concerning confidentiality and the payment of indemnification, with a Commitment in an amount equal to the Assigned Amount. The Assignee agrees that it will perform in accordance with their terms all of the obligations which by the terms of the Credit Agreement are required to be performed by it as a Bank. It is the intent of the parties hereto that the Commitment of the Assignor shall, as of the Effective Date, be reduced by an amount equal to the Assigned Amount and the Assignor shall relinquish its rights and be released from its obligations under the Credit Agreement to the extent such obligations have been assumed by the Assignee; provided, however, that the Assignor shall not relinquish its rights</w:t>
      </w:r>
    </w:p>
    <w:p>
      <w:pPr>
        <w:spacing w:after="0" w:line="5"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7"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Sections 10.04 and 10.05 of the Credit Agreement to the extent such rights relate to the time prior to the Effective Date.</w:t>
      </w:r>
    </w:p>
    <w:p>
      <w:pPr>
        <w:spacing w:after="0" w:line="159" w:lineRule="exact"/>
        <w:rPr>
          <w:rFonts w:ascii="Courier New" w:cs="Courier New" w:eastAsia="Courier New" w:hAnsi="Courier New"/>
          <w:sz w:val="14"/>
          <w:szCs w:val="14"/>
          <w:color w:val="auto"/>
        </w:rPr>
      </w:pPr>
    </w:p>
    <w:p>
      <w:pPr>
        <w:ind w:right="3599" w:firstLine="870"/>
        <w:spacing w:after="0" w:line="255" w:lineRule="auto"/>
        <w:tabs>
          <w:tab w:leader="none" w:pos="129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assignment and assumption set forth herein, on the Effective Date the Assignee's Commitment will be $__________.</w:t>
      </w:r>
    </w:p>
    <w:p>
      <w:pPr>
        <w:spacing w:after="0" w:line="159" w:lineRule="exact"/>
        <w:rPr>
          <w:rFonts w:ascii="Courier New" w:cs="Courier New" w:eastAsia="Courier New" w:hAnsi="Courier New"/>
          <w:sz w:val="14"/>
          <w:szCs w:val="14"/>
          <w:color w:val="auto"/>
        </w:rPr>
      </w:pPr>
    </w:p>
    <w:p>
      <w:pPr>
        <w:ind w:right="3599" w:firstLine="870"/>
        <w:spacing w:after="0" w:line="255" w:lineRule="auto"/>
        <w:tabs>
          <w:tab w:leader="none" w:pos="1292" w:val="left"/>
        </w:tabs>
        <w:numPr>
          <w:ilvl w:val="1"/>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assignment and assumption set forth herein, on the Effective Date the Assignor's Commitment will be $__________.</w:t>
      </w:r>
    </w:p>
    <w:p>
      <w:pPr>
        <w:spacing w:after="0" w:line="159" w:lineRule="exact"/>
        <w:rPr>
          <w:rFonts w:ascii="Courier New" w:cs="Courier New" w:eastAsia="Courier New" w:hAnsi="Courier New"/>
          <w:sz w:val="14"/>
          <w:szCs w:val="14"/>
          <w:color w:val="auto"/>
        </w:rPr>
      </w:pPr>
    </w:p>
    <w:p>
      <w:pPr>
        <w:ind w:left="960" w:hanging="349"/>
        <w:spacing w:after="0"/>
        <w:tabs>
          <w:tab w:leader="none" w:pos="9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consideration for the sale, assignment and transfer contemplated in Section 1 hereof, the Assignee shall pay to the Assignor on the Effective Date in immediately available funds an amount equal to $__________, representing the Assignee's Pro Rata Share of the principal amount of all Loans.</w:t>
      </w:r>
    </w:p>
    <w:p>
      <w:pPr>
        <w:spacing w:after="0" w:line="162" w:lineRule="exact"/>
        <w:rPr>
          <w:rFonts w:ascii="Courier New" w:cs="Courier New" w:eastAsia="Courier New" w:hAnsi="Courier New"/>
          <w:sz w:val="14"/>
          <w:szCs w:val="14"/>
          <w:color w:val="auto"/>
        </w:rPr>
      </w:pPr>
    </w:p>
    <w:p>
      <w:pPr>
        <w:ind w:right="3679" w:firstLine="870"/>
        <w:spacing w:after="0" w:line="255" w:lineRule="auto"/>
        <w:tabs>
          <w:tab w:leader="none" w:pos="1206"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[Assignee] further agrees to pay to the Agent a processing fee in the amount specified in</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FORM OF 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F-2</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4"/>
          <w:szCs w:val="14"/>
          <w:color w:val="auto"/>
        </w:rPr>
        <w:t>Section 10.08 of the Credit Agreement.</w:t>
      </w:r>
    </w:p>
    <w:p>
      <w:pPr>
        <w:spacing w:after="0" w:line="173" w:lineRule="exact"/>
        <w:rPr>
          <w:sz w:val="20"/>
          <w:szCs w:val="20"/>
          <w:color w:val="auto"/>
        </w:rPr>
      </w:pPr>
    </w:p>
    <w:p>
      <w:pPr>
        <w:ind w:left="960" w:hanging="349"/>
        <w:spacing w:after="0"/>
        <w:tabs>
          <w:tab w:leader="none" w:pos="9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Reallocation of Payments.  Any interest, fees and other payments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accrued to the Effective Date with respect to the Commitment [and Loans] shall be for the account of the Assignor. Any interest, fees and other payments accrued on and after the Effective Date with respect to the Assigned Amount shall be for the account of the Assignee. Each of the Assignor and the Assignee agrees that it will hold in trust for the other party any interest, fees and other amounts which it may receive to which the other party is entitled pursuant to the preceding sentence and pay to the other party any such amounts which it may receive promptly upon receipt.</w:t>
      </w:r>
    </w:p>
    <w:p>
      <w:pPr>
        <w:spacing w:after="0" w:line="164" w:lineRule="exact"/>
        <w:rPr>
          <w:sz w:val="20"/>
          <w:szCs w:val="20"/>
          <w:color w:val="auto"/>
        </w:rPr>
      </w:pPr>
    </w:p>
    <w:p>
      <w:pPr>
        <w:ind w:left="960" w:hanging="349"/>
        <w:spacing w:after="0"/>
        <w:tabs>
          <w:tab w:leader="none" w:pos="9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Independent Credit Decision.  The Assignee (a) acknowledges that it</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has received a copy of the Credit Agreement and the Schedules and Exhibits thereto, together with copies of the most recent financial statements referred to in Section 6.01 of the Credit Agreement, and such other documents and information as it has deemed appropriate to make its own credit and legal analysis and decision to enter into this Assignment and Acceptance; and (b) agrees that it will, independently and without reliance upon the Assignor, the Agent or any other Bank and based on such documents and information as it shall deem appropriate at the time, continue to make its own credit and legal decisions in taking or not taking action under the Credit Agreement.</w:t>
      </w:r>
    </w:p>
    <w:p>
      <w:pPr>
        <w:spacing w:after="0" w:line="164" w:lineRule="exact"/>
        <w:rPr>
          <w:sz w:val="20"/>
          <w:szCs w:val="20"/>
          <w:color w:val="auto"/>
        </w:rPr>
      </w:pPr>
    </w:p>
    <w:p>
      <w:pPr>
        <w:ind w:left="960" w:hanging="349"/>
        <w:spacing w:after="0"/>
        <w:tabs>
          <w:tab w:leader="none" w:pos="9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Notices.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70"/>
        <w:spacing w:after="0" w:line="250" w:lineRule="auto"/>
        <w:tabs>
          <w:tab w:leader="none" w:pos="1292"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between the Assignor and the Assignee, the effective date for this Assignment and Acceptance shall be _____________, 199__ (the "Effective</w:t>
      </w:r>
    </w:p>
    <w:p>
      <w:pPr>
        <w:spacing w:after="0" w:line="1"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provided that the following conditions precedent have been satisfied on</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before the Effective Date:</w:t>
      </w:r>
    </w:p>
    <w:p>
      <w:pPr>
        <w:spacing w:after="0" w:line="173" w:lineRule="exact"/>
        <w:rPr>
          <w:sz w:val="20"/>
          <w:szCs w:val="20"/>
          <w:color w:val="auto"/>
        </w:rPr>
      </w:pPr>
    </w:p>
    <w:p>
      <w:pPr>
        <w:ind w:left="620" w:right="3939" w:firstLine="680"/>
        <w:spacing w:after="0" w:line="255" w:lineRule="auto"/>
        <w:tabs>
          <w:tab w:leader="none" w:pos="1826"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executed and delivered by the Assignor and the Assignee;</w:t>
      </w:r>
    </w:p>
    <w:p>
      <w:pPr>
        <w:spacing w:after="0" w:line="159" w:lineRule="exact"/>
        <w:rPr>
          <w:rFonts w:ascii="Courier New" w:cs="Courier New" w:eastAsia="Courier New" w:hAnsi="Courier New"/>
          <w:sz w:val="14"/>
          <w:szCs w:val="14"/>
          <w:color w:val="auto"/>
        </w:rPr>
      </w:pPr>
    </w:p>
    <w:p>
      <w:pPr>
        <w:ind w:left="620" w:right="3339" w:firstLine="680"/>
        <w:spacing w:after="0" w:line="252" w:lineRule="auto"/>
        <w:tabs>
          <w:tab w:leader="none" w:pos="1826"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consent of the Company and the Agent required for an effective assignment of the Assigned Amount by the Assignor to the Assignee under Section 10.08 of the Credit Agreement shall have been duly obtained and shall be in full force and effect as of the Effective Date;</w:t>
      </w:r>
    </w:p>
    <w:p>
      <w:pPr>
        <w:spacing w:after="0" w:line="327" w:lineRule="exact"/>
        <w:rPr>
          <w:rFonts w:ascii="Courier New" w:cs="Courier New" w:eastAsia="Courier New" w:hAnsi="Courier New"/>
          <w:sz w:val="14"/>
          <w:szCs w:val="14"/>
          <w:color w:val="auto"/>
        </w:rPr>
      </w:pPr>
    </w:p>
    <w:p>
      <w:pPr>
        <w:ind w:left="620" w:right="3519" w:firstLine="680"/>
        <w:spacing w:after="0" w:line="255" w:lineRule="auto"/>
        <w:tabs>
          <w:tab w:leader="none" w:pos="1826"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shall pay to the Assignor all amounts due to the Assignor under this Assignment and Acceptance;</w:t>
      </w:r>
    </w:p>
    <w:p>
      <w:pPr>
        <w:spacing w:after="0" w:line="159" w:lineRule="exact"/>
        <w:rPr>
          <w:rFonts w:ascii="Courier New" w:cs="Courier New" w:eastAsia="Courier New" w:hAnsi="Courier New"/>
          <w:sz w:val="14"/>
          <w:szCs w:val="14"/>
          <w:color w:val="auto"/>
        </w:rPr>
      </w:pPr>
    </w:p>
    <w:p>
      <w:pPr>
        <w:ind w:left="1820" w:hanging="520"/>
        <w:spacing w:after="0"/>
        <w:tabs>
          <w:tab w:leader="none" w:pos="182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shall have complied with</w:t>
      </w:r>
    </w:p>
    <w:p>
      <w:pPr>
        <w:spacing w:after="0" w:line="173"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FORM OF 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F-3</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1" w:name="page152"/>
    <w:bookmarkEnd w:id="151"/>
    <w:p>
      <w:pPr>
        <w:ind w:left="620"/>
        <w:spacing w:after="0"/>
        <w:rPr>
          <w:sz w:val="20"/>
          <w:szCs w:val="20"/>
          <w:color w:val="auto"/>
        </w:rPr>
      </w:pPr>
      <w:r>
        <w:rPr>
          <w:rFonts w:ascii="Courier New" w:cs="Courier New" w:eastAsia="Courier New" w:hAnsi="Courier New"/>
          <w:sz w:val="14"/>
          <w:szCs w:val="14"/>
          <w:color w:val="auto"/>
        </w:rPr>
        <w:t>Section 10.08 of the Credit Agreement (if applicable);</w:t>
      </w:r>
    </w:p>
    <w:p>
      <w:pPr>
        <w:spacing w:after="0" w:line="173" w:lineRule="exact"/>
        <w:rPr>
          <w:sz w:val="20"/>
          <w:szCs w:val="20"/>
          <w:color w:val="auto"/>
        </w:rPr>
      </w:pPr>
    </w:p>
    <w:p>
      <w:pPr>
        <w:ind w:left="620" w:right="3519" w:firstLine="680"/>
        <w:spacing w:after="0" w:line="252" w:lineRule="auto"/>
        <w:tabs>
          <w:tab w:leader="none" w:pos="1826"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processing fee referred to in Section 2(b) hereof and in Section 10.08 of the Credit Agreement shall have been paid to the Agent; and</w:t>
      </w:r>
    </w:p>
    <w:p>
      <w:pPr>
        <w:spacing w:after="0" w:line="162" w:lineRule="exact"/>
        <w:rPr>
          <w:rFonts w:ascii="Courier New" w:cs="Courier New" w:eastAsia="Courier New" w:hAnsi="Courier New"/>
          <w:sz w:val="14"/>
          <w:szCs w:val="14"/>
          <w:color w:val="auto"/>
        </w:rPr>
      </w:pPr>
    </w:p>
    <w:p>
      <w:pPr>
        <w:ind w:left="620" w:right="3339" w:firstLine="680"/>
        <w:spacing w:after="0" w:line="252" w:lineRule="auto"/>
        <w:tabs>
          <w:tab w:leader="none" w:pos="1826"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shall have assigned and the Assignee shall have assumed a percentage equal to the Assignee's Percentage Share of the rights and obligations of the Assignor under the Credit Agreement (if such agreement exists).</w:t>
      </w:r>
    </w:p>
    <w:p>
      <w:pPr>
        <w:spacing w:after="0" w:line="162" w:lineRule="exact"/>
        <w:rPr>
          <w:rFonts w:ascii="Courier New" w:cs="Courier New" w:eastAsia="Courier New" w:hAnsi="Courier New"/>
          <w:sz w:val="14"/>
          <w:szCs w:val="14"/>
          <w:color w:val="auto"/>
        </w:rPr>
      </w:pPr>
    </w:p>
    <w:p>
      <w:pPr>
        <w:ind w:right="4119" w:firstLine="870"/>
        <w:spacing w:after="0" w:line="250" w:lineRule="auto"/>
        <w:tabs>
          <w:tab w:leader="none" w:pos="1292"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the execution of this Assignment and Acceptance, the Assignor shall deliver to the Company and the Agent for</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acknowledgement by the Agent, a Notice of Assignment substantially in the form attached hereto as Schedule 1.</w:t>
      </w:r>
    </w:p>
    <w:p>
      <w:pPr>
        <w:spacing w:after="0" w:line="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960" w:hanging="349"/>
        <w:spacing w:after="0"/>
        <w:tabs>
          <w:tab w:leader="none" w:pos="9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Agent.  The Assignee hereby appoints and authorizes the Assignor to</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take such action as agent on its behalf and to exercise such powers under the Credit Agreement as are delegated to the Agent by the Banks pursuant to the terms of the Credit Agreement. [The Assignee shall assume no duties or obligations held by the Assignor in its capacity as Agent under the Credit Agreement.] [INCLUDE ONLY IF ASSIGNOR IS AGENT]</w:t>
      </w:r>
    </w:p>
    <w:p>
      <w:pPr>
        <w:spacing w:after="0" w:line="165" w:lineRule="exact"/>
        <w:rPr>
          <w:sz w:val="20"/>
          <w:szCs w:val="20"/>
          <w:color w:val="auto"/>
        </w:rPr>
      </w:pPr>
    </w:p>
    <w:p>
      <w:pPr>
        <w:ind w:left="960" w:hanging="349"/>
        <w:spacing w:after="0"/>
        <w:tabs>
          <w:tab w:leader="none" w:pos="9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  The Assignee (a) represents and warrants to the</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Bank, the Agent and the Company that under applicable law and treaties no tax will be required to be withheld by the Bank with respect to any payments to be made to the Assignee hereunder, (b) agrees to furnish (if it is organized under the laws of any jurisdiction other than the United States or any State thereof) to the Agent and the Company prior to the time that the Agent or Company is required to make any payment of principal, interest or fees hereunder, duplicate executed originals of either U.S. Internal Revenue Service Form 4224 or U.S. Internal Revenue Service Form 1001 (wherein the Assignee claims entitlement to the benefits of a tax treaty that provides for a complete exemption from U.S. federal income withholding tax on all payments hereunder) and agrees to provide new Forms 4224 or 1001 upon the expiration of any previously delivered form or comparable statements in accordance with applicable U.S. law and regulations and amendments thereto, duly executed and completed by the Assignee, and (c) agrees to comply with all applicable U.S. laws and regulations with regard to such withholding tax exemption.</w:t>
      </w:r>
    </w:p>
    <w:p>
      <w:pPr>
        <w:spacing w:after="0" w:line="172" w:lineRule="exact"/>
        <w:rPr>
          <w:sz w:val="20"/>
          <w:szCs w:val="20"/>
          <w:color w:val="auto"/>
        </w:rPr>
      </w:pPr>
    </w:p>
    <w:p>
      <w:pPr>
        <w:ind w:left="960" w:hanging="349"/>
        <w:spacing w:after="0"/>
        <w:tabs>
          <w:tab w:leader="none" w:pos="9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339" w:firstLine="870"/>
        <w:spacing w:after="0" w:line="255" w:lineRule="auto"/>
        <w:tabs>
          <w:tab w:leader="none" w:pos="1292"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represents and warrants that (i) it is the legal and beneficial owner of the interest being</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FORM OF 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F-4</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2" w:name="page153"/>
    <w:bookmarkEnd w:id="152"/>
    <w:p>
      <w:pPr>
        <w:ind w:right="3339"/>
        <w:spacing w:after="0" w:line="250" w:lineRule="auto"/>
        <w:rPr>
          <w:sz w:val="20"/>
          <w:szCs w:val="20"/>
          <w:color w:val="auto"/>
        </w:rPr>
      </w:pPr>
      <w:r>
        <w:rPr>
          <w:rFonts w:ascii="Courier New" w:cs="Courier New" w:eastAsia="Courier New" w:hAnsi="Courier New"/>
          <w:sz w:val="14"/>
          <w:szCs w:val="14"/>
          <w:color w:val="auto"/>
        </w:rPr>
        <w:t>assigned by it hereunder and that such interest is free and clear of any Lien or other adverse claim; (ii) it is duly organized and existing and it has the full power and authority to take, and has taken, all action necessary to execute and deliver this Assignment and Acceptance and any other documents required or permitted to be executed or delivered by it in connection with this Assignment and Acceptance and to fulfill its obligations hereunder; (iii) no notices to, or consents, authorizations or approvals of, any Person are required (other than any already given or obtained) for its due execution, delivery and performance of this Assignment and Acceptance, and apart from any agreements or undertakings or filings required by the Credit Agreement, no further action by, or notice to, or filing with, any Person is required of it for such execution, delivery or performance; and (iv) this Assignment and Acceptance has been duly executed and delivered by it and constitutes the legal, valid and binding obligation of the Assignor, enforceable against the Assignor in accordance with the terms hereof, subject, as to enforcement, to bankruptcy, insolvency, moratorium, reorganization and other laws of general application relating to or affecting creditors' rights and to general equitable principles.</w:t>
      </w:r>
    </w:p>
    <w:p>
      <w:pPr>
        <w:spacing w:after="0" w:line="173" w:lineRule="exact"/>
        <w:rPr>
          <w:sz w:val="20"/>
          <w:szCs w:val="20"/>
          <w:color w:val="auto"/>
        </w:rPr>
      </w:pPr>
    </w:p>
    <w:p>
      <w:pPr>
        <w:ind w:right="3419" w:firstLine="870"/>
        <w:spacing w:after="0" w:line="251" w:lineRule="auto"/>
        <w:tabs>
          <w:tab w:leader="none" w:pos="1292"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The Assignor makes no representation or warranty in connection with, and assumes no responsibility with respect to, the solvency, financial condition or statements of the Company, or the performance or observance by the Company, of any of its respective obligations under the Credit Agreement or any other instrument or document furnished in connection therewith.</w:t>
      </w:r>
    </w:p>
    <w:p>
      <w:pPr>
        <w:spacing w:after="0" w:line="163"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represents and warrants that (i) it is duly organized and existing and it has full power and authority to take, and has taken, all action necessary to execute and deliver this Assignment and Acceptance and any other documents required or permitted to be executed or delivered by it in connection with this Assignment and Acceptance, and to fulfill its obligations hereunder; (ii) no notices to, or consents, authorizations or approvals of, any Person are required (other than any already given or obtained) for its due execution, delivery and performance of this Assignment and Acceptance; and apart from any agreements or undertakings or filings required by the Credit Agreement, no further action by, or notice to, or filing with, any Person is required of it for such execution, delivery or performance; (iii) this Assignment and Acceptance has been duly executed and</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FORM OF 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F-5</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3" w:name="page154"/>
    <w:bookmarkEnd w:id="153"/>
    <w:p>
      <w:pPr>
        <w:ind w:right="3419"/>
        <w:spacing w:after="0" w:line="252" w:lineRule="auto"/>
        <w:rPr>
          <w:sz w:val="20"/>
          <w:szCs w:val="20"/>
          <w:color w:val="auto"/>
        </w:rPr>
      </w:pPr>
      <w:r>
        <w:rPr>
          <w:rFonts w:ascii="Courier New" w:cs="Courier New" w:eastAsia="Courier New" w:hAnsi="Courier New"/>
          <w:sz w:val="14"/>
          <w:szCs w:val="14"/>
          <w:color w:val="auto"/>
        </w:rPr>
        <w:t>delivered by it and constitutes the legal, valid and binding obligation of the Assignee, enforceable against the Assignee in accordance with the terms hereof, subject, as to enforcement, to bankruptcy, insolvency, moratorium, reorganization and other laws of general application relating to or affecting creditors' rights and to general equitable principles; and (iv) it is an Eligible Assignee.</w:t>
      </w:r>
    </w:p>
    <w:p>
      <w:pPr>
        <w:spacing w:after="0" w:line="327" w:lineRule="exact"/>
        <w:rPr>
          <w:sz w:val="20"/>
          <w:szCs w:val="20"/>
          <w:color w:val="auto"/>
        </w:rPr>
      </w:pPr>
    </w:p>
    <w:p>
      <w:pPr>
        <w:ind w:left="960" w:hanging="349"/>
        <w:spacing w:after="0"/>
        <w:tabs>
          <w:tab w:leader="none" w:pos="96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Further Assurances.  The Assignor and the Assignee each hereby agree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to execute and deliver such other instruments, and take such other action, as either party may reasonably request in connection with the transactions contemplated by this Assignment and Acceptance, including the delivery of any notices or other documents or instruments to the Company or the Agent, which may be required in connection with the assignment and assumption contemplated hereby.</w:t>
      </w:r>
    </w:p>
    <w:p>
      <w:pPr>
        <w:spacing w:after="0" w:line="327" w:lineRule="exact"/>
        <w:rPr>
          <w:sz w:val="20"/>
          <w:szCs w:val="20"/>
          <w:color w:val="auto"/>
        </w:rPr>
      </w:pPr>
    </w:p>
    <w:p>
      <w:pPr>
        <w:ind w:left="1040" w:hanging="429"/>
        <w:spacing w:after="0"/>
        <w:tabs>
          <w:tab w:leader="none" w:pos="104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7"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waiver of any provision of this Assignment and Acceptance shall be in writing and signed by the parties hereto. No failure or delay by either party hereto in exercising any right, power or privilege hereunder shall operate as a waiver thereof and any waiver of any breach of the provisions of this Assignment and Acceptance shall be without prejudice to any rights with respect to any other or further breach thereof.</w:t>
      </w:r>
    </w:p>
    <w:p>
      <w:pPr>
        <w:spacing w:after="0" w:line="164"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made hereunder shall be made without any set-off or</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counterclaim.</w:t>
      </w:r>
    </w:p>
    <w:p>
      <w:pPr>
        <w:spacing w:after="0" w:line="172"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and the Assignee shall each pay its own costs and expenses incurred in connection with the negotiation, preparation, execution and performance of this Assignment and Acceptance.</w:t>
      </w:r>
    </w:p>
    <w:p>
      <w:pPr>
        <w:spacing w:after="0" w:line="162" w:lineRule="exact"/>
        <w:rPr>
          <w:rFonts w:ascii="Courier New" w:cs="Courier New" w:eastAsia="Courier New" w:hAnsi="Courier New"/>
          <w:sz w:val="14"/>
          <w:szCs w:val="14"/>
          <w:color w:val="auto"/>
        </w:rPr>
      </w:pPr>
    </w:p>
    <w:p>
      <w:pPr>
        <w:ind w:right="3519" w:firstLine="870"/>
        <w:spacing w:after="0" w:line="252" w:lineRule="auto"/>
        <w:tabs>
          <w:tab w:leader="none" w:pos="1292"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may be executed in any number of counterparts and all of such counterparts taken together shall be deemed to constitute one and the same instrument.</w:t>
      </w:r>
    </w:p>
    <w:p>
      <w:pPr>
        <w:spacing w:after="0" w:line="162" w:lineRule="exact"/>
        <w:rPr>
          <w:rFonts w:ascii="Courier New" w:cs="Courier New" w:eastAsia="Courier New" w:hAnsi="Courier New"/>
          <w:sz w:val="14"/>
          <w:szCs w:val="14"/>
          <w:color w:val="auto"/>
        </w:rPr>
      </w:pPr>
    </w:p>
    <w:p>
      <w:pPr>
        <w:ind w:right="3339" w:firstLine="870"/>
        <w:spacing w:after="0" w:line="255" w:lineRule="auto"/>
        <w:tabs>
          <w:tab w:leader="none" w:pos="1292"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ASSIGNMENT AND ACCEPTANCE SHALL BE GOVERNED BY AND CONSTRUED IN ACCORDANCE WITH THE LAW OF THE STATE OF CALIFORNIA.</w:t>
      </w:r>
    </w:p>
    <w:p>
      <w:pPr>
        <w:spacing w:after="0" w:line="159" w:lineRule="exact"/>
        <w:rPr>
          <w:rFonts w:ascii="Courier New" w:cs="Courier New" w:eastAsia="Courier New" w:hAnsi="Courier New"/>
          <w:sz w:val="14"/>
          <w:szCs w:val="14"/>
          <w:color w:val="auto"/>
        </w:rPr>
      </w:pPr>
    </w:p>
    <w:p>
      <w:pPr>
        <w:ind w:right="3419" w:firstLine="870"/>
        <w:spacing w:after="0" w:line="251" w:lineRule="auto"/>
        <w:tabs>
          <w:tab w:leader="none" w:pos="1292" w:val="left"/>
        </w:tabs>
        <w:numPr>
          <w:ilvl w:val="1"/>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AND THE ASSIGNEE EACH HEREBY KNOWINGLY, VOLUNTARILY AND INTENTIONALLY WAIVE ANY RIGHTS THEY MAY HAVE TO A TRIAL BY JURY IN RESPECT OF ANY LITIGATION BASED HEREON, OR ARISING OUT OF, UNDER, OR IN CONNECTION WITH THIS ASSIGNMENT AND ACCEPTANCE, THE CREDIT AGREEMENT, ANY RELATED DOCUMENTS AND AGREEMENTS OR ANY COURSE OF CONDUCT, COURSE OF DEALING, OR STATEMENTS (WHETHER ORAL OR WRITTEN).</w:t>
      </w:r>
    </w:p>
    <w:p>
      <w:pPr>
        <w:spacing w:after="0" w:line="164"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FORM OF 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F-6</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4" w:name="page155"/>
    <w:bookmarkEnd w:id="154"/>
    <w:p>
      <w:pPr>
        <w:ind w:right="3419"/>
        <w:spacing w:after="0" w:line="252" w:lineRule="auto"/>
        <w:rPr>
          <w:sz w:val="20"/>
          <w:szCs w:val="20"/>
          <w:color w:val="auto"/>
        </w:rPr>
      </w:pPr>
      <w:r>
        <w:rPr>
          <w:rFonts w:ascii="Courier New" w:cs="Courier New" w:eastAsia="Courier New" w:hAnsi="Courier New"/>
          <w:sz w:val="14"/>
          <w:szCs w:val="14"/>
          <w:color w:val="auto"/>
        </w:rPr>
        <w:t>[Other provisions to be added as may be negotiated between the Assignor and the Assignee, provided that such provisions are not inconsistent with the Credit Agreement.]</w:t>
      </w:r>
    </w:p>
    <w:p>
      <w:pPr>
        <w:spacing w:after="0" w:line="163" w:lineRule="exact"/>
        <w:rPr>
          <w:sz w:val="20"/>
          <w:szCs w:val="20"/>
          <w:color w:val="auto"/>
        </w:rPr>
      </w:pPr>
    </w:p>
    <w:p>
      <w:pPr>
        <w:ind w:right="3419" w:firstLine="603"/>
        <w:spacing w:after="0" w:line="252" w:lineRule="auto"/>
        <w:rPr>
          <w:sz w:val="20"/>
          <w:szCs w:val="20"/>
          <w:color w:val="auto"/>
        </w:rPr>
      </w:pPr>
      <w:r>
        <w:rPr>
          <w:rFonts w:ascii="Courier New" w:cs="Courier New" w:eastAsia="Courier New" w:hAnsi="Courier New"/>
          <w:sz w:val="14"/>
          <w:szCs w:val="14"/>
          <w:color w:val="auto"/>
        </w:rPr>
        <w:t>IN WITNESS WHEREOF, the Assignor and the Assignee have caused this Assignment and Acceptance to be executed and delivered by their duly authorized officers as of the date first above written.</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[ASSIGNOR]</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[ASSIGNEE]</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By:_____________________________</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FORM OF 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F-7</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5" w:name="page156"/>
    <w:bookmarkEnd w:id="155"/>
    <w:p>
      <w:pPr>
        <w:jc w:val="center"/>
        <w:ind w:right="3339"/>
        <w:spacing w:after="0"/>
        <w:rPr>
          <w:sz w:val="20"/>
          <w:szCs w:val="20"/>
          <w:color w:val="auto"/>
        </w:rPr>
      </w:pPr>
      <w:r>
        <w:rPr>
          <w:rFonts w:ascii="Courier New" w:cs="Courier New" w:eastAsia="Courier New" w:hAnsi="Courier New"/>
          <w:sz w:val="14"/>
          <w:szCs w:val="14"/>
          <w:color w:val="auto"/>
        </w:rPr>
        <w:t>SCHEDULE 1</w:t>
      </w:r>
    </w:p>
    <w:p>
      <w:pPr>
        <w:spacing w:after="0" w:line="17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NOTICE OF ASSIGNMENT AND ACCEPTANCE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_______________, 19__</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Savings Association, as Agent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1455 Market Street, 12th Floor</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San Francisco, CA</w:t>
        <w:tab/>
        <w:t>94103</w:t>
      </w:r>
    </w:p>
    <w:p>
      <w:pPr>
        <w:spacing w:after="0" w:line="7"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Agency Management Services #5596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 Stop 157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8000 South Federal Way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Boise, Idaho 83707-0006</w:t>
      </w:r>
    </w:p>
    <w:p>
      <w:pPr>
        <w:spacing w:after="0" w:line="7"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Attention:</w:t>
      </w:r>
      <w:r>
        <w:rPr>
          <w:sz w:val="20"/>
          <w:szCs w:val="20"/>
          <w:color w:val="auto"/>
        </w:rPr>
        <w:tab/>
      </w:r>
      <w:r>
        <w:rPr>
          <w:rFonts w:ascii="Courier New" w:cs="Courier New" w:eastAsia="Courier New" w:hAnsi="Courier New"/>
          <w:sz w:val="14"/>
          <w:szCs w:val="14"/>
          <w:color w:val="auto"/>
        </w:rPr>
        <w:t>Norman L. Schlachter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Treasurer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19" w:firstLine="603"/>
        <w:spacing w:after="0" w:line="250" w:lineRule="auto"/>
        <w:rPr>
          <w:sz w:val="20"/>
          <w:szCs w:val="20"/>
          <w:color w:val="auto"/>
        </w:rPr>
      </w:pPr>
      <w:r>
        <w:rPr>
          <w:rFonts w:ascii="Courier New" w:cs="Courier New" w:eastAsia="Courier New" w:hAnsi="Courier New"/>
          <w:sz w:val="14"/>
          <w:szCs w:val="14"/>
          <w:color w:val="auto"/>
        </w:rPr>
        <w:t>We refer to the First Amended and Restated Revolving Credit Agreement dated as of May 28, 1997 (as amended, amended and restated, modified, supplemented or renewed from time to time the "Credit Agreement") among Micron</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Inc. (the "Company"), the several financial institutions from time</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time party thereto (including the Assignor, the "Banks"), and Bank of America</w:t>
      </w:r>
    </w:p>
    <w:p>
      <w:pPr>
        <w:spacing w:after="0" w:line="7"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National Trust and Savings Association, as agent for the Banks (the "Agent").</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defined in the Credit Agreement are used herein as therein defined.</w:t>
      </w:r>
    </w:p>
    <w:p>
      <w:pPr>
        <w:spacing w:after="0" w:line="173" w:lineRule="exact"/>
        <w:rPr>
          <w:sz w:val="20"/>
          <w:szCs w:val="20"/>
          <w:color w:val="auto"/>
        </w:rPr>
      </w:pPr>
    </w:p>
    <w:p>
      <w:pPr>
        <w:jc w:val="both"/>
        <w:ind w:right="3939" w:firstLine="611"/>
        <w:spacing w:after="0" w:line="250" w:lineRule="auto"/>
        <w:tabs>
          <w:tab w:leader="none" w:pos="947"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hereby give you notice of, and request your consent to, the assignment by __________________ (the "Assignor") to _______________ (the</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"Assignee") of _____% of the right, title and interest of the Assignor in and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Credit Agreement (including, without limitation, the right, title and interest of the Assignor in and to the Commitments of the Assignor [and all outstanding Loans made by the Assignor]) pursuant to the Assignment and Acceptance Agreement attached hereto (the "Assignment and Acceptance"). Before</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giving effect to such assignment the Assignor's Commitment is $ ___________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aggregate amount of its outstanding Loans is $_____________.</w:t>
      </w:r>
    </w:p>
    <w:p>
      <w:pPr>
        <w:spacing w:after="0" w:line="173" w:lineRule="exact"/>
        <w:rPr>
          <w:sz w:val="20"/>
          <w:szCs w:val="20"/>
          <w:color w:val="auto"/>
        </w:rPr>
      </w:pPr>
    </w:p>
    <w:p>
      <w:pPr>
        <w:ind w:right="3519" w:firstLine="611"/>
        <w:spacing w:after="0" w:line="252" w:lineRule="auto"/>
        <w:tabs>
          <w:tab w:leader="none" w:pos="947"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agrees that, upon receiving the consent of the Agent and, if applicable, the Company to such assignment, the Assignee will be bound by the terms of the</w:t>
      </w:r>
    </w:p>
    <w:p>
      <w:pPr>
        <w:spacing w:after="0" w:line="163"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FORM OF ASSIGNMENT AND ACCEPTANCE AGREEMENT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5/23/97</w:t>
            </w:r>
          </w:p>
        </w:tc>
      </w:tr>
      <w:tr>
        <w:trPr>
          <w:trHeight w:val="166"/>
        </w:trPr>
        <w:tc>
          <w:tcPr>
            <w:tcW w:w="418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F-8</w:t>
            </w:r>
          </w:p>
        </w:tc>
        <w:tc>
          <w:tcPr>
            <w:tcW w:w="10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56" w:name="page157"/>
    <w:bookmarkEnd w:id="156"/>
    <w:p>
      <w:pPr>
        <w:ind w:right="3679"/>
        <w:spacing w:after="0" w:line="255" w:lineRule="auto"/>
        <w:rPr>
          <w:sz w:val="20"/>
          <w:szCs w:val="20"/>
          <w:color w:val="auto"/>
        </w:rPr>
      </w:pPr>
      <w:r>
        <w:rPr>
          <w:rFonts w:ascii="Courier New" w:cs="Courier New" w:eastAsia="Courier New" w:hAnsi="Courier New"/>
          <w:sz w:val="14"/>
          <w:szCs w:val="14"/>
          <w:color w:val="auto"/>
        </w:rPr>
        <w:t>Credit Agreement as fully and to the same extent as if the Assignee were the Bank originally holding such interest in the Credit Agreement.</w:t>
      </w:r>
    </w:p>
    <w:p>
      <w:pPr>
        <w:spacing w:after="0" w:line="160" w:lineRule="exact"/>
        <w:rPr>
          <w:sz w:val="20"/>
          <w:szCs w:val="20"/>
          <w:color w:val="auto"/>
        </w:rPr>
      </w:pPr>
    </w:p>
    <w:p>
      <w:pPr>
        <w:ind w:left="960" w:hanging="349"/>
        <w:spacing w:after="0"/>
        <w:tabs>
          <w:tab w:leader="none" w:pos="96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administrative details apply to the Assignee:</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Address: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Assignee name:______________________________</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Address:  ______________________________</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Attention:______________________________</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(___) __________________________</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Telecopier:  (___) _________________________</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Telex (Answerback):  _______________________</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Instructions:</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Account No.:   ______________________________</w:t>
      </w:r>
    </w:p>
    <w:p>
      <w:pPr>
        <w:spacing w:after="0" w:line="7"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  ______________________________</w:t>
      </w:r>
    </w:p>
    <w:p>
      <w:pPr>
        <w:spacing w:after="0" w:line="7" w:lineRule="exact"/>
        <w:rPr>
          <w:rFonts w:ascii="Courier New" w:cs="Courier New" w:eastAsia="Courier New" w:hAnsi="Courier New"/>
          <w:sz w:val="14"/>
          <w:szCs w:val="14"/>
          <w:color w:val="auto"/>
        </w:rPr>
      </w:pPr>
    </w:p>
    <w:p>
      <w:pPr>
        <w:ind w:left="21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w:t>
      </w:r>
    </w:p>
    <w:p>
      <w:pPr>
        <w:spacing w:after="0" w:line="7"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Reference:______________________________</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Attention:______________________________</w:t>
      </w:r>
    </w:p>
    <w:p>
      <w:pPr>
        <w:spacing w:after="0" w:line="172" w:lineRule="exact"/>
        <w:rPr>
          <w:rFonts w:ascii="Courier New" w:cs="Courier New" w:eastAsia="Courier New" w:hAnsi="Courier New"/>
          <w:sz w:val="14"/>
          <w:szCs w:val="14"/>
          <w:color w:val="auto"/>
        </w:rPr>
      </w:pPr>
    </w:p>
    <w:p>
      <w:pPr>
        <w:ind w:right="3519" w:firstLine="611"/>
        <w:spacing w:after="0" w:line="252" w:lineRule="auto"/>
        <w:tabs>
          <w:tab w:leader="none" w:pos="86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are entitled to rely upon the representations, warranties and covenants of each of the Assignor and Assignee contained in the Assignment and Acceptance.</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57" w:name="page158"/>
    <w:bookmarkEnd w:id="157"/>
    <w:p>
      <w:pPr>
        <w:ind w:right="3339" w:firstLine="603"/>
        <w:spacing w:after="0" w:line="252" w:lineRule="auto"/>
        <w:rPr>
          <w:sz w:val="20"/>
          <w:szCs w:val="20"/>
          <w:color w:val="auto"/>
        </w:rPr>
      </w:pPr>
      <w:r>
        <w:rPr>
          <w:rFonts w:ascii="Courier New" w:cs="Courier New" w:eastAsia="Courier New" w:hAnsi="Courier New"/>
          <w:sz w:val="14"/>
          <w:szCs w:val="14"/>
          <w:color w:val="auto"/>
        </w:rPr>
        <w:t>IN WITNESS WHEREOF, the Assignor and the Assignee have caused this Notice of Assignment and Acceptance to be executed by their respective duly authorized officials, officers or agents as of the date first above mentioned.</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 OF ASSIGNOR]</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[NAME OF ASSIGNEE]</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By:_______________________________________</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Title: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ACKNOWLEDGED AND ASSIGNMENT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CONSENTED TO: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MICRON TECHNOLOGY, INC.</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OF AMERICA NATIONAL TRUST AND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SAVINGS ASSOCIATION, as Agent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Vice President</w:t>
      </w:r>
    </w:p>
    <w:p>
      <w:pPr>
        <w:spacing w:after="0" w:line="173" w:lineRule="exact"/>
        <w:rPr>
          <w:sz w:val="20"/>
          <w:szCs w:val="20"/>
          <w:color w:val="auto"/>
        </w:rPr>
      </w:pPr>
    </w:p>
    <w:p>
      <w:pPr>
        <w:jc w:val="right"/>
        <w:ind w:right="6699"/>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59" w:name="page160"/>
    <w:bookmarkEnd w:id="159"/>
    <w:p>
      <w:pPr>
        <w:ind w:left="4900"/>
        <w:spacing w:after="0"/>
        <w:rPr>
          <w:sz w:val="20"/>
          <w:szCs w:val="20"/>
          <w:color w:val="auto"/>
        </w:rPr>
      </w:pPr>
      <w:r>
        <w:rPr>
          <w:rFonts w:ascii="Courier New" w:cs="Courier New" w:eastAsia="Courier New" w:hAnsi="Courier New"/>
          <w:sz w:val="14"/>
          <w:szCs w:val="14"/>
          <w:color w:val="auto"/>
        </w:rPr>
        <w:t>EXHIBIT G</w:t>
      </w:r>
    </w:p>
    <w:p>
      <w:pPr>
        <w:spacing w:after="0" w:line="7"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FORM OF SUBORDINATED NOTE INDENTURE</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019"/>
          </w:cols>
          <w:pgMar w:left="1440" w:top="616" w:right="1440" w:bottom="1440" w:gutter="0" w:footer="0" w:header="0"/>
        </w:sectPr>
      </w:pPr>
    </w:p>
    <w:p>
      <w:pPr>
        <w:spacing w:after="0" w:line="173" w:lineRule="exact"/>
        <w:rPr>
          <w:sz w:val="20"/>
          <w:szCs w:val="20"/>
          <w:color w:val="auto"/>
        </w:rPr>
      </w:pPr>
    </w:p>
    <w:p>
      <w:pPr>
        <w:jc w:val="center"/>
        <w:ind w:left="20"/>
        <w:spacing w:after="0"/>
        <w:rPr>
          <w:sz w:val="20"/>
          <w:szCs w:val="20"/>
          <w:color w:val="auto"/>
        </w:rPr>
      </w:pPr>
      <w:r>
        <w:rPr>
          <w:rFonts w:ascii="Courier New" w:cs="Courier New" w:eastAsia="Courier New" w:hAnsi="Courier New"/>
          <w:sz w:val="14"/>
          <w:szCs w:val="14"/>
          <w:color w:val="auto"/>
        </w:rPr>
        <w:t>FORM OF SUBORDINATED NOTE INDENTURE</w:t>
      </w:r>
    </w:p>
    <w:p>
      <w:pPr>
        <w:spacing w:after="0" w:line="7" w:lineRule="exact"/>
        <w:rPr>
          <w:sz w:val="20"/>
          <w:szCs w:val="20"/>
          <w:color w:val="auto"/>
        </w:rPr>
      </w:pPr>
    </w:p>
    <w:p>
      <w:pPr>
        <w:jc w:val="center"/>
        <w:ind w:left="20"/>
        <w:spacing w:after="0"/>
        <w:rPr>
          <w:sz w:val="20"/>
          <w:szCs w:val="20"/>
          <w:color w:val="auto"/>
        </w:rPr>
      </w:pPr>
      <w:r>
        <w:rPr>
          <w:rFonts w:ascii="Courier New" w:cs="Courier New" w:eastAsia="Courier New" w:hAnsi="Courier New"/>
          <w:sz w:val="14"/>
          <w:szCs w:val="14"/>
          <w:color w:val="auto"/>
        </w:rPr>
        <w:t>G-1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5/23/97</w:t>
      </w:r>
    </w:p>
    <w:p>
      <w:pPr>
        <w:sectPr>
          <w:pgSz w:w="11900" w:h="16838" w:orient="portrait"/>
          <w:cols w:equalWidth="0" w:num="2">
            <w:col w:w="4360" w:space="720"/>
            <w:col w:w="3939"/>
          </w:cols>
          <w:pgMar w:left="1440" w:top="616" w:right="1440" w:bottom="1440" w:gutter="0" w:footer="0" w:header="0"/>
          <w:type w:val="continuous"/>
        </w:sectPr>
      </w:pPr>
    </w:p>
    <w:bookmarkStart w:id="160" w:name="page161"/>
    <w:bookmarkEnd w:id="160"/>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FIRST AMENDED AND RESTATED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REVOLVING CREDIT AGREEMENT</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May 28, 1997</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among</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MICRON TECHNOLOGY, INC.,</w:t>
      </w:r>
    </w:p>
    <w:p>
      <w:pPr>
        <w:spacing w:after="0" w:line="33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BANK OF AMERICA NATIONAL TRUST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AND SAVINGS ASSOCIATION,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as Agent,</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and</w:t>
      </w:r>
    </w:p>
    <w:p>
      <w:pPr>
        <w:spacing w:after="0" w:line="33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THE OTHER FINANCIAL INSTITUTIONS PARTY HERETO</w:t>
      </w:r>
    </w:p>
    <w:p>
      <w:pPr>
        <w:spacing w:after="0" w:line="338"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Arranged by</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BancAmerica Securities, Inc.</w:t>
      </w:r>
    </w:p>
    <w:p>
      <w:pPr>
        <w:spacing w:after="0" w:line="173" w:lineRule="exact"/>
        <w:rPr>
          <w:sz w:val="20"/>
          <w:szCs w:val="20"/>
          <w:color w:val="auto"/>
        </w:rPr>
      </w:pPr>
    </w:p>
    <w:p>
      <w:pPr>
        <w:ind w:left="180" w:hanging="172"/>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61" w:name="page162"/>
    <w:bookmarkEnd w:id="161"/>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 - DEFINITIONS; OTHER INTERPRETIVE PROVISIONS;</w:t>
      </w:r>
    </w:p>
    <w:p>
      <w:pPr>
        <w:spacing w:after="0" w:line="7" w:lineRule="exact"/>
        <w:rPr>
          <w:sz w:val="20"/>
          <w:szCs w:val="20"/>
          <w:color w:val="auto"/>
        </w:rPr>
      </w:pPr>
    </w:p>
    <w:p>
      <w:pPr>
        <w:jc w:val="right"/>
        <w:ind w:right="3339"/>
        <w:spacing w:after="0"/>
        <w:tabs>
          <w:tab w:leader="dot" w:pos="60" w:val="left"/>
        </w:tabs>
        <w:rPr>
          <w:sz w:val="20"/>
          <w:szCs w:val="20"/>
          <w:color w:val="auto"/>
        </w:rPr>
      </w:pPr>
      <w:r>
        <w:rPr>
          <w:rFonts w:ascii="Courier New" w:cs="Courier New" w:eastAsia="Courier New" w:hAnsi="Courier New"/>
          <w:sz w:val="14"/>
          <w:szCs w:val="14"/>
          <w:color w:val="auto"/>
        </w:rPr>
        <w:t>ACCOUNTING PRINCIPLES</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ind w:left="440"/>
        <w:spacing w:after="0"/>
        <w:tabs>
          <w:tab w:leader="none" w:pos="940" w:val="left"/>
          <w:tab w:leader="dot" w:pos="6800" w:val="left"/>
        </w:tabs>
        <w:rPr>
          <w:sz w:val="20"/>
          <w:szCs w:val="20"/>
          <w:color w:val="auto"/>
        </w:rPr>
      </w:pPr>
      <w:r>
        <w:rPr>
          <w:rFonts w:ascii="Courier New" w:cs="Courier New" w:eastAsia="Courier New" w:hAnsi="Courier New"/>
          <w:sz w:val="14"/>
          <w:szCs w:val="14"/>
          <w:color w:val="auto"/>
        </w:rPr>
        <w:t>1.01</w:t>
        <w:tab/>
        <w:t>Certain Defined Terms</w:t>
      </w:r>
      <w:r>
        <w:rPr>
          <w:sz w:val="20"/>
          <w:szCs w:val="20"/>
          <w:color w:val="auto"/>
        </w:rPr>
        <w:tab/>
      </w:r>
      <w:r>
        <w:rPr>
          <w:rFonts w:ascii="Courier New" w:cs="Courier New" w:eastAsia="Courier New" w:hAnsi="Courier New"/>
          <w:sz w:val="13"/>
          <w:szCs w:val="13"/>
          <w:color w:val="auto"/>
        </w:rPr>
        <w:t>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1.02</w:t>
        <w:tab/>
        <w:t>Other Interpretive Provisions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1.03</w:t>
        <w:tab/>
        <w:t>Accounting Principles</w:t>
      </w:r>
      <w:r>
        <w:rPr>
          <w:sz w:val="20"/>
          <w:szCs w:val="20"/>
          <w:color w:val="auto"/>
        </w:rPr>
        <w:tab/>
      </w:r>
      <w:r>
        <w:rPr>
          <w:rFonts w:ascii="Courier New" w:cs="Courier New" w:eastAsia="Courier New" w:hAnsi="Courier New"/>
          <w:sz w:val="14"/>
          <w:szCs w:val="14"/>
          <w:color w:val="auto"/>
        </w:rPr>
        <w:t>21</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II - THE REVOLVING CREDIT</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2.01</w:t>
        <w:tab/>
        <w:t>Amounts and Terms of Commitments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2.02</w:t>
        <w:tab/>
        <w:t>Loan Accounts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2.03</w:t>
        <w:tab/>
        <w:t>Procedure for Borrowing</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2.04</w:t>
        <w:tab/>
        <w:t>Conversion and Continuation Elections</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2.05</w:t>
        <w:tab/>
        <w:t>Voluntary Termination or Reduction of Commitments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2.06</w:t>
        <w:tab/>
        <w:t>Optional Prepayments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2.07</w:t>
        <w:tab/>
        <w:t>Repayment</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2.08</w:t>
        <w:tab/>
        <w:t>Interest</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2.09</w:t>
        <w:tab/>
        <w:t>Fees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(a)</w:t>
        <w:tab/>
        <w:t>Arrangement, Agency Fees</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(b)</w:t>
        <w:tab/>
        <w:t>Participation Fee</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(c)</w:t>
        <w:tab/>
        <w:t>Commitment Fees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2.10</w:t>
        <w:tab/>
        <w:t>Computation of Fees and Interest</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2.11</w:t>
        <w:tab/>
        <w:t>Payments by the Company</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2.12</w:t>
        <w:tab/>
        <w:t>Payments by the Banks to the Agent</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2.13</w:t>
        <w:tab/>
        <w:t>Sharing of Payments, Etc</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2.14</w:t>
        <w:tab/>
        <w:t>Optional Extension of Commitments</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III - TAXES, YIELD PROTECTION AND ILLEGALITY</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3.01</w:t>
        <w:tab/>
        <w:t>Taxes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3.02</w:t>
        <w:tab/>
        <w:t>Illegality</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3.03</w:t>
        <w:tab/>
        <w:t>Increased Costs and Reduction of Return</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3.04</w:t>
        <w:tab/>
        <w:t>Funding Losses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3.05</w:t>
        <w:tab/>
        <w:t>Inability to Determine Rates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3.06</w:t>
        <w:tab/>
        <w:t>Certificates of Banks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3.07</w:t>
        <w:tab/>
        <w:t>Replacement of Bank</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3.08</w:t>
        <w:tab/>
        <w:t>Survival</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IV - CONDITIONS PRECEDENT</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4.01</w:t>
        <w:tab/>
        <w:t>Conditions to Effectiveness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(a)</w:t>
        <w:tab/>
        <w:t>Credit Agreement and Notes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(b)</w:t>
        <w:tab/>
        <w:t>Resolutions; Incumbency; Organization Documents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(c)</w:t>
        <w:tab/>
        <w:t>Good Standing</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(d)</w:t>
        <w:tab/>
        <w:t>Legal Opinions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(e)</w:t>
        <w:tab/>
        <w:t>Payment of Fees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(f)</w:t>
        <w:tab/>
        <w:t>Certificate</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(g)</w:t>
        <w:tab/>
        <w:t>Disclosure Letter</w:t>
      </w:r>
      <w:r>
        <w:rPr>
          <w:sz w:val="20"/>
          <w:szCs w:val="20"/>
          <w:color w:val="auto"/>
        </w:rPr>
        <w:tab/>
      </w:r>
      <w:r>
        <w:rPr>
          <w:rFonts w:ascii="Courier New" w:cs="Courier New" w:eastAsia="Courier New" w:hAnsi="Courier New"/>
          <w:sz w:val="14"/>
          <w:szCs w:val="14"/>
          <w:color w:val="auto"/>
        </w:rPr>
        <w:t>36</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162" w:name="page163"/>
    <w:bookmarkEnd w:id="162"/>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(h)</w:t>
        <w:tab/>
        <w:t>Other Documents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4.02</w:t>
        <w:tab/>
        <w:t>Conditions to All Borrowings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(a)</w:t>
        <w:tab/>
        <w:t>Notice of Borrowing or Conversion/Continuation</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(b)</w:t>
        <w:tab/>
        <w:t>Continuation of Representations and Warranties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(c)</w:t>
        <w:tab/>
        <w:t>No Existing Default</w:t>
      </w:r>
      <w:r>
        <w:rPr>
          <w:sz w:val="20"/>
          <w:szCs w:val="20"/>
          <w:color w:val="auto"/>
        </w:rPr>
        <w:tab/>
      </w:r>
      <w:r>
        <w:rPr>
          <w:rFonts w:ascii="Courier New" w:cs="Courier New" w:eastAsia="Courier New" w:hAnsi="Courier New"/>
          <w:sz w:val="14"/>
          <w:szCs w:val="14"/>
          <w:color w:val="auto"/>
        </w:rPr>
        <w:t>37</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V - REPRESENTATIONS AND WARRANTIES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5.01</w:t>
        <w:tab/>
        <w:t>Corporate Existence and Power</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5.02</w:t>
        <w:tab/>
        <w:t>Corporate Authorization; No Contravention</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5.03</w:t>
        <w:tab/>
        <w:t>Governmental Authorization</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5.04</w:t>
        <w:tab/>
        <w:t>Binding Effect</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5.05</w:t>
        <w:tab/>
        <w:t>Litigation</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5.06</w:t>
        <w:tab/>
        <w:t>No Default</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5.07</w:t>
        <w:tab/>
        <w:t>ERISA Compliance</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5.08</w:t>
        <w:tab/>
        <w:t>Use of Proceeds; Margin Regulations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5.09</w:t>
        <w:tab/>
        <w:t>Title to Properties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5.10</w:t>
        <w:tab/>
        <w:t>Taxes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5.11</w:t>
        <w:tab/>
        <w:t>Financial Condition</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5.12</w:t>
        <w:tab/>
        <w:t>Environmental Matters</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5.13</w:t>
        <w:tab/>
        <w:t>Regulated Entities</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5.14</w:t>
        <w:tab/>
        <w:t>Intellectual Property</w:t>
      </w:r>
      <w:r>
        <w:rPr>
          <w:sz w:val="20"/>
          <w:szCs w:val="20"/>
          <w:color w:val="auto"/>
        </w:rPr>
        <w:tab/>
      </w:r>
      <w:r>
        <w:rPr>
          <w:rFonts w:ascii="Courier New" w:cs="Courier New" w:eastAsia="Courier New" w:hAnsi="Courier New"/>
          <w:sz w:val="14"/>
          <w:szCs w:val="14"/>
          <w:color w:val="auto"/>
        </w:rPr>
        <w:t>41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5.15</w:t>
        <w:tab/>
        <w:t>Subsidiaries; Minority Interests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5.16</w:t>
        <w:tab/>
        <w:t>Insurance</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5.17</w:t>
        <w:tab/>
        <w:t>Swap Obligations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5.18</w:t>
        <w:tab/>
        <w:t>Full Disclosure</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5.19</w:t>
        <w:tab/>
        <w:t>Projections</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VI - AFFIRMATIVE COVENANTS</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6.01</w:t>
        <w:tab/>
        <w:t>Financial Statements</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6.02</w:t>
        <w:tab/>
        <w:t>Certificates; Other Information</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6.03</w:t>
        <w:tab/>
        <w:t>Notices</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6.04</w:t>
        <w:tab/>
        <w:t>Preservation of Corporate Existence, Etc</w:t>
      </w:r>
      <w:r>
        <w:rPr>
          <w:sz w:val="20"/>
          <w:szCs w:val="20"/>
          <w:color w:val="auto"/>
        </w:rPr>
        <w:tab/>
      </w:r>
      <w:r>
        <w:rPr>
          <w:rFonts w:ascii="Courier New" w:cs="Courier New" w:eastAsia="Courier New" w:hAnsi="Courier New"/>
          <w:sz w:val="14"/>
          <w:szCs w:val="14"/>
          <w:color w:val="auto"/>
        </w:rPr>
        <w:t>47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6.05</w:t>
        <w:tab/>
        <w:t>Maintenance of Property</w:t>
      </w:r>
      <w:r>
        <w:rPr>
          <w:sz w:val="20"/>
          <w:szCs w:val="20"/>
          <w:color w:val="auto"/>
        </w:rPr>
        <w:tab/>
      </w:r>
      <w:r>
        <w:rPr>
          <w:rFonts w:ascii="Courier New" w:cs="Courier New" w:eastAsia="Courier New" w:hAnsi="Courier New"/>
          <w:sz w:val="14"/>
          <w:szCs w:val="14"/>
          <w:color w:val="auto"/>
        </w:rPr>
        <w:t>47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6.06</w:t>
        <w:tab/>
        <w:t>Insurance</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6.07</w:t>
        <w:tab/>
        <w:t>Payment of Obligations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6.08</w:t>
        <w:tab/>
        <w:t>Compliance with Laws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6.09</w:t>
        <w:tab/>
        <w:t>Compliance with ERISA</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6.10</w:t>
        <w:tab/>
        <w:t>Inspection of Property and Books and Records</w:t>
      </w:r>
      <w:r>
        <w:rPr>
          <w:sz w:val="20"/>
          <w:szCs w:val="20"/>
          <w:color w:val="auto"/>
        </w:rPr>
        <w:tab/>
      </w:r>
      <w:r>
        <w:rPr>
          <w:rFonts w:ascii="Courier New" w:cs="Courier New" w:eastAsia="Courier New" w:hAnsi="Courier New"/>
          <w:sz w:val="14"/>
          <w:szCs w:val="14"/>
          <w:color w:val="auto"/>
        </w:rPr>
        <w:t>48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6.11</w:t>
        <w:tab/>
        <w:t>Environmental Laws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6.12</w:t>
        <w:tab/>
        <w:t>Use of Proceeds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6.13</w:t>
        <w:tab/>
        <w:t>Ranking; Designated Senior Indebtedness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6.14</w:t>
        <w:tab/>
        <w:t>New Semiconductor Operations Subsidiaries</w:t>
      </w:r>
      <w:r>
        <w:rPr>
          <w:sz w:val="20"/>
          <w:szCs w:val="20"/>
          <w:color w:val="auto"/>
        </w:rPr>
        <w:tab/>
      </w:r>
      <w:r>
        <w:rPr>
          <w:rFonts w:ascii="Courier New" w:cs="Courier New" w:eastAsia="Courier New" w:hAnsi="Courier New"/>
          <w:sz w:val="14"/>
          <w:szCs w:val="14"/>
          <w:color w:val="auto"/>
        </w:rPr>
        <w:t>50</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VII - NEGATIVE COVENANTS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7.01</w:t>
        <w:tab/>
        <w:t>Limitation on Liens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7.02</w:t>
        <w:tab/>
        <w:t>Exclusive Negative Pledge</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7.03</w:t>
        <w:tab/>
        <w:t>Disposition of Assets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7.04</w:t>
        <w:tab/>
        <w:t>Consolidations and Mergers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7.05</w:t>
        <w:tab/>
        <w:t>Loans and Investments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ind w:left="440"/>
        <w:spacing w:after="0"/>
        <w:tabs>
          <w:tab w:leader="none" w:pos="940" w:val="left"/>
        </w:tabs>
        <w:rPr>
          <w:sz w:val="20"/>
          <w:szCs w:val="20"/>
          <w:color w:val="auto"/>
        </w:rPr>
      </w:pPr>
      <w:r>
        <w:rPr>
          <w:rFonts w:ascii="Courier New" w:cs="Courier New" w:eastAsia="Courier New" w:hAnsi="Courier New"/>
          <w:sz w:val="14"/>
          <w:szCs w:val="14"/>
          <w:color w:val="auto"/>
        </w:rPr>
        <w:t>7.06</w:t>
        <w:tab/>
        <w:t>Limitation on Indebtedness and Contingent</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47" w:right="1440" w:bottom="1440" w:gutter="0" w:footer="0" w:header="0"/>
        </w:sectPr>
      </w:pPr>
    </w:p>
    <w:bookmarkStart w:id="163" w:name="page164"/>
    <w:bookmarkEnd w:id="163"/>
    <w:p>
      <w:pPr>
        <w:jc w:val="right"/>
        <w:ind w:right="333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Obligations</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7.07</w:t>
        <w:tab/>
        <w:t>Transactions with Affiliates</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7.08</w:t>
        <w:tab/>
        <w:t>Use of Proceeds</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7.09</w:t>
        <w:tab/>
        <w:t>Distributions</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7.10</w:t>
        <w:tab/>
        <w:t>Permitted Subordinated Debt</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7.11</w:t>
        <w:tab/>
        <w:t>ERISA</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7.12</w:t>
        <w:tab/>
        <w:t>Business or Accounting Changes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7.13</w:t>
        <w:tab/>
        <w:t>Adjusted Quick Ratio</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7.14</w:t>
        <w:tab/>
        <w:t>Combined Tangible Net Worth</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7.15</w:t>
        <w:tab/>
        <w:t>Leverage Ratio</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7.16</w:t>
        <w:tab/>
        <w:t>Minimum Fixed Charge Coverage Ratio</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7.17</w:t>
        <w:tab/>
        <w:t>Maximum Combined Net Loss</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7.18</w:t>
        <w:tab/>
        <w:t>Material Semiconductor Operations</w:t>
      </w:r>
      <w:r>
        <w:rPr>
          <w:sz w:val="20"/>
          <w:szCs w:val="20"/>
          <w:color w:val="auto"/>
        </w:rPr>
        <w:tab/>
      </w:r>
      <w:r>
        <w:rPr>
          <w:rFonts w:ascii="Courier New" w:cs="Courier New" w:eastAsia="Courier New" w:hAnsi="Courier New"/>
          <w:sz w:val="14"/>
          <w:szCs w:val="14"/>
          <w:color w:val="auto"/>
        </w:rPr>
        <w:t>63</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VIII - EVENTS OF DEFAULT</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8.01</w:t>
        <w:tab/>
        <w:t>Event of Default</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(a)</w:t>
        <w:tab/>
        <w:t>Non-Payment</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(b)</w:t>
        <w:tab/>
        <w:t>Representation or Warranty</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(c)</w:t>
        <w:tab/>
        <w:t>Specific Defaults</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(d)</w:t>
        <w:tab/>
        <w:t>Other Defaults</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(e)</w:t>
        <w:tab/>
        <w:t>Cross-Acceleration - Indebtedness</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(f)</w:t>
        <w:tab/>
        <w:t>Cross-Acceleration - Swap Obligations</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(g)</w:t>
        <w:tab/>
        <w:t>Insolvency; Voluntary Proceedings</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(h)</w:t>
        <w:tab/>
        <w:t>Involuntary Proceedings</w:t>
      </w:r>
      <w:r>
        <w:rPr>
          <w:sz w:val="20"/>
          <w:szCs w:val="20"/>
          <w:color w:val="auto"/>
        </w:rPr>
        <w:tab/>
      </w:r>
      <w:r>
        <w:rPr>
          <w:rFonts w:ascii="Courier New" w:cs="Courier New" w:eastAsia="Courier New" w:hAnsi="Courier New"/>
          <w:sz w:val="14"/>
          <w:szCs w:val="14"/>
          <w:color w:val="auto"/>
        </w:rPr>
        <w:t>65</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(i)</w:t>
        <w:tab/>
        <w:t>ERISA</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(j)</w:t>
        <w:tab/>
        <w:t>Monetary Judgments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(k)</w:t>
        <w:tab/>
        <w:t>Non-Monetary Judgments</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(l)</w:t>
        <w:tab/>
        <w:t>Change of Control</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(m)</w:t>
        <w:tab/>
        <w:t>Loss of Governmental Licenses</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jc w:val="right"/>
        <w:ind w:right="3339"/>
        <w:spacing w:after="0"/>
        <w:tabs>
          <w:tab w:leader="none" w:pos="5500" w:val="left"/>
          <w:tab w:leader="dot" w:pos="160" w:val="left"/>
        </w:tabs>
        <w:rPr>
          <w:sz w:val="20"/>
          <w:szCs w:val="20"/>
          <w:color w:val="auto"/>
        </w:rPr>
      </w:pPr>
      <w:r>
        <w:rPr>
          <w:rFonts w:ascii="Courier New" w:cs="Courier New" w:eastAsia="Courier New" w:hAnsi="Courier New"/>
          <w:sz w:val="14"/>
          <w:szCs w:val="14"/>
          <w:color w:val="auto"/>
        </w:rPr>
        <w:t>(n)</w:t>
        <w:tab/>
        <w:t>Permitted Subordinated Debt; Loss of Subordination</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8.02</w:t>
        <w:tab/>
        <w:t>Remedies</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8.03</w:t>
        <w:tab/>
        <w:t>Rights Not Exclusive</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8.04</w:t>
        <w:tab/>
        <w:t>Certain Financial Covenant Defaults</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IX - THE AGENT</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9.01</w:t>
        <w:tab/>
        <w:t>Appointment and Authorization; "Agent"</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9.02</w:t>
        <w:tab/>
        <w:t>Delegation of Duties</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9.03</w:t>
        <w:tab/>
        <w:t>Liability of Agent</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9.04</w:t>
        <w:tab/>
        <w:t>Reliance by Agent</w:t>
      </w:r>
      <w:r>
        <w:rPr>
          <w:sz w:val="20"/>
          <w:szCs w:val="20"/>
          <w:color w:val="auto"/>
        </w:rPr>
        <w:tab/>
      </w:r>
      <w:r>
        <w:rPr>
          <w:rFonts w:ascii="Courier New" w:cs="Courier New" w:eastAsia="Courier New" w:hAnsi="Courier New"/>
          <w:sz w:val="14"/>
          <w:szCs w:val="14"/>
          <w:color w:val="auto"/>
        </w:rPr>
        <w:t>69</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9.05</w:t>
        <w:tab/>
        <w:t>Notice of Default</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9.06</w:t>
        <w:tab/>
        <w:t>Credit Decision</w:t>
      </w:r>
      <w:r>
        <w:rPr>
          <w:sz w:val="20"/>
          <w:szCs w:val="20"/>
          <w:color w:val="auto"/>
        </w:rPr>
        <w:tab/>
      </w:r>
      <w:r>
        <w:rPr>
          <w:rFonts w:ascii="Courier New" w:cs="Courier New" w:eastAsia="Courier New" w:hAnsi="Courier New"/>
          <w:sz w:val="14"/>
          <w:szCs w:val="14"/>
          <w:color w:val="auto"/>
        </w:rPr>
        <w:t>70</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9.07</w:t>
        <w:tab/>
        <w:t>Indemnification of Agent</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9.08</w:t>
        <w:tab/>
        <w:t>Agent in Individual Capacity</w:t>
      </w:r>
      <w:r>
        <w:rPr>
          <w:sz w:val="20"/>
          <w:szCs w:val="20"/>
          <w:color w:val="auto"/>
        </w:rPr>
        <w:tab/>
      </w:r>
      <w:r>
        <w:rPr>
          <w:rFonts w:ascii="Courier New" w:cs="Courier New" w:eastAsia="Courier New" w:hAnsi="Courier New"/>
          <w:sz w:val="14"/>
          <w:szCs w:val="14"/>
          <w:color w:val="auto"/>
        </w:rPr>
        <w:t>71</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9.09</w:t>
        <w:tab/>
        <w:t>Successor Agent</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ind w:left="440"/>
        <w:spacing w:after="0"/>
        <w:tabs>
          <w:tab w:leader="none" w:pos="940" w:val="left"/>
          <w:tab w:leader="dot" w:pos="6700" w:val="left"/>
        </w:tabs>
        <w:rPr>
          <w:sz w:val="20"/>
          <w:szCs w:val="20"/>
          <w:color w:val="auto"/>
        </w:rPr>
      </w:pPr>
      <w:r>
        <w:rPr>
          <w:rFonts w:ascii="Courier New" w:cs="Courier New" w:eastAsia="Courier New" w:hAnsi="Courier New"/>
          <w:sz w:val="14"/>
          <w:szCs w:val="14"/>
          <w:color w:val="auto"/>
        </w:rPr>
        <w:t>9.10</w:t>
        <w:tab/>
        <w:t>Withholding Tax</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ind w:left="440"/>
        <w:spacing w:after="0"/>
        <w:tabs>
          <w:tab w:leader="none" w:pos="940" w:val="left"/>
          <w:tab w:leader="none" w:pos="6700" w:val="left"/>
        </w:tabs>
        <w:rPr>
          <w:sz w:val="20"/>
          <w:szCs w:val="20"/>
          <w:color w:val="auto"/>
        </w:rPr>
      </w:pPr>
      <w:r>
        <w:rPr>
          <w:rFonts w:ascii="Courier New" w:cs="Courier New" w:eastAsia="Courier New" w:hAnsi="Courier New"/>
          <w:sz w:val="14"/>
          <w:szCs w:val="14"/>
          <w:color w:val="auto"/>
        </w:rPr>
        <w:t>9.11</w:t>
        <w:tab/>
        <w:t>Co-Agents</w:t>
      </w:r>
      <w:r>
        <w:rPr>
          <w:sz w:val="20"/>
          <w:szCs w:val="20"/>
          <w:color w:val="auto"/>
        </w:rPr>
        <w:tab/>
      </w:r>
      <w:r>
        <w:rPr>
          <w:rFonts w:ascii="Courier New" w:cs="Courier New" w:eastAsia="Courier New" w:hAnsi="Courier New"/>
          <w:sz w:val="14"/>
          <w:szCs w:val="14"/>
          <w:color w:val="auto"/>
        </w:rPr>
        <w:t>74</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ARTICLE X - MISCELLANEOUS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440"/>
        <w:spacing w:after="0"/>
        <w:tabs>
          <w:tab w:leader="dot" w:pos="6700" w:val="left"/>
        </w:tabs>
        <w:rPr>
          <w:sz w:val="20"/>
          <w:szCs w:val="20"/>
          <w:color w:val="auto"/>
        </w:rPr>
      </w:pPr>
      <w:r>
        <w:rPr>
          <w:rFonts w:ascii="Courier New" w:cs="Courier New" w:eastAsia="Courier New" w:hAnsi="Courier New"/>
          <w:sz w:val="14"/>
          <w:szCs w:val="14"/>
          <w:color w:val="auto"/>
        </w:rPr>
        <w:t>10.01 Amendments and Waivers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ind w:left="440"/>
        <w:spacing w:after="0"/>
        <w:tabs>
          <w:tab w:leader="dot" w:pos="6700" w:val="left"/>
        </w:tabs>
        <w:rPr>
          <w:sz w:val="20"/>
          <w:szCs w:val="20"/>
          <w:color w:val="auto"/>
        </w:rPr>
      </w:pPr>
      <w:r>
        <w:rPr>
          <w:rFonts w:ascii="Courier New" w:cs="Courier New" w:eastAsia="Courier New" w:hAnsi="Courier New"/>
          <w:sz w:val="14"/>
          <w:szCs w:val="14"/>
          <w:color w:val="auto"/>
        </w:rPr>
        <w:t>10.02 Notices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ind w:left="440"/>
        <w:spacing w:after="0"/>
        <w:tabs>
          <w:tab w:leader="dot" w:pos="6700" w:val="left"/>
        </w:tabs>
        <w:rPr>
          <w:sz w:val="20"/>
          <w:szCs w:val="20"/>
          <w:color w:val="auto"/>
        </w:rPr>
      </w:pPr>
      <w:r>
        <w:rPr>
          <w:rFonts w:ascii="Courier New" w:cs="Courier New" w:eastAsia="Courier New" w:hAnsi="Courier New"/>
          <w:sz w:val="14"/>
          <w:szCs w:val="14"/>
          <w:color w:val="auto"/>
        </w:rPr>
        <w:t>10.03 No Waiver; Cumulative Remedies</w:t>
      </w:r>
      <w:r>
        <w:rPr>
          <w:sz w:val="20"/>
          <w:szCs w:val="20"/>
          <w:color w:val="auto"/>
        </w:rPr>
        <w:tab/>
      </w:r>
      <w:r>
        <w:rPr>
          <w:rFonts w:ascii="Courier New" w:cs="Courier New" w:eastAsia="Courier New" w:hAnsi="Courier New"/>
          <w:sz w:val="14"/>
          <w:szCs w:val="14"/>
          <w:color w:val="auto"/>
        </w:rPr>
        <w:t>76</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948" w:right="1440"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4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10.04</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Costs and Expenses..............................................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10.05</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Company Indemnification.........................................</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10.06</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Payments Set Aside..............................................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10.07</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Successors and Assigns..........................................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10.08</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Assignments, Participations, etc................................</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10.09</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Confidentiality.................................................</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10.10</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Set-off.........................................................</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10.11</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Notification of Addresses, Lending Offices, Etc.................</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10.12</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Counterparts....................................................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10.13</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Severability....................................................</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10.14</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No Third Parties Benefited......................................</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10.15</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Governing Law and Jurisdiction..................................</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10.16</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Waiver of Jury Trial............................................</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10.17</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Entire Agreement................................................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10.18</w:t>
            </w:r>
          </w:p>
        </w:tc>
        <w:tc>
          <w:tcPr>
            <w:tcW w:w="5600" w:type="dxa"/>
            <w:vAlign w:val="bottom"/>
          </w:tcPr>
          <w:p>
            <w:pPr>
              <w:ind w:left="40"/>
              <w:spacing w:after="0"/>
              <w:rPr>
                <w:sz w:val="20"/>
                <w:szCs w:val="20"/>
                <w:color w:val="auto"/>
              </w:rPr>
            </w:pPr>
            <w:r>
              <w:rPr>
                <w:rFonts w:ascii="Courier New" w:cs="Courier New" w:eastAsia="Courier New" w:hAnsi="Courier New"/>
                <w:sz w:val="14"/>
                <w:szCs w:val="14"/>
                <w:color w:val="auto"/>
              </w:rPr>
              <w:t>Amendment and Restatement of Existing Facility..................</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497"/>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SCHEDULES:</w:t>
            </w:r>
          </w:p>
        </w:tc>
        <w:tc>
          <w:tcPr>
            <w:tcW w:w="380" w:type="dxa"/>
            <w:vAlign w:val="bottom"/>
          </w:tcPr>
          <w:p>
            <w:pPr>
              <w:spacing w:after="0"/>
              <w:rPr>
                <w:sz w:val="24"/>
                <w:szCs w:val="24"/>
                <w:color w:val="auto"/>
              </w:rPr>
            </w:pPr>
          </w:p>
        </w:tc>
      </w:tr>
      <w:tr>
        <w:trPr>
          <w:trHeight w:val="166"/>
        </w:trPr>
        <w:tc>
          <w:tcPr>
            <w:tcW w:w="60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r>
      <w:tr>
        <w:trPr>
          <w:trHeight w:val="331"/>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c>
          <w:tcPr>
            <w:tcW w:w="5600" w:type="dxa"/>
            <w:vAlign w:val="bottom"/>
          </w:tcPr>
          <w:p>
            <w:pPr>
              <w:ind w:left="820"/>
              <w:spacing w:after="0"/>
              <w:rPr>
                <w:sz w:val="20"/>
                <w:szCs w:val="20"/>
                <w:color w:val="auto"/>
              </w:rPr>
            </w:pPr>
            <w:r>
              <w:rPr>
                <w:rFonts w:ascii="Courier New" w:cs="Courier New" w:eastAsia="Courier New" w:hAnsi="Courier New"/>
                <w:sz w:val="14"/>
                <w:szCs w:val="14"/>
                <w:color w:val="auto"/>
              </w:rPr>
              <w:t>Commitments and Pro Rata Shares</w:t>
            </w:r>
          </w:p>
        </w:tc>
        <w:tc>
          <w:tcPr>
            <w:tcW w:w="380" w:type="dxa"/>
            <w:vAlign w:val="bottom"/>
          </w:tcPr>
          <w:p>
            <w:pPr>
              <w:spacing w:after="0"/>
              <w:rPr>
                <w:sz w:val="24"/>
                <w:szCs w:val="24"/>
                <w:color w:val="auto"/>
              </w:rPr>
            </w:pPr>
          </w:p>
        </w:tc>
      </w:tr>
      <w:tr>
        <w:trPr>
          <w:trHeight w:val="166"/>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5"/>
              </w:rPr>
              <w:t>10.02</w:t>
            </w:r>
          </w:p>
        </w:tc>
        <w:tc>
          <w:tcPr>
            <w:tcW w:w="5600" w:type="dxa"/>
            <w:vAlign w:val="bottom"/>
          </w:tcPr>
          <w:p>
            <w:pPr>
              <w:ind w:left="820"/>
              <w:spacing w:after="0"/>
              <w:rPr>
                <w:sz w:val="20"/>
                <w:szCs w:val="20"/>
                <w:color w:val="auto"/>
              </w:rPr>
            </w:pPr>
            <w:r>
              <w:rPr>
                <w:rFonts w:ascii="Courier New" w:cs="Courier New" w:eastAsia="Courier New" w:hAnsi="Courier New"/>
                <w:sz w:val="14"/>
                <w:szCs w:val="14"/>
                <w:color w:val="auto"/>
              </w:rPr>
              <w:t>Offshore and Domestic Lending Offices;</w:t>
            </w:r>
          </w:p>
        </w:tc>
        <w:tc>
          <w:tcPr>
            <w:tcW w:w="38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5600" w:type="dxa"/>
            <w:vAlign w:val="bottom"/>
          </w:tcPr>
          <w:p>
            <w:pPr>
              <w:ind w:left="820"/>
              <w:spacing w:after="0"/>
              <w:rPr>
                <w:sz w:val="20"/>
                <w:szCs w:val="20"/>
                <w:color w:val="auto"/>
              </w:rPr>
            </w:pPr>
            <w:r>
              <w:rPr>
                <w:rFonts w:ascii="Courier New" w:cs="Courier New" w:eastAsia="Courier New" w:hAnsi="Courier New"/>
                <w:sz w:val="14"/>
                <w:szCs w:val="14"/>
                <w:color w:val="auto"/>
              </w:rPr>
              <w:t>Addresses for Notices</w:t>
            </w:r>
          </w:p>
        </w:tc>
        <w:tc>
          <w:tcPr>
            <w:tcW w:w="38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hanging="1043"/>
        <w:spacing w:after="0"/>
        <w:tabs>
          <w:tab w:leader="none" w:pos="130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Notice of Borrowing</w:t>
      </w:r>
    </w:p>
    <w:p>
      <w:pPr>
        <w:spacing w:after="0" w:line="7" w:lineRule="exact"/>
        <w:rPr>
          <w:sz w:val="20"/>
          <w:szCs w:val="20"/>
          <w:color w:val="auto"/>
        </w:rPr>
      </w:pPr>
    </w:p>
    <w:p>
      <w:pPr>
        <w:ind w:left="1300" w:hanging="1043"/>
        <w:spacing w:after="0"/>
        <w:tabs>
          <w:tab w:leader="none" w:pos="13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Notice of Conversion/Continuation</w:t>
      </w:r>
    </w:p>
    <w:p>
      <w:pPr>
        <w:spacing w:after="0" w:line="7" w:lineRule="exact"/>
        <w:rPr>
          <w:sz w:val="20"/>
          <w:szCs w:val="20"/>
          <w:color w:val="auto"/>
        </w:rPr>
      </w:pPr>
    </w:p>
    <w:p>
      <w:pPr>
        <w:ind w:left="1300" w:hanging="1043"/>
        <w:spacing w:after="0"/>
        <w:tabs>
          <w:tab w:leader="none" w:pos="130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Promissory Note</w:t>
      </w:r>
    </w:p>
    <w:p>
      <w:pPr>
        <w:spacing w:after="0" w:line="7" w:lineRule="exact"/>
        <w:rPr>
          <w:sz w:val="20"/>
          <w:szCs w:val="20"/>
          <w:color w:val="auto"/>
        </w:rPr>
      </w:pPr>
    </w:p>
    <w:p>
      <w:pPr>
        <w:ind w:left="1300" w:hanging="1043"/>
        <w:spacing w:after="0"/>
        <w:tabs>
          <w:tab w:leader="none" w:pos="13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Compliance Certificate</w:t>
      </w:r>
    </w:p>
    <w:p>
      <w:pPr>
        <w:spacing w:after="0" w:line="7" w:lineRule="exact"/>
        <w:rPr>
          <w:sz w:val="20"/>
          <w:szCs w:val="20"/>
          <w:color w:val="auto"/>
        </w:rPr>
      </w:pPr>
    </w:p>
    <w:p>
      <w:pPr>
        <w:ind w:left="1300" w:right="4719" w:hanging="1119"/>
        <w:spacing w:after="0" w:line="250" w:lineRule="auto"/>
        <w:tabs>
          <w:tab w:leader="none" w:pos="1280" w:val="left"/>
        </w:tabs>
        <w:rPr>
          <w:sz w:val="20"/>
          <w:szCs w:val="20"/>
          <w:color w:val="auto"/>
        </w:rPr>
      </w:pPr>
      <w:r>
        <w:rPr>
          <w:rFonts w:ascii="Courier New" w:cs="Courier New" w:eastAsia="Courier New" w:hAnsi="Courier New"/>
          <w:sz w:val="14"/>
          <w:szCs w:val="14"/>
          <w:color w:val="auto"/>
        </w:rPr>
        <w:t>E-1</w:t>
      </w:r>
      <w:r>
        <w:rPr>
          <w:sz w:val="20"/>
          <w:szCs w:val="20"/>
          <w:color w:val="auto"/>
        </w:rPr>
        <w:tab/>
      </w:r>
      <w:r>
        <w:rPr>
          <w:rFonts w:ascii="Courier New" w:cs="Courier New" w:eastAsia="Courier New" w:hAnsi="Courier New"/>
          <w:sz w:val="14"/>
          <w:szCs w:val="14"/>
          <w:color w:val="auto"/>
        </w:rPr>
        <w:t>Form of Legal Opinion of Company's Associate General Counsel</w:t>
      </w:r>
    </w:p>
    <w:p>
      <w:pPr>
        <w:spacing w:after="0" w:line="1" w:lineRule="exact"/>
        <w:rPr>
          <w:sz w:val="20"/>
          <w:szCs w:val="20"/>
          <w:color w:val="auto"/>
        </w:rPr>
      </w:pPr>
    </w:p>
    <w:p>
      <w:pPr>
        <w:ind w:left="180"/>
        <w:spacing w:after="0"/>
        <w:tabs>
          <w:tab w:leader="none" w:pos="1280" w:val="left"/>
        </w:tabs>
        <w:rPr>
          <w:sz w:val="20"/>
          <w:szCs w:val="20"/>
          <w:color w:val="auto"/>
        </w:rPr>
      </w:pPr>
      <w:r>
        <w:rPr>
          <w:rFonts w:ascii="Courier New" w:cs="Courier New" w:eastAsia="Courier New" w:hAnsi="Courier New"/>
          <w:sz w:val="14"/>
          <w:szCs w:val="14"/>
          <w:color w:val="auto"/>
        </w:rPr>
        <w:t>E-2</w:t>
      </w:r>
      <w:r>
        <w:rPr>
          <w:sz w:val="20"/>
          <w:szCs w:val="20"/>
          <w:color w:val="auto"/>
        </w:rPr>
        <w:tab/>
      </w:r>
      <w:r>
        <w:rPr>
          <w:rFonts w:ascii="Courier New" w:cs="Courier New" w:eastAsia="Courier New" w:hAnsi="Courier New"/>
          <w:sz w:val="14"/>
          <w:szCs w:val="14"/>
          <w:color w:val="auto"/>
        </w:rPr>
        <w:t>Form of Legal Opinion of Company's Outside Counsel</w:t>
      </w:r>
    </w:p>
    <w:p>
      <w:pPr>
        <w:spacing w:after="0" w:line="7" w:lineRule="exact"/>
        <w:rPr>
          <w:sz w:val="20"/>
          <w:szCs w:val="20"/>
          <w:color w:val="auto"/>
        </w:rPr>
      </w:pPr>
    </w:p>
    <w:p>
      <w:pPr>
        <w:ind w:left="1300" w:hanging="1043"/>
        <w:spacing w:after="0"/>
        <w:tabs>
          <w:tab w:leader="none" w:pos="130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Assignment and Acceptance</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GSubordinated Note Indenture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799"/>
          </w:cols>
          <w:pgMar w:left="660" w:top="948" w:right="1440" w:bottom="1440" w:gutter="0" w:footer="0" w:header="0"/>
        </w:sectPr>
      </w:pPr>
    </w:p>
    <w:bookmarkStart w:id="165" w:name="page166"/>
    <w:bookmarkEnd w:id="165"/>
    <w:p>
      <w:pPr>
        <w:ind w:left="2940"/>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MICRON TECHNOLOGY, INC.</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Computation of Per Share Earnings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(Amounts in millions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tabs>
          <w:tab w:leader="none" w:pos="4900" w:val="left"/>
        </w:tabs>
        <w:rPr>
          <w:sz w:val="20"/>
          <w:szCs w:val="20"/>
          <w:color w:val="auto"/>
        </w:rPr>
      </w:pPr>
      <w:r>
        <w:rPr>
          <w:rFonts w:ascii="Courier New" w:cs="Courier New" w:eastAsia="Courier New" w:hAnsi="Courier New"/>
          <w:sz w:val="14"/>
          <w:szCs w:val="14"/>
          <w:color w:val="auto"/>
        </w:rPr>
        <w:t>May 29</w:t>
      </w:r>
      <w:r>
        <w:rPr>
          <w:sz w:val="20"/>
          <w:szCs w:val="20"/>
          <w:color w:val="auto"/>
        </w:rPr>
        <w:tab/>
      </w:r>
      <w:r>
        <w:rPr>
          <w:rFonts w:ascii="Courier New" w:cs="Courier New" w:eastAsia="Courier New" w:hAnsi="Courier New"/>
          <w:sz w:val="14"/>
          <w:szCs w:val="14"/>
          <w:color w:val="auto"/>
        </w:rPr>
        <w:t>May 30,</w:t>
      </w:r>
    </w:p>
    <w:p>
      <w:pPr>
        <w:spacing w:after="0" w:line="7" w:lineRule="exact"/>
        <w:rPr>
          <w:sz w:val="20"/>
          <w:szCs w:val="20"/>
          <w:color w:val="auto"/>
        </w:rPr>
      </w:pPr>
    </w:p>
    <w:p>
      <w:pPr>
        <w:spacing w:after="0"/>
        <w:tabs>
          <w:tab w:leader="none" w:pos="4200" w:val="left"/>
          <w:tab w:leader="none" w:pos="498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208.2</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effect of dilutive stock options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Total shares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214.5</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$ 96.8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$ 58.2</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Primary earnings per share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$ 0.45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$ 0.27</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40" w:type="dxa"/>
            <w:vAlign w:val="bottom"/>
          </w:tcPr>
          <w:p>
            <w:pPr>
              <w:spacing w:after="0"/>
              <w:rPr>
                <w:sz w:val="20"/>
                <w:szCs w:val="20"/>
                <w:color w:val="auto"/>
              </w:rPr>
            </w:pPr>
            <w:r>
              <w:rPr>
                <w:rFonts w:ascii="Courier New" w:cs="Courier New" w:eastAsia="Courier New" w:hAnsi="Courier New"/>
                <w:sz w:val="14"/>
                <w:szCs w:val="14"/>
                <w:color w:val="auto"/>
              </w:rPr>
              <w:t>FULLY DILUTED</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208.2</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effect of dilutive stock options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Total shares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218.4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214.5</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$ 96.8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$ 58.2</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Fully diluted earnings per share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$ 0.44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$ 0.27</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473" w:right="1440" w:bottom="1440" w:gutter="0" w:footer="0" w:header="0"/>
        </w:sectPr>
      </w:pPr>
    </w:p>
    <w:bookmarkStart w:id="166" w:name="page167"/>
    <w:bookmarkEnd w:id="166"/>
    <w:p>
      <w:pPr>
        <w:spacing w:after="0" w:line="1"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EXHIBIT</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r>
      <w:tr>
        <w:trPr>
          <w:trHeight w:val="331"/>
        </w:trPr>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MICRON</w:t>
            </w: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TECHNOLOGY, INC.</w:t>
            </w:r>
          </w:p>
        </w:tc>
      </w:tr>
      <w:tr>
        <w:trPr>
          <w:trHeight w:val="331"/>
        </w:trPr>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Computation</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of Per</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Share Earnings</w:t>
            </w:r>
          </w:p>
        </w:tc>
      </w:tr>
      <w:tr>
        <w:trPr>
          <w:trHeight w:val="166"/>
        </w:trPr>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(Amounts in millions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except</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for per share amounts)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60"/>
        <w:spacing w:after="0"/>
        <w:tabs>
          <w:tab w:leader="none" w:pos="4820" w:val="left"/>
        </w:tabs>
        <w:rPr>
          <w:sz w:val="20"/>
          <w:szCs w:val="20"/>
          <w:color w:val="auto"/>
        </w:rPr>
      </w:pPr>
      <w:r>
        <w:rPr>
          <w:rFonts w:ascii="Courier New" w:cs="Courier New" w:eastAsia="Courier New" w:hAnsi="Courier New"/>
          <w:sz w:val="14"/>
          <w:szCs w:val="14"/>
          <w:color w:val="auto"/>
        </w:rPr>
        <w:t>May 29,</w:t>
        <w:tab/>
        <w:t>May 30,</w:t>
      </w:r>
    </w:p>
    <w:p>
      <w:pPr>
        <w:spacing w:after="0" w:line="7" w:lineRule="exact"/>
        <w:rPr>
          <w:sz w:val="20"/>
          <w:szCs w:val="20"/>
          <w:color w:val="auto"/>
        </w:rPr>
      </w:pPr>
    </w:p>
    <w:p>
      <w:pPr>
        <w:spacing w:after="0"/>
        <w:tabs>
          <w:tab w:leader="none" w:pos="4120" w:val="left"/>
          <w:tab w:leader="none" w:pos="4900" w:val="left"/>
        </w:tabs>
        <w:rPr>
          <w:sz w:val="20"/>
          <w:szCs w:val="20"/>
          <w:color w:val="auto"/>
        </w:rPr>
      </w:pPr>
      <w:r>
        <w:rPr>
          <w:rFonts w:ascii="Courier New" w:cs="Courier New" w:eastAsia="Courier New" w:hAnsi="Courier New"/>
          <w:sz w:val="14"/>
          <w:szCs w:val="14"/>
          <w:color w:val="auto"/>
        </w:rPr>
        <w:t>For the nine months ended</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207.4</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effect of dilutive stock options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Total shares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215.9</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$574.9</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Primary earnings per share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$ 2.66</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840" w:type="dxa"/>
            <w:vAlign w:val="bottom"/>
          </w:tcPr>
          <w:p>
            <w:pPr>
              <w:spacing w:after="0"/>
              <w:rPr>
                <w:sz w:val="20"/>
                <w:szCs w:val="20"/>
                <w:color w:val="auto"/>
              </w:rPr>
            </w:pPr>
            <w:r>
              <w:rPr>
                <w:rFonts w:ascii="Courier New" w:cs="Courier New" w:eastAsia="Courier New" w:hAnsi="Courier New"/>
                <w:sz w:val="14"/>
                <w:szCs w:val="14"/>
                <w:color w:val="auto"/>
              </w:rPr>
              <w:t>FULLY DILUTED</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Weighted average shares outstanding</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209.7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207.4</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effect of dilutive stock options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Total shares</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215.9</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$574.9</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Fully diluted earnings per share</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$ 2.66</w:t>
            </w:r>
          </w:p>
        </w:tc>
      </w:tr>
      <w:tr>
        <w:trPr>
          <w:trHeight w:val="166"/>
        </w:trPr>
        <w:tc>
          <w:tcPr>
            <w:tcW w:w="38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67" w:name="page168"/>
    <w:bookmarkEnd w:id="16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right="339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ACCOMPANYING FINANCIAL STATEMENTS AND IS QUALIFIED IN ITS ENTIRETY BY REFERENCE TO SUCH FINANCIAL STATEMENTS.</w:t>
      </w:r>
    </w:p>
    <w:p>
      <w:pPr>
        <w:spacing w:after="0" w:line="163"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1,000,000</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9-MOS</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AUG-28-1997</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MAY-29-1997</w:t>
      </w:r>
    </w:p>
    <w:p>
      <w:pPr>
        <w:spacing w:after="0" w:line="7" w:lineRule="exact"/>
        <w:rPr>
          <w:sz w:val="20"/>
          <w:szCs w:val="20"/>
          <w:color w:val="auto"/>
        </w:rPr>
      </w:pPr>
    </w:p>
    <w:p>
      <w:pPr>
        <w:ind w:left="3840"/>
        <w:spacing w:after="0"/>
        <w:rPr>
          <w:sz w:val="20"/>
          <w:szCs w:val="20"/>
          <w:color w:val="auto"/>
        </w:rPr>
      </w:pPr>
      <w:r>
        <w:rPr>
          <w:rFonts w:ascii="Courier New" w:cs="Courier New" w:eastAsia="Courier New" w:hAnsi="Courier New"/>
          <w:sz w:val="14"/>
          <w:szCs w:val="14"/>
          <w:color w:val="auto"/>
        </w:rPr>
        <w:t>434</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88</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383</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377</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1,338</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3,808</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(1,095)</w:t>
      </w:r>
    </w:p>
    <w:p>
      <w:pPr>
        <w:spacing w:after="0" w:line="7"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4"/>
          <w:szCs w:val="14"/>
          <w:color w:val="auto"/>
        </w:rPr>
        <w:t>4,155</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647</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281</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2,768</w:t>
      </w:r>
    </w:p>
    <w:p>
      <w:pPr>
        <w:spacing w:after="0" w:line="7" w:lineRule="exact"/>
        <w:rPr>
          <w:sz w:val="20"/>
          <w:szCs w:val="20"/>
          <w:color w:val="auto"/>
        </w:rPr>
      </w:pPr>
    </w:p>
    <w:p>
      <w:pPr>
        <w:ind w:left="1780"/>
        <w:spacing w:after="0"/>
        <w:rPr>
          <w:sz w:val="20"/>
          <w:szCs w:val="20"/>
          <w:color w:val="auto"/>
        </w:rPr>
      </w:pPr>
      <w:r>
        <w:rPr>
          <w:rFonts w:ascii="Courier New" w:cs="Courier New" w:eastAsia="Courier New" w:hAnsi="Courier New"/>
          <w:sz w:val="14"/>
          <w:szCs w:val="14"/>
          <w:color w:val="auto"/>
        </w:rPr>
        <w:t>4,155</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2,569</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2,569</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1,880</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2,291</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490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215</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260</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1.21</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1.20</w:t>
      </w:r>
    </w:p>
    <w:sectPr>
      <w:pgSz w:w="11900" w:h="16838" w:orient="portrait"/>
      <w:cols w:equalWidth="0" w:num="1">
        <w:col w:w="10199"/>
      </w:cols>
      <w:pgMar w:left="2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1]"/>
      <w:numFmt w:val="upperLetter"/>
      <w:start w:val="24"/>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1)"/>
      <w:numFmt w:val="decimal"/>
      <w:start w:val="208"/>
    </w:lvl>
  </w:abstractNum>
  <w:abstractNum w:abstractNumId="3">
    <w:nsid w:val="46B7D447"/>
    <w:multiLevelType w:val="hybridMultilevel"/>
    <w:lvl w:ilvl="0">
      <w:lvlJc w:val="left"/>
      <w:lvlText w:val="%1."/>
      <w:numFmt w:val="decimal"/>
      <w:start w:val="1"/>
    </w:lvl>
  </w:abstractNum>
  <w:abstractNum w:abstractNumId="4">
    <w:nsid w:val="4A2AC315"/>
    <w:multiLevelType w:val="hybridMultilevel"/>
    <w:lvl w:ilvl="0">
      <w:lvlJc w:val="left"/>
      <w:lvlText w:val="%1."/>
      <w:numFmt w:val="decimal"/>
      <w:start w:val="2"/>
    </w:lvl>
  </w:abstractNum>
  <w:abstractNum w:abstractNumId="5">
    <w:nsid w:val="39EE015C"/>
    <w:multiLevelType w:val="hybridMultilevel"/>
    <w:lvl w:ilvl="0">
      <w:lvlJc w:val="left"/>
      <w:lvlText w:val="%1."/>
      <w:numFmt w:val="decimal"/>
      <w:start w:val="4"/>
    </w:lvl>
  </w:abstractNum>
  <w:abstractNum w:abstractNumId="6">
    <w:nsid w:val="57FC4FBB"/>
    <w:multiLevelType w:val="hybridMultilevel"/>
    <w:lvl w:ilvl="0">
      <w:lvlJc w:val="left"/>
      <w:lvlText w:val="%1."/>
      <w:numFmt w:val="decimal"/>
      <w:start w:val="5"/>
    </w:lvl>
  </w:abstractNum>
  <w:abstractNum w:abstractNumId="7">
    <w:nsid w:val="CC1016F"/>
    <w:multiLevelType w:val="hybridMultilevel"/>
    <w:lvl w:ilvl="0">
      <w:lvlJc w:val="left"/>
      <w:lvlText w:val="%1."/>
      <w:numFmt w:val="decimal"/>
      <w:start w:val="6"/>
    </w:lvl>
  </w:abstractNum>
  <w:abstractNum w:abstractNumId="8">
    <w:nsid w:val="43F18422"/>
    <w:multiLevelType w:val="hybridMultilevel"/>
    <w:lvl w:ilvl="0">
      <w:lvlJc w:val="left"/>
      <w:lvlText w:val="%1."/>
      <w:numFmt w:val="decimal"/>
      <w:start w:val="7"/>
    </w:lvl>
  </w:abstractNum>
  <w:abstractNum w:abstractNumId="9">
    <w:nsid w:val="60EF0119"/>
    <w:multiLevelType w:val="hybridMultilevel"/>
    <w:lvl w:ilvl="0">
      <w:lvlJc w:val="left"/>
      <w:lvlText w:val="%1."/>
      <w:numFmt w:val="decimal"/>
      <w:start w:val="8"/>
    </w:lvl>
  </w:abstractNum>
  <w:abstractNum w:abstractNumId="10">
    <w:nsid w:val="26F324BA"/>
    <w:multiLevelType w:val="hybridMultilevel"/>
    <w:lvl w:ilvl="0">
      <w:lvlJc w:val="left"/>
      <w:lvlText w:val="%1."/>
      <w:numFmt w:val="decimal"/>
      <w:start w:val="9"/>
    </w:lvl>
  </w:abstractNum>
  <w:abstractNum w:abstractNumId="11">
    <w:nsid w:val="7F01579B"/>
    <w:multiLevelType w:val="hybridMultilevel"/>
    <w:lvl w:ilvl="0">
      <w:lvlJc w:val="left"/>
      <w:lvlText w:val="%1."/>
      <w:numFmt w:val="decimal"/>
      <w:start w:val="10"/>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1)"/>
      <w:numFmt w:val="lowerLetter"/>
      <w:start w:val="1"/>
    </w:lvl>
  </w:abstractNum>
  <w:abstractNum w:abstractNumId="14">
    <w:nsid w:val="5FB8370B"/>
    <w:multiLevelType w:val="hybridMultilevel"/>
    <w:lvl w:ilvl="0">
      <w:lvlJc w:val="left"/>
      <w:lvlText w:val="%1"/>
      <w:numFmt w:val="decimal"/>
      <w:start w:val="11"/>
    </w:lvl>
  </w:abstractNum>
  <w:abstractNum w:abstractNumId="15">
    <w:nsid w:val="50801EE1"/>
    <w:multiLevelType w:val="hybridMultilevel"/>
    <w:lvl w:ilvl="0">
      <w:lvlJc w:val="left"/>
      <w:lvlText w:val="%1"/>
      <w:numFmt w:val="lowerLetter"/>
      <w:start w:val="1"/>
    </w:lvl>
    <w:lvl w:ilvl="1">
      <w:lvlJc w:val="left"/>
      <w:lvlText w:val="%2"/>
      <w:numFmt w:val="decimal"/>
      <w:start w:val="27"/>
    </w:lvl>
  </w:abstractNum>
  <w:abstractNum w:abstractNumId="16">
    <w:nsid w:val="488AC1A"/>
    <w:multiLevelType w:val="hybridMultilevel"/>
    <w:lvl w:ilvl="0">
      <w:lvlJc w:val="left"/>
      <w:lvlText w:val="(%1)"/>
      <w:numFmt w:val="lowerLetter"/>
      <w:start w:val="2"/>
    </w:lvl>
    <w:lvl w:ilvl="1">
      <w:lvlJc w:val="left"/>
      <w:lvlText w:val="%2"/>
      <w:numFmt w:val="decimal"/>
      <w:start w:val="1"/>
    </w:lvl>
  </w:abstractNum>
  <w:abstractNum w:abstractNumId="17">
    <w:nsid w:val="5FB8011C"/>
    <w:multiLevelType w:val="hybridMultilevel"/>
    <w:lvl w:ilvl="0">
      <w:lvlJc w:val="left"/>
      <w:lvlText w:val="2"/>
      <w:numFmt w:val="bullet"/>
      <w:start w:val="1"/>
    </w:lvl>
  </w:abstractNum>
  <w:abstractNum w:abstractNumId="18">
    <w:nsid w:val="6AA78F7F"/>
    <w:multiLevelType w:val="hybridMultilevel"/>
    <w:lvl w:ilvl="0">
      <w:lvlJc w:val="left"/>
      <w:lvlText w:val="4"/>
      <w:numFmt w:val="bullet"/>
      <w:start w:val="1"/>
    </w:lvl>
  </w:abstractNum>
  <w:abstractNum w:abstractNumId="19">
    <w:nsid w:val="7672BD23"/>
    <w:multiLevelType w:val="hybridMultilevel"/>
    <w:lvl w:ilvl="0">
      <w:lvlJc w:val="left"/>
      <w:lvlText w:val="(%1)"/>
      <w:numFmt w:val="lowerLetter"/>
      <w:start w:val="1"/>
    </w:lvl>
  </w:abstractNum>
  <w:abstractNum w:abstractNumId="20">
    <w:nsid w:val="6FC75AF8"/>
    <w:multiLevelType w:val="hybridMultilevel"/>
    <w:lvl w:ilvl="0">
      <w:lvlJc w:val="left"/>
      <w:lvlText w:val="(%1)"/>
      <w:numFmt w:val="lowerLetter"/>
      <w:start w:val="1"/>
    </w:lvl>
  </w:abstractNum>
  <w:abstractNum w:abstractNumId="21">
    <w:nsid w:val="6A5F7029"/>
    <w:multiLevelType w:val="hybridMultilevel"/>
    <w:lvl w:ilvl="0">
      <w:lvlJc w:val="left"/>
      <w:lvlText w:val="(%1)"/>
      <w:numFmt w:val="lowerLetter"/>
      <w:start w:val="2"/>
    </w:lvl>
  </w:abstractNum>
  <w:abstractNum w:abstractNumId="22">
    <w:nsid w:val="7D5E18F8"/>
    <w:multiLevelType w:val="hybridMultilevel"/>
    <w:lvl w:ilvl="0">
      <w:lvlJc w:val="left"/>
      <w:lvlText w:val="(%1)"/>
      <w:numFmt w:val="lowerRoman"/>
      <w:start w:val="1"/>
    </w:lvl>
  </w:abstractNum>
  <w:abstractNum w:abstractNumId="23">
    <w:nsid w:val="5F3534A4"/>
    <w:multiLevelType w:val="hybridMultilevel"/>
    <w:lvl w:ilvl="0">
      <w:lvlJc w:val="left"/>
      <w:lvlText w:val="(%1)"/>
      <w:numFmt w:val="lowerRoman"/>
      <w:start w:val="4"/>
    </w:lvl>
  </w:abstractNum>
  <w:abstractNum w:abstractNumId="24">
    <w:nsid w:val="73A1821B"/>
    <w:multiLevelType w:val="hybridMultilevel"/>
    <w:lvl w:ilvl="0">
      <w:lvlJc w:val="left"/>
      <w:lvlText w:val="(%1)"/>
      <w:numFmt w:val="lowerRoman"/>
      <w:start w:val="5"/>
    </w:lvl>
  </w:abstractNum>
  <w:abstractNum w:abstractNumId="25">
    <w:nsid w:val="7DE67713"/>
    <w:multiLevelType w:val="hybridMultilevel"/>
    <w:lvl w:ilvl="0">
      <w:lvlJc w:val="left"/>
      <w:lvlText w:val="(%1)"/>
      <w:numFmt w:val="lowerRoman"/>
      <w:start w:val="7"/>
    </w:lvl>
  </w:abstractNum>
  <w:abstractNum w:abstractNumId="26">
    <w:nsid w:val="555C55B5"/>
    <w:multiLevelType w:val="hybridMultilevel"/>
    <w:lvl w:ilvl="0">
      <w:lvlJc w:val="left"/>
      <w:lvlText w:val="(%1)"/>
      <w:numFmt w:val="lowerLetter"/>
      <w:start w:val="2"/>
    </w:lvl>
  </w:abstractNum>
  <w:abstractNum w:abstractNumId="27">
    <w:nsid w:val="3FA62ACA"/>
    <w:multiLevelType w:val="hybridMultilevel"/>
    <w:lvl w:ilvl="0">
      <w:lvlJc w:val="left"/>
      <w:lvlText w:val="(%1)"/>
      <w:numFmt w:val="lowerLetter"/>
      <w:start w:val="2"/>
    </w:lvl>
  </w:abstractNum>
  <w:abstractNum w:abstractNumId="28">
    <w:nsid w:val="14FCE74E"/>
    <w:multiLevelType w:val="hybridMultilevel"/>
    <w:lvl w:ilvl="0">
      <w:lvlJc w:val="left"/>
      <w:lvlText w:val="(%1)"/>
      <w:numFmt w:val="lowerLetter"/>
      <w:start w:val="2"/>
    </w:lvl>
  </w:abstractNum>
  <w:abstractNum w:abstractNumId="29">
    <w:nsid w:val="6A3DD3E8"/>
    <w:multiLevelType w:val="hybridMultilevel"/>
    <w:lvl w:ilvl="0">
      <w:lvlJc w:val="left"/>
      <w:lvlText w:val="(%1)"/>
      <w:numFmt w:val="lowerLetter"/>
      <w:start w:val="9"/>
    </w:lvl>
    <w:lvl w:ilvl="1">
      <w:lvlJc w:val="left"/>
      <w:lvlText w:val="(%2)"/>
      <w:numFmt w:val="lowerLetter"/>
      <w:start w:val="2"/>
    </w:lvl>
  </w:abstractNum>
  <w:abstractNum w:abstractNumId="30">
    <w:nsid w:val="71C91298"/>
    <w:multiLevelType w:val="hybridMultilevel"/>
    <w:lvl w:ilvl="0">
      <w:lvlJc w:val="left"/>
      <w:lvlText w:val="(%1)"/>
      <w:numFmt w:val="lowerLetter"/>
      <w:start w:val="3"/>
    </w:lvl>
  </w:abstractNum>
  <w:abstractNum w:abstractNumId="31">
    <w:nsid w:val="9DAF632"/>
    <w:multiLevelType w:val="hybridMultilevel"/>
    <w:lvl w:ilvl="0">
      <w:lvlJc w:val="left"/>
      <w:lvlText w:val="(%1)"/>
      <w:numFmt w:val="lowerLetter"/>
      <w:start w:val="2"/>
    </w:lvl>
  </w:abstractNum>
  <w:abstractNum w:abstractNumId="32">
    <w:nsid w:val="53299938"/>
    <w:multiLevelType w:val="hybridMultilevel"/>
    <w:lvl w:ilvl="0">
      <w:lvlJc w:val="left"/>
      <w:lvlText w:val="----"/>
      <w:numFmt w:val="bullet"/>
      <w:start w:val="1"/>
    </w:lvl>
  </w:abstractNum>
  <w:abstractNum w:abstractNumId="33">
    <w:nsid w:val="1FBFE8E0"/>
    <w:multiLevelType w:val="hybridMultilevel"/>
    <w:lvl w:ilvl="0">
      <w:lvlJc w:val="left"/>
      <w:lvlText w:val="(%1)"/>
      <w:numFmt w:val="lowerLetter"/>
      <w:start w:val="2"/>
    </w:lvl>
  </w:abstractNum>
  <w:abstractNum w:abstractNumId="34">
    <w:nsid w:val="5092CA79"/>
    <w:multiLevelType w:val="hybridMultilevel"/>
    <w:lvl w:ilvl="0">
      <w:lvlJc w:val="left"/>
      <w:lvlText w:val="(%1)"/>
      <w:numFmt w:val="lowerLetter"/>
      <w:start w:val="3"/>
    </w:lvl>
  </w:abstractNum>
  <w:abstractNum w:abstractNumId="35">
    <w:nsid w:val="1D545C4D"/>
    <w:multiLevelType w:val="hybridMultilevel"/>
    <w:lvl w:ilvl="0">
      <w:lvlJc w:val="left"/>
      <w:lvlText w:val="(%1)"/>
      <w:numFmt w:val="lowerLetter"/>
      <w:start w:val="2"/>
    </w:lvl>
  </w:abstractNum>
  <w:abstractNum w:abstractNumId="36">
    <w:nsid w:val="59ADEA3D"/>
    <w:multiLevelType w:val="hybridMultilevel"/>
    <w:lvl w:ilvl="0">
      <w:lvlJc w:val="left"/>
      <w:lvlText w:val="(%1)"/>
      <w:numFmt w:val="lowerLetter"/>
      <w:start w:val="2"/>
    </w:lvl>
  </w:abstractNum>
  <w:abstractNum w:abstractNumId="37">
    <w:nsid w:val="288F1A34"/>
    <w:multiLevelType w:val="hybridMultilevel"/>
    <w:lvl w:ilvl="0">
      <w:lvlJc w:val="left"/>
      <w:lvlText w:val="(%1)"/>
      <w:numFmt w:val="lowerLetter"/>
      <w:start w:val="3"/>
    </w:lvl>
    <w:lvl w:ilvl="1">
      <w:lvlJc w:val="left"/>
      <w:lvlText w:val="(%2)"/>
      <w:numFmt w:val="lowerRoman"/>
      <w:start w:val="1"/>
    </w:lvl>
  </w:abstractNum>
  <w:abstractNum w:abstractNumId="38">
    <w:nsid w:val="2A155DBC"/>
    <w:multiLevelType w:val="hybridMultilevel"/>
    <w:lvl w:ilvl="0">
      <w:lvlJc w:val="left"/>
      <w:lvlText w:val="%1"/>
      <w:numFmt w:val="lowerLetter"/>
      <w:start w:val="1"/>
    </w:lvl>
    <w:lvl w:ilvl="1">
      <w:lvlJc w:val="left"/>
      <w:lvlText w:val="(%2)"/>
      <w:numFmt w:val="lowerLetter"/>
      <w:start w:val="61"/>
    </w:lvl>
  </w:abstractNum>
  <w:abstractNum w:abstractNumId="39">
    <w:nsid w:val="1D9F6E5F"/>
    <w:multiLevelType w:val="hybridMultilevel"/>
    <w:lvl w:ilvl="0">
      <w:lvlJc w:val="left"/>
      <w:lvlText w:val="(%1)"/>
      <w:numFmt w:val="lowerLetter"/>
      <w:start w:val="6"/>
    </w:lvl>
    <w:lvl w:ilvl="1">
      <w:lvlJc w:val="left"/>
      <w:lvlText w:val="%2"/>
      <w:numFmt w:val="lowerLetter"/>
      <w:start w:val="1"/>
    </w:lvl>
  </w:abstractNum>
  <w:abstractNum w:abstractNumId="40">
    <w:nsid w:val="97E1B4E"/>
    <w:multiLevelType w:val="hybridMultilevel"/>
    <w:lvl w:ilvl="0">
      <w:lvlJc w:val="left"/>
      <w:lvlText w:val="(%1)"/>
      <w:numFmt w:val="lowerLetter"/>
      <w:start w:val="2"/>
    </w:lvl>
  </w:abstractNum>
  <w:abstractNum w:abstractNumId="41">
    <w:nsid w:val="51088277"/>
    <w:multiLevelType w:val="hybridMultilevel"/>
    <w:lvl w:ilvl="0">
      <w:lvlJc w:val="left"/>
      <w:lvlText w:val="(%1)"/>
      <w:numFmt w:val="lowerLetter"/>
      <w:start w:val="2"/>
    </w:lvl>
  </w:abstractNum>
  <w:abstractNum w:abstractNumId="42">
    <w:nsid w:val="1CA0C5FA"/>
    <w:multiLevelType w:val="hybridMultilevel"/>
    <w:lvl w:ilvl="0">
      <w:lvlJc w:val="left"/>
      <w:lvlText w:val="(%1)"/>
      <w:numFmt w:val="lowerLetter"/>
      <w:start w:val="3"/>
    </w:lvl>
  </w:abstractNum>
  <w:abstractNum w:abstractNumId="43">
    <w:nsid w:val="53584BCB"/>
    <w:multiLevelType w:val="hybridMultilevel"/>
    <w:lvl w:ilvl="0">
      <w:lvlJc w:val="left"/>
      <w:lvlText w:val="(%1)"/>
      <w:numFmt w:val="lowerLetter"/>
      <w:start w:val="4"/>
    </w:lvl>
  </w:abstractNum>
  <w:abstractNum w:abstractNumId="44">
    <w:nsid w:val="415E286C"/>
    <w:multiLevelType w:val="hybridMultilevel"/>
    <w:lvl w:ilvl="0">
      <w:lvlJc w:val="left"/>
      <w:lvlText w:val="(%1)"/>
      <w:numFmt w:val="lowerLetter"/>
      <w:start w:val="1"/>
    </w:lvl>
  </w:abstractNum>
  <w:abstractNum w:abstractNumId="45">
    <w:nsid w:val="7C58FD05"/>
    <w:multiLevelType w:val="hybridMultilevel"/>
    <w:lvl w:ilvl="0">
      <w:lvlJc w:val="left"/>
      <w:lvlText w:val="(%1)"/>
      <w:numFmt w:val="lowerLetter"/>
      <w:start w:val="2"/>
    </w:lvl>
    <w:lvl w:ilvl="1">
      <w:lvlJc w:val="left"/>
      <w:lvlText w:val="(%2)"/>
      <w:numFmt w:val="lowerRoman"/>
      <w:start w:val="1"/>
    </w:lvl>
  </w:abstractNum>
  <w:abstractNum w:abstractNumId="46">
    <w:nsid w:val="23D86AAC"/>
    <w:multiLevelType w:val="hybridMultilevel"/>
    <w:lvl w:ilvl="0">
      <w:lvlJc w:val="left"/>
      <w:lvlText w:val="(%1)"/>
      <w:numFmt w:val="lowerLetter"/>
      <w:start w:val="4"/>
    </w:lvl>
  </w:abstractNum>
  <w:abstractNum w:abstractNumId="47">
    <w:nsid w:val="45E6D486"/>
    <w:multiLevelType w:val="hybridMultilevel"/>
    <w:lvl w:ilvl="0">
      <w:lvlJc w:val="left"/>
      <w:lvlText w:val="(%1)"/>
      <w:numFmt w:val="lowerLetter"/>
      <w:start w:val="5"/>
    </w:lvl>
  </w:abstractNum>
  <w:abstractNum w:abstractNumId="48">
    <w:nsid w:val="5C10FE21"/>
    <w:multiLevelType w:val="hybridMultilevel"/>
    <w:lvl w:ilvl="0">
      <w:lvlJc w:val="left"/>
      <w:lvlText w:val="(%1)"/>
      <w:numFmt w:val="lowerLetter"/>
      <w:start w:val="6"/>
    </w:lvl>
  </w:abstractNum>
  <w:abstractNum w:abstractNumId="49">
    <w:nsid w:val="E7FFA2B"/>
    <w:multiLevelType w:val="hybridMultilevel"/>
    <w:lvl w:ilvl="0">
      <w:lvlJc w:val="left"/>
      <w:lvlText w:val="(%1)"/>
      <w:numFmt w:val="lowerLetter"/>
      <w:start w:val="7"/>
    </w:lvl>
  </w:abstractNum>
  <w:abstractNum w:abstractNumId="50">
    <w:nsid w:val="3C5991AA"/>
    <w:multiLevelType w:val="hybridMultilevel"/>
    <w:lvl w:ilvl="0">
      <w:lvlJc w:val="left"/>
      <w:lvlText w:val="(%1)"/>
      <w:numFmt w:val="lowerLetter"/>
      <w:start w:val="8"/>
    </w:lvl>
  </w:abstractNum>
  <w:abstractNum w:abstractNumId="51">
    <w:nsid w:val="4BD8591A"/>
    <w:multiLevelType w:val="hybridMultilevel"/>
    <w:lvl w:ilvl="0">
      <w:lvlJc w:val="left"/>
      <w:lvlText w:val="(%1)"/>
      <w:numFmt w:val="lowerLetter"/>
      <w:start w:val="1"/>
    </w:lvl>
  </w:abstractNum>
  <w:abstractNum w:abstractNumId="52">
    <w:nsid w:val="78DF6A55"/>
    <w:multiLevelType w:val="hybridMultilevel"/>
    <w:lvl w:ilvl="0">
      <w:lvlJc w:val="left"/>
      <w:lvlText w:val="(%1)"/>
      <w:numFmt w:val="lowerLetter"/>
      <w:start w:val="2"/>
    </w:lvl>
  </w:abstractNum>
  <w:abstractNum w:abstractNumId="53">
    <w:nsid w:val="39B7AAA2"/>
    <w:multiLevelType w:val="hybridMultilevel"/>
    <w:lvl w:ilvl="0">
      <w:lvlJc w:val="left"/>
      <w:lvlText w:val="(%1)"/>
      <w:numFmt w:val="lowerLetter"/>
      <w:start w:val="3"/>
    </w:lvl>
  </w:abstractNum>
  <w:abstractNum w:abstractNumId="54">
    <w:nsid w:val="2B0D8DBE"/>
    <w:multiLevelType w:val="hybridMultilevel"/>
    <w:lvl w:ilvl="0">
      <w:lvlJc w:val="left"/>
      <w:lvlText w:val="(%1)"/>
      <w:numFmt w:val="lowerLetter"/>
      <w:start w:val="2"/>
    </w:lvl>
  </w:abstractNum>
  <w:abstractNum w:abstractNumId="55">
    <w:nsid w:val="6C80EC70"/>
    <w:multiLevelType w:val="hybridMultilevel"/>
    <w:lvl w:ilvl="0">
      <w:lvlJc w:val="left"/>
      <w:lvlText w:val="(%1)"/>
      <w:numFmt w:val="lowerLetter"/>
      <w:start w:val="1"/>
    </w:lvl>
  </w:abstractNum>
  <w:abstractNum w:abstractNumId="56">
    <w:nsid w:val="379E21B5"/>
    <w:multiLevelType w:val="hybridMultilevel"/>
    <w:lvl w:ilvl="0">
      <w:lvlJc w:val="left"/>
      <w:lvlText w:val="(%1)"/>
      <w:numFmt w:val="lowerLetter"/>
      <w:start w:val="1"/>
    </w:lvl>
  </w:abstractNum>
  <w:abstractNum w:abstractNumId="57">
    <w:nsid w:val="69E373"/>
    <w:multiLevelType w:val="hybridMultilevel"/>
    <w:lvl w:ilvl="0">
      <w:lvlJc w:val="left"/>
      <w:lvlText w:val="(%1)"/>
      <w:numFmt w:val="lowerLetter"/>
      <w:start w:val="9"/>
    </w:lvl>
    <w:lvl w:ilvl="1">
      <w:lvlJc w:val="left"/>
      <w:lvlText w:val="(%2)"/>
      <w:numFmt w:val="lowerLetter"/>
      <w:start w:val="2"/>
    </w:lvl>
  </w:abstractNum>
  <w:abstractNum w:abstractNumId="58">
    <w:nsid w:val="2C27173B"/>
    <w:multiLevelType w:val="hybridMultilevel"/>
    <w:lvl w:ilvl="0">
      <w:lvlJc w:val="left"/>
      <w:lvlText w:val="(%1)"/>
      <w:numFmt w:val="lowerLetter"/>
      <w:start w:val="1"/>
    </w:lvl>
  </w:abstractNum>
  <w:abstractNum w:abstractNumId="59">
    <w:nsid w:val="4C9B0904"/>
    <w:multiLevelType w:val="hybridMultilevel"/>
    <w:lvl w:ilvl="0">
      <w:lvlJc w:val="left"/>
      <w:lvlText w:val="(%1)"/>
      <w:numFmt w:val="lowerLetter"/>
      <w:start w:val="1"/>
    </w:lvl>
  </w:abstractNum>
  <w:abstractNum w:abstractNumId="60">
    <w:nsid w:val="6AA7B75C"/>
    <w:multiLevelType w:val="hybridMultilevel"/>
    <w:lvl w:ilvl="0">
      <w:lvlJc w:val="left"/>
      <w:lvlText w:val="(%1)"/>
      <w:numFmt w:val="lowerLetter"/>
      <w:start w:val="3"/>
    </w:lvl>
  </w:abstractNum>
  <w:abstractNum w:abstractNumId="61">
    <w:nsid w:val="1DF029D3"/>
    <w:multiLevelType w:val="hybridMultilevel"/>
    <w:lvl w:ilvl="0">
      <w:lvlJc w:val="left"/>
      <w:lvlText w:val="%1"/>
      <w:numFmt w:val="lowerLetter"/>
      <w:start w:val="1"/>
    </w:lvl>
    <w:lvl w:ilvl="1">
      <w:lvlJc w:val="left"/>
      <w:lvlText w:val="(%2)"/>
      <w:numFmt w:val="lowerLetter"/>
      <w:start w:val="6"/>
    </w:lvl>
  </w:abstractNum>
  <w:abstractNum w:abstractNumId="62">
    <w:nsid w:val="5675FF36"/>
    <w:multiLevelType w:val="hybridMultilevel"/>
    <w:lvl w:ilvl="0">
      <w:lvlJc w:val="left"/>
      <w:lvlText w:val="(%1)"/>
      <w:numFmt w:val="lowerLetter"/>
      <w:start w:val="35"/>
    </w:lvl>
    <w:lvl w:ilvl="1">
      <w:lvlJc w:val="left"/>
      <w:lvlText w:val="%2"/>
      <w:numFmt w:val="lowerLetter"/>
      <w:start w:val="1"/>
    </w:lvl>
  </w:abstractNum>
  <w:abstractNum w:abstractNumId="63">
    <w:nsid w:val="3DD15094"/>
    <w:multiLevelType w:val="hybridMultilevel"/>
    <w:lvl w:ilvl="0">
      <w:lvlJc w:val="left"/>
      <w:lvlText w:val="%1"/>
      <w:numFmt w:val="lowerLetter"/>
      <w:start w:val="1"/>
    </w:lvl>
    <w:lvl w:ilvl="1">
      <w:lvlJc w:val="left"/>
      <w:lvlText w:val="(%2)"/>
      <w:numFmt w:val="lowerLetter"/>
      <w:start w:val="2"/>
    </w:lvl>
  </w:abstractNum>
  <w:abstractNum w:abstractNumId="64">
    <w:nsid w:val="3DB012B3"/>
    <w:multiLevelType w:val="hybridMultilevel"/>
    <w:lvl w:ilvl="0">
      <w:lvlJc w:val="left"/>
      <w:lvlText w:val="(%1)"/>
      <w:numFmt w:val="lowerLetter"/>
      <w:start w:val="35"/>
    </w:lvl>
    <w:lvl w:ilvl="1">
      <w:lvlJc w:val="left"/>
      <w:lvlText w:val="%2"/>
      <w:numFmt w:val="lowerLetter"/>
      <w:start w:val="1"/>
    </w:lvl>
  </w:abstractNum>
  <w:abstractNum w:abstractNumId="65">
    <w:nsid w:val="2708C9AF"/>
    <w:multiLevelType w:val="hybridMultilevel"/>
    <w:lvl w:ilvl="0">
      <w:lvlJc w:val="left"/>
      <w:lvlText w:val="%1"/>
      <w:numFmt w:val="lowerLetter"/>
      <w:start w:val="1"/>
    </w:lvl>
    <w:lvl w:ilvl="1">
      <w:lvlJc w:val="left"/>
      <w:lvlText w:val="(%2)"/>
      <w:numFmt w:val="lowerLetter"/>
      <w:start w:val="3"/>
    </w:lvl>
  </w:abstractNum>
  <w:abstractNum w:abstractNumId="66">
    <w:nsid w:val="5B25ACE2"/>
    <w:multiLevelType w:val="hybridMultilevel"/>
    <w:lvl w:ilvl="0">
      <w:lvlJc w:val="left"/>
      <w:lvlText w:val="(%1)"/>
      <w:numFmt w:val="lowerLetter"/>
      <w:start w:val="9"/>
    </w:lvl>
    <w:lvl w:ilvl="1">
      <w:lvlJc w:val="left"/>
      <w:lvlText w:val="%2"/>
      <w:numFmt w:val="lowerLetter"/>
      <w:start w:val="1"/>
    </w:lvl>
  </w:abstractNum>
  <w:abstractNum w:abstractNumId="67">
    <w:nsid w:val="175DFCF0"/>
    <w:multiLevelType w:val="hybridMultilevel"/>
    <w:lvl w:ilvl="0">
      <w:lvlJc w:val="left"/>
      <w:lvlText w:val="(%1)"/>
      <w:numFmt w:val="lowerLetter"/>
      <w:start w:val="1"/>
    </w:lvl>
  </w:abstractNum>
  <w:abstractNum w:abstractNumId="68">
    <w:nsid w:val="4F97E3E4"/>
    <w:multiLevelType w:val="hybridMultilevel"/>
    <w:lvl w:ilvl="0">
      <w:lvlJc w:val="left"/>
      <w:lvlText w:val="(%1)"/>
      <w:numFmt w:val="lowerLetter"/>
      <w:start w:val="2"/>
    </w:lvl>
  </w:abstractNum>
  <w:abstractNum w:abstractNumId="69">
    <w:nsid w:val="53B0A9E"/>
    <w:multiLevelType w:val="hybridMultilevel"/>
    <w:lvl w:ilvl="0">
      <w:lvlJc w:val="left"/>
      <w:lvlText w:val="(%1)"/>
      <w:numFmt w:val="lowerLetter"/>
      <w:start w:val="10"/>
    </w:lvl>
  </w:abstractNum>
  <w:abstractNum w:abstractNumId="70">
    <w:nsid w:val="34FD6B4F"/>
    <w:multiLevelType w:val="hybridMultilevel"/>
    <w:lvl w:ilvl="0">
      <w:lvlJc w:val="left"/>
      <w:lvlText w:val="(%1)"/>
      <w:numFmt w:val="lowerLetter"/>
      <w:start w:val="12"/>
    </w:lvl>
  </w:abstractNum>
  <w:abstractNum w:abstractNumId="71">
    <w:nsid w:val="5915FF32"/>
    <w:multiLevelType w:val="hybridMultilevel"/>
    <w:lvl w:ilvl="0">
      <w:lvlJc w:val="left"/>
      <w:lvlText w:val="(%1)"/>
      <w:numFmt w:val="lowerLetter"/>
      <w:start w:val="15"/>
    </w:lvl>
  </w:abstractNum>
  <w:abstractNum w:abstractNumId="72">
    <w:nsid w:val="56438D15"/>
    <w:multiLevelType w:val="hybridMultilevel"/>
    <w:lvl w:ilvl="0">
      <w:lvlJc w:val="left"/>
      <w:lvlText w:val="(%1)"/>
      <w:numFmt w:val="lowerLetter"/>
      <w:start w:val="18"/>
    </w:lvl>
  </w:abstractNum>
  <w:abstractNum w:abstractNumId="73">
    <w:nsid w:val="519E3149"/>
    <w:multiLevelType w:val="hybridMultilevel"/>
    <w:lvl w:ilvl="0">
      <w:lvlJc w:val="left"/>
      <w:lvlText w:val="(%1)"/>
      <w:numFmt w:val="lowerLetter"/>
      <w:start w:val="19"/>
    </w:lvl>
  </w:abstractNum>
  <w:abstractNum w:abstractNumId="74">
    <w:nsid w:val="2C6E4AFD"/>
    <w:multiLevelType w:val="hybridMultilevel"/>
    <w:lvl w:ilvl="0">
      <w:lvlJc w:val="left"/>
      <w:lvlText w:val="(%1)"/>
      <w:numFmt w:val="lowerLetter"/>
      <w:start w:val="1"/>
    </w:lvl>
  </w:abstractNum>
  <w:abstractNum w:abstractNumId="75">
    <w:nsid w:val="17A1B582"/>
    <w:multiLevelType w:val="hybridMultilevel"/>
    <w:lvl w:ilvl="0">
      <w:lvlJc w:val="left"/>
      <w:lvlText w:val="(%1)"/>
      <w:numFmt w:val="lowerLetter"/>
      <w:start w:val="1"/>
    </w:lvl>
  </w:abstractNum>
  <w:abstractNum w:abstractNumId="76">
    <w:nsid w:val="4DF72E4E"/>
    <w:multiLevelType w:val="hybridMultilevel"/>
    <w:lvl w:ilvl="0">
      <w:lvlJc w:val="left"/>
      <w:lvlText w:val="(%1)"/>
      <w:numFmt w:val="lowerLetter"/>
      <w:start w:val="2"/>
    </w:lvl>
  </w:abstractNum>
  <w:abstractNum w:abstractNumId="77">
    <w:nsid w:val="5046B5A9"/>
    <w:multiLevelType w:val="hybridMultilevel"/>
    <w:lvl w:ilvl="0">
      <w:lvlJc w:val="left"/>
      <w:lvlText w:val="(%1)"/>
      <w:numFmt w:val="lowerLetter"/>
      <w:start w:val="3"/>
    </w:lvl>
  </w:abstractNum>
  <w:abstractNum w:abstractNumId="78">
    <w:nsid w:val="5D888A08"/>
    <w:multiLevelType w:val="hybridMultilevel"/>
    <w:lvl w:ilvl="0">
      <w:lvlJc w:val="left"/>
      <w:lvlText w:val="(%1)"/>
      <w:numFmt w:val="lowerLetter"/>
      <w:start w:val="5"/>
    </w:lvl>
  </w:abstractNum>
  <w:abstractNum w:abstractNumId="79">
    <w:nsid w:val="2A082C70"/>
    <w:multiLevelType w:val="hybridMultilevel"/>
    <w:lvl w:ilvl="0">
      <w:lvlJc w:val="left"/>
      <w:lvlText w:val="(%1)"/>
      <w:numFmt w:val="lowerLetter"/>
      <w:start w:val="1"/>
    </w:lvl>
  </w:abstractNum>
  <w:abstractNum w:abstractNumId="80">
    <w:nsid w:val="5EC6AFD4"/>
    <w:multiLevelType w:val="hybridMultilevel"/>
    <w:lvl w:ilvl="0">
      <w:lvlJc w:val="left"/>
      <w:lvlText w:val="(%1)"/>
      <w:numFmt w:val="lowerLetter"/>
      <w:start w:val="2"/>
    </w:lvl>
  </w:abstractNum>
  <w:abstractNum w:abstractNumId="81">
    <w:nsid w:val="19E21BB2"/>
    <w:multiLevelType w:val="hybridMultilevel"/>
    <w:lvl w:ilvl="0">
      <w:lvlJc w:val="left"/>
      <w:lvlText w:val="(%1)"/>
      <w:numFmt w:val="lowerLetter"/>
      <w:start w:val="3"/>
    </w:lvl>
  </w:abstractNum>
  <w:abstractNum w:abstractNumId="82">
    <w:nsid w:val="75E0858A"/>
    <w:multiLevelType w:val="hybridMultilevel"/>
    <w:lvl w:ilvl="0">
      <w:lvlJc w:val="left"/>
      <w:lvlText w:val="(%1)"/>
      <w:numFmt w:val="lowerLetter"/>
      <w:start w:val="1"/>
    </w:lvl>
  </w:abstractNum>
  <w:abstractNum w:abstractNumId="83">
    <w:nsid w:val="57A61A29"/>
    <w:multiLevelType w:val="hybridMultilevel"/>
    <w:lvl w:ilvl="0">
      <w:lvlJc w:val="left"/>
      <w:lvlText w:val="(%1)"/>
      <w:numFmt w:val="lowerLetter"/>
      <w:start w:val="5"/>
    </w:lvl>
  </w:abstractNum>
  <w:abstractNum w:abstractNumId="84">
    <w:nsid w:val="5399C654"/>
    <w:multiLevelType w:val="hybridMultilevel"/>
    <w:lvl w:ilvl="0">
      <w:lvlJc w:val="left"/>
      <w:lvlText w:val="(%1)"/>
      <w:numFmt w:val="lowerLetter"/>
      <w:start w:val="6"/>
    </w:lvl>
  </w:abstractNum>
  <w:abstractNum w:abstractNumId="85">
    <w:nsid w:val="20EE1348"/>
    <w:multiLevelType w:val="hybridMultilevel"/>
    <w:lvl w:ilvl="0">
      <w:lvlJc w:val="left"/>
      <w:lvlText w:val="(%1)"/>
      <w:numFmt w:val="lowerLetter"/>
      <w:start w:val="8"/>
    </w:lvl>
  </w:abstractNum>
  <w:abstractNum w:abstractNumId="86">
    <w:nsid w:val="4427069A"/>
    <w:multiLevelType w:val="hybridMultilevel"/>
    <w:lvl w:ilvl="0">
      <w:lvlJc w:val="left"/>
      <w:lvlText w:val="(%1)"/>
      <w:numFmt w:val="lowerLetter"/>
      <w:start w:val="1"/>
    </w:lvl>
  </w:abstractNum>
  <w:abstractNum w:abstractNumId="87">
    <w:nsid w:val="B37E80A"/>
    <w:multiLevelType w:val="hybridMultilevel"/>
    <w:lvl w:ilvl="0">
      <w:lvlJc w:val="left"/>
      <w:lvlText w:val="(%1)"/>
      <w:numFmt w:val="lowerLetter"/>
      <w:start w:val="11"/>
    </w:lvl>
  </w:abstractNum>
  <w:abstractNum w:abstractNumId="88">
    <w:nsid w:val="2157F6BC"/>
    <w:multiLevelType w:val="hybridMultilevel"/>
    <w:lvl w:ilvl="0">
      <w:lvlJc w:val="left"/>
      <w:lvlText w:val="(%1)"/>
      <w:numFmt w:val="lowerLetter"/>
      <w:start w:val="1"/>
    </w:lvl>
  </w:abstractNum>
  <w:abstractNum w:abstractNumId="89">
    <w:nsid w:val="704E1DD5"/>
    <w:multiLevelType w:val="hybridMultilevel"/>
    <w:lvl w:ilvl="0">
      <w:lvlJc w:val="left"/>
      <w:lvlText w:val="(%1)"/>
      <w:numFmt w:val="lowerLetter"/>
      <w:start w:val="1"/>
    </w:lvl>
    <w:lvl w:ilvl="1">
      <w:lvlJc w:val="left"/>
      <w:lvlText w:val="(%2)"/>
      <w:numFmt w:val="lowerRoman"/>
      <w:start w:val="1"/>
    </w:lvl>
  </w:abstractNum>
  <w:abstractNum w:abstractNumId="90">
    <w:nsid w:val="57D2F10E"/>
    <w:multiLevelType w:val="hybridMultilevel"/>
    <w:lvl w:ilvl="0">
      <w:lvlJc w:val="left"/>
      <w:lvlText w:val="-"/>
      <w:numFmt w:val="bullet"/>
      <w:start w:val="1"/>
    </w:lvl>
    <w:lvl w:ilvl="1">
      <w:lvlJc w:val="left"/>
      <w:lvlText w:val="(%2)"/>
      <w:numFmt w:val="lowerLetter"/>
      <w:start w:val="2"/>
    </w:lvl>
  </w:abstractNum>
  <w:abstractNum w:abstractNumId="91">
    <w:nsid w:val="BFFAE18"/>
    <w:multiLevelType w:val="hybridMultilevel"/>
    <w:lvl w:ilvl="0">
      <w:lvlJc w:val="left"/>
      <w:lvlText w:val="%1"/>
      <w:numFmt w:val="lowerLetter"/>
      <w:start w:val="1"/>
    </w:lvl>
    <w:lvl w:ilvl="1">
      <w:lvlJc w:val="left"/>
      <w:lvlText w:val="(%2)"/>
      <w:numFmt w:val="lowerRoman"/>
      <w:start w:val="2"/>
    </w:lvl>
  </w:abstractNum>
  <w:abstractNum w:abstractNumId="92">
    <w:nsid w:val="E3E47A8"/>
    <w:multiLevelType w:val="hybridMultilevel"/>
    <w:lvl w:ilvl="0">
      <w:lvlJc w:val="left"/>
      <w:lvlText w:val="(%1)"/>
      <w:numFmt w:val="lowerLetter"/>
      <w:start w:val="3"/>
    </w:lvl>
    <w:lvl w:ilvl="1">
      <w:lvlJc w:val="left"/>
      <w:lvlText w:val="%2"/>
      <w:numFmt w:val="lowerRoman"/>
      <w:start w:val="1"/>
    </w:lvl>
  </w:abstractNum>
  <w:abstractNum w:abstractNumId="93">
    <w:nsid w:val="2E48F044"/>
    <w:multiLevelType w:val="hybridMultilevel"/>
    <w:lvl w:ilvl="0">
      <w:lvlJc w:val="left"/>
      <w:lvlText w:val="-"/>
      <w:numFmt w:val="bullet"/>
      <w:start w:val="1"/>
    </w:lvl>
    <w:lvl w:ilvl="1">
      <w:lvlJc w:val="left"/>
      <w:lvlText w:val="(%2)"/>
      <w:numFmt w:val="lowerLetter"/>
      <w:start w:val="1"/>
    </w:lvl>
  </w:abstractNum>
  <w:abstractNum w:abstractNumId="94">
    <w:nsid w:val="49D0FEAC"/>
    <w:multiLevelType w:val="hybridMultilevel"/>
    <w:lvl w:ilvl="0">
      <w:lvlJc w:val="left"/>
      <w:lvlText w:val="(%1)"/>
      <w:numFmt w:val="lowerLetter"/>
      <w:start w:val="2"/>
    </w:lvl>
  </w:abstractNum>
  <w:abstractNum w:abstractNumId="95">
    <w:nsid w:val="4BEE5A5B"/>
    <w:multiLevelType w:val="hybridMultilevel"/>
    <w:lvl w:ilvl="0">
      <w:lvlJc w:val="left"/>
      <w:lvlText w:val="(%1)"/>
      <w:numFmt w:val="lowerLetter"/>
      <w:start w:val="3"/>
    </w:lvl>
  </w:abstractNum>
  <w:abstractNum w:abstractNumId="96">
    <w:nsid w:val="5551B9F3"/>
    <w:multiLevelType w:val="hybridMultilevel"/>
    <w:lvl w:ilvl="0">
      <w:lvlJc w:val="left"/>
      <w:lvlText w:val="(%1)"/>
      <w:numFmt w:val="lowerLetter"/>
      <w:start w:val="4"/>
    </w:lvl>
  </w:abstractNum>
  <w:abstractNum w:abstractNumId="97">
    <w:nsid w:val="24F6AB8E"/>
    <w:multiLevelType w:val="hybridMultilevel"/>
    <w:lvl w:ilvl="0">
      <w:lvlJc w:val="left"/>
      <w:lvlText w:val="(%1)"/>
      <w:numFmt w:val="lowerLetter"/>
      <w:start w:val="25"/>
    </w:lvl>
  </w:abstractNum>
  <w:abstractNum w:abstractNumId="98">
    <w:nsid w:val="634C574C"/>
    <w:multiLevelType w:val="hybridMultilevel"/>
    <w:lvl w:ilvl="0">
      <w:lvlJc w:val="left"/>
      <w:lvlText w:val="(%1)"/>
      <w:numFmt w:val="lowerLetter"/>
      <w:start w:val="5"/>
    </w:lvl>
  </w:abstractNum>
  <w:abstractNum w:abstractNumId="99">
    <w:nsid w:val="24E99DD7"/>
    <w:multiLevelType w:val="hybridMultilevel"/>
    <w:lvl w:ilvl="0">
      <w:lvlJc w:val="left"/>
      <w:lvlText w:val="(%1)"/>
      <w:numFmt w:val="lowerLetter"/>
      <w:start w:val="6"/>
    </w:lvl>
  </w:abstractNum>
  <w:abstractNum w:abstractNumId="100">
    <w:nsid w:val="2A31B62D"/>
    <w:multiLevelType w:val="hybridMultilevel"/>
    <w:lvl w:ilvl="0">
      <w:lvlJc w:val="left"/>
      <w:lvlText w:val="(%1)"/>
      <w:numFmt w:val="lowerLetter"/>
      <w:start w:val="7"/>
    </w:lvl>
  </w:abstractNum>
  <w:abstractNum w:abstractNumId="101">
    <w:nsid w:val="1849C29B"/>
    <w:multiLevelType w:val="hybridMultilevel"/>
    <w:lvl w:ilvl="0">
      <w:lvlJc w:val="left"/>
      <w:lvlText w:val="(%1)"/>
      <w:numFmt w:val="lowerLetter"/>
      <w:start w:val="8"/>
    </w:lvl>
  </w:abstractNum>
  <w:abstractNum w:abstractNumId="102">
    <w:nsid w:val="7DFF9D09"/>
    <w:multiLevelType w:val="hybridMultilevel"/>
    <w:lvl w:ilvl="0">
      <w:lvlJc w:val="left"/>
      <w:lvlText w:val="(%1)"/>
      <w:numFmt w:val="lowerRoman"/>
      <w:start w:val="3"/>
    </w:lvl>
  </w:abstractNum>
  <w:abstractNum w:abstractNumId="103">
    <w:nsid w:val="754342"/>
    <w:multiLevelType w:val="hybridMultilevel"/>
    <w:lvl w:ilvl="0">
      <w:lvlJc w:val="left"/>
      <w:lvlText w:val="(%1)"/>
      <w:numFmt w:val="lowerRoman"/>
      <w:start w:val="1"/>
    </w:lvl>
  </w:abstractNum>
  <w:abstractNum w:abstractNumId="104">
    <w:nsid w:val="69E7F3E5"/>
    <w:multiLevelType w:val="hybridMultilevel"/>
    <w:lvl w:ilvl="0">
      <w:lvlJc w:val="left"/>
      <w:lvlText w:val="(%1)"/>
      <w:numFmt w:val="lowerLetter"/>
      <w:start w:val="10"/>
    </w:lvl>
  </w:abstractNum>
  <w:abstractNum w:abstractNumId="105">
    <w:nsid w:val="2A6DE806"/>
    <w:multiLevelType w:val="hybridMultilevel"/>
    <w:lvl w:ilvl="0">
      <w:lvlJc w:val="left"/>
      <w:lvlText w:val="(%1)"/>
      <w:numFmt w:val="lowerLetter"/>
      <w:start w:val="11"/>
    </w:lvl>
  </w:abstractNum>
  <w:abstractNum w:abstractNumId="106">
    <w:nsid w:val="1816F8C4"/>
    <w:multiLevelType w:val="hybridMultilevel"/>
    <w:lvl w:ilvl="0">
      <w:lvlJc w:val="left"/>
      <w:lvlText w:val="(%1)"/>
      <w:numFmt w:val="lowerLetter"/>
      <w:start w:val="12"/>
    </w:lvl>
  </w:abstractNum>
  <w:abstractNum w:abstractNumId="107">
    <w:nsid w:val="37DF2233"/>
    <w:multiLevelType w:val="hybridMultilevel"/>
    <w:lvl w:ilvl="0">
      <w:lvlJc w:val="left"/>
      <w:lvlText w:val="(%1)"/>
      <w:numFmt w:val="lowerLetter"/>
      <w:start w:val="13"/>
    </w:lvl>
  </w:abstractNum>
  <w:abstractNum w:abstractNumId="108">
    <w:nsid w:val="7AB49DAF"/>
    <w:multiLevelType w:val="hybridMultilevel"/>
    <w:lvl w:ilvl="0">
      <w:lvlJc w:val="left"/>
      <w:lvlText w:val="(%1)"/>
      <w:numFmt w:val="lowerLetter"/>
      <w:start w:val="14"/>
    </w:lvl>
  </w:abstractNum>
  <w:abstractNum w:abstractNumId="109">
    <w:nsid w:val="759F82CD"/>
    <w:multiLevelType w:val="hybridMultilevel"/>
    <w:lvl w:ilvl="0">
      <w:lvlJc w:val="left"/>
      <w:lvlText w:val="(%1)"/>
      <w:numFmt w:val="lowerLetter"/>
      <w:start w:val="3"/>
    </w:lvl>
  </w:abstractNum>
  <w:abstractNum w:abstractNumId="110">
    <w:nsid w:val="61E74EA3"/>
    <w:multiLevelType w:val="hybridMultilevel"/>
    <w:lvl w:ilvl="0">
      <w:lvlJc w:val="left"/>
      <w:lvlText w:val="(%1)"/>
      <w:numFmt w:val="lowerLetter"/>
      <w:start w:val="8"/>
    </w:lvl>
  </w:abstractNum>
  <w:abstractNum w:abstractNumId="111">
    <w:nsid w:val="597B4D84"/>
    <w:multiLevelType w:val="hybridMultilevel"/>
    <w:lvl w:ilvl="0">
      <w:lvlJc w:val="left"/>
      <w:lvlText w:val="(%1)"/>
      <w:numFmt w:val="lowerLetter"/>
      <w:start w:val="2"/>
    </w:lvl>
  </w:abstractNum>
  <w:abstractNum w:abstractNumId="112">
    <w:nsid w:val="F819E7F"/>
    <w:multiLevelType w:val="hybridMultilevel"/>
    <w:lvl w:ilvl="0">
      <w:lvlJc w:val="left"/>
      <w:lvlText w:val="(%1)"/>
      <w:numFmt w:val="lowerRoman"/>
      <w:start w:val="1"/>
    </w:lvl>
  </w:abstractNum>
  <w:abstractNum w:abstractNumId="113">
    <w:nsid w:val="57C7D42D"/>
    <w:multiLevelType w:val="hybridMultilevel"/>
    <w:lvl w:ilvl="0">
      <w:lvlJc w:val="left"/>
      <w:lvlText w:val="(%1)"/>
      <w:numFmt w:val="lowerLetter"/>
      <w:start w:val="2"/>
    </w:lvl>
  </w:abstractNum>
  <w:abstractNum w:abstractNumId="114">
    <w:nsid w:val="312167AD"/>
    <w:multiLevelType w:val="hybridMultilevel"/>
    <w:lvl w:ilvl="0">
      <w:lvlJc w:val="left"/>
      <w:lvlText w:val="(%1)"/>
      <w:numFmt w:val="lowerLetter"/>
      <w:start w:val="3"/>
    </w:lvl>
  </w:abstractNum>
  <w:abstractNum w:abstractNumId="115">
    <w:nsid w:val="631B64D4"/>
    <w:multiLevelType w:val="hybridMultilevel"/>
    <w:lvl w:ilvl="0">
      <w:lvlJc w:val="left"/>
      <w:lvlText w:val="(%1)"/>
      <w:numFmt w:val="lowerLetter"/>
      <w:start w:val="2"/>
    </w:lvl>
  </w:abstractNum>
  <w:abstractNum w:abstractNumId="116">
    <w:nsid w:val="78B5E776"/>
    <w:multiLevelType w:val="hybridMultilevel"/>
    <w:lvl w:ilvl="0">
      <w:lvlJc w:val="left"/>
      <w:lvlText w:val="(%1)"/>
      <w:numFmt w:val="lowerLetter"/>
      <w:start w:val="1"/>
    </w:lvl>
  </w:abstractNum>
  <w:abstractNum w:abstractNumId="117">
    <w:nsid w:val="75486E47"/>
    <w:multiLevelType w:val="hybridMultilevel"/>
    <w:lvl w:ilvl="0">
      <w:lvlJc w:val="left"/>
      <w:lvlText w:val="(%1)"/>
      <w:numFmt w:val="lowerRoman"/>
      <w:start w:val="1"/>
    </w:lvl>
  </w:abstractNum>
  <w:abstractNum w:abstractNumId="118">
    <w:nsid w:val="6E534CDE"/>
    <w:multiLevelType w:val="hybridMultilevel"/>
    <w:lvl w:ilvl="0">
      <w:lvlJc w:val="left"/>
      <w:lvlText w:val="(%1)"/>
      <w:numFmt w:val="lowerLetter"/>
      <w:start w:val="2"/>
    </w:lvl>
    <w:lvl w:ilvl="1">
      <w:lvlJc w:val="left"/>
      <w:lvlText w:val="---"/>
      <w:numFmt w:val="bullet"/>
      <w:start w:val="1"/>
    </w:lvl>
  </w:abstractNum>
  <w:abstractNum w:abstractNumId="119">
    <w:nsid w:val="1A0DDE32"/>
    <w:multiLevelType w:val="hybridMultilevel"/>
    <w:lvl w:ilvl="0">
      <w:lvlJc w:val="left"/>
      <w:lvlText w:val="(%1)"/>
      <w:numFmt w:val="lowerLetter"/>
      <w:start w:val="5"/>
    </w:lvl>
  </w:abstractNum>
  <w:abstractNum w:abstractNumId="120">
    <w:nsid w:val="65968C1C"/>
    <w:multiLevelType w:val="hybridMultilevel"/>
    <w:lvl w:ilvl="0">
      <w:lvlJc w:val="left"/>
      <w:lvlText w:val="(%1)"/>
      <w:numFmt w:val="lowerLetter"/>
      <w:start w:val="2"/>
    </w:lvl>
  </w:abstractNum>
  <w:abstractNum w:abstractNumId="121">
    <w:nsid w:val="46263DEC"/>
    <w:multiLevelType w:val="hybridMultilevel"/>
    <w:lvl w:ilvl="0">
      <w:lvlJc w:val="left"/>
      <w:lvlText w:val="%1."/>
      <w:numFmt w:val="decimal"/>
      <w:start w:val="1"/>
    </w:lvl>
  </w:abstractNum>
  <w:abstractNum w:abstractNumId="122">
    <w:nsid w:val="260D8C4A"/>
    <w:multiLevelType w:val="hybridMultilevel"/>
    <w:lvl w:ilvl="0">
      <w:lvlJc w:val="left"/>
      <w:lvlText w:val="%1."/>
      <w:numFmt w:val="decimal"/>
      <w:start w:val="3"/>
    </w:lvl>
  </w:abstractNum>
  <w:abstractNum w:abstractNumId="123">
    <w:nsid w:val="73D4D3C4"/>
    <w:multiLevelType w:val="hybridMultilevel"/>
    <w:lvl w:ilvl="0">
      <w:lvlJc w:val="left"/>
      <w:lvlText w:val="(%1)"/>
      <w:numFmt w:val="lowerLetter"/>
      <w:start w:val="1"/>
    </w:lvl>
  </w:abstractNum>
  <w:abstractNum w:abstractNumId="124">
    <w:nsid w:val="746F2E30"/>
    <w:multiLevelType w:val="hybridMultilevel"/>
    <w:lvl w:ilvl="0">
      <w:lvlJc w:val="left"/>
      <w:lvlText w:val="(%1)"/>
      <w:numFmt w:val="lowerLetter"/>
      <w:start w:val="2"/>
    </w:lvl>
  </w:abstractNum>
  <w:abstractNum w:abstractNumId="125">
    <w:nsid w:val="6FDE8AF6"/>
    <w:multiLevelType w:val="hybridMultilevel"/>
    <w:lvl w:ilvl="0">
      <w:lvlJc w:val="left"/>
      <w:lvlText w:val="%1."/>
      <w:numFmt w:val="decimal"/>
      <w:start w:val="1"/>
    </w:lvl>
  </w:abstractNum>
  <w:abstractNum w:abstractNumId="126">
    <w:nsid w:val="3FC32E20"/>
    <w:multiLevelType w:val="hybridMultilevel"/>
    <w:lvl w:ilvl="0">
      <w:lvlJc w:val="left"/>
      <w:lvlText w:val="(%1)"/>
      <w:numFmt w:val="lowerRoman"/>
      <w:start w:val="4"/>
    </w:lvl>
  </w:abstractNum>
  <w:abstractNum w:abstractNumId="127">
    <w:nsid w:val="49C0E823"/>
    <w:multiLevelType w:val="hybridMultilevel"/>
    <w:lvl w:ilvl="0">
      <w:lvlJc w:val="left"/>
      <w:lvlText w:val="-"/>
      <w:numFmt w:val="bullet"/>
      <w:start w:val="1"/>
    </w:lvl>
  </w:abstractNum>
  <w:abstractNum w:abstractNumId="128">
    <w:nsid w:val="14D53685"/>
    <w:multiLevelType w:val="hybridMultilevel"/>
    <w:lvl w:ilvl="0">
      <w:lvlJc w:val="left"/>
      <w:lvlText w:val="%1."/>
      <w:numFmt w:val="decimal"/>
      <w:start w:val="1"/>
    </w:lvl>
  </w:abstractNum>
  <w:abstractNum w:abstractNumId="129">
    <w:nsid w:val="230F856C"/>
    <w:multiLevelType w:val="hybridMultilevel"/>
    <w:lvl w:ilvl="0">
      <w:lvlJc w:val="left"/>
      <w:lvlText w:val="(%1)"/>
      <w:numFmt w:val="lowerRoman"/>
      <w:start w:val="1"/>
    </w:lvl>
  </w:abstractNum>
  <w:abstractNum w:abstractNumId="130">
    <w:nsid w:val="6EAA85FB"/>
    <w:multiLevelType w:val="hybridMultilevel"/>
    <w:lvl w:ilvl="0">
      <w:lvlJc w:val="left"/>
      <w:lvlText w:val="%1."/>
      <w:numFmt w:val="decimal"/>
      <w:start w:val="1"/>
    </w:lvl>
  </w:abstractNum>
  <w:abstractNum w:abstractNumId="131">
    <w:nsid w:val="3F06ECB2"/>
    <w:multiLevelType w:val="hybridMultilevel"/>
    <w:lvl w:ilvl="0">
      <w:lvlJc w:val="left"/>
      <w:lvlText w:val="%1."/>
      <w:numFmt w:val="decimal"/>
      <w:start w:val="2"/>
    </w:lvl>
  </w:abstractNum>
  <w:abstractNum w:abstractNumId="132">
    <w:nsid w:val="3B594807"/>
    <w:multiLevelType w:val="hybridMultilevel"/>
    <w:lvl w:ilvl="0">
      <w:lvlJc w:val="left"/>
      <w:lvlText w:val="-"/>
      <w:numFmt w:val="bullet"/>
      <w:start w:val="1"/>
    </w:lvl>
    <w:lvl w:ilvl="1">
      <w:lvlJc w:val="left"/>
      <w:lvlText w:val="%2."/>
      <w:numFmt w:val="decimal"/>
      <w:start w:val="4"/>
    </w:lvl>
  </w:abstractNum>
  <w:abstractNum w:abstractNumId="133">
    <w:nsid w:val="6CAA2304"/>
    <w:multiLevelType w:val="hybridMultilevel"/>
    <w:lvl w:ilvl="0">
      <w:lvlJc w:val="left"/>
      <w:lvlText w:val="%1."/>
      <w:numFmt w:val="upperLetter"/>
      <w:start w:val="1"/>
    </w:lvl>
  </w:abstractNum>
  <w:abstractNum w:abstractNumId="134">
    <w:nsid w:val="3F7C2FF4"/>
    <w:multiLevelType w:val="hybridMultilevel"/>
    <w:lvl w:ilvl="0">
      <w:lvlJc w:val="left"/>
      <w:lvlText w:val="%1."/>
      <w:numFmt w:val="decimal"/>
      <w:start w:val="1"/>
    </w:lvl>
  </w:abstractNum>
  <w:abstractNum w:abstractNumId="135">
    <w:nsid w:val="25413BEC"/>
    <w:multiLevelType w:val="hybridMultilevel"/>
    <w:lvl w:ilvl="0">
      <w:lvlJc w:val="left"/>
      <w:lvlText w:val="%1."/>
      <w:numFmt w:val="decimal"/>
      <w:start w:val="5"/>
    </w:lvl>
  </w:abstractNum>
  <w:abstractNum w:abstractNumId="136">
    <w:nsid w:val="17180B0B"/>
    <w:multiLevelType w:val="hybridMultilevel"/>
    <w:lvl w:ilvl="0">
      <w:lvlJc w:val="left"/>
      <w:lvlText w:val="%1."/>
      <w:numFmt w:val="upperLetter"/>
      <w:start w:val="3"/>
    </w:lvl>
  </w:abstractNum>
  <w:abstractNum w:abstractNumId="137">
    <w:nsid w:val="579328B9"/>
    <w:multiLevelType w:val="hybridMultilevel"/>
    <w:lvl w:ilvl="0">
      <w:lvlJc w:val="left"/>
      <w:lvlText w:val="%1."/>
      <w:numFmt w:val="lowerLetter"/>
      <w:start w:val="2"/>
    </w:lvl>
  </w:abstractNum>
  <w:abstractNum w:abstractNumId="138">
    <w:nsid w:val="5D205E20"/>
    <w:multiLevelType w:val="hybridMultilevel"/>
    <w:lvl w:ilvl="0">
      <w:lvlJc w:val="left"/>
      <w:lvlText w:val="%1."/>
      <w:numFmt w:val="lowerLetter"/>
      <w:start w:val="3"/>
    </w:lvl>
  </w:abstractNum>
  <w:abstractNum w:abstractNumId="139">
    <w:nsid w:val="11CCA8BA"/>
    <w:multiLevelType w:val="hybridMultilevel"/>
    <w:lvl w:ilvl="0">
      <w:lvlJc w:val="left"/>
      <w:lvlText w:val="%1."/>
      <w:numFmt w:val="decimal"/>
      <w:start w:val="2"/>
    </w:lvl>
  </w:abstractNum>
  <w:abstractNum w:abstractNumId="140">
    <w:nsid w:val="4D32AB86"/>
    <w:multiLevelType w:val="hybridMultilevel"/>
    <w:lvl w:ilvl="0">
      <w:lvlJc w:val="left"/>
      <w:lvlText w:val="%1."/>
      <w:numFmt w:val="decimal"/>
      <w:start w:val="1"/>
    </w:lvl>
  </w:abstractNum>
  <w:abstractNum w:abstractNumId="141">
    <w:nsid w:val="3F07ACC3"/>
    <w:multiLevelType w:val="hybridMultilevel"/>
    <w:lvl w:ilvl="0">
      <w:lvlJc w:val="left"/>
      <w:lvlText w:val="%1."/>
      <w:numFmt w:val="lowerLetter"/>
      <w:start w:val="1"/>
    </w:lvl>
  </w:abstractNum>
  <w:abstractNum w:abstractNumId="142">
    <w:nsid w:val="6B47F63E"/>
    <w:multiLevelType w:val="hybridMultilevel"/>
    <w:lvl w:ilvl="0">
      <w:lvlJc w:val="left"/>
      <w:lvlText w:val="%1."/>
      <w:numFmt w:val="decimal"/>
      <w:start w:val="2"/>
    </w:lvl>
  </w:abstractNum>
  <w:abstractNum w:abstractNumId="143">
    <w:nsid w:val="5CB44A05"/>
    <w:multiLevelType w:val="hybridMultilevel"/>
    <w:lvl w:ilvl="0">
      <w:lvlJc w:val="left"/>
      <w:lvlText w:val="%1."/>
      <w:numFmt w:val="decimal"/>
      <w:start w:val="1"/>
    </w:lvl>
  </w:abstractNum>
  <w:abstractNum w:abstractNumId="144">
    <w:nsid w:val="16CF80F1"/>
    <w:multiLevelType w:val="hybridMultilevel"/>
    <w:lvl w:ilvl="0">
      <w:lvlJc w:val="left"/>
      <w:lvlText w:val="%1."/>
      <w:numFmt w:val="decimal"/>
      <w:start w:val="1"/>
    </w:lvl>
  </w:abstractNum>
  <w:abstractNum w:abstractNumId="145">
    <w:nsid w:val="1C695DEC"/>
    <w:multiLevelType w:val="hybridMultilevel"/>
    <w:lvl w:ilvl="0">
      <w:lvlJc w:val="left"/>
      <w:lvlText w:val="%1."/>
      <w:numFmt w:val="decimal"/>
      <w:start w:val="2"/>
    </w:lvl>
  </w:abstractNum>
  <w:abstractNum w:abstractNumId="146">
    <w:nsid w:val="3FCFAED9"/>
    <w:multiLevelType w:val="hybridMultilevel"/>
    <w:lvl w:ilvl="0">
      <w:lvlJc w:val="left"/>
      <w:lvlText w:val="%1."/>
      <w:numFmt w:val="decimal"/>
      <w:start w:val="1"/>
    </w:lvl>
  </w:abstractNum>
  <w:abstractNum w:abstractNumId="147">
    <w:nsid w:val="F856867"/>
    <w:multiLevelType w:val="hybridMultilevel"/>
    <w:lvl w:ilvl="0">
      <w:lvlJc w:val="left"/>
      <w:lvlText w:val="%1."/>
      <w:numFmt w:val="decimal"/>
      <w:start w:val="3"/>
    </w:lvl>
  </w:abstractNum>
  <w:abstractNum w:abstractNumId="148">
    <w:nsid w:val="11B1CC33"/>
    <w:multiLevelType w:val="hybridMultilevel"/>
    <w:lvl w:ilvl="0">
      <w:lvlJc w:val="left"/>
      <w:lvlText w:val="%1."/>
      <w:numFmt w:val="decimal"/>
      <w:start w:val="1"/>
    </w:lvl>
  </w:abstractNum>
  <w:abstractNum w:abstractNumId="149">
    <w:nsid w:val="2E22FBB7"/>
    <w:multiLevelType w:val="hybridMultilevel"/>
    <w:lvl w:ilvl="0">
      <w:lvlJc w:val="left"/>
      <w:lvlText w:val="%1."/>
      <w:numFmt w:val="decimal"/>
      <w:start w:val="2"/>
    </w:lvl>
  </w:abstractNum>
  <w:abstractNum w:abstractNumId="150">
    <w:nsid w:val="29934699"/>
    <w:multiLevelType w:val="hybridMultilevel"/>
    <w:lvl w:ilvl="0">
      <w:lvlJc w:val="left"/>
      <w:lvlText w:val="%1."/>
      <w:numFmt w:val="decimal"/>
      <w:start w:val="1"/>
    </w:lvl>
  </w:abstractNum>
  <w:abstractNum w:abstractNumId="151">
    <w:nsid w:val="77485850"/>
    <w:multiLevelType w:val="hybridMultilevel"/>
    <w:lvl w:ilvl="0">
      <w:lvlJc w:val="left"/>
      <w:lvlText w:val="%1"/>
      <w:numFmt w:val="upperLetter"/>
      <w:start w:val="1"/>
    </w:lvl>
    <w:lvl w:ilvl="1">
      <w:lvlJc w:val="left"/>
      <w:lvlText w:val="%2."/>
      <w:numFmt w:val="decimal"/>
      <w:start w:val="1"/>
    </w:lvl>
  </w:abstractNum>
  <w:abstractNum w:abstractNumId="152">
    <w:nsid w:val="744939A3"/>
    <w:multiLevelType w:val="hybridMultilevel"/>
    <w:lvl w:ilvl="0">
      <w:lvlJc w:val="left"/>
      <w:lvlText w:val="%1."/>
      <w:numFmt w:val="upperLetter"/>
      <w:start w:val="15"/>
    </w:lvl>
    <w:lvl w:ilvl="1">
      <w:lvlJc w:val="left"/>
      <w:lvlText w:val="%2"/>
      <w:numFmt w:val="decimal"/>
      <w:start w:val="1"/>
    </w:lvl>
  </w:abstractNum>
  <w:abstractNum w:abstractNumId="153">
    <w:nsid w:val="4FA0D2E3"/>
    <w:multiLevelType w:val="hybridMultilevel"/>
    <w:lvl w:ilvl="0">
      <w:lvlJc w:val="left"/>
      <w:lvlText w:val="%1."/>
      <w:numFmt w:val="decimal"/>
      <w:start w:val="1"/>
    </w:lvl>
  </w:abstractNum>
  <w:abstractNum w:abstractNumId="154">
    <w:nsid w:val="6B1D2C14"/>
    <w:multiLevelType w:val="hybridMultilevel"/>
    <w:lvl w:ilvl="0">
      <w:lvlJc w:val="left"/>
      <w:lvlText w:val="(%1)"/>
      <w:numFmt w:val="lowerLetter"/>
      <w:start w:val="1"/>
    </w:lvl>
  </w:abstractNum>
  <w:abstractNum w:abstractNumId="155">
    <w:nsid w:val="68B867D3"/>
    <w:multiLevelType w:val="hybridMultilevel"/>
    <w:lvl w:ilvl="0">
      <w:lvlJc w:val="left"/>
      <w:lvlText w:val="%1"/>
      <w:numFmt w:val="decimal"/>
      <w:start w:val="1"/>
    </w:lvl>
    <w:lvl w:ilvl="1">
      <w:lvlJc w:val="left"/>
      <w:lvlText w:val="(%2)"/>
      <w:numFmt w:val="lowerLetter"/>
      <w:start w:val="2"/>
    </w:lvl>
  </w:abstractNum>
  <w:abstractNum w:abstractNumId="156">
    <w:nsid w:val="3F7F5DD9"/>
    <w:multiLevelType w:val="hybridMultilevel"/>
    <w:lvl w:ilvl="0">
      <w:lvlJc w:val="left"/>
      <w:lvlText w:val="%1."/>
      <w:numFmt w:val="decimal"/>
      <w:start w:val="2"/>
    </w:lvl>
    <w:lvl w:ilvl="1">
      <w:lvlJc w:val="left"/>
      <w:lvlText w:val="(%2)"/>
      <w:numFmt w:val="lowerLetter"/>
      <w:start w:val="1"/>
    </w:lvl>
  </w:abstractNum>
  <w:abstractNum w:abstractNumId="157">
    <w:nsid w:val="2AE05A34"/>
    <w:multiLevelType w:val="hybridMultilevel"/>
    <w:lvl w:ilvl="0">
      <w:lvlJc w:val="left"/>
      <w:lvlText w:val="%1."/>
      <w:numFmt w:val="decimal"/>
      <w:start w:val="3"/>
    </w:lvl>
  </w:abstractNum>
  <w:abstractNum w:abstractNumId="158">
    <w:nsid w:val="32794FF7"/>
    <w:multiLevelType w:val="hybridMultilevel"/>
    <w:lvl w:ilvl="0">
      <w:lvlJc w:val="left"/>
      <w:lvlText w:val="%1."/>
      <w:numFmt w:val="decimal"/>
      <w:start w:val="4"/>
    </w:lvl>
  </w:abstractNum>
  <w:abstractNum w:abstractNumId="159">
    <w:nsid w:val="5454945E"/>
    <w:multiLevelType w:val="hybridMultilevel"/>
    <w:lvl w:ilvl="0">
      <w:lvlJc w:val="left"/>
      <w:lvlText w:val="%1."/>
      <w:numFmt w:val="decimal"/>
      <w:start w:val="5"/>
    </w:lvl>
    <w:lvl w:ilvl="1">
      <w:lvlJc w:val="left"/>
      <w:lvlText w:val="(%2)"/>
      <w:numFmt w:val="lowerLetter"/>
      <w:start w:val="1"/>
    </w:lvl>
  </w:abstractNum>
  <w:abstractNum w:abstractNumId="160">
    <w:nsid w:val="4DEFDFA0"/>
    <w:multiLevelType w:val="hybridMultilevel"/>
    <w:lvl w:ilvl="0">
      <w:lvlJc w:val="left"/>
      <w:lvlText w:val="(%1)"/>
      <w:numFmt w:val="lowerRoman"/>
      <w:start w:val="1"/>
    </w:lvl>
  </w:abstractNum>
  <w:abstractNum w:abstractNumId="161">
    <w:nsid w:val="2123D5F2"/>
    <w:multiLevelType w:val="hybridMultilevel"/>
    <w:lvl w:ilvl="0">
      <w:lvlJc w:val="left"/>
      <w:lvlText w:val="%1"/>
      <w:numFmt w:val="lowerLetter"/>
      <w:start w:val="1"/>
    </w:lvl>
    <w:lvl w:ilvl="1">
      <w:lvlJc w:val="left"/>
      <w:lvlText w:val="(%2)"/>
      <w:numFmt w:val="lowerRoman"/>
      <w:start w:val="5"/>
    </w:lvl>
  </w:abstractNum>
  <w:abstractNum w:abstractNumId="162">
    <w:nsid w:val="135B8110"/>
    <w:multiLevelType w:val="hybridMultilevel"/>
    <w:lvl w:ilvl="0">
      <w:lvlJc w:val="left"/>
      <w:lvlText w:val="(%1)"/>
      <w:numFmt w:val="lowerLetter"/>
      <w:start w:val="2"/>
    </w:lvl>
    <w:lvl w:ilvl="1">
      <w:lvlJc w:val="left"/>
      <w:lvlText w:val="%2"/>
      <w:numFmt w:val="lowerRoman"/>
      <w:start w:val="1"/>
    </w:lvl>
  </w:abstractNum>
  <w:abstractNum w:abstractNumId="163">
    <w:nsid w:val="94927A8"/>
    <w:multiLevelType w:val="hybridMultilevel"/>
    <w:lvl w:ilvl="0">
      <w:lvlJc w:val="left"/>
      <w:lvlText w:val="%1."/>
      <w:numFmt w:val="decimal"/>
      <w:start w:val="6"/>
    </w:lvl>
  </w:abstractNum>
  <w:abstractNum w:abstractNumId="164">
    <w:nsid w:val="DCDF8F6"/>
    <w:multiLevelType w:val="hybridMultilevel"/>
    <w:lvl w:ilvl="0">
      <w:lvlJc w:val="left"/>
      <w:lvlText w:val="%1."/>
      <w:numFmt w:val="decimal"/>
      <w:start w:val="7"/>
    </w:lvl>
  </w:abstractNum>
  <w:abstractNum w:abstractNumId="165">
    <w:nsid w:val="52D7B105"/>
    <w:multiLevelType w:val="hybridMultilevel"/>
    <w:lvl w:ilvl="0">
      <w:lvlJc w:val="left"/>
      <w:lvlText w:val="%1."/>
      <w:numFmt w:val="decimal"/>
      <w:start w:val="8"/>
    </w:lvl>
    <w:lvl w:ilvl="1">
      <w:lvlJc w:val="left"/>
      <w:lvlText w:val="(%2)"/>
      <w:numFmt w:val="lowerLetter"/>
      <w:start w:val="1"/>
    </w:lvl>
  </w:abstractNum>
  <w:abstractNum w:abstractNumId="166">
    <w:nsid w:val="2E8A6394"/>
    <w:multiLevelType w:val="hybridMultilevel"/>
    <w:lvl w:ilvl="0">
      <w:lvlJc w:val="left"/>
      <w:lvlText w:val="(%1)"/>
      <w:numFmt w:val="lowerLetter"/>
      <w:start w:val="2"/>
    </w:lvl>
  </w:abstractNum>
  <w:abstractNum w:abstractNumId="167">
    <w:nsid w:val="24E60401"/>
    <w:multiLevelType w:val="hybridMultilevel"/>
    <w:lvl w:ilvl="0">
      <w:lvlJc w:val="left"/>
      <w:lvlText w:val="%1."/>
      <w:numFmt w:val="decimal"/>
      <w:start w:val="9"/>
    </w:lvl>
  </w:abstractNum>
  <w:abstractNum w:abstractNumId="168">
    <w:nsid w:val="2A6AD9BE"/>
    <w:multiLevelType w:val="hybridMultilevel"/>
    <w:lvl w:ilvl="0">
      <w:lvlJc w:val="left"/>
      <w:lvlText w:val="%1."/>
      <w:numFmt w:val="decimal"/>
      <w:start w:val="10"/>
    </w:lvl>
    <w:lvl w:ilvl="1">
      <w:lvlJc w:val="left"/>
      <w:lvlText w:val="(%2)"/>
      <w:numFmt w:val="lowerLetter"/>
      <w:start w:val="1"/>
    </w:lvl>
  </w:abstractNum>
  <w:abstractNum w:abstractNumId="169">
    <w:nsid w:val="BAAC1B4"/>
    <w:multiLevelType w:val="hybridMultilevel"/>
    <w:lvl w:ilvl="0">
      <w:lvlJc w:val="left"/>
      <w:lvlText w:val="%1."/>
      <w:numFmt w:val="decimal"/>
      <w:start w:val="1"/>
    </w:lvl>
  </w:abstractNum>
  <w:abstractNum w:abstractNumId="170">
    <w:nsid w:val="36B2ACBC"/>
    <w:multiLevelType w:val="hybridMultilevel"/>
    <w:lvl w:ilvl="0">
      <w:lvlJc w:val="left"/>
      <w:lvlText w:val="%1."/>
      <w:numFmt w:val="decimal"/>
      <w:start w:val="2"/>
    </w:lvl>
  </w:abstractNum>
  <w:abstractNum w:abstractNumId="171">
    <w:nsid w:val="779D8544"/>
    <w:multiLevelType w:val="hybridMultilevel"/>
    <w:lvl w:ilvl="0">
      <w:lvlJc w:val="left"/>
      <w:lvlText w:val="%1."/>
      <w:numFmt w:val="decimal"/>
      <w:start w:val="3"/>
    </w:lvl>
    <w:lvl w:ilvl="1">
      <w:lvlJc w:val="left"/>
      <w:lvlText w:val="(%2)"/>
      <w:numFmt w:val="upperLetter"/>
      <w:start w:val="1"/>
    </w:lvl>
  </w:abstractNum>
  <w:abstractNum w:abstractNumId="172">
    <w:nsid w:val="4AB26E78"/>
    <w:multiLevelType w:val="hybridMultilevel"/>
    <w:lvl w:ilvl="0">
      <w:lvlJc w:val="left"/>
      <w:lvlText w:val="-"/>
      <w:numFmt w:val="bullet"/>
      <w:start w:val="1"/>
    </w:lvl>
  </w:abstractNum>
  <w:abstractNum w:abstractNumId="173">
    <w:nsid w:val="21FAA2FA"/>
    <w:multiLevelType w:val="hybridMultilevel"/>
    <w:lvl w:ilvl="0">
      <w:lvlJc w:val="left"/>
      <w:lvlText w:val="A"/>
      <w:numFmt w:val="bullet"/>
      <w:start w:val="1"/>
    </w:lvl>
  </w:abstractNum>
  <w:abstractNum w:abstractNumId="174">
    <w:nsid w:val="5451CF49"/>
    <w:multiLevelType w:val="hybridMultilevel"/>
    <w:lvl w:ilvl="0">
      <w:lvlJc w:val="left"/>
      <w:lvlText w:val="B"/>
      <w:numFmt w:val="bullet"/>
      <w:start w:val="1"/>
    </w:lvl>
  </w:abstractNum>
  <w:abstractNum w:abstractNumId="175">
    <w:nsid w:val="6181EF69"/>
    <w:multiLevelType w:val="hybridMultilevel"/>
    <w:lvl w:ilvl="0">
      <w:lvlJc w:val="left"/>
      <w:lvlText w:val="C"/>
      <w:numFmt w:val="bullet"/>
      <w:start w:val="1"/>
    </w:lvl>
  </w:abstractNum>
  <w:abstractNum w:abstractNumId="176">
    <w:nsid w:val="3E6400E6"/>
    <w:multiLevelType w:val="hybridMultilevel"/>
    <w:lvl w:ilvl="0">
      <w:lvlJc w:val="left"/>
      <w:lvlText w:val="D"/>
      <w:numFmt w:val="bullet"/>
      <w:start w:val="1"/>
    </w:lvl>
  </w:abstractNum>
  <w:abstractNum w:abstractNumId="177">
    <w:nsid w:val="14217E23"/>
    <w:multiLevelType w:val="hybridMultilevel"/>
    <w:lvl w:ilvl="0">
      <w:lvlJc w:val="left"/>
      <w:lvlText w:val="F"/>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2019-12-13T13:20:49Z</dcterms:created>
  <dcterms:modified xsi:type="dcterms:W3CDTF">2019-12-13T13:20:49Z</dcterms:modified>
</cp:coreProperties>
</file>