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22,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March 22, 2012, the Company announced its financial results for the second quarter ended March 1, 2012.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00" w:type="dxa"/>
            <w:vAlign w:val="bottom"/>
            <w:gridSpan w:val="2"/>
          </w:tcPr>
          <w:p>
            <w:pPr>
              <w:ind w:left="1240"/>
              <w:spacing w:after="0"/>
              <w:rPr>
                <w:sz w:val="20"/>
                <w:szCs w:val="20"/>
                <w:color w:val="auto"/>
              </w:rPr>
            </w:pPr>
            <w:r>
              <w:rPr>
                <w:rFonts w:ascii="Arial" w:cs="Arial" w:eastAsia="Arial" w:hAnsi="Arial"/>
                <w:sz w:val="18"/>
                <w:szCs w:val="18"/>
                <w:color w:val="auto"/>
              </w:rPr>
              <w:t>(d)</w:t>
            </w:r>
          </w:p>
        </w:tc>
        <w:tc>
          <w:tcPr>
            <w:tcW w:w="2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March 22, 2012</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020" w:type="dxa"/>
            <w:vAlign w:val="bottom"/>
            <w:gridSpan w:val="2"/>
          </w:tcPr>
          <w:p>
            <w:pPr>
              <w:ind w:left="200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560" w:type="dxa"/>
            <w:vAlign w:val="bottom"/>
          </w:tcPr>
          <w:p>
            <w:pPr>
              <w:ind w:left="420"/>
              <w:spacing w:after="0"/>
              <w:rPr>
                <w:sz w:val="20"/>
                <w:szCs w:val="20"/>
                <w:color w:val="auto"/>
              </w:rPr>
            </w:pPr>
            <w:r>
              <w:rPr>
                <w:rFonts w:ascii="Arial" w:cs="Arial" w:eastAsia="Arial" w:hAnsi="Arial"/>
                <w:sz w:val="18"/>
                <w:szCs w:val="18"/>
                <w:color w:val="auto"/>
              </w:rPr>
              <w:t>March 22, 2012</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8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5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Title:</w:t>
            </w: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8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8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MARCH 22, 2012</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March 22, 2012</w:t>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3280" w:type="dxa"/>
            <w:vAlign w:val="bottom"/>
          </w:tcPr>
          <w:p>
            <w:pPr>
              <w:spacing w:after="0"/>
              <w:rPr>
                <w:sz w:val="24"/>
                <w:szCs w:val="24"/>
                <w:color w:val="auto"/>
              </w:rPr>
            </w:pPr>
          </w:p>
        </w:tc>
      </w:tr>
      <w:tr>
        <w:trPr>
          <w:trHeight w:val="455"/>
        </w:trPr>
        <w:tc>
          <w:tcPr>
            <w:tcW w:w="1580" w:type="dxa"/>
            <w:vAlign w:val="bottom"/>
          </w:tcPr>
          <w:p>
            <w:pPr>
              <w:spacing w:after="0"/>
              <w:rPr>
                <w:sz w:val="20"/>
                <w:szCs w:val="20"/>
                <w:color w:val="auto"/>
              </w:rPr>
            </w:pPr>
            <w:r>
              <w:rPr>
                <w:rFonts w:ascii="Arial" w:cs="Arial" w:eastAsia="Arial" w:hAnsi="Arial"/>
                <w:sz w:val="22"/>
                <w:szCs w:val="22"/>
                <w:color w:val="auto"/>
              </w:rPr>
              <w:t>Contacts:</w:t>
            </w:r>
          </w:p>
        </w:tc>
        <w:tc>
          <w:tcPr>
            <w:tcW w:w="3820" w:type="dxa"/>
            <w:vAlign w:val="bottom"/>
          </w:tcPr>
          <w:p>
            <w:pPr>
              <w:ind w:left="740"/>
              <w:spacing w:after="0"/>
              <w:rPr>
                <w:sz w:val="20"/>
                <w:szCs w:val="20"/>
                <w:color w:val="auto"/>
              </w:rPr>
            </w:pPr>
            <w:r>
              <w:rPr>
                <w:rFonts w:ascii="Arial" w:cs="Arial" w:eastAsia="Arial" w:hAnsi="Arial"/>
                <w:sz w:val="22"/>
                <w:szCs w:val="22"/>
                <w:color w:val="auto"/>
              </w:rPr>
              <w:t>Kipp A. Bedard</w:t>
            </w:r>
          </w:p>
        </w:tc>
        <w:tc>
          <w:tcPr>
            <w:tcW w:w="3280" w:type="dxa"/>
            <w:vAlign w:val="bottom"/>
          </w:tcPr>
          <w:p>
            <w:pPr>
              <w:ind w:left="1140"/>
              <w:spacing w:after="0"/>
              <w:rPr>
                <w:sz w:val="20"/>
                <w:szCs w:val="20"/>
                <w:color w:val="auto"/>
              </w:rPr>
            </w:pPr>
            <w:r>
              <w:rPr>
                <w:rFonts w:ascii="Arial" w:cs="Arial" w:eastAsia="Arial" w:hAnsi="Arial"/>
                <w:sz w:val="22"/>
                <w:szCs w:val="22"/>
                <w:color w:val="auto"/>
              </w:rPr>
              <w:t>Daniel Francisco</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Investor Relations</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kbedard@micron.com</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80" w:type="dxa"/>
            <w:vAlign w:val="bottom"/>
          </w:tcPr>
          <w:p>
            <w:pPr>
              <w:spacing w:after="0"/>
              <w:rPr>
                <w:sz w:val="23"/>
                <w:szCs w:val="23"/>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(208) 368-4465</w:t>
            </w:r>
          </w:p>
        </w:tc>
        <w:tc>
          <w:tcPr>
            <w:tcW w:w="3280" w:type="dxa"/>
            <w:vAlign w:val="bottom"/>
          </w:tcPr>
          <w:p>
            <w:pPr>
              <w:ind w:left="114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2012</w:t>
      </w:r>
    </w:p>
    <w:p>
      <w:pPr>
        <w:spacing w:after="0" w:line="200" w:lineRule="exact"/>
        <w:rPr>
          <w:sz w:val="20"/>
          <w:szCs w:val="20"/>
          <w:color w:val="auto"/>
        </w:rPr>
      </w:pPr>
    </w:p>
    <w:p>
      <w:pPr>
        <w:spacing w:after="0" w:line="252" w:lineRule="exact"/>
        <w:rPr>
          <w:sz w:val="20"/>
          <w:szCs w:val="20"/>
          <w:color w:val="auto"/>
        </w:rPr>
      </w:pPr>
    </w:p>
    <w:p>
      <w:pPr>
        <w:ind w:right="100" w:firstLine="324"/>
        <w:spacing w:after="0" w:line="284" w:lineRule="auto"/>
        <w:rPr>
          <w:sz w:val="20"/>
          <w:szCs w:val="20"/>
          <w:color w:val="auto"/>
        </w:rPr>
      </w:pPr>
      <w:r>
        <w:rPr>
          <w:rFonts w:ascii="Arial" w:cs="Arial" w:eastAsia="Arial" w:hAnsi="Arial"/>
          <w:sz w:val="19"/>
          <w:szCs w:val="19"/>
          <w:b w:val="1"/>
          <w:bCs w:val="1"/>
          <w:color w:val="auto"/>
        </w:rPr>
        <w:t>BOISE, Idaho</w:t>
      </w:r>
      <w:r>
        <w:rPr>
          <w:rFonts w:ascii="Arial" w:cs="Arial" w:eastAsia="Arial" w:hAnsi="Arial"/>
          <w:sz w:val="19"/>
          <w:szCs w:val="19"/>
          <w:color w:val="auto"/>
        </w:rPr>
        <w:t>, Mar. 22, 2012 – Micron Technology, Inc., (NASDAQ: MU) today announced results of operations for its</w:t>
      </w:r>
      <w:r>
        <w:rPr>
          <w:rFonts w:ascii="Arial" w:cs="Arial" w:eastAsia="Arial" w:hAnsi="Arial"/>
          <w:sz w:val="19"/>
          <w:szCs w:val="19"/>
          <w:b w:val="1"/>
          <w:bCs w:val="1"/>
          <w:color w:val="auto"/>
        </w:rPr>
        <w:t xml:space="preserve"> </w:t>
      </w:r>
      <w:r>
        <w:rPr>
          <w:rFonts w:ascii="Arial" w:cs="Arial" w:eastAsia="Arial" w:hAnsi="Arial"/>
          <w:sz w:val="19"/>
          <w:szCs w:val="19"/>
          <w:color w:val="auto"/>
        </w:rPr>
        <w:t>second quarter of fiscal 2012, which ended Mar. 1, 2012. For the second quarter, the company had a net loss attributable to Micron shareholders of $224 million, or $0.23 per diluted share, on net sales of $2.1 billion. The results for the second quarter of fiscal 2012 compare to a net loss of $187 million, or $0.19 per diluted share, on net sales of $2.1 billion for the first quarter of fiscal 2012, and net income of $72 million, or $0.07 per diluted share, on net sales of $2.3 billion for the second quarter of fiscal 2011.</w:t>
      </w:r>
    </w:p>
    <w:p>
      <w:pPr>
        <w:spacing w:after="0" w:line="172"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Revenues from sales of NAND Flash products and DRAM products were slightly higher in the second quarter of fiscal 2012 compared to the first quarter of fiscal 2012, due primarily to approximate 20 percent increases in sales volumes offset by decreases in average selling prices. The company’s consolidated gross margin declined to 13 percent in the second quarter of fiscal 2012 compared to 15 percent for the first quarter of fiscal 2012, due primarily to declines in gross margins for the company’s NOR Flash products in the wireless market. Sales of NOR Flash products were approximately 11 percent of total net sales for the second quarter of fiscal 2012.</w:t>
      </w:r>
    </w:p>
    <w:p>
      <w:pPr>
        <w:spacing w:after="0" w:line="215" w:lineRule="exact"/>
        <w:rPr>
          <w:sz w:val="20"/>
          <w:szCs w:val="20"/>
          <w:color w:val="auto"/>
        </w:rPr>
      </w:pPr>
    </w:p>
    <w:p>
      <w:pPr>
        <w:jc w:val="both"/>
        <w:ind w:right="220" w:firstLine="324"/>
        <w:spacing w:after="0"/>
        <w:rPr>
          <w:sz w:val="20"/>
          <w:szCs w:val="20"/>
          <w:color w:val="auto"/>
        </w:rPr>
      </w:pPr>
      <w:r>
        <w:rPr>
          <w:rFonts w:ascii="Arial" w:cs="Arial" w:eastAsia="Arial" w:hAnsi="Arial"/>
          <w:sz w:val="22"/>
          <w:szCs w:val="22"/>
          <w:color w:val="auto"/>
        </w:rPr>
        <w:t>Cash flows from operations for the second quarter of fiscal 2012 were $574 million. During the second quarter of fiscal 2012, the company invested approximately $429 million in capital expenditures. The company ended the second quarter with cash and short-term investments of $2.1 billion.</w:t>
      </w:r>
    </w:p>
    <w:p>
      <w:pPr>
        <w:spacing w:after="0" w:line="213" w:lineRule="exact"/>
        <w:rPr>
          <w:sz w:val="20"/>
          <w:szCs w:val="20"/>
          <w:color w:val="auto"/>
        </w:rPr>
      </w:pPr>
    </w:p>
    <w:p>
      <w:pPr>
        <w:ind w:right="140" w:firstLine="324"/>
        <w:spacing w:after="0" w:line="236" w:lineRule="auto"/>
        <w:rPr>
          <w:sz w:val="20"/>
          <w:szCs w:val="20"/>
          <w:color w:val="auto"/>
        </w:rPr>
      </w:pPr>
      <w:r>
        <w:rPr>
          <w:rFonts w:ascii="Arial" w:cs="Arial" w:eastAsia="Arial" w:hAnsi="Arial"/>
          <w:sz w:val="22"/>
          <w:szCs w:val="22"/>
          <w:color w:val="auto"/>
        </w:rPr>
        <w:t xml:space="preserve">The company will host a conference call Thursday, Mar. 22 at 2:30 p.m. MDT to discuss its financial results. The call, audio and slides will be available online at </w:t>
      </w:r>
      <w:r>
        <w:rPr>
          <w:rFonts w:ascii="Arial" w:cs="Arial" w:eastAsia="Arial" w:hAnsi="Arial"/>
          <w:sz w:val="22"/>
          <w:szCs w:val="22"/>
          <w:u w:val="single" w:color="auto"/>
          <w:color w:val="auto"/>
        </w:rPr>
        <w:t>http://investors.micron.com/events.cfm</w:t>
      </w:r>
      <w:r>
        <w:rPr>
          <w:rFonts w:ascii="Arial" w:cs="Arial" w:eastAsia="Arial" w:hAnsi="Arial"/>
          <w:sz w:val="22"/>
          <w:szCs w:val="22"/>
          <w:color w:val="auto"/>
        </w:rPr>
        <w:t>. A webcast replay will be available on the company’s website until Mar. 22, 2013. A taped audio replay of the conference call will also be available at (404) 537-3406 (conference number: 62533629) beginning at 5:30 p.m. MDT Thursday, Mar. 22, 2012 and continuing until 5:30 p.m. MDT on Thursday, Mar. 29, 2012.</w:t>
      </w:r>
    </w:p>
    <w:p>
      <w:pPr>
        <w:spacing w:after="0" w:line="215" w:lineRule="exact"/>
        <w:rPr>
          <w:sz w:val="20"/>
          <w:szCs w:val="20"/>
          <w:color w:val="auto"/>
        </w:rPr>
      </w:pPr>
    </w:p>
    <w:p>
      <w:pPr>
        <w:ind w:right="200" w:firstLine="324"/>
        <w:spacing w:after="0" w:line="249" w:lineRule="auto"/>
        <w:rPr>
          <w:sz w:val="20"/>
          <w:szCs w:val="20"/>
          <w:color w:val="auto"/>
        </w:rPr>
      </w:pPr>
      <w:r>
        <w:rPr>
          <w:rFonts w:ascii="Arial" w:cs="Arial" w:eastAsia="Arial" w:hAnsi="Arial"/>
          <w:sz w:val="21"/>
          <w:szCs w:val="21"/>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21"/>
          <w:szCs w:val="21"/>
          <w:u w:val="single" w:color="auto"/>
          <w:color w:val="auto"/>
        </w:rPr>
        <w:t>www.micron.com</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2"/>
              </w:rPr>
              <w:t>2nd Qtr.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0"/>
              </w:rPr>
              <w:t>1st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0"/>
              </w:rPr>
              <w:t>2nd Qtr.</w:t>
            </w:r>
          </w:p>
        </w:tc>
        <w:tc>
          <w:tcPr>
            <w:tcW w:w="180" w:type="dxa"/>
            <w:vAlign w:val="bottom"/>
          </w:tcPr>
          <w:p>
            <w:pPr>
              <w:spacing w:after="0"/>
              <w:rPr>
                <w:sz w:val="21"/>
                <w:szCs w:val="21"/>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22"/>
                <w:szCs w:val="22"/>
                <w:b w:val="1"/>
                <w:bCs w:val="1"/>
                <w:color w:val="auto"/>
                <w:w w:val="99"/>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4"/>
              </w:rPr>
              <w:t>Mar.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Dec. 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4"/>
              </w:rPr>
              <w:t>Mar. 3,</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rPr>
              <w:t>Mar.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2,067</w:t>
            </w:r>
          </w:p>
        </w:tc>
        <w:tc>
          <w:tcPr>
            <w:tcW w:w="2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2,090</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2,257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4,157</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4,509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1,822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3,584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305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435</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573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net (1)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(76)</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 (loss)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(21)</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7"/>
              </w:rPr>
              <w:t>Other non-operating income (expense), net (2)</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Income tax (provision) benefit (3)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(35)</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Equity in net income (losses) of equity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method investees</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(74)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(48)</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(147)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w w:val="97"/>
              </w:rPr>
              <w:t>Net (income) loss attributable to noncontrolling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interests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(3)</w:t>
            </w: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(224)</w:t>
            </w:r>
          </w:p>
        </w:tc>
        <w:tc>
          <w:tcPr>
            <w:tcW w:w="2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(187)</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72</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(411)</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(loss) per share:</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4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(0.23)</w:t>
            </w:r>
          </w:p>
        </w:tc>
        <w:tc>
          <w:tcPr>
            <w:tcW w:w="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(0.19)</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0.07</w:t>
            </w:r>
          </w:p>
        </w:tc>
        <w:tc>
          <w:tcPr>
            <w:tcW w:w="20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(0.42)</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(0.23)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0.07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(0.42)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981.4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988.1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982.1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980.5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982.8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981.4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1,037.3</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982.1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1,034.5</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Mar. 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87"/>
              </w:rPr>
              <w:t>Dec.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line="243" w:lineRule="exact"/>
              <w:rPr>
                <w:sz w:val="20"/>
                <w:szCs w:val="20"/>
                <w:color w:val="auto"/>
              </w:rPr>
            </w:pPr>
            <w:r>
              <w:rPr>
                <w:rFonts w:ascii="Arial" w:cs="Arial" w:eastAsia="Arial" w:hAnsi="Arial"/>
                <w:sz w:val="22"/>
                <w:szCs w:val="22"/>
                <w:b w:val="1"/>
                <w:bCs w:val="1"/>
                <w:color w:val="auto"/>
              </w:rPr>
              <w:t>Sep. 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2,094</w:t>
            </w:r>
          </w:p>
        </w:tc>
        <w:tc>
          <w:tcPr>
            <w:tcW w:w="3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1,915</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5,659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5,491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7,357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7,472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7,555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14,211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2,045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1,973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8,044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8,271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9,417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9,709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9,852</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22"/>
                <w:szCs w:val="22"/>
                <w:b w:val="1"/>
                <w:bCs w:val="1"/>
                <w:color w:val="auto"/>
                <w:w w:val="99"/>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1"/>
              </w:rPr>
              <w:t>Mar. 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80"/>
              <w:spacing w:after="0" w:line="243" w:lineRule="exact"/>
              <w:rPr>
                <w:sz w:val="20"/>
                <w:szCs w:val="20"/>
                <w:color w:val="auto"/>
              </w:rPr>
            </w:pPr>
            <w:r>
              <w:rPr>
                <w:rFonts w:ascii="Arial" w:cs="Arial" w:eastAsia="Arial" w:hAnsi="Arial"/>
                <w:sz w:val="22"/>
                <w:szCs w:val="22"/>
                <w:b w:val="1"/>
                <w:bCs w:val="1"/>
                <w:color w:val="auto"/>
              </w:rPr>
              <w:t>Mar.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978</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(1,183)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(1,238)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(used for) financing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1,167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(1,089)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(1,189)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(86)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contributions from (distributions to) noncontrolling interests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2"/>
                <w:szCs w:val="22"/>
                <w:color w:val="auto"/>
              </w:rPr>
              <w:t>533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187</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color w:val="auto"/>
        </w:rPr>
        <w:t>(1) Other 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0"/>
              </w:rPr>
              <w:t>1st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0"/>
              </w:rPr>
              <w:t>2nd Qtr.</w:t>
            </w:r>
          </w:p>
        </w:tc>
        <w:tc>
          <w:tcPr>
            <w:tcW w:w="180" w:type="dxa"/>
            <w:vAlign w:val="bottom"/>
          </w:tcPr>
          <w:p>
            <w:pPr>
              <w:spacing w:after="0"/>
              <w:rPr>
                <w:sz w:val="21"/>
                <w:szCs w:val="21"/>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22"/>
                <w:szCs w:val="22"/>
                <w:b w:val="1"/>
                <w:bCs w:val="1"/>
                <w:color w:val="auto"/>
                <w:w w:val="99"/>
              </w:rPr>
              <w:t>Six Months Ended</w:t>
            </w:r>
          </w:p>
        </w:tc>
      </w:tr>
      <w:tr>
        <w:trPr>
          <w:trHeight w:val="24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Dec. 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4"/>
              </w:rPr>
              <w:t>Mar. 3,</w:t>
            </w:r>
          </w:p>
        </w:tc>
        <w:tc>
          <w:tcPr>
            <w:tcW w:w="180" w:type="dxa"/>
            <w:vAlign w:val="bottom"/>
          </w:tcPr>
          <w:p>
            <w:pPr>
              <w:spacing w:after="0"/>
              <w:rPr>
                <w:sz w:val="21"/>
                <w:szCs w:val="21"/>
                <w:color w:val="auto"/>
              </w:rPr>
            </w:pPr>
          </w:p>
        </w:tc>
        <w:tc>
          <w:tcPr>
            <w:tcW w:w="106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rPr>
              <w:t>Mar. 3,</w:t>
            </w:r>
          </w:p>
        </w:tc>
      </w:tr>
      <w:tr>
        <w:trPr>
          <w:trHeight w:val="278"/>
        </w:trPr>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6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rPr>
              <w:t>(Gain) loss on disposition of property, plant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560" w:type="dxa"/>
            <w:vAlign w:val="bottom"/>
            <w:shd w:val="clear" w:color="auto" w:fill="CCEEFF"/>
          </w:tcPr>
          <w:p>
            <w:pPr>
              <w:ind w:left="500"/>
              <w:spacing w:after="0"/>
              <w:rPr>
                <w:sz w:val="20"/>
                <w:szCs w:val="20"/>
                <w:color w:val="auto"/>
              </w:rPr>
            </w:pPr>
            <w:r>
              <w:rPr>
                <w:rFonts w:ascii="Arial" w:cs="Arial" w:eastAsia="Arial" w:hAnsi="Arial"/>
                <w:sz w:val="22"/>
                <w:szCs w:val="22"/>
                <w:color w:val="auto"/>
              </w:rPr>
              <w:t>and equipment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(16)</w:t>
            </w:r>
          </w:p>
        </w:tc>
      </w:tr>
      <w:tr>
        <w:trPr>
          <w:trHeight w:val="222"/>
        </w:trPr>
        <w:tc>
          <w:tcPr>
            <w:tcW w:w="4560" w:type="dxa"/>
            <w:vAlign w:val="bottom"/>
          </w:tcPr>
          <w:p>
            <w:pPr>
              <w:ind w:left="340"/>
              <w:spacing w:after="0" w:line="222" w:lineRule="exact"/>
              <w:rPr>
                <w:sz w:val="20"/>
                <w:szCs w:val="20"/>
                <w:color w:val="auto"/>
              </w:rPr>
            </w:pPr>
            <w:r>
              <w:rPr>
                <w:rFonts w:ascii="Arial" w:cs="Arial" w:eastAsia="Arial" w:hAnsi="Arial"/>
                <w:sz w:val="22"/>
                <w:szCs w:val="22"/>
                <w:color w:val="auto"/>
                <w:w w:val="91"/>
              </w:rPr>
              <w:t>(Gain) loss from changes in currency exchange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5"/>
        </w:trPr>
        <w:tc>
          <w:tcPr>
            <w:tcW w:w="4560" w:type="dxa"/>
            <w:vAlign w:val="bottom"/>
          </w:tcPr>
          <w:p>
            <w:pPr>
              <w:ind w:left="500"/>
              <w:spacing w:after="0"/>
              <w:rPr>
                <w:sz w:val="20"/>
                <w:szCs w:val="20"/>
                <w:color w:val="auto"/>
              </w:rPr>
            </w:pPr>
            <w:r>
              <w:rPr>
                <w:rFonts w:ascii="Arial" w:cs="Arial" w:eastAsia="Arial" w:hAnsi="Arial"/>
                <w:sz w:val="22"/>
                <w:szCs w:val="22"/>
                <w:color w:val="auto"/>
              </w:rPr>
              <w:t>rates</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11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7</w:t>
            </w:r>
          </w:p>
        </w:tc>
      </w:tr>
      <w:tr>
        <w:trPr>
          <w:trHeight w:val="243"/>
        </w:trPr>
        <w:tc>
          <w:tcPr>
            <w:tcW w:w="456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Samsung patent cross-license agreement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(40)</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(240)</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(18)</w:t>
            </w: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4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w:t>
            </w: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(76)</w:t>
            </w: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26</w:t>
            </w:r>
          </w:p>
        </w:tc>
        <w:tc>
          <w:tcPr>
            <w:tcW w:w="3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(267)</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right="40"/>
        <w:spacing w:after="0" w:line="252" w:lineRule="auto"/>
        <w:rPr>
          <w:sz w:val="20"/>
          <w:szCs w:val="20"/>
          <w:color w:val="auto"/>
        </w:rPr>
      </w:pPr>
      <w:r>
        <w:rPr>
          <w:rFonts w:ascii="Arial" w:cs="Arial" w:eastAsia="Arial" w:hAnsi="Arial"/>
          <w:sz w:val="21"/>
          <w:szCs w:val="21"/>
          <w:color w:val="auto"/>
        </w:rPr>
        <w:t>In the first quarter of fiscal 2011, the company entered into a 10-year patent cross-license agreement with Samsung Electronics Co. Ltd. (“Samsung”). Under the agreement, Samsung agreed to pay the company $275 million, of which $40 million and $200 million was received in the second quarter and first quarter of fiscal 2011, respectively. The license is a life-of-patents license for existing patents and applications, and a 10-year term license for all other patents.</w:t>
      </w:r>
    </w:p>
    <w:p>
      <w:pPr>
        <w:spacing w:after="0" w:line="201" w:lineRule="exact"/>
        <w:rPr>
          <w:sz w:val="20"/>
          <w:szCs w:val="20"/>
          <w:color w:val="auto"/>
        </w:rPr>
      </w:pPr>
    </w:p>
    <w:p>
      <w:pPr>
        <w:ind w:left="380" w:hanging="367"/>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Other non-operating income in the second quarter of fiscal 2012 includes $39 million of gains from disposition of noncurrent investments.</w:t>
      </w:r>
    </w:p>
    <w:p>
      <w:pPr>
        <w:spacing w:after="0" w:line="200" w:lineRule="exact"/>
        <w:rPr>
          <w:sz w:val="20"/>
          <w:szCs w:val="20"/>
          <w:color w:val="auto"/>
        </w:rPr>
      </w:pPr>
    </w:p>
    <w:p>
      <w:pPr>
        <w:ind w:left="340" w:right="340"/>
        <w:spacing w:after="0" w:line="251" w:lineRule="auto"/>
        <w:rPr>
          <w:sz w:val="20"/>
          <w:szCs w:val="20"/>
          <w:color w:val="auto"/>
        </w:rPr>
      </w:pPr>
      <w:r>
        <w:rPr>
          <w:rFonts w:ascii="Arial" w:cs="Arial" w:eastAsia="Arial" w:hAnsi="Arial"/>
          <w:sz w:val="22"/>
          <w:szCs w:val="22"/>
          <w:color w:val="auto"/>
        </w:rPr>
        <w:t>During the first quarter of fiscal 2011, in connection with a series of debt restructure transactions, the company recognized a loss of $111 million as follows:</w:t>
      </w:r>
    </w:p>
    <w:p>
      <w:pPr>
        <w:spacing w:after="0" w:line="200" w:lineRule="exact"/>
        <w:rPr>
          <w:sz w:val="20"/>
          <w:szCs w:val="20"/>
          <w:color w:val="auto"/>
        </w:rPr>
      </w:pPr>
    </w:p>
    <w:p>
      <w:pPr>
        <w:jc w:val="both"/>
        <w:ind w:left="980" w:hanging="162"/>
        <w:spacing w:after="0" w:line="236"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$15 million from the exchange of $175 million in aggregate principal amount of the company’s 1.875% Convertible Senior Notes due 2014 (the “2014 Notes”) for $175 million in aggregate principal amount of new 1.875% Convertible Senior Notes due 2027;</w:t>
      </w:r>
    </w:p>
    <w:p>
      <w:pPr>
        <w:spacing w:after="0" w:line="1" w:lineRule="exact"/>
        <w:rPr>
          <w:rFonts w:ascii="Arial" w:cs="Arial" w:eastAsia="Arial" w:hAnsi="Arial"/>
          <w:sz w:val="22"/>
          <w:szCs w:val="22"/>
          <w:color w:val="auto"/>
        </w:rPr>
      </w:pPr>
    </w:p>
    <w:p>
      <w:pPr>
        <w:ind w:left="980" w:right="20" w:hanging="162"/>
        <w:spacing w:after="0" w:line="230"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$17 million (including transaction fees) from the repurchase of $176 million in aggregate principal amount of the company’s 2014 Notes for $171 million in cash; and</w:t>
      </w:r>
    </w:p>
    <w:p>
      <w:pPr>
        <w:spacing w:after="0" w:line="1" w:lineRule="exact"/>
        <w:rPr>
          <w:rFonts w:ascii="Arial" w:cs="Arial" w:eastAsia="Arial" w:hAnsi="Arial"/>
          <w:sz w:val="22"/>
          <w:szCs w:val="22"/>
          <w:color w:val="auto"/>
        </w:rPr>
      </w:pPr>
    </w:p>
    <w:p>
      <w:pPr>
        <w:ind w:left="980" w:right="20" w:hanging="162"/>
        <w:spacing w:after="0" w:line="237"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$79 million (including transaction fees) from the repurchase of $91 million in aggregate principal amount of the company’s 4.25% Convertible Senior Notes due 2013 for $166 million in cash.</w:t>
      </w:r>
    </w:p>
    <w:p>
      <w:pPr>
        <w:spacing w:after="0" w:line="211" w:lineRule="exact"/>
        <w:rPr>
          <w:rFonts w:ascii="Arial" w:cs="Arial" w:eastAsia="Arial" w:hAnsi="Arial"/>
          <w:sz w:val="22"/>
          <w:szCs w:val="22"/>
          <w:color w:val="auto"/>
        </w:rPr>
      </w:pPr>
    </w:p>
    <w:p>
      <w:pPr>
        <w:jc w:val="both"/>
        <w:ind w:left="380" w:hanging="367"/>
        <w:spacing w:after="0" w:line="234"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Income taxes for the first quarter of fiscal 2012 included a tax benefit of $14 million related to the favorable resolution of certain prior year tax matters. Income tax provision in the second quarter of fiscal 2011 included a charge to reduce net deferred tax assets by $19 million in connection with a change in tax rates. Income tax provision in the second quarter and first six months of fiscal 2011 included charges of $7 million and $40 million, respectively, in connection with receipts from Samsung. The company has a valuation allowance for a substantial portion of its net deferred tax asset associated with its U.S. operations. Taxes attributable to U.S. operations in fiscal 2012 and 2011 were substantially offset by changes in the valuation allowance.</w:t>
      </w:r>
    </w:p>
    <w:sectPr>
      <w:pgSz w:w="11900" w:h="16838" w:orient="portrait"/>
      <w:cols w:equalWidth="0" w:num="1">
        <w:col w:w="11420"/>
      </w:cols>
      <w:pgMar w:left="240" w:top="7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2019-12-09T08:50:08Z</dcterms:created>
  <dcterms:modified xsi:type="dcterms:W3CDTF">2019-12-09T08:50:08Z</dcterms:modified>
</cp:coreProperties>
</file>