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44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920" w:right="360" w:hanging="912"/>
        <w:spacing w:after="0" w:line="237" w:lineRule="auto"/>
        <w:tabs>
          <w:tab w:leader="none" w:pos="9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December 4, 2003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920" w:right="340" w:hanging="912"/>
        <w:spacing w:after="0" w:line="256" w:lineRule="auto"/>
        <w:tabs>
          <w:tab w:leader="none" w:pos="9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900" w:orient="portrait"/>
          <w:cols w:equalWidth="0" w:num="1">
            <w:col w:w="11420"/>
          </w:cols>
          <w:pgMar w:left="240" w:top="585" w:right="239" w:bottom="0" w:gutter="0" w:footer="0" w:header="0"/>
        </w:sectPr>
      </w:pPr>
    </w:p>
    <w:p>
      <w:pPr>
        <w:spacing w:after="0" w:line="172" w:lineRule="exact"/>
        <w:rPr>
          <w:sz w:val="24"/>
          <w:szCs w:val="24"/>
          <w:color w:val="auto"/>
        </w:rPr>
      </w:pPr>
    </w:p>
    <w:p>
      <w:pPr>
        <w:ind w:right="1440"/>
        <w:spacing w:after="0" w:line="548" w:lineRule="auto"/>
        <w:rPr>
          <w:sz w:val="20"/>
          <w:szCs w:val="20"/>
          <w:color w:val="auto"/>
        </w:rPr>
      </w:pPr>
      <w:r>
        <w:rPr>
          <w:rFonts w:ascii="Arial" w:cs="Arial" w:eastAsia="Arial" w:hAnsi="Arial"/>
          <w:sz w:val="16"/>
          <w:szCs w:val="16"/>
          <w:b w:val="1"/>
          <w:bCs w:val="1"/>
          <w:color w:val="auto"/>
        </w:rPr>
        <w:t>For the transition period from Commission file number</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to</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1-10658</w:t>
      </w:r>
    </w:p>
    <w:p>
      <w:pPr>
        <w:spacing w:after="0" w:line="225" w:lineRule="exact"/>
        <w:rPr>
          <w:sz w:val="24"/>
          <w:szCs w:val="24"/>
          <w:color w:val="auto"/>
        </w:rPr>
      </w:pPr>
    </w:p>
    <w:p>
      <w:pPr>
        <w:sectPr>
          <w:pgSz w:w="11900" w:h="16900" w:orient="portrait"/>
          <w:cols w:equalWidth="0" w:num="2">
            <w:col w:w="3780" w:space="720"/>
            <w:col w:w="6920"/>
          </w:cols>
          <w:pgMar w:left="240" w:top="585" w:right="239" w:bottom="0" w:gutter="0" w:footer="0" w:header="0"/>
          <w:type w:val="continuous"/>
        </w:sect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900" w:orient="portrait"/>
          <w:cols w:equalWidth="0" w:num="1">
            <w:col w:w="11420"/>
          </w:cols>
          <w:pgMar w:left="240" w:top="585" w:right="239" w:bottom="0" w:gutter="0" w:footer="0" w:header="0"/>
          <w:type w:val="continuous"/>
        </w:sectPr>
      </w:pPr>
    </w:p>
    <w:p>
      <w:pPr>
        <w:spacing w:after="0" w:line="228"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0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900" w:orient="portrait"/>
          <w:cols w:equalWidth="0" w:num="2">
            <w:col w:w="7260" w:space="720"/>
            <w:col w:w="3440"/>
          </w:cols>
          <w:pgMar w:left="240" w:top="585" w:right="239" w:bottom="0" w:gutter="0" w:footer="0" w:header="0"/>
          <w:type w:val="continuous"/>
        </w:sectPr>
      </w:pPr>
    </w:p>
    <w:p>
      <w:pPr>
        <w:spacing w:after="0" w:line="18"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8000 S. Federal Way, P.O. Box 6, Boise, Idaho</w:t>
      </w:r>
    </w:p>
    <w:p>
      <w:pPr>
        <w:spacing w:after="0" w:line="50" w:lineRule="exact"/>
        <w:rPr>
          <w:sz w:val="24"/>
          <w:szCs w:val="24"/>
          <w:color w:val="auto"/>
        </w:rPr>
      </w:pPr>
    </w:p>
    <w:p>
      <w:pPr>
        <w:jc w:val="center"/>
        <w:ind w:right="19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83707-0006</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211" w:lineRule="exact"/>
        <w:rPr>
          <w:sz w:val="24"/>
          <w:szCs w:val="24"/>
          <w:color w:val="auto"/>
        </w:rPr>
      </w:pPr>
    </w:p>
    <w:p>
      <w:pPr>
        <w:sectPr>
          <w:pgSz w:w="11900" w:h="16900" w:orient="portrait"/>
          <w:cols w:equalWidth="0" w:num="2">
            <w:col w:w="7480" w:space="720"/>
            <w:col w:w="3220"/>
          </w:cols>
          <w:pgMar w:left="240" w:top="585" w:right="239" w:bottom="0" w:gutter="0" w:footer="0" w:header="0"/>
          <w:type w:val="continuous"/>
        </w:sectPr>
      </w:pPr>
    </w:p>
    <w:p>
      <w:pPr>
        <w:spacing w:after="0" w:line="11" w:lineRule="exact"/>
        <w:rPr>
          <w:sz w:val="24"/>
          <w:szCs w:val="24"/>
          <w:color w:val="auto"/>
        </w:rPr>
      </w:pPr>
    </w:p>
    <w:p>
      <w:pPr>
        <w:ind w:left="94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(208) 368-4000</w:t>
      </w:r>
    </w:p>
    <w:p>
      <w:pPr>
        <w:spacing w:after="0" w:line="204" w:lineRule="exact"/>
        <w:rPr>
          <w:sz w:val="24"/>
          <w:szCs w:val="24"/>
          <w:color w:val="auto"/>
        </w:rPr>
      </w:pPr>
    </w:p>
    <w:p>
      <w:pPr>
        <w:sectPr>
          <w:pgSz w:w="11900" w:h="16900" w:orient="portrait"/>
          <w:cols w:equalWidth="0" w:num="2">
            <w:col w:w="7360" w:space="720"/>
            <w:col w:w="3340"/>
          </w:cols>
          <w:pgMar w:left="240" w:top="585" w:right="239" w:bottom="0" w:gutter="0" w:footer="0" w:header="0"/>
          <w:type w:val="continuous"/>
        </w:sectPr>
      </w:pPr>
    </w:p>
    <w:p>
      <w:pPr>
        <w:spacing w:after="0" w:line="48" w:lineRule="exact"/>
        <w:rPr>
          <w:sz w:val="24"/>
          <w:szCs w:val="24"/>
          <w:color w:val="auto"/>
        </w:rPr>
      </w:pPr>
    </w:p>
    <w:p>
      <w:pPr>
        <w:jc w:val="both"/>
        <w:ind w:right="2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1"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w:t>
      </w:r>
      <w:r>
        <w:rPr>
          <w:rFonts w:ascii="Arial" w:cs="Arial" w:eastAsia="Arial" w:hAnsi="Arial"/>
          <w:sz w:val="17"/>
          <w:szCs w:val="17"/>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outstanding shares of the registrant’s common stock as of January 12, 2004, was 609,351,439.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December 4,</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73"/>
              <w:spacing w:after="0" w:line="119" w:lineRule="exact"/>
              <w:rPr>
                <w:sz w:val="20"/>
                <w:szCs w:val="20"/>
                <w:color w:val="auto"/>
              </w:rPr>
            </w:pPr>
            <w:r>
              <w:rPr>
                <w:rFonts w:ascii="Arial" w:cs="Arial" w:eastAsia="Arial" w:hAnsi="Arial"/>
                <w:sz w:val="13"/>
                <w:szCs w:val="13"/>
                <w:b w:val="1"/>
                <w:bCs w:val="1"/>
                <w:color w:val="auto"/>
              </w:rPr>
              <w:t>November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operating expense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ectPr>
          <w:pgSz w:w="11900" w:h="16900" w:orient="portrait"/>
          <w:cols w:equalWidth="0" w:num="1">
            <w:col w:w="11420"/>
          </w:cols>
          <w:pgMar w:left="240" w:top="585"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Income (loss) before taxes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633.8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20" w:type="dxa"/>
            <w:vAlign w:val="bottom"/>
            <w:gridSpan w:val="2"/>
          </w:tcPr>
          <w:p>
            <w:pPr>
              <w:jc w:val="center"/>
              <w:ind w:left="297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jc w:val="center"/>
              <w:ind w:left="3219"/>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40"/>
        </w:trPr>
        <w:tc>
          <w:tcPr>
            <w:tcW w:w="20" w:type="dxa"/>
            <w:vAlign w:val="bottom"/>
          </w:tcPr>
          <w:p>
            <w:pPr>
              <w:spacing w:after="0"/>
              <w:rPr>
                <w:sz w:val="24"/>
                <w:szCs w:val="24"/>
                <w:color w:val="auto"/>
              </w:rPr>
            </w:pPr>
          </w:p>
        </w:tc>
        <w:tc>
          <w:tcPr>
            <w:tcW w:w="832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rPr>
              <w:t>MICRON TECHNOLOGY, INC.</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320" w:type="dxa"/>
            <w:vAlign w:val="bottom"/>
            <w:gridSpan w:val="2"/>
          </w:tcPr>
          <w:p>
            <w:pPr>
              <w:jc w:val="center"/>
              <w:ind w:left="2990"/>
              <w:spacing w:after="0"/>
              <w:rPr>
                <w:sz w:val="20"/>
                <w:szCs w:val="20"/>
                <w:color w:val="auto"/>
              </w:rPr>
            </w:pPr>
            <w:r>
              <w:rPr>
                <w:rFonts w:ascii="Arial" w:cs="Arial" w:eastAsia="Arial" w:hAnsi="Arial"/>
                <w:sz w:val="18"/>
                <w:szCs w:val="18"/>
                <w:b w:val="1"/>
                <w:bCs w:val="1"/>
                <w:color w:val="auto"/>
                <w:w w:val="99"/>
              </w:rPr>
              <w:t>CONSOLIDATED BALANCE SHEETS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jc w:val="center"/>
              <w:ind w:left="2990"/>
              <w:spacing w:after="0"/>
              <w:rPr>
                <w:sz w:val="20"/>
                <w:szCs w:val="20"/>
                <w:color w:val="auto"/>
              </w:rPr>
            </w:pPr>
            <w:r>
              <w:rPr>
                <w:rFonts w:ascii="Arial" w:cs="Arial" w:eastAsia="Arial" w:hAnsi="Arial"/>
                <w:sz w:val="18"/>
                <w:szCs w:val="18"/>
                <w:color w:val="auto"/>
                <w:w w:val="92"/>
              </w:rPr>
              <w:t>(Amounts in millions except par value amounts)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2"/>
          </w:tcPr>
          <w:p>
            <w:pPr>
              <w:jc w:val="center"/>
              <w:ind w:left="297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August 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Cash and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488.3</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723.7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4,543.4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7,552.1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740.3</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996.0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997.1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common stock</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$0.10 par value, authorized 3.0 billion shares, issued and outstanding 609.1 million and 609.9</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million shares</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4,634.2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4,176.3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-6675755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-6675755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ectPr>
          <w:pgSz w:w="11900" w:h="16838" w:orient="portrait"/>
          <w:cols w:equalWidth="0" w:num="1">
            <w:col w:w="11440"/>
          </w:cols>
          <w:pgMar w:left="240" w:top="140" w:right="21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(Amounts in millions)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December 4,</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71"/>
              <w:spacing w:after="0" w:line="119" w:lineRule="exact"/>
              <w:rPr>
                <w:sz w:val="20"/>
                <w:szCs w:val="20"/>
                <w:color w:val="auto"/>
              </w:rPr>
            </w:pPr>
            <w:r>
              <w:rPr>
                <w:rFonts w:ascii="Arial" w:cs="Arial" w:eastAsia="Arial" w:hAnsi="Arial"/>
                <w:sz w:val="13"/>
                <w:szCs w:val="13"/>
                <w:b w:val="1"/>
                <w:bCs w:val="1"/>
                <w:color w:val="auto"/>
              </w:rPr>
              <w:t>November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restructure and other charges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Provision to write down inventories to estimated market values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from write-down or disposition of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Loss from write-down or disposition of investments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(Increase) decrease in receivables</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(Increase) decrease in inventories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Increase in accounts payable and accrued expenses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Proceeds from issuance of stock rights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equipment sale-leaseback transactions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common stock</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Repayments of debt</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ind w:left="340"/>
              <w:spacing w:after="0"/>
              <w:rPr>
                <w:sz w:val="20"/>
                <w:szCs w:val="20"/>
                <w:color w:val="auto"/>
              </w:rPr>
            </w:pPr>
            <w:r>
              <w:rPr>
                <w:rFonts w:ascii="Arial" w:cs="Arial" w:eastAsia="Arial" w:hAnsi="Arial"/>
                <w:sz w:val="18"/>
                <w:szCs w:val="18"/>
                <w:color w:val="auto"/>
              </w:rPr>
              <w:t>Net cash provided by (used for) financing activities</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266.1</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Net increase (decrease) in cash and equivalents</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7"/>
        </w:trPr>
        <w:tc>
          <w:tcPr>
            <w:tcW w:w="8340" w:type="dxa"/>
            <w:vAlign w:val="bottom"/>
            <w:gridSpan w:val="2"/>
          </w:tcPr>
          <w:p>
            <w:pPr>
              <w:spacing w:after="0"/>
              <w:rPr>
                <w:sz w:val="20"/>
                <w:szCs w:val="20"/>
                <w:color w:val="auto"/>
              </w:rPr>
            </w:pPr>
            <w:r>
              <w:rPr>
                <w:rFonts w:ascii="Arial" w:cs="Arial" w:eastAsia="Arial" w:hAnsi="Arial"/>
                <w:sz w:val="18"/>
                <w:szCs w:val="18"/>
                <w:color w:val="auto"/>
              </w:rPr>
              <w:t>Cash and equivalents at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refunded,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Equipment acquisitions on contracts payable and capital leases</w:t>
            </w:r>
          </w:p>
        </w:tc>
        <w:tc>
          <w:tcPr>
            <w:tcW w:w="2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Micron Technology, Inc. and its subsidiaries (hereinafter referred to collectively as the “Company”) manufacture and market</w:t>
      </w:r>
      <w:r>
        <w:rPr>
          <w:rFonts w:ascii="Arial" w:cs="Arial" w:eastAsia="Arial" w:hAnsi="Arial"/>
          <w:sz w:val="16"/>
          <w:szCs w:val="16"/>
          <w:b w:val="1"/>
          <w:bCs w:val="1"/>
          <w:color w:val="auto"/>
        </w:rPr>
        <w:t xml:space="preserve"> </w:t>
      </w:r>
      <w:r>
        <w:rPr>
          <w:rFonts w:ascii="Arial" w:cs="Arial" w:eastAsia="Arial" w:hAnsi="Arial"/>
          <w:sz w:val="16"/>
          <w:szCs w:val="16"/>
          <w:color w:val="auto"/>
        </w:rPr>
        <w:t>DRAMs, Flash memory, CMOS image sensors and other semiconductor components. The accompanying consolidated financial statements have been prepared in accordance with generally accepted accounting principles and include the accounts of the Company and its consolidated subsidiaries. All significant intercompany transactions and balances have been eliminated. The Company’s fiscal year is the 52 or 53-week period ending on the Thursday closest to August 31. The Company’s first quarter of fiscal 2004, which ended on December 4, 2003, contained 14 weeks and its first quarter of fiscal 2003, which ended November 28, 2002, contained 13 weeks. The Company’s fiscal 2003 ended on August 28, 2003. All period references are to the Company’s fiscal periods unless otherwise indicated. In the opinion of management, the accompanying unaudited consolidated financial statements contain all adjustments necessary to present fairly the consolidated financial position of the Company, and its consolidated results of operations and cash flows.</w:t>
      </w:r>
    </w:p>
    <w:p>
      <w:pPr>
        <w:sectPr>
          <w:pgSz w:w="11900" w:h="16838" w:orient="portrait"/>
          <w:cols w:equalWidth="0" w:num="1">
            <w:col w:w="11420"/>
          </w:cols>
          <w:pgMar w:left="240" w:top="125" w:right="239" w:bottom="0" w:gutter="0" w:footer="0" w:header="0"/>
        </w:sectPr>
      </w:pPr>
    </w:p>
    <w:bookmarkStart w:id="3" w:name="page4"/>
    <w:bookmarkEnd w:id="3"/>
    <w:p>
      <w:pPr>
        <w:ind w:right="120" w:firstLine="648"/>
        <w:spacing w:after="0" w:line="277" w:lineRule="auto"/>
        <w:rPr>
          <w:sz w:val="20"/>
          <w:szCs w:val="20"/>
          <w:color w:val="auto"/>
        </w:rPr>
      </w:pPr>
      <w:r>
        <w:rPr>
          <w:rFonts w:ascii="Arial" w:cs="Arial" w:eastAsia="Arial" w:hAnsi="Arial"/>
          <w:sz w:val="18"/>
          <w:szCs w:val="18"/>
          <w:color w:val="auto"/>
        </w:rPr>
        <w:t>These interim financial statements should be read in conjunction with the consolidated financial statements and accompanying notes included in the Company’s Annual Report on Form 10-K for the year ended August 28, 2003.</w:t>
      </w:r>
    </w:p>
    <w:p>
      <w:pPr>
        <w:spacing w:after="0" w:line="16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have been made, none of which affected results of operations, to present the financial statements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basis.</w:t>
      </w:r>
    </w:p>
    <w:p>
      <w:pPr>
        <w:spacing w:after="0" w:line="162"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 xml:space="preserve">Recently issued accounting standards: </w:t>
      </w:r>
      <w:r>
        <w:rPr>
          <w:rFonts w:ascii="Arial" w:cs="Arial" w:eastAsia="Arial" w:hAnsi="Arial"/>
          <w:sz w:val="17"/>
          <w:szCs w:val="17"/>
          <w:color w:val="auto"/>
        </w:rPr>
        <w:t>In January 2003, the Financial Accounting Standards Board (“FASB”) issued Interpretation No. 46,</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“Consolidation of Variable Interest Entities – an interpretation of ARB No. 51,” which provides guidance on the identification of and reporting for variable interest entities. In December 2003, the FASB issued a revised Interpretation No. 46, which expands the criteria for consideration in determining whether a variable interest entity should be consolidated. Interpretation No. 46 is effective for the Company in the third quarter of 2004. The Company does not expect adoption of Interpretation No. 46 to have a significant impact on its future results of operations or financial condition.</w:t>
      </w:r>
    </w:p>
    <w:p>
      <w:pPr>
        <w:spacing w:after="0" w:line="168" w:lineRule="exact"/>
        <w:rPr>
          <w:sz w:val="20"/>
          <w:szCs w:val="20"/>
          <w:color w:val="auto"/>
        </w:rPr>
      </w:pPr>
    </w:p>
    <w:p>
      <w:pPr>
        <w:ind w:right="700" w:firstLine="648"/>
        <w:spacing w:after="0" w:line="313" w:lineRule="auto"/>
        <w:rPr>
          <w:sz w:val="20"/>
          <w:szCs w:val="20"/>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The Company has determined, based on the nature of its operations and products offered to customers, that its only</w:t>
      </w:r>
      <w:r>
        <w:rPr>
          <w:rFonts w:ascii="Arial" w:cs="Arial" w:eastAsia="Arial" w:hAnsi="Arial"/>
          <w:sz w:val="17"/>
          <w:szCs w:val="17"/>
          <w:b w:val="1"/>
          <w:bCs w:val="1"/>
          <w:color w:val="auto"/>
        </w:rPr>
        <w:t xml:space="preserve"> </w:t>
      </w:r>
      <w:r>
        <w:rPr>
          <w:rFonts w:ascii="Arial" w:cs="Arial" w:eastAsia="Arial" w:hAnsi="Arial"/>
          <w:sz w:val="17"/>
          <w:szCs w:val="17"/>
          <w:color w:val="auto"/>
        </w:rPr>
        <w:t>reportable segment is Semiconductor Operations. The Semiconductor Operations segment’s primary product is DRAM.</w:t>
      </w:r>
    </w:p>
    <w:p>
      <w:pPr>
        <w:spacing w:after="0" w:line="13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Employee stock plans are accounted for using the intrinsic value method prescribed by Accounting Principles Board</w:t>
      </w:r>
      <w:r>
        <w:rPr>
          <w:rFonts w:ascii="Arial" w:cs="Arial" w:eastAsia="Arial" w:hAnsi="Arial"/>
          <w:sz w:val="17"/>
          <w:szCs w:val="17"/>
          <w:b w:val="1"/>
          <w:bCs w:val="1"/>
          <w:color w:val="auto"/>
        </w:rPr>
        <w:t xml:space="preserve"> </w:t>
      </w:r>
      <w:r>
        <w:rPr>
          <w:rFonts w:ascii="Arial" w:cs="Arial" w:eastAsia="Arial" w:hAnsi="Arial"/>
          <w:sz w:val="17"/>
          <w:szCs w:val="17"/>
          <w:color w:val="auto"/>
        </w:rPr>
        <w:t>(“APB”) Opinion No. 25, “Accounting for Stock Issued to Employees.” The Company utilizes the Black-Scholes option valuation model to value stock options for pro forma presentation of income and per share data as if the fair value based method in Statement of Financial Accounting Standards (“SFAS”) No. 123, “Accounting for Stock-Based Compensation,” had been used to account for stock-based compensation. The following presents pro forma loss and per share data as if a fair value based method had been used to account for stock-based compensation: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December 4,</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73"/>
              <w:spacing w:after="0" w:line="119" w:lineRule="exact"/>
              <w:rPr>
                <w:sz w:val="20"/>
                <w:szCs w:val="20"/>
                <w:color w:val="auto"/>
              </w:rPr>
            </w:pPr>
            <w:r>
              <w:rPr>
                <w:rFonts w:ascii="Arial" w:cs="Arial" w:eastAsia="Arial" w:hAnsi="Arial"/>
                <w:sz w:val="13"/>
                <w:szCs w:val="13"/>
                <w:b w:val="1"/>
                <w:bCs w:val="1"/>
                <w:color w:val="auto"/>
              </w:rPr>
              <w:t>November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2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spacing w:after="0"/>
              <w:rPr>
                <w:sz w:val="20"/>
                <w:szCs w:val="20"/>
                <w:color w:val="auto"/>
              </w:rPr>
            </w:pPr>
            <w:r>
              <w:rPr>
                <w:rFonts w:ascii="Arial" w:cs="Arial" w:eastAsia="Arial" w:hAnsi="Arial"/>
                <w:sz w:val="18"/>
                <w:szCs w:val="18"/>
                <w:color w:val="auto"/>
              </w:rPr>
              <w:t>Net income (loss) available to common shareholders</w:t>
            </w: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 expense included in reported net income (loss)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spacing w:after="0" w:line="201" w:lineRule="exact"/>
              <w:rPr>
                <w:sz w:val="20"/>
                <w:szCs w:val="20"/>
                <w:color w:val="auto"/>
              </w:rPr>
            </w:pPr>
            <w:r>
              <w:rPr>
                <w:rFonts w:ascii="Arial" w:cs="Arial" w:eastAsia="Arial" w:hAnsi="Arial"/>
                <w:sz w:val="18"/>
                <w:szCs w:val="18"/>
                <w:color w:val="auto"/>
                <w:w w:val="96"/>
              </w:rPr>
              <w:t>Less total stock-based employee compensation expense determined under a fair value based method for all</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awards</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 available to common shareholders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Basic, as reported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pro forma</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as reported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Diluted, pro forma</w:t>
            </w: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Stock-based employee compensation expense in the above presentation does not reflect a benefit for income taxes, which is consistent with the Company’s treatment of income or loss from its U.S.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Receivables</w:t>
            </w:r>
          </w:p>
        </w:tc>
        <w:tc>
          <w:tcPr>
            <w:tcW w:w="2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December 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August 28,</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642.7</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Joint venture</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 other than income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7"/>
        </w:trPr>
        <w:tc>
          <w:tcPr>
            <w:tcW w:w="8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Inventories</w:t>
            </w:r>
          </w:p>
        </w:tc>
        <w:tc>
          <w:tcPr>
            <w:tcW w:w="20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December 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August 28,</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234.6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Raw materials and supplies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Allowance for obsolescence</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7"/>
        </w:trPr>
        <w:tc>
          <w:tcPr>
            <w:tcW w:w="8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recognized a write-down of $90.8 million in the first quarter of 2003 to record work in process and finished goods inventories of semiconductor products at their estimated market values.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248" w:gutter="0" w:footer="0" w:header="0"/>
        </w:sectPr>
      </w:pPr>
    </w:p>
    <w:bookmarkStart w:id="4" w:name="page5"/>
    <w:bookmarkEnd w:id="4"/>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Intangible Assets</w:t>
            </w:r>
          </w:p>
        </w:tc>
        <w:tc>
          <w:tcPr>
            <w:tcW w:w="940" w:type="dxa"/>
            <w:vAlign w:val="bottom"/>
          </w:tcPr>
          <w:p>
            <w:pPr>
              <w:spacing w:after="0"/>
              <w:rPr>
                <w:sz w:val="14"/>
                <w:szCs w:val="14"/>
                <w:color w:val="auto"/>
              </w:rPr>
            </w:pPr>
          </w:p>
        </w:tc>
        <w:tc>
          <w:tcPr>
            <w:tcW w:w="226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w w:val="91"/>
              </w:rPr>
              <w:t>December 4, 2003</w:t>
            </w:r>
          </w:p>
        </w:tc>
        <w:tc>
          <w:tcPr>
            <w:tcW w:w="280" w:type="dxa"/>
            <w:vAlign w:val="bottom"/>
          </w:tcPr>
          <w:p>
            <w:pPr>
              <w:spacing w:after="0"/>
              <w:rPr>
                <w:sz w:val="14"/>
                <w:szCs w:val="14"/>
                <w:color w:val="auto"/>
              </w:rPr>
            </w:pPr>
          </w:p>
        </w:tc>
        <w:tc>
          <w:tcPr>
            <w:tcW w:w="27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August 28, 2003</w:t>
            </w:r>
          </w:p>
        </w:tc>
      </w:tr>
      <w:tr>
        <w:trPr>
          <w:trHeight w:val="119"/>
        </w:trPr>
        <w:tc>
          <w:tcPr>
            <w:tcW w:w="4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top w:val="single" w:sz="8" w:color="auto"/>
            </w:tcBorders>
          </w:tcPr>
          <w:p>
            <w:pPr>
              <w:jc w:val="right"/>
              <w:ind w:right="8"/>
              <w:spacing w:after="0" w:line="119" w:lineRule="exact"/>
              <w:rPr>
                <w:sz w:val="20"/>
                <w:szCs w:val="20"/>
                <w:color w:val="auto"/>
              </w:rPr>
            </w:pPr>
            <w:r>
              <w:rPr>
                <w:rFonts w:ascii="Arial" w:cs="Arial" w:eastAsia="Arial" w:hAnsi="Arial"/>
                <w:sz w:val="13"/>
                <w:szCs w:val="13"/>
                <w:b w:val="1"/>
                <w:bCs w:val="1"/>
                <w:color w:val="auto"/>
              </w:rPr>
              <w:t>Gross</w:t>
            </w: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217"/>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r>
      <w:tr>
        <w:trPr>
          <w:trHeight w:val="171"/>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Amortization</w:t>
            </w:r>
          </w:p>
        </w:tc>
      </w:t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and process technology</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Joint venture supply arrangement</w:t>
            </w:r>
          </w:p>
        </w:tc>
        <w:tc>
          <w:tcPr>
            <w:tcW w:w="9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jc w:val="right"/>
              <w:ind w:right="78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451.1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first quarter of 2004 and 2003, the Company capitalized $7.4 million and $8.3 million, respectively, for product and process technology with weighted average useful lives of 10 years.</w:t>
      </w:r>
    </w:p>
    <w:p>
      <w:pPr>
        <w:spacing w:after="0" w:line="17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Amortization expense for intangible assets was $13.5 million and $12.6 million for the first quarter of 2004 and 2003, respectively. Annual amortization expense for intangible assets held as of December 4, 2003, is estimated to be $49.4 million for 2004, $46.3 million in 2005, $44.7 million in 2006, $42.8 million in 2007 and $42.1 million in 2008.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Plant and Equipment</w:t>
            </w:r>
          </w:p>
        </w:tc>
        <w:tc>
          <w:tcPr>
            <w:tcW w:w="20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2,311.4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Software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depreciation</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(4,835.9)</w:t>
            </w: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Depreciation expense was $298.8 million and $287.1 million for the first quarter of 2004 and 2003, respectively. As of December 4, 2003, the Company had assets classified as held for sale and included in other assets in the accompanying consolidated balance sheet with a carrying value of $40.3 million.</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has manufacturing facilities in Virginia and Utah that are only partially utilized. As of December 4, 2003, the Virginia and Utah facilities had net book values of $359.2 million and $804.9 million, respectively. A portion of the Virginia facility is being used for 300 mm wafer fabrication and a portion of the Utah facility is being used for component test operations. The Company is depreciating substantially all assets at the Virginia and Utah facilities other than $195.8 million of construction in progress in Utah as of December 4, 2003. Increased utilization of these facilities is dependent upon market conditions, including, but not limited to, worldwide market supply of, and demand for, semiconductor products and the Company’s operations, cash flows and alternative capacity utilization opportunities.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2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December 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August 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377.4</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Salaries, wages and benefits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Joint venture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Taxes other than income</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56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81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gridSpan w:val="2"/>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gridSpan w:val="2"/>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649"/>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December 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August 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subordinated notes payable, interest rate of 2.5%, due February 2010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40" w:type="dxa"/>
            <w:vAlign w:val="bottom"/>
            <w:gridSpan w:val="2"/>
          </w:tcPr>
          <w:p>
            <w:pPr>
              <w:ind w:left="180"/>
              <w:spacing w:after="0"/>
              <w:rPr>
                <w:sz w:val="20"/>
                <w:szCs w:val="20"/>
                <w:color w:val="auto"/>
              </w:rPr>
            </w:pPr>
            <w:r>
              <w:rPr>
                <w:rFonts w:ascii="Arial" w:cs="Arial" w:eastAsia="Arial" w:hAnsi="Arial"/>
                <w:sz w:val="18"/>
                <w:szCs w:val="18"/>
                <w:color w:val="auto"/>
                <w:w w:val="97"/>
              </w:rPr>
              <w:t xml:space="preserve">Subordinated notes payable, face amount of $210.0 million and </w:t>
            </w:r>
            <w:r>
              <w:rPr>
                <w:rFonts w:ascii="Arial" w:cs="Arial" w:eastAsia="Arial" w:hAnsi="Arial"/>
                <w:sz w:val="17"/>
                <w:szCs w:val="17"/>
                <w:color w:val="auto"/>
                <w:w w:val="97"/>
              </w:rPr>
              <w:t>stated interest rate of 6.5%, due September</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w w:val="96"/>
              </w:rPr>
              <w:t>2005, with an effective yield to maturity of 10.7%, net of unamortized discount of $13.9 million and $15.8</w:t>
            </w:r>
          </w:p>
        </w:tc>
        <w:tc>
          <w:tcPr>
            <w:tcW w:w="200" w:type="dxa"/>
            <w:vAlign w:val="bottom"/>
          </w:tcPr>
          <w:p>
            <w:pPr>
              <w:spacing w:after="0"/>
              <w:rPr>
                <w:sz w:val="18"/>
                <w:szCs w:val="18"/>
                <w:color w:val="auto"/>
              </w:rPr>
            </w:pP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196.1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million</w:t>
            </w:r>
          </w:p>
        </w:tc>
        <w:tc>
          <w:tcPr>
            <w:tcW w:w="2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 xml:space="preserve">Notes payable in periodic installments through July 2015, weighted </w:t>
            </w:r>
            <w:r>
              <w:rPr>
                <w:rFonts w:ascii="Arial" w:cs="Arial" w:eastAsia="Arial" w:hAnsi="Arial"/>
                <w:sz w:val="17"/>
                <w:szCs w:val="17"/>
                <w:color w:val="auto"/>
                <w:w w:val="97"/>
              </w:rPr>
              <w:t>average interest rate of 2.1% and 2.3%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40" w:type="dxa"/>
            <w:vAlign w:val="bottom"/>
            <w:gridSpan w:val="2"/>
          </w:tcPr>
          <w:p>
            <w:pPr>
              <w:ind w:left="180"/>
              <w:spacing w:after="0"/>
              <w:rPr>
                <w:sz w:val="20"/>
                <w:szCs w:val="20"/>
                <w:color w:val="auto"/>
              </w:rPr>
            </w:pPr>
            <w:r>
              <w:rPr>
                <w:rFonts w:ascii="Arial" w:cs="Arial" w:eastAsia="Arial" w:hAnsi="Arial"/>
                <w:sz w:val="18"/>
                <w:szCs w:val="18"/>
                <w:color w:val="auto"/>
                <w:w w:val="96"/>
              </w:rPr>
              <w:t xml:space="preserve">Capital lease obligations payable in monthly installments </w:t>
            </w:r>
            <w:r>
              <w:rPr>
                <w:rFonts w:ascii="Arial" w:cs="Arial" w:eastAsia="Arial" w:hAnsi="Arial"/>
                <w:sz w:val="17"/>
                <w:szCs w:val="17"/>
                <w:color w:val="auto"/>
                <w:w w:val="96"/>
              </w:rPr>
              <w:t>through December 2007, weighted average imputed</w:t>
            </w:r>
          </w:p>
        </w:tc>
        <w:tc>
          <w:tcPr>
            <w:tcW w:w="200" w:type="dxa"/>
            <w:vAlign w:val="bottom"/>
          </w:tcPr>
          <w:p>
            <w:pPr>
              <w:spacing w:after="0"/>
              <w:rPr>
                <w:sz w:val="18"/>
                <w:szCs w:val="18"/>
                <w:color w:val="auto"/>
              </w:rPr>
            </w:pP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interest rate of 6.1% and 6.0%</w:t>
            </w:r>
          </w:p>
        </w:tc>
        <w:tc>
          <w:tcPr>
            <w:tcW w:w="2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-2087880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-2087880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As of December 4, 2003, notes payable and capital lease obligations of $138.8 million and $10.3 million, respectively, denominated in Japanese yen, were at weighted average interest rates of 1.4% and 1.8%, respectively.</w:t>
      </w:r>
    </w:p>
    <w:p>
      <w:pPr>
        <w:spacing w:after="0" w:line="1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color w:val="auto"/>
        </w:rPr>
        <w:t xml:space="preserve">Call Spread Options: </w:t>
      </w:r>
      <w:r>
        <w:rPr>
          <w:rFonts w:ascii="Arial" w:cs="Arial" w:eastAsia="Arial" w:hAnsi="Arial"/>
          <w:sz w:val="16"/>
          <w:szCs w:val="16"/>
          <w:color w:val="auto"/>
        </w:rPr>
        <w:t>Concurrent with the issuance of the Company’s 2.5% Convertible Subordinated Notes (the “Notes”), the Company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the expiration date, would result in the Company receiving an amount ranging from zero if the market price per share of the Company’s common stock is at or below $11.79 to a maximum of $343.4 million if the market price per share of the Company’s common stock is at or above $18.19. Settlement of the Call Spread Options in net shares on the expiration date would result in the Company receiving a number of shares of the Company’s common stock, not to exceed 18.9 million shares, with a value equal to the amount otherwise receivable on cash settlement. Should there be an early unwind of the Call Spread Options, the amount of cash or</w:t>
      </w:r>
    </w:p>
    <w:p>
      <w:pPr>
        <w:sectPr>
          <w:pgSz w:w="11900" w:h="16868" w:orient="portrait"/>
          <w:cols w:equalWidth="0" w:num="1">
            <w:col w:w="11440"/>
          </w:cols>
          <w:pgMar w:left="240" w:top="118" w:right="219" w:bottom="0" w:gutter="0" w:footer="0" w:header="0"/>
        </w:sectPr>
      </w:pPr>
    </w:p>
    <w:bookmarkStart w:id="5" w:name="page6"/>
    <w:bookmarkEnd w:id="5"/>
    <w:p>
      <w:pPr>
        <w:ind w:right="400"/>
        <w:spacing w:after="0" w:line="286" w:lineRule="auto"/>
        <w:rPr>
          <w:sz w:val="20"/>
          <w:szCs w:val="20"/>
          <w:color w:val="auto"/>
        </w:rPr>
      </w:pPr>
      <w:r>
        <w:rPr>
          <w:rFonts w:ascii="Arial" w:cs="Arial" w:eastAsia="Arial" w:hAnsi="Arial"/>
          <w:sz w:val="17"/>
          <w:szCs w:val="17"/>
          <w:color w:val="auto"/>
        </w:rPr>
        <w:t>net shares potentially received by the Company will be dependent upon then existing overall market conditions, and on the Company’s stock price, the volatility of the Company’s stock and the amount of time remaining on the Call Spread Options. The Call Spread Options therefore have the potential of limiting the dilution associated with the conversion of the Notes from 53.7 million shares to as few as 34.8 million shares.</w:t>
      </w:r>
    </w:p>
    <w:p>
      <w:pPr>
        <w:spacing w:after="0" w:line="162" w:lineRule="exact"/>
        <w:rPr>
          <w:sz w:val="20"/>
          <w:szCs w:val="20"/>
          <w:color w:val="auto"/>
        </w:rPr>
      </w:pPr>
    </w:p>
    <w:p>
      <w:pPr>
        <w:ind w:right="380" w:firstLine="648"/>
        <w:spacing w:after="0" w:line="293" w:lineRule="auto"/>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16"/>
          <w:szCs w:val="16"/>
          <w:color w:val="auto"/>
        </w:rPr>
        <w:t>The Company entered into an interest rate swap agreement (the “Swap”) that effectively converted, beginning August 29,</w:t>
      </w:r>
      <w:r>
        <w:rPr>
          <w:rFonts w:ascii="Arial" w:cs="Arial" w:eastAsia="Arial" w:hAnsi="Arial"/>
          <w:sz w:val="16"/>
          <w:szCs w:val="16"/>
          <w:b w:val="1"/>
          <w:bCs w:val="1"/>
          <w:color w:val="auto"/>
        </w:rPr>
        <w:t xml:space="preserve"> </w:t>
      </w:r>
      <w:r>
        <w:rPr>
          <w:rFonts w:ascii="Arial" w:cs="Arial" w:eastAsia="Arial" w:hAnsi="Arial"/>
          <w:sz w:val="16"/>
          <w:szCs w:val="16"/>
          <w:color w:val="auto"/>
        </w:rPr>
        <w:t>2003, the fixed interest rate on the Notes to a variable interest rate based on the 3-month London Interbank Offering Rate (“LIBOR”) less 65 basis points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(0.49% for the first quarter of 2004). The Swap qualifies as a fair-value hedge under SFAS No. 133, “Accounting for Derivative Instruments and Hedging Activities.” The gain or loss from changes in the fair value of the Swap is expected to be highly effective at offsetting the gain or loss from changes in the fair value of the Notes attributable to changes in interest rates. The Company measures the effectiveness of the Swap using regression analysis. The Company recognizes changes in the fair value of the Swap and changes in the fair value of the Notes since inception of the Swap in the consolidated balance sheets. For the first quarter of 2004, the Company recognized a net loss of $0.4 million, which is included in other non-operating income, representing the change in the fair value of the Notes that is not offset by the change in the fair value of the Swap of the hedge. As of December 4, 2003, the Company had pledged $24.3 million as collateral for the Swap which is included in restricted cash on the Company’s consolidated balance sheet. The amount of collateral will fluctuate based on the fair value of the Swap. The Swap will terminate if the closing price of the Company’s common stock is at or exceeds $14.15 after February 6, 2006.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processes infringe their product or process technology rights. The Company is currently engaged in litigation with Rambus, Inc. (“Rambus”) relating to certain of Rambus’ patents and certain of the Company’s claims and defenses. Lawsuits between Rambus and the Company are pending in the United States, Germany, France, the United Kingdom and Italy. The Company is unable to predict the outcome of the Rambus suits or of other assertions of infringements made against the Company. A court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twenty-four purported class action lawsuits were filed against the Company and other DRAM suppliers in various federal and state courts alleging violations of the Sherman Act and state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final resolution of these alleged violations of federal or state antitrust laws could result in significant liability and could have a material adverse effect on the Company’s business, results of operations or financial condition.</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Common Stock</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connection with the Company’s acquisition on April 22, 2002, of substantially all of the assets of Toshiba Corporation’s (“Toshiba”) DRAM business as conducted by Dominion Semiconductor L.L.C., the Company issued Toshiba 1.5 million shares of common stock and granted Toshiba an option to require the Company to repurchase the shares for $67.5 million in cash on October 21, 2003. During the first quarter of 2004, Toshiba exercised its option and the Company redeemed the 1.5 million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Rights</w:t>
      </w:r>
    </w:p>
    <w:p>
      <w:pPr>
        <w:spacing w:after="0" w:line="229"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On September 24, 2003, the Company received $450.0 million, which is included in additional capital in the accompanying consolidated balance sheet, from Intel Corporation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 mm wafer processing capacity, and dedication of resources to advanced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product development. In the event the Company fails to achieve certain 2005 milestones and the Company’s common stock price is then below Intel’s purchase price of $13.29, the Company could be obligated to pay Intel amounts not to exceed $135 million, a substantial portion of which is payable, at the Company’s election, in the Company’s common stock. The shares issuable pursuant to the stock rights are included in weighted average common shares outstanding in the computations of earnings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ectPr>
          <w:pgSz w:w="11900" w:h="16838" w:orient="portrait"/>
          <w:cols w:equalWidth="0" w:num="1">
            <w:col w:w="11420"/>
          </w:cols>
          <w:pgMar w:left="240" w:top="125" w:right="239" w:bottom="0" w:gutter="0" w:footer="0" w:header="0"/>
        </w:sectPr>
      </w:pPr>
    </w:p>
    <w:bookmarkStart w:id="6" w:name="page7"/>
    <w:bookmarkEnd w:id="6"/>
    <w:p>
      <w:pPr>
        <w:ind w:right="120" w:firstLine="648"/>
        <w:spacing w:after="0" w:line="276" w:lineRule="auto"/>
        <w:rPr>
          <w:sz w:val="20"/>
          <w:szCs w:val="20"/>
          <w:color w:val="auto"/>
        </w:rPr>
      </w:pPr>
      <w:r>
        <w:rPr>
          <w:rFonts w:ascii="Arial" w:cs="Arial" w:eastAsia="Arial" w:hAnsi="Arial"/>
          <w:sz w:val="17"/>
          <w:szCs w:val="17"/>
          <w:color w:val="auto"/>
        </w:rPr>
        <w:t>In the second quarter of 2003, the Company announced a plan to restructure its operations. The restructure plan included the shutdown of the Company’s 200 mm production line in Virginia, the discontinuance of certain memory products, including SRAM and TCAM products, and an approximate 10% reduction of the Company’s worldwide workforce. For the first quarter of 2004, the Company recorded a $21.1 million credit to restructure, primarily reflecting sales of equipment associated with operations shut down in the restructure. The Company has substantially completed the restructure plan but expects to incur gains and losses in future periods as residual equipment associated with the restructure is sold.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Other operating expense for the first quarter of 2004 includes realized and unrealized </w:t>
      </w:r>
      <w:r>
        <w:rPr>
          <w:rFonts w:ascii="Arial" w:cs="Arial" w:eastAsia="Arial" w:hAnsi="Arial"/>
          <w:sz w:val="15"/>
          <w:szCs w:val="15"/>
          <w:color w:val="auto"/>
        </w:rPr>
        <w:t>losses from changes in currency exchange rates of $24.5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primarily as the result of a generally weaker U.S. dollar relative to the Japanese yen and euro.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income tax provision for the first quarter of 2004 and 2003 primarily reflects taxes on non-U.S. operations. As of December 4, 2003, the Company had aggregate U.S. tax net operating loss carryforwards of $2.8 billion and unused U.S. tax credits of $100.0 million, which expire in various years through 2024. The Company also has unused state tax net operating loss carryforwards of $1.9 billion for tax purposes which expire in various years through 2024 and unused state tax credits of $131.2 million for tax and financial reporting purposes which expire through 2018. Until the Company utilizes these net operating loss carryforwards and unused tax credits, the Company expects its income tax provision will primarily reflect taxes from the Company’s non-U.S.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Basic earnings per share is computed based on the weighted average number of common shares outstanding. Diluted earnings per share is computed based on the weighted average number of common shares outstanding plus the dilutive effects of stock options and warrants and convertible notes. Potential common shares that would increase earnings per share amounts or decrease loss per share amounts are antidilutive and are therefore excluded from earnings per share calculations. The potential common shares that were antidilutive for the first quarter of 2004 and 2003 amounted to 153.4 million shares and 120.8 million shares, respectively. Basic and diluted earnings per share computations reflect the effect of accretion of, and fair value adjustment to, redeemable common stock.</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Quarter ended</w:t>
            </w:r>
          </w:p>
        </w:tc>
      </w:tr>
      <w:tr>
        <w:trPr>
          <w:trHeight w:val="119"/>
        </w:trPr>
        <w:tc>
          <w:tcPr>
            <w:tcW w:w="75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December 4,</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94"/>
              <w:spacing w:after="0" w:line="119" w:lineRule="exact"/>
              <w:rPr>
                <w:sz w:val="20"/>
                <w:szCs w:val="20"/>
                <w:color w:val="auto"/>
              </w:rPr>
            </w:pPr>
            <w:r>
              <w:rPr>
                <w:rFonts w:ascii="Arial" w:cs="Arial" w:eastAsia="Arial" w:hAnsi="Arial"/>
                <w:sz w:val="13"/>
                <w:szCs w:val="13"/>
                <w:b w:val="1"/>
                <w:bCs w:val="1"/>
                <w:color w:val="auto"/>
              </w:rPr>
              <w:t>November 28,</w:t>
            </w:r>
          </w:p>
        </w:tc>
        <w:tc>
          <w:tcPr>
            <w:tcW w:w="80" w:type="dxa"/>
            <w:vAlign w:val="bottom"/>
          </w:tcPr>
          <w:p>
            <w:pPr>
              <w:spacing w:after="0"/>
              <w:rPr>
                <w:sz w:val="10"/>
                <w:szCs w:val="10"/>
                <w:color w:val="auto"/>
              </w:rPr>
            </w:pPr>
          </w:p>
        </w:tc>
      </w:tr>
      <w:tr>
        <w:trPr>
          <w:trHeight w:val="171"/>
        </w:trPr>
        <w:tc>
          <w:tcPr>
            <w:tcW w:w="7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r>
      <w:tr>
        <w:trPr>
          <w:trHeight w:val="210"/>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available to common shareholders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633.8</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605.2</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stock options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636.6</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605.2</w:t>
            </w:r>
          </w:p>
        </w:tc>
        <w:tc>
          <w:tcPr>
            <w:tcW w:w="80" w:type="dxa"/>
            <w:vAlign w:val="bottom"/>
            <w:tcBorders>
              <w:bottom w:val="single" w:sz="8" w:color="CCEEFF"/>
            </w:tcBorders>
          </w:tcPr>
          <w:p>
            <w:pPr>
              <w:spacing w:after="0"/>
              <w:rPr>
                <w:sz w:val="18"/>
                <w:szCs w:val="18"/>
                <w:color w:val="auto"/>
              </w:rPr>
            </w:pPr>
          </w:p>
        </w:tc>
      </w:tr>
      <w:tr>
        <w:trPr>
          <w:trHeight w:val="216"/>
        </w:trPr>
        <w:tc>
          <w:tcPr>
            <w:tcW w:w="7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(0.52)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Comprehensive income (loss) for the first quarter of 2004 and 2003 was $1.0 million and ($315.5) million, respectively, and included ($0.1) million and $0.4 million net of tax, respectively, of unrealized gain (loss) on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TECH Semiconductor Singapore Pte. Ltd. (“TECH”) is a semiconductor memory manufacturing joint venture in Singapore among Micron Technology, Inc., the Singapore Economic Development Board, Canon Inc. and Hewlett-Packard Company. The Company acquired its initial ownership and other interests in TECH as a result of its acquisition of the semiconductor memory operations of Texas Instruments Incorporated in 1998. As of December 4, 2003, the Company had a 39.12% ownership interest in TECH. Significant </w:t>
      </w:r>
      <w:r>
        <w:rPr>
          <w:rFonts w:ascii="Arial" w:cs="Arial" w:eastAsia="Arial" w:hAnsi="Arial"/>
          <w:sz w:val="16"/>
          <w:szCs w:val="16"/>
          <w:color w:val="auto"/>
        </w:rPr>
        <w:t>financing, investment and operating decisions for TECH typically require approval</w:t>
      </w:r>
      <w:r>
        <w:rPr>
          <w:rFonts w:ascii="Arial" w:cs="Arial" w:eastAsia="Arial" w:hAnsi="Arial"/>
          <w:sz w:val="17"/>
          <w:szCs w:val="17"/>
          <w:color w:val="auto"/>
        </w:rPr>
        <w:t xml:space="preserve"> </w:t>
      </w:r>
      <w:r>
        <w:rPr>
          <w:rFonts w:ascii="Arial" w:cs="Arial" w:eastAsia="Arial" w:hAnsi="Arial"/>
          <w:sz w:val="16"/>
          <w:szCs w:val="16"/>
          <w:color w:val="auto"/>
        </w:rPr>
        <w:t>from TECH’s shareholders. The shareholders’ agreement for the TECH joint venture expires in 2011. TECH’s semiconductor manufacturing facilities use the Company’s product and process technology. Subject to specific terms and conditions, the Company has agreed to purchase all of the products manufactured by TECH. TECH supplied approximately 30% of the total megabits of memory produced by the Company in the first quarter of 2004. The 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The net cost of products purchased from TECH amounted to $93.5 million and $60.6 million for the first quarter of 2004 and 2003, respectively. Amortization expense resulting from the TECH supply arrangement, included in the cost of products purchased from TECH, was $2.6 million and $2.4 million for the first quarter of 2004 and 2003, respectively. Receivables from TECH were $34.0 million and payables to TECH were $58.4 million as of December 4, 2003. Receivables from TECH were $53.1 million and payables to TECH were $102.5 million as of August 28, 2003. As of December 4, 2003, the Company had remaining unamortized costs of $70.7 million in intangible assets relating to the supply arrangement to purchase product from TECH.</w:t>
      </w:r>
    </w:p>
    <w:p>
      <w:pPr>
        <w:spacing w:after="0" w:line="18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has pledged $100.0 million as cash collateral for TECH’s $250 million credit facility.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w:t>
      </w:r>
    </w:p>
    <w:p>
      <w:pPr>
        <w:sectPr>
          <w:pgSz w:w="11900" w:h="16838" w:orient="portrait"/>
          <w:cols w:equalWidth="0" w:num="1">
            <w:col w:w="11380"/>
          </w:cols>
          <w:pgMar w:left="240" w:top="125" w:right="279" w:bottom="0" w:gutter="0" w:footer="0" w:header="0"/>
        </w:sectPr>
      </w:pPr>
    </w:p>
    <w:bookmarkStart w:id="7" w:name="page8"/>
    <w:bookmarkEnd w:id="7"/>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“Gross Margin” regarding manufacturing cost reductions in future periods and relative cost of products purchased from TECH in the second quarter of 2004; in “Selling, General and Administrative” regarding the level of expected selling, general and administrative expenses in the second quarter of 2004; in “Research and Development” regarding the level of expected research and development expenses in the second quarter of 2004 and expenses related to, and initial product qualification of, the Company’s 300 mm production line; and in “Liquidity and Capital Resources” regarding the level of expected depreciation and amortization in the second quarter of 2004 and capital spending in 2004.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and with the Company’s Annual Report on Form 10-K for the year ended August 28, 2003. All period references are to the Company’s fiscal periods unless otherwise indicated. The Company’s fiscal year is the 52 or 53-week period ending on the Thursday closest to August 31. The Company’s fiscal 2004, which ends on September 2, 2004, contains 53 weeks. All per share amounts are presented on a diluted basis. All tabular dollar amounts are in millions.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 is a multi-national manufacturer and marketer of DRAM, Flash memory, CMOS image sensors and other semiconductor components. These semiconductor components are standardized products sold as a commodity at a market price. Average selling prices fluctuate significantly based upon industry-wide relationships of supply and demand. Success in commodity markets is typically driven by achieving the most cost-efficient delivery of products. Delivery of semiconductor memory products at the lowest cost is dependent upon advanced design and process technology, efficient utilization of extensive capital investments in silicon processing capacity, timely development of new products and cost-effective capital access.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 of net</w:t>
            </w:r>
          </w:p>
        </w:tc>
        <w:tc>
          <w:tcPr>
            <w:tcW w:w="3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95"/>
              <w:spacing w:after="0" w:line="119" w:lineRule="exact"/>
              <w:rPr>
                <w:sz w:val="20"/>
                <w:szCs w:val="20"/>
                <w:color w:val="auto"/>
              </w:rPr>
            </w:pPr>
            <w:r>
              <w:rPr>
                <w:rFonts w:ascii="Arial" w:cs="Arial" w:eastAsia="Arial" w:hAnsi="Arial"/>
                <w:sz w:val="13"/>
                <w:szCs w:val="13"/>
                <w:b w:val="1"/>
                <w:bCs w:val="1"/>
                <w:color w:val="auto"/>
              </w:rPr>
              <w:t>% of net</w:t>
            </w: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 of net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sales</w:t>
            </w:r>
          </w:p>
        </w:tc>
        <w:tc>
          <w:tcPr>
            <w:tcW w:w="3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1,107.2</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286.0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169.5</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186.4</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154.5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166.1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(296.6)</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(105.6)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first quarter of 2004, which ended December 4, 2003, contained 14 weeks as compared to 13 weeks for the fourth and first quarters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2003.</w:t>
      </w:r>
    </w:p>
    <w:p>
      <w:pPr>
        <w:spacing w:after="0" w:line="21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 xml:space="preserve">The Company’s operating results in recent periods have been significantly affected by the timing of inventory write-downs and restructure charges. The following table summarizes the Company’s operating income (loss) absent the inventory write-downs and the estimated aggregate effects of previous write-downs and restructure and related charges. </w:t>
      </w:r>
      <w:r>
        <w:rPr>
          <w:rFonts w:ascii="Arial" w:cs="Arial" w:eastAsia="Arial" w:hAnsi="Arial"/>
          <w:sz w:val="16"/>
          <w:szCs w:val="16"/>
          <w:color w:val="auto"/>
        </w:rPr>
        <w:t>These adjusted amounts have not been prepared in accordance with U.S. generally accepted accounting</w:t>
      </w:r>
      <w:r>
        <w:rPr>
          <w:rFonts w:ascii="Arial" w:cs="Arial" w:eastAsia="Arial" w:hAnsi="Arial"/>
          <w:sz w:val="17"/>
          <w:szCs w:val="17"/>
          <w:color w:val="auto"/>
        </w:rPr>
        <w:t xml:space="preserve"> </w:t>
      </w:r>
      <w:r>
        <w:rPr>
          <w:rFonts w:ascii="Arial" w:cs="Arial" w:eastAsia="Arial" w:hAnsi="Arial"/>
          <w:sz w:val="16"/>
          <w:szCs w:val="16"/>
          <w:color w:val="auto"/>
        </w:rPr>
        <w:t>principles (“U.S. GAAP”), however the Company believes this information may be useful in assessing the effects of inventory write-downs and the restructure and related charges on the Company’s results and analyzing the Company’s operating trends.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First Quarter</w:t>
            </w:r>
          </w:p>
        </w:tc>
        <w:tc>
          <w:tcPr>
            <w:tcW w:w="14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Fourth Quarter</w:t>
            </w:r>
          </w:p>
        </w:tc>
      </w:tr>
      <w:tr>
        <w:trPr>
          <w:trHeight w:val="171"/>
        </w:trPr>
        <w:tc>
          <w:tcPr>
            <w:tcW w:w="8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2003</w:t>
            </w:r>
          </w:p>
        </w:tc>
        <w:tc>
          <w:tcPr>
            <w:tcW w:w="80" w:type="dxa"/>
            <w:vAlign w:val="bottom"/>
            <w:tcBorders>
              <w:bottom w:val="single" w:sz="8" w:color="CCEEFF"/>
            </w:tcBorders>
          </w:tcPr>
          <w:p>
            <w:pPr>
              <w:spacing w:after="0"/>
              <w:rPr>
                <w:sz w:val="14"/>
                <w:szCs w:val="14"/>
                <w:color w:val="auto"/>
              </w:rPr>
            </w:pPr>
          </w:p>
        </w:tc>
      </w:tr>
      <w:tr>
        <w:trPr>
          <w:trHeight w:val="196"/>
        </w:trPr>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(105.6)</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Period-end inventory write-down</w:t>
            </w:r>
          </w:p>
        </w:tc>
        <w:tc>
          <w:tcPr>
            <w:tcW w:w="1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Estimated effect of previous write-downs</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(76.3)</w:t>
            </w: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Restructure and related charges</w:t>
            </w:r>
          </w:p>
        </w:tc>
        <w:tc>
          <w:tcPr>
            <w:tcW w:w="1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r>
      <w:tr>
        <w:trPr>
          <w:trHeight w:val="210"/>
        </w:trPr>
        <w:tc>
          <w:tcPr>
            <w:tcW w:w="8340" w:type="dxa"/>
            <w:vAlign w:val="bottom"/>
          </w:tcPr>
          <w:p>
            <w:pPr>
              <w:ind w:left="180"/>
              <w:spacing w:after="0"/>
              <w:rPr>
                <w:sz w:val="20"/>
                <w:szCs w:val="20"/>
                <w:color w:val="auto"/>
              </w:rPr>
            </w:pPr>
            <w:r>
              <w:rPr>
                <w:rFonts w:ascii="Arial" w:cs="Arial" w:eastAsia="Arial" w:hAnsi="Arial"/>
                <w:sz w:val="18"/>
                <w:szCs w:val="18"/>
                <w:color w:val="auto"/>
              </w:rPr>
              <w:t>As adjusted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7"/>
        </w:trPr>
        <w:tc>
          <w:tcPr>
            <w:tcW w:w="8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Net sales for the first quarter of 2004 increased by 25% as compared to the fourth quarter of 2003, primarily due to a 16% increase in megabits of semiconductor memory sold and a 7% increase in average selling prices for the Company’s memory products. Megabits produced in the first quarter of 2004 increased 11% as compared to the fourth quarter of 2003 principally due to improved manufacturing yields and the continuing transition of production to devices utilizing 110 nanometer (“nm”) process technology. For the first quarter of 2004, megabit sales outpaced production resulting in a 39% reduction of megabits in finished goods inventories to historically low levels relative to quarterly megabit sales.</w:t>
      </w:r>
    </w:p>
    <w:p>
      <w:pPr>
        <w:spacing w:after="0" w:line="17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Net sales for the first quarter of 2004 increased by 62% as compared to the first quarter of 2003 due to an increase in megabits of memory sold. Megabits produced in the first quarter of 2004 increased 54% as compared to the first quarter of 2003 principally due to the Company’s conversion of production to devices utilizing 130 nm and 110 nm process technology and improvements in manufacturing yields. A decline in average selling prices for the Company’s DDR products in the first quarter of 2004 as compared to the first quarter of 2003 was offset by an increase in the average selling prices for the Company’s SDRAM products, resulting in virtually the same overall per megabit average selling prices for the comparative periods. DDR DRAM products constituted 75% of the Company’s megabits sold in the first quarter of 2004 and 39% in the first quarter of 2003.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ectPr>
          <w:pgSz w:w="11900" w:h="16883" w:orient="portrait"/>
          <w:cols w:equalWidth="0" w:num="1">
            <w:col w:w="11420"/>
          </w:cols>
          <w:pgMar w:left="240" w:top="125" w:right="239" w:bottom="0" w:gutter="0" w:footer="0" w:header="0"/>
        </w:sectPr>
      </w:pPr>
    </w:p>
    <w:bookmarkStart w:id="8" w:name="page9"/>
    <w:bookmarkEnd w:id="8"/>
    <w:p>
      <w:pPr>
        <w:ind w:right="40" w:firstLine="648"/>
        <w:spacing w:after="0" w:line="270" w:lineRule="auto"/>
        <w:rPr>
          <w:sz w:val="20"/>
          <w:szCs w:val="20"/>
          <w:color w:val="auto"/>
        </w:rPr>
      </w:pPr>
      <w:r>
        <w:rPr>
          <w:rFonts w:ascii="Arial" w:cs="Arial" w:eastAsia="Arial" w:hAnsi="Arial"/>
          <w:sz w:val="17"/>
          <w:szCs w:val="17"/>
          <w:color w:val="auto"/>
        </w:rPr>
        <w:t>The Company’s reported gross margin for the first quarter of 2004 improved as compared to the fourth quarter of 2003, primarily due to the 7% increase in average selling prices for the Company’s memory products and a reduction in per megabit manufacturing costs, partially offset by the net effects of inventory write-downs. The Company was able to reduce per megabit manufacturing costs in the first quarter of 2004 through improvements in manufacturing efficiencies resulting from improved manufacturing yields and its continued transition to devices utilizing 110 nm process technology. The Company expects to achieve further manufacturing cost reductions over the next several quarters from the continued transition to 110 nm process technology, improved manufacturing yields, conversion to higher density products, and increased production of products incorporating the Company’s 6f² technology, which can have approximately 20% more potential die per wafer than standard 8f² products. Manufacturing cost reductions in the near term will be limited by the increased production of DDR2 devices, which have a relatively larger die size, and by the qualification of the Company’s 300 mm manufacturing in Virginia from research and development to production.</w:t>
      </w:r>
    </w:p>
    <w:p>
      <w:pPr>
        <w:spacing w:after="0" w:line="18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Company’s reported gross margin for first quarter of 2004 improved by $323.3 million as compared to the first quarter of 2003, primarily due to reductions in per megabit manufacturing costs, partially offset by the net effects of inventory write-downs. Manufacturing cost reductions resulted from improvements in manufacturing efficiencies achieved primarily through the Company’s conversion of production to devices utilizing 130 nm and 110 nm process technology and improvements in manufacturing yields.</w:t>
      </w:r>
    </w:p>
    <w:p>
      <w:pPr>
        <w:spacing w:after="0" w:line="183"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b w:val="1"/>
          <w:bCs w:val="1"/>
          <w:color w:val="auto"/>
        </w:rPr>
        <w:t xml:space="preserve">Inventory write-downs: </w:t>
      </w:r>
      <w:r>
        <w:rPr>
          <w:rFonts w:ascii="Arial" w:cs="Arial" w:eastAsia="Arial" w:hAnsi="Arial"/>
          <w:sz w:val="18"/>
          <w:szCs w:val="18"/>
          <w:color w:val="auto"/>
        </w:rPr>
        <w:t>In recent periods, the Company recorded charges to cost of goods sold to write down the carrying value of its inventories</w:t>
      </w:r>
      <w:r>
        <w:rPr>
          <w:rFonts w:ascii="Arial" w:cs="Arial" w:eastAsia="Arial" w:hAnsi="Arial"/>
          <w:sz w:val="18"/>
          <w:szCs w:val="18"/>
          <w:b w:val="1"/>
          <w:bCs w:val="1"/>
          <w:color w:val="auto"/>
        </w:rPr>
        <w:t xml:space="preserve"> </w:t>
      </w:r>
      <w:r>
        <w:rPr>
          <w:rFonts w:ascii="Arial" w:cs="Arial" w:eastAsia="Arial" w:hAnsi="Arial"/>
          <w:sz w:val="18"/>
          <w:szCs w:val="18"/>
          <w:color w:val="auto"/>
        </w:rPr>
        <w:t>to their estimated market values. If the estimated market values of products held in finished goods and work in process inventories at a quarter end date are below the Company’s manufacturing cost of these products, the Company recognizes a charge to cost of goods sold to write down the carrying value of inventories to their estimated market values. As charges are recorded in advance of when inventory subject to the write-down is sold, gross margins in the period of sale are higher than they would be absent the effect of the previous write-downs. No write-down was necessary for the first quarter of 2004. Previous write-downs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inventories prior to the first quarter of 2004 are not expected to have a significant effect on operating results in future periods.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following table sets forth adjusted gross margins absent the inventory write-downs and the estimated net effect of previous write-downs. These adjusted amounts have not been prepared in accordance with U.S. GAAP, however the Company believes this information may be useful in assessing the effects of inventory write-downs on the Company’s gross margin and analyzing the Company’s gross margin trends.</w:t>
      </w:r>
    </w:p>
    <w:p>
      <w:pPr>
        <w:spacing w:after="0" w:line="15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right"/>
              <w:ind w:right="670"/>
              <w:spacing w:after="0" w:line="119" w:lineRule="exact"/>
              <w:rPr>
                <w:sz w:val="20"/>
                <w:szCs w:val="20"/>
                <w:color w:val="auto"/>
              </w:rPr>
            </w:pPr>
            <w:r>
              <w:rPr>
                <w:rFonts w:ascii="Arial" w:cs="Arial" w:eastAsia="Arial" w:hAnsi="Arial"/>
                <w:sz w:val="13"/>
                <w:szCs w:val="13"/>
                <w:b w:val="1"/>
                <w:bCs w:val="1"/>
                <w:color w:val="auto"/>
              </w:rPr>
              <w:t>% of net</w:t>
            </w:r>
          </w:p>
        </w:tc>
        <w:tc>
          <w:tcPr>
            <w:tcW w:w="700" w:type="dxa"/>
            <w:vAlign w:val="bottom"/>
            <w:tcBorders>
              <w:top w:val="single" w:sz="8" w:color="auto"/>
            </w:tcBorders>
            <w:vMerge w:val="restart"/>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20"/>
              <w:spacing w:after="0" w:line="119" w:lineRule="exact"/>
              <w:rPr>
                <w:sz w:val="20"/>
                <w:szCs w:val="20"/>
                <w:color w:val="auto"/>
              </w:rPr>
            </w:pPr>
            <w:r>
              <w:rPr>
                <w:rFonts w:ascii="Arial" w:cs="Arial" w:eastAsia="Arial" w:hAnsi="Arial"/>
                <w:sz w:val="13"/>
                <w:szCs w:val="13"/>
                <w:b w:val="1"/>
                <w:bCs w:val="1"/>
                <w:color w:val="auto"/>
              </w:rPr>
              <w:t>% of net</w:t>
            </w:r>
          </w:p>
        </w:tc>
        <w:tc>
          <w:tcPr>
            <w:tcW w:w="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276"/>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 of net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right"/>
              <w:ind w:right="790"/>
              <w:spacing w:after="0"/>
              <w:rPr>
                <w:sz w:val="20"/>
                <w:szCs w:val="20"/>
                <w:color w:val="auto"/>
              </w:rPr>
            </w:pPr>
            <w:r>
              <w:rPr>
                <w:rFonts w:ascii="Arial" w:cs="Arial" w:eastAsia="Arial" w:hAnsi="Arial"/>
                <w:sz w:val="14"/>
                <w:szCs w:val="14"/>
                <w:b w:val="1"/>
                <w:bCs w:val="1"/>
                <w:color w:val="auto"/>
              </w:rPr>
              <w:t>sales</w:t>
            </w: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286.0</w:t>
            </w:r>
          </w:p>
        </w:tc>
        <w:tc>
          <w:tcPr>
            <w:tcW w:w="1540" w:type="dxa"/>
            <w:vAlign w:val="bottom"/>
            <w:gridSpan w:val="3"/>
          </w:tcPr>
          <w:p>
            <w:pPr>
              <w:jc w:val="right"/>
              <w:ind w:right="130"/>
              <w:spacing w:after="0"/>
              <w:rPr>
                <w:sz w:val="20"/>
                <w:szCs w:val="20"/>
                <w:color w:val="auto"/>
              </w:rPr>
            </w:pPr>
            <w:r>
              <w:rPr>
                <w:rFonts w:ascii="Arial" w:cs="Arial" w:eastAsia="Arial" w:hAnsi="Arial"/>
                <w:sz w:val="18"/>
                <w:szCs w:val="18"/>
                <w:color w:val="auto"/>
              </w:rPr>
              <w:t>25.8% $</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169.5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Period-end inventory write-down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180"/>
              <w:spacing w:after="0" w:line="201" w:lineRule="exact"/>
              <w:rPr>
                <w:sz w:val="20"/>
                <w:szCs w:val="20"/>
                <w:color w:val="auto"/>
              </w:rPr>
            </w:pPr>
            <w:r>
              <w:rPr>
                <w:rFonts w:ascii="Arial" w:cs="Arial" w:eastAsia="Arial" w:hAnsi="Arial"/>
                <w:sz w:val="18"/>
                <w:szCs w:val="18"/>
                <w:color w:val="auto"/>
              </w:rPr>
              <w:t>Estimated effect of previous write-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60"/>
              <w:spacing w:after="0"/>
              <w:rPr>
                <w:sz w:val="20"/>
                <w:szCs w:val="20"/>
                <w:color w:val="auto"/>
              </w:rPr>
            </w:pPr>
            <w:r>
              <w:rPr>
                <w:rFonts w:ascii="Arial" w:cs="Arial" w:eastAsia="Arial" w:hAnsi="Arial"/>
                <w:sz w:val="18"/>
                <w:szCs w:val="18"/>
                <w:color w:val="auto"/>
              </w:rPr>
              <w:t>downs</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(138.9)</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(76.3)</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adjusted</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TECH Semiconductor Singapore Pte. Ltd. (“TECH”): </w:t>
      </w:r>
      <w:r>
        <w:rPr>
          <w:rFonts w:ascii="Arial" w:cs="Arial" w:eastAsia="Arial" w:hAnsi="Arial"/>
          <w:sz w:val="18"/>
          <w:szCs w:val="18"/>
          <w:color w:val="auto"/>
        </w:rPr>
        <w:t>Subject to specific terms and conditions, the Company has agreed to purchase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manufactured by its joint venture semiconductor memory manufacturing operation, TECH. TECH supplied approximately 30% of the total megabits of memory produced by the Company in the first quarter of 2004, fourth quarter of 2003 and first quarter of 2003. The Company generally purchases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support to TECH. All of these transactions with TECH are recognized as part of the net cost of products purchased from TECH.</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Depending on market conditions, the gross margin from the sale of TECH products may be higher or lower than the gross margin from the sale of products manufactured by the Company’s wholly-owned facilities. The Company realized higher gross margin percentages on sales of TECH products than for products manufactured by its wholly-owned facilities in the first quarter of 2004, fourth quarter of 2003 and first quarter of 2003. The Company expects gross margins on sales of TECH products in the second quarter of 2004 to be approximately the same as gross margins realized on products manufactured by the Company’s wholly-owned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Selling, general and administrative (“SG&amp;A”) expenses for the first quarter of 2004 were flat in comparison to the fourth quarter of 2003, as increased costs associated with the additional week in the first quarter of 2004 were offset by lower costs associated with outstanding legal matters. SG&amp;A expenses decreased 16% in the first quarter of 2004 as compared to the first quarter of 2003 primarily due to lower costs associated with outstanding legal matters. SG&amp;A expenses are expected to remain flat for the second quarter of 2004.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Research and development (“R&amp;D”) expenses vary primarily with the number of development wafers processed, the cost of advanced equipment dedicated to new product and process development, and personnel costs. The Company deems development of a product complete once the product has been thoroughly reviewed and tested for performance and reliability. Because of the lead times necessary to manufacture the Company’s products, the Company typically begins to process a significant volume of product before it is qualified. As a result, R&amp;D expenses can vary significantly depending on the timing of product qualification. Product development costs are recorded as R&amp;D expense.</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R&amp;D expenses for the first quarter of 2004 increased by 12% and 21% as compared to the fourth quarter and first quarter of 2003, respectively, primarily due to increases in the number of development wafers processed and the Company’s ramp of wafers processed on its 300 mm production line. The increase in development wafers during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41" w:right="259" w:bottom="0" w:gutter="0" w:footer="0" w:header="0"/>
        </w:sectPr>
      </w:pPr>
    </w:p>
    <w:bookmarkStart w:id="9" w:name="page10"/>
    <w:bookmarkEnd w:id="9"/>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jc w:val="both"/>
        <w:ind w:right="20"/>
        <w:spacing w:after="0" w:line="312" w:lineRule="auto"/>
        <w:rPr>
          <w:sz w:val="20"/>
          <w:szCs w:val="20"/>
          <w:color w:val="auto"/>
        </w:rPr>
      </w:pPr>
      <w:r>
        <w:rPr>
          <w:rFonts w:ascii="Arial" w:cs="Arial" w:eastAsia="Arial" w:hAnsi="Arial"/>
          <w:sz w:val="16"/>
          <w:szCs w:val="16"/>
          <w:color w:val="auto"/>
        </w:rPr>
        <w:t>the first quarter of 2004 was the result of a relatively large number of products nearing qualification during the quarter. R&amp;D expenses for the second quarter of 2004 are expected to decline slightly from the first quarter due to the qualification of many of these products. R&amp;D expenses from the Company’s 300 mm production line are expected to decrease after initial product qualification, which is expected to occur in the second quarter of 2004.</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Company’s process technology R&amp;D efforts are focused primarily on development of 95 nm and smaller line-width process technologies, which are designed to facilitate the Company’s transition to next generation products. Additional R&amp;D efforts include processes to support 300 mm wafer manufacturing, CMOS imagers, Flash memory products, and new memory manufacturing materials. Efforts toward the design and development of new products are concentrated on the Company’s 512 Meg and 1 Gig DDR, DDR2, GDDR3 and other DRAM products, including reduced latency DRAM (“RLDRAM”) and Cellular RAM, as well as Flash and CMOS imager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a result of the prolonged downturn in the semiconductor memory industry and the resulting operating losses, in the second quarter of 2003 the Company announced a plan to restructure its operations. The restructure plan included the shutdown of the Company’s 200 mm production line in Virginia, the discontinuance of certain memory products, including SRAM and TCAM products, and an approximate 10% reduction of the Company’s worldwide workforce. For the first quarter of 2004, the Company recorded a $21.1 million credit to restructure, primarily reflecting sales of equipment associated with operations shut down in the restructure. Higher equipment sales prices reflect improved market conditions across the semiconductor industry. The Company has substantially completed the restructure plan but expects to incur gains and losses in future periods as residual equipment associated with the restructure is sold.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 xml:space="preserve">Other operating expense for the first quarter of 2004 includes realized and unrealized </w:t>
      </w:r>
      <w:r>
        <w:rPr>
          <w:rFonts w:ascii="Arial" w:cs="Arial" w:eastAsia="Arial" w:hAnsi="Arial"/>
          <w:sz w:val="17"/>
          <w:szCs w:val="17"/>
          <w:color w:val="auto"/>
        </w:rPr>
        <w:t>losses from changes in currency exchange rates of $24.5 million</w:t>
      </w:r>
      <w:r>
        <w:rPr>
          <w:rFonts w:ascii="Arial" w:cs="Arial" w:eastAsia="Arial" w:hAnsi="Arial"/>
          <w:sz w:val="18"/>
          <w:szCs w:val="18"/>
          <w:color w:val="auto"/>
        </w:rPr>
        <w:t xml:space="preserve"> </w:t>
      </w:r>
      <w:r>
        <w:rPr>
          <w:rFonts w:ascii="Arial" w:cs="Arial" w:eastAsia="Arial" w:hAnsi="Arial"/>
          <w:sz w:val="17"/>
          <w:szCs w:val="17"/>
          <w:color w:val="auto"/>
        </w:rPr>
        <w:t>primarily as the result of a generally weaker U.S. dollar relative to the Japanese yen and euro. To the extent the U.S. dollar continues to weaken against the Japanese yen and euro, the Company would incur additional foreign currency exchange losses in future periods. Other operating expense for the fourth quarter of 2003 includes losses net of gains on write-downs and disposals of semiconductor equipment of $22.3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Company’s liquidity is highly dependent on average selling prices for its semiconductor memory products, which can vary significantly from period to period. As of December 4, 2003, the Company had cash and marketable investments totaling $1,172.0 million, compared to $921.8 million as of August 28, 2003.</w:t>
      </w:r>
    </w:p>
    <w:p>
      <w:pPr>
        <w:spacing w:after="0" w:line="177"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For the first quarter of 2004, net cash flow from operating activities was $255.2 million. Cash generated from operations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quarter of 2004 is primarily a result of the Company’s net income that includes $312.5 million of non-cash depreciation and amortization expense. Working capital uses of cash includes an $81.2 million increase in accounts receivable resulting from the 25% increase in sales during the first quarter of 2004. Depreciation and amortization expense is expected to remain flat for the second quarter of 2004.</w:t>
      </w:r>
    </w:p>
    <w:p>
      <w:pPr>
        <w:spacing w:after="0" w:line="16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For the first quarter of 2004, expenditures for property, plant and equipment were $260.6 million. The Company believes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expects 2004 capital spending to be between $1.3 billion and $1.6 billion. Capital spending estimates include expenditures for ongoing equipment upgrades and expenditures. As of December 4, 2003, the Company had commitments extending into 2005 of approximately $300 million for the acquisition of property, plant and equipment.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In the first quarter of 2004, the Company received $450.0 million from Intel Corporation (“Intel”) in exchange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stock rights exchangeable into approximately 33.9 million shares of the Company’s common stock. In conjunction with the issuance of the stock rights, the Company agreed to achieve operational objectives through May 2005, including certain levels of DDR2 production and 300 mm wafer processing capacity and dedication of resources to advanced product development. In the event the Company fails to achieve certain 2005 milestones and the Company’s common stock price is then below Intel’s per share purchase price of $13.29, the Company could be obligated to pay Intel amounts not to exceed $135 million, a substantial portion of which is payable, at the Company’s election, in the Company’s common stock.</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Payments on equipment purchase contracts and debt were $137.7 million in the first quarter of 2004. Also in the first quarter of 2004, the Company paid $67.5 million to Toshiba Corporation to redeem the 1.5 million shares of common stock issued in connection with the acquisition of the Company’s Virginia facility from Toshiba.</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the second quarter of 2003, the Company issued $632.5 million of 2.5% Convertible Subordinated Notes (the “Notes”). Holders of the Notes may convert all or some of their Notes at any time prior to maturity, unless previously redeemed or repurchased, into the Company’s common stock at a conversion rate of 84.8320 shares for each $1,000 principal amount of Notes. This conversion rate is equivalent to a conversion price of approximately $11.79 per share. The Company may redeem the notes at any time after February 6, 2006, at declining premiums to par.</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the expiration date, would result in the Company receiving an amount ranging from zero if the market price per share of the Company’s common stock is at or below $11.79 to a maximum of $343.4 million if the market price per share of the Company’s common stock is at or above $18.19.</w:t>
      </w:r>
    </w:p>
    <w:p>
      <w:pPr>
        <w:spacing w:after="0" w:line="19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from time to time, issue registered or unregistered securities to raise capital to fund a portion of its operations.</w:t>
      </w:r>
    </w:p>
    <w:p>
      <w:pPr>
        <w:sectPr>
          <w:pgSz w:w="11900" w:h="16902" w:orient="portrait"/>
          <w:cols w:equalWidth="0" w:num="1">
            <w:col w:w="11420"/>
          </w:cols>
          <w:pgMar w:left="240" w:top="679" w:right="239" w:bottom="0" w:gutter="0" w:footer="0" w:header="0"/>
        </w:sectPr>
      </w:pPr>
    </w:p>
    <w:bookmarkStart w:id="10" w:name="page11"/>
    <w:bookmarkEnd w:id="10"/>
    <w:p>
      <w:pPr>
        <w:spacing w:after="0" w:line="12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has pledged $100 million as cash collateral for TECH’s $250 million credit facility. In the event the cash collateral is used to discharge obligations of TECH that are unpaid and due under the TECH credit facility, certain shareholders of TECH have agreed to indemnify the Company for approximately one-half of the amount of the cash collateral used to satisfy such obligations.</w:t>
      </w:r>
    </w:p>
    <w:p>
      <w:pPr>
        <w:spacing w:after="0" w:line="18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of December 4, 2003, maturities of notes payable, future minimum lease payments under capital leases and minimum commitments under operating leases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gridSpan w:val="3"/>
          </w:tcPr>
          <w:p>
            <w:pPr>
              <w:ind w:left="1720"/>
              <w:spacing w:after="0"/>
              <w:rPr>
                <w:sz w:val="20"/>
                <w:szCs w:val="20"/>
                <w:color w:val="auto"/>
              </w:rPr>
            </w:pPr>
            <w:r>
              <w:rPr>
                <w:rFonts w:ascii="Arial" w:cs="Arial" w:eastAsia="Arial" w:hAnsi="Arial"/>
                <w:sz w:val="14"/>
                <w:szCs w:val="14"/>
                <w:b w:val="1"/>
                <w:bCs w:val="1"/>
                <w:color w:val="auto"/>
              </w:rPr>
              <w:t>Fiscal year</w:t>
            </w:r>
          </w:p>
        </w:tc>
        <w:tc>
          <w:tcPr>
            <w:tcW w:w="1860" w:type="dxa"/>
            <w:vAlign w:val="bottom"/>
            <w:gridSpan w:val="2"/>
          </w:tcPr>
          <w:p>
            <w:pPr>
              <w:ind w:left="680"/>
              <w:spacing w:after="0"/>
              <w:rPr>
                <w:sz w:val="20"/>
                <w:szCs w:val="20"/>
                <w:color w:val="auto"/>
              </w:rPr>
            </w:pPr>
            <w:r>
              <w:rPr>
                <w:rFonts w:ascii="Arial" w:cs="Arial" w:eastAsia="Arial" w:hAnsi="Arial"/>
                <w:sz w:val="14"/>
                <w:szCs w:val="14"/>
                <w:b w:val="1"/>
                <w:bCs w:val="1"/>
                <w:color w:val="auto"/>
              </w:rPr>
              <w:t>Notes</w:t>
            </w:r>
          </w:p>
        </w:tc>
        <w:tc>
          <w:tcPr>
            <w:tcW w:w="1820" w:type="dxa"/>
            <w:vAlign w:val="bottom"/>
            <w:gridSpan w:val="2"/>
          </w:tcPr>
          <w:p>
            <w:pPr>
              <w:ind w:left="420"/>
              <w:spacing w:after="0"/>
              <w:rPr>
                <w:sz w:val="20"/>
                <w:szCs w:val="20"/>
                <w:color w:val="auto"/>
              </w:rPr>
            </w:pPr>
            <w:r>
              <w:rPr>
                <w:rFonts w:ascii="Arial" w:cs="Arial" w:eastAsia="Arial" w:hAnsi="Arial"/>
                <w:sz w:val="14"/>
                <w:szCs w:val="14"/>
                <w:b w:val="1"/>
                <w:bCs w:val="1"/>
                <w:color w:val="auto"/>
              </w:rPr>
              <w:t>Capital leases</w:t>
            </w:r>
          </w:p>
        </w:tc>
        <w:tc>
          <w:tcPr>
            <w:tcW w:w="1740" w:type="dxa"/>
            <w:vAlign w:val="bottom"/>
          </w:tcPr>
          <w:p>
            <w:pPr>
              <w:jc w:val="right"/>
              <w:ind w:right="313"/>
              <w:spacing w:after="0"/>
              <w:rPr>
                <w:sz w:val="20"/>
                <w:szCs w:val="20"/>
                <w:color w:val="auto"/>
              </w:rPr>
            </w:pPr>
            <w:r>
              <w:rPr>
                <w:rFonts w:ascii="Arial" w:cs="Arial" w:eastAsia="Arial" w:hAnsi="Arial"/>
                <w:sz w:val="14"/>
                <w:szCs w:val="14"/>
                <w:b w:val="1"/>
                <w:bCs w:val="1"/>
                <w:color w:val="auto"/>
              </w:rPr>
              <w:t>Operating leases</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34.3</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18.7</w:t>
            </w:r>
          </w:p>
        </w:tc>
        <w:tc>
          <w:tcPr>
            <w:tcW w:w="1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7.5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740" w:type="dxa"/>
            <w:vAlign w:val="bottom"/>
          </w:tcPr>
          <w:p>
            <w:pPr>
              <w:jc w:val="right"/>
              <w:spacing w:after="0"/>
              <w:rPr>
                <w:sz w:val="20"/>
                <w:szCs w:val="20"/>
                <w:color w:val="auto"/>
              </w:rPr>
            </w:pPr>
            <w:r>
              <w:rPr>
                <w:rFonts w:ascii="Arial" w:cs="Arial" w:eastAsia="Arial" w:hAnsi="Arial"/>
                <w:sz w:val="18"/>
                <w:szCs w:val="18"/>
                <w:color w:val="auto"/>
              </w:rPr>
              <w:t>14.4</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247.5</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1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740" w:type="dxa"/>
            <w:vAlign w:val="bottom"/>
          </w:tcPr>
          <w:p>
            <w:pPr>
              <w:jc w:val="right"/>
              <w:spacing w:after="0"/>
              <w:rPr>
                <w:sz w:val="20"/>
                <w:szCs w:val="20"/>
                <w:color w:val="auto"/>
              </w:rPr>
            </w:pPr>
            <w:r>
              <w:rPr>
                <w:rFonts w:ascii="Arial" w:cs="Arial" w:eastAsia="Arial" w:hAnsi="Arial"/>
                <w:sz w:val="18"/>
                <w:szCs w:val="18"/>
                <w:color w:val="auto"/>
              </w:rPr>
              <w:t>3.5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2009 and thereafter</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648.6</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26.7</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72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January 2003, the Financial Accounting Standards Board (“FASB”) issued Interpretation No. 46, “Consolidation of Variable Interest Entities – an interpretation of ARB No. 51,” which provides guidance on the identification of and reporting for variable interest entities. In December 2003, the FASB issued a revised Interpretation No. 46, which expands the criteria for consideration in determining whether a variable interest entity should be consolidated. Interpretation No. 46 is effective for the Company in the third quarter of 2004. The Company does not expect the adoption of Interpretation No. 46 to have a significant impact on its future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various loss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0"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Realizability of deferred tax assets is dependent on the Company’s ability to generate future taxable income.</w:t>
      </w:r>
    </w:p>
    <w:p>
      <w:pPr>
        <w:spacing w:after="0" w:line="18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 For example, a 5% variance in the estimated selling prices would have changed the estimated fair value of the Company’s inventory by approximately $35 million at the end of the first quarter of 2004.</w:t>
      </w:r>
    </w:p>
    <w:p>
      <w:pPr>
        <w:spacing w:after="0" w:line="16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U.S. GAAP provides for products to be grouped into categories in order to compare costs to market values. The amount of any inventory write-down can vary significantly depending on the determination of inventory categories. The Company’s inventory has been categorized as semiconductor memory or CMOS imagers. The major characteristics the Company considers in determining inventory categories are product type and markets.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65" w:lineRule="exact"/>
        <w:rPr>
          <w:sz w:val="20"/>
          <w:szCs w:val="20"/>
          <w:color w:val="auto"/>
        </w:rPr>
      </w:pPr>
    </w:p>
    <w:p>
      <w:pPr>
        <w:ind w:right="300" w:firstLine="648"/>
        <w:spacing w:after="0" w:line="314"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The Company reviews for impairment the carrying value of property, plant and equipment when events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w:t>
      </w:r>
    </w:p>
    <w:p>
      <w:pPr>
        <w:sectPr>
          <w:pgSz w:w="11900" w:h="16966" w:orient="portrait"/>
          <w:cols w:equalWidth="0" w:num="1">
            <w:col w:w="11440"/>
          </w:cols>
          <w:pgMar w:left="240" w:top="341" w:right="219" w:bottom="0" w:gutter="0" w:footer="0" w:header="0"/>
        </w:sectPr>
      </w:pPr>
    </w:p>
    <w:bookmarkStart w:id="11" w:name="page12"/>
    <w:bookmarkEnd w:id="11"/>
    <w:p>
      <w:pPr>
        <w:ind w:right="20"/>
        <w:spacing w:after="0" w:line="259" w:lineRule="auto"/>
        <w:rPr>
          <w:sz w:val="20"/>
          <w:szCs w:val="20"/>
          <w:color w:val="auto"/>
        </w:rPr>
      </w:pPr>
      <w:r>
        <w:rPr>
          <w:rFonts w:ascii="Arial" w:cs="Arial" w:eastAsia="Arial" w:hAnsi="Arial"/>
          <w:sz w:val="18"/>
          <w:szCs w:val="18"/>
          <w:color w:val="auto"/>
        </w:rPr>
        <w:t>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8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Costs related to the conceptual formulation and design of products and processes are expensed as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when incurred. Determining 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 looking statements made by or on behalf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experienced dramatic declines in average selling prices for our memory products which have adversely affected our business.</w:t>
      </w:r>
    </w:p>
    <w:p>
      <w:pPr>
        <w:spacing w:after="0" w:line="24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six of the last seven fiscal years, we experienced annual decreases in per megabit average selling prices for our semiconductor memory products as follows: 17% in 2003, 53% in 2002, 60% in 2001, 37% in 1999, 60% in 1998 and 75% in 1997. At times average selling prices for our semiconductor products have been below our costs. If average selling prices for our memory products decrease faster than we can decrease per megabit costs, our business, results of operations or financial condition could be materially adversely affected.</w:t>
      </w:r>
    </w:p>
    <w:p>
      <w:pPr>
        <w:spacing w:after="0" w:line="18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Increased worldwide DRAM production or lack of demand for semiconductor products could lead to further declines in average selling prices for DRAM.</w:t>
      </w:r>
    </w:p>
    <w:p>
      <w:pPr>
        <w:spacing w:after="0" w:line="16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transition to smaller line-width process technologies and 300 mm wafers in the industry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Some of our competitors may receive government support to withstand downturns in the semiconductor memory market and to invest in technology resulting in higher levels of worldwide supply than would otherwise exist. Increases in worldwide supply of DRAM, if not offset by increases in demand, could lead to further declines in average selling prices for our products and could materially adversely affect our business, results of operations or financial condition.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If the growth rate of either computers sold or the amount of semiconductor memory included in each computer decreases, sales of our semiconductor products could decrease.</w:t>
      </w:r>
    </w:p>
    <w:p>
      <w:pPr>
        <w:spacing w:after="0" w:line="16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are dependent on the computing market as most of the semiconductor products we sell are used in computers, servers or peripheral products. Approximately 80% of our sales of semiconductor products for the first quarter of 2004 was to the computing market. DRAMs are the most widely used semiconductor components in computers. In recent years, the growth rate of computers sold has slowed or declined. If we experience a sustained reduction in the growth rate of either computers sold or the average amount of semiconductor memory included in each computer, sales of our semiconductor products could decrease, and our business, results of operations or financial condition could be materially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cash flows from operations depend primarily on the volume of semiconductor memory sold, average selling prices and per megabit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In addition to cash provided by operations, we have from time to time utilized external sources of financing. Depending on general market and economic conditions or other factors, we may not be able to generate sufficient cash flows to fund our operations and make adequate capital investments or access capital markets for funds on acceptable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face intense competition from a number of companies, including Elpida Memory, Inc., Hynix Semiconductor, Inc., Infineon Technologies AG and Samsung Electronics, Inc. Some of these competitors are large corporations or conglomerates that may have greater resources to withstand downturns in the semiconductor markets in which we compete, invest in technology and capitalize on growth opportunities. These competitors seek to increase silicon capacity, improve yields, reduce die size and minimize mask levels in their product designs. These factors have significantly increased worldwide supply and put downward pressure on prices.</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Historically, various governments have provided economic assistance to international competitors, which has enabled, or artificially supported, competitors’ production of semiconductor memory, particularly DRAM. This factor is expected to lead to a continued increase in the supply of DRAM and other semiconductor products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reduce per megabit manufacturing costs at the same rate as we have in the past.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Historically, we have decreased per megabit manufacturing costs through improvements in our manufacturing processes, including reducing the die size of our existing products. In future periods, we may be unable to maintain our per megabit manufacturing costs or reduce costs at historical rates. Our ability to maintain or reduce per megabit manufacturing costs in future periods may be affected by:</w:t>
      </w:r>
    </w:p>
    <w:p>
      <w:pPr>
        <w:spacing w:after="0" w:line="208" w:lineRule="exact"/>
        <w:rPr>
          <w:sz w:val="20"/>
          <w:szCs w:val="20"/>
          <w:color w:val="auto"/>
        </w:rPr>
      </w:pPr>
    </w:p>
    <w:p>
      <w:pPr>
        <w:ind w:left="1300" w:right="460" w:hanging="320"/>
        <w:spacing w:after="0" w:line="232" w:lineRule="auto"/>
        <w:tabs>
          <w:tab w:leader="none" w:pos="1294"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successfully implement product and process technology upgrades, specifically our ongoing transition to 110 nm process technologies and future transitions to 95 nm and smaller line-width process technologies,</w:t>
      </w:r>
    </w:p>
    <w:p>
      <w:pPr>
        <w:sectPr>
          <w:pgSz w:w="11900" w:h="16838" w:orient="portrait"/>
          <w:cols w:equalWidth="0" w:num="1">
            <w:col w:w="11380"/>
          </w:cols>
          <w:pgMar w:left="240" w:top="125" w:right="279" w:bottom="132" w:gutter="0" w:footer="0" w:header="0"/>
        </w:sectPr>
      </w:pPr>
    </w:p>
    <w:bookmarkStart w:id="12" w:name="page13"/>
    <w:bookmarkEnd w:id="12"/>
    <w:p>
      <w:pPr>
        <w:spacing w:after="0" w:line="19" w:lineRule="exact"/>
        <w:rPr>
          <w:sz w:val="20"/>
          <w:szCs w:val="20"/>
          <w:color w:val="auto"/>
        </w:rPr>
      </w:pPr>
    </w:p>
    <w:p>
      <w:pPr>
        <w:ind w:left="1300" w:hanging="320"/>
        <w:spacing w:after="0" w:line="232" w:lineRule="auto"/>
        <w:tabs>
          <w:tab w:leader="none" w:pos="1294"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manufacturing wafer output or yields, which may decrease as we implement more complex technologies, including our transition to 300 mm wafer processing, and</w:t>
      </w:r>
    </w:p>
    <w:p>
      <w:pPr>
        <w:spacing w:after="0" w:line="208"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ramp the latest reduced die size versions of existing devices or new generation devices.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Depressed pricing for semiconductor memory products may lead to future losses and inventory write-downs.</w:t>
      </w:r>
    </w:p>
    <w:p>
      <w:pPr>
        <w:spacing w:after="0" w:line="229"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We recorded inventory write-downs aggregating $307.0 million in 2003, $376.1 million in 2002 and $726.9 million in 2001 as a result of the significant decreases in average selling prices for our semiconductor memory products. If average selling prices are below our costs in future periods, we would expect to incur losses on product sales and our business, results of operations or financial condition could be materially adversely affected. If the estimated market values of products held in finished goods and work in process inventories at a quarter end date are below the manufacturing cost of these products, we recognize charges to cost of goods sold to write down the carrying value of our inventories to market value.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any one of our major computing customers significantly reduces its purchases of DRAM from us, our business, results of operations or financial condition could be materially adversely affected.</w:t>
      </w:r>
    </w:p>
    <w:p>
      <w:pPr>
        <w:spacing w:after="0" w:line="166"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Aggregate sales to two of our computing customers approximated 33% of our net sales for the first quarter of 2004. If any one of our major computing customers significantly reduces its purchases of DRAM from us, our business, results of operations or financial condition could be materially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Company’s financial statements are prepared in accordance with U.S. GAAP and are reported in U.S. dollars. Across the Company’s multi-national operations there are transactions and balances denominated in other currencies, primarily the Japanese yen and euro. In the event that the U.S. dollar weakens significantly compared to the Japanese yen or euro, reported results of operations or financial condition will be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business, results of operations or financial condition could be materially adversely affected. If, for any reason, we are unable to access the capital markets over an extended period of time, we may be unable to make property, plant and equipment expenditures, implement our research and development efforts or fund our operations, which could materially adversely affect our business, results of operations or financial condition.</w:t>
      </w:r>
    </w:p>
    <w:p>
      <w:pPr>
        <w:spacing w:after="0" w:line="18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business, results of operations or financial condition could be materially adversely affected.</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TECH supplied approximately 30% of our total megabits of memory produced in the first quarter of 2004. We have agreements to purchase all of the products manufactured by TECH subject to specific terms and conditions. Any reduction in supply could materially adversely affect our business, results of operations or financial condition. We have pledged $100 million as cash collateral for TECH’s credit facility. In the event the cash collateral is used to discharge obligations of TECH that are unpaid and due under the TECH credit facility, certain shareholders of TECH have agreed to indemnify us for approximately one-half of the amount of the cash collateral used to satisfy such obligations. As of December 4, 2003, we had remaining unamortized costs of $70.7 million in intangible assets relating to the supply 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88" w:lineRule="exact"/>
        <w:rPr>
          <w:sz w:val="20"/>
          <w:szCs w:val="20"/>
          <w:color w:val="auto"/>
        </w:rPr>
      </w:pPr>
    </w:p>
    <w:p>
      <w:pPr>
        <w:ind w:right="220"/>
        <w:spacing w:after="0" w:line="313" w:lineRule="auto"/>
        <w:rPr>
          <w:sz w:val="20"/>
          <w:szCs w:val="20"/>
          <w:color w:val="auto"/>
        </w:rPr>
      </w:pPr>
      <w:r>
        <w:rPr>
          <w:rFonts w:ascii="Arial" w:cs="Arial" w:eastAsia="Arial" w:hAnsi="Arial"/>
          <w:sz w:val="17"/>
          <w:szCs w:val="17"/>
          <w:b w:val="1"/>
          <w:bCs w:val="1"/>
          <w:color w:val="auto"/>
        </w:rPr>
        <w:t>If we are unable to respond to customer demand for diversified semiconductor memory products or are unable to do so in a cost-effective manner, we may lose market share and our business, results of operations or financial condition could be materially adversely affected.</w:t>
      </w:r>
    </w:p>
    <w:p>
      <w:pPr>
        <w:spacing w:after="0" w:line="14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recent periods, the semiconductor memory market has become increasingly segmented, with diverse memory needs being driven by the different requirements of desktop and notebook computers, servers, workstations, handheld devices, and communications, industrial and other applications that demand specific memory solutions. We currently offer customers a variety of products, including DDR, SDRAM, Flash and CMOS image sensors. In addition, we are designing and developing other semiconductor products, including DDR2, GDDR3, reduced latency DRAM, CellularRAM and CMOS image sensors.</w:t>
      </w:r>
    </w:p>
    <w:p>
      <w:pPr>
        <w:spacing w:after="0" w:line="188"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business, results of operations or financial condition could be materially adversely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processes infringe their product or process technology rights. We are currently engaged in litigation with Rambus, Inc. (“Rambus”) relating to certain of Rambus’ patents and certain of our claims and defenses. On August 28, 2000, we filed a declaratory judgment action against Rambus, Inc.</w:t>
      </w:r>
    </w:p>
    <w:p>
      <w:pPr>
        <w:sectPr>
          <w:pgSz w:w="11900" w:h="16858" w:orient="portrait"/>
          <w:cols w:equalWidth="0" w:num="1">
            <w:col w:w="11400"/>
          </w:cols>
          <w:pgMar w:left="240" w:top="152" w:right="259" w:bottom="0" w:gutter="0" w:footer="0" w:header="0"/>
        </w:sectPr>
      </w:pPr>
    </w:p>
    <w:bookmarkStart w:id="13" w:name="page14"/>
    <w:bookmarkEnd w:id="13"/>
    <w:p>
      <w:pPr>
        <w:spacing w:after="0" w:line="284" w:lineRule="auto"/>
        <w:rPr>
          <w:sz w:val="20"/>
          <w:szCs w:val="20"/>
          <w:color w:val="auto"/>
        </w:rPr>
      </w:pPr>
      <w:r>
        <w:rPr>
          <w:rFonts w:ascii="Arial" w:cs="Arial" w:eastAsia="Arial" w:hAnsi="Arial"/>
          <w:sz w:val="16"/>
          <w:szCs w:val="16"/>
          <w:color w:val="auto"/>
        </w:rPr>
        <w:t>(“Rambus”) in U.S. District Court for the District of Delaware. On February 1, 2001, we amended our complaint. Pursuant to our amended complaint, we are seeking: (1) relief under the federal antitrust laws for violations by Rambus of Section 2 of the Sherman Act; (2) a declaratory judgment (a) that certain Rambus patents are not infringed by us, are invalid, and/or are unenforceable due to, among other reasons, Rambus’ fraudulent conduct in misusing and enforcing those patents, (b) that we have an implied license to those patents and (c) that Rambus is estopped from enforcing those patents against us because of its conduct in the Joint Electron Device Engineering Council, a standard-setting organization; and (3) damages and declaratory relief for Rambus’ breach of contract, fraud, deceptive trade practices, negligent misrepresentation, and conduct requiring the application of equitable estoppel. On February 15, 2001, Rambus filed an answer and counterclaim against us in Delaware denying we are entitled to relief, alleging infringement of the eight Rambus patents named in our declaratory judgment claim, and seeking monetary damages and injunctive relief. A number of other suits between Rambus and us have been filed in Europe. On September 1, 2000, Rambus filed suit against Micron Semiconductor (Deutschland)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us and Reptronic (a distributor of our products) in Court of First Instance of Paris, France, alleging that certain SDRAM and DDR SDRAM products infringe the French counterpart to European patent 525 068. On September 29, 2000, we filed suit against Rambus in the Civil Court of Milan, Italy, alleging invalidity and non-infringement of the Italian counterpart to European patent 525 068. On September 29, 2000, Rambus filed a preliminary proceeding against us and EBV (a distributor of our products) in the Civil Court of Monza, Italy, alleging that certain SDRAM products infringe the Italian counterpart to European patent 525 068, and seeking the seizure of certain materials and the entry of a preliminary injunction as to products manufactured at our Avezzano, Italy, site. On December 21, 2000, an appeals panel of the Court of Monza held that the Monza trial court had no jurisdiction to adjudicate the seizure matter. The Monza trial court ordered that technical review proceedings continue with respect to the issue of preliminary injunction. On May 24, 2001, the trial court rejected Rambus’ assertions of infringement and denied its request for a preliminary injunction. Rambus’ appeal from the trial judge’s ruling was rejected by the Monza appeals panel on July 18, 2001. On December 29, 2000, we filed suit against Rambus in the Civil Court of Avezzano, Italy, alleging invalidity and non-infringement of the Italian counterpart to European patent 1 004 956. On August 10, 2001, Rambus filed suit against us and Assitec (an electronics retailer) in the Civil Court of Pavia, Italy, alleging that certain DDR SDRAM products infringe the Italian counterpart to European patent 1 022 642. In its various European suits against us, Rambus is seeking monetary damages and injunctive relief. We are unable to predict the outcome of these suits. A court determination that our manufacturing processes or products infringe the product or process rights of others could result in significant liability and/or require us to make material changes to its products and/or manufacturing processes. Any of the foregoing results could have a material adverse effect on our business, results of operations or financial condition.</w:t>
      </w:r>
    </w:p>
    <w:p>
      <w:pPr>
        <w:spacing w:after="0" w:line="39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practices.</w:t>
      </w:r>
    </w:p>
    <w:p>
      <w:pPr>
        <w:spacing w:after="0" w:line="22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Subsequent to the commencement of the DOJ investigation, a number of purported class action lawsuits were filed against us and other DRAM suppliers. Sixteen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cases were filed between June 21, 2002, and September 19, 2002, in the following federal district courts: one in the Southern District of New York, five in the District of Idaho and ten in the Northern District of California. Each of the federal district court cases purports to be on behalf of a class of individuals and entities who purchased DRAM directly from the various DRAM suppliers during a specified time period commencing on or after October 1, 2001. The complaints allege price-fixing in violation of the Sherman Act and seek treble monetary damages, costs, attorneys’ fees, and an injunction against the allegedly unlawful conduct. The foregoing federal district court cases were transferred to the U.S. District Court for the Northern District of California (San Francisco) for consolidated proceedings. On October 6, 2003, the plaintiffs filed a consolidated amended class action complaint. The consolidated amended complaint purports to be on behalf of a class of individuals and entities who purchased DRAM directly from the various DRAM suppliers during the period from approximately November 1, 2001 through at least June 30, 2002. The consolidated amended complaint alleges price-fixing in violation of the Sherman Act and seeks treble monetary damages, costs, attorneys’ fees, and an injunction against the allegedly unlawful conduct. Eight additional cases were filed between August 2, 2002, and March 11, 2003, in the following California state superior courts: five in San Francisco County, one in Santa Clara County, one in Los Angeles County and one in Humboldt County. Each of the California state cases purports to be on behalf of a class of individuals and entities who indirectly purchased DRAM during a specified time period commencing December 1, 2001. The complaints allege violations of California’s Cartwright Act and state unfair competition law and unjust enrichment and seek treble monetary damages, restitution, costs, attorneys’ fees, and an injunction against the allegedly unlawful conduct.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 2002. The consolidated amended complaint alleges violations of California’s Cartwright Act and state unfair competition law and unjust enrichment and seeks treble monetary damages, costs, attorneys’ fees, and an injunction against the allegedly unlawful conduct. We are unable to predict the outcome of these suits. Based upon our analysis of the claims made and the nature of the DRAM industry, we believe that class treatment of these cases is not appropriate and that any purported injury alleged by plaintiffs would be more appropriately resolved on a customer-by-customer basis. We can give no assurance that the final resolution will not result in significant liability and will not have a material adverse effect on our business, results of operations or financial condition.</w:t>
      </w:r>
    </w:p>
    <w:p>
      <w:pPr>
        <w:spacing w:after="0" w:line="18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we are unable to successfully transition our operations to 300 mm wafer processing at the appropriate time, our business, results of operations or financial condition could be materially adversely affected.</w:t>
      </w:r>
    </w:p>
    <w:p>
      <w:pPr>
        <w:spacing w:after="0" w:line="1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ultimately resulting in substantially reduced costs for each die. Our transition to 300 mm wafer processing across a significant portion of our operations will require us to make substantial capital investments, which will depend on our ability to generate funds from operations or to obtain additional funds from external sources. We may also experience disruptions in manufacturing operations and reduced yields during our transition to larger wafer sizes. If we are unable to successfully transition to 300 mm wafer processing at the appropriate time, we could be at a cost disadvantage with respect to our competitors and our business, results of operations or financial condition could be materially adversely affected.</w:t>
      </w:r>
    </w:p>
    <w:p>
      <w:pPr>
        <w:sectPr>
          <w:pgSz w:w="11900" w:h="16838" w:orient="portrait"/>
          <w:cols w:equalWidth="0" w:num="1">
            <w:col w:w="11400"/>
          </w:cols>
          <w:pgMar w:left="240" w:top="125" w:right="25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Sales to customers outside the United States approximated 57% of our consolidated net sales for the first quarter of 2004. In addition, we have manufacturing operations in Italy, Japan, Puerto Rico, Scotland and Singapore. Our international sales and operations are subject to a variety of risks, including:</w:t>
      </w:r>
    </w:p>
    <w:p>
      <w:pPr>
        <w:spacing w:after="0" w:line="197"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21"/>
          <w:szCs w:val="21"/>
          <w:color w:val="auto"/>
        </w:rPr>
      </w:pPr>
      <w:r>
        <w:rPr>
          <w:rFonts w:ascii="Arial" w:cs="Arial" w:eastAsia="Arial" w:hAnsi="Arial"/>
          <w:sz w:val="17"/>
          <w:szCs w:val="17"/>
          <w:color w:val="auto"/>
        </w:rPr>
        <w:t>currency exchange rate fluctuations, export duties, changes to import and export regulations, and restrictions on the transfer of funds,</w:t>
      </w:r>
    </w:p>
    <w:p>
      <w:pPr>
        <w:spacing w:after="0" w:line="206" w:lineRule="exact"/>
        <w:rPr>
          <w:rFonts w:ascii="Arial" w:cs="Arial" w:eastAsia="Arial" w:hAnsi="Arial"/>
          <w:sz w:val="21"/>
          <w:szCs w:val="21"/>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political and economic instability,</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problems with the transportation or delivery of our products,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issues arising from cultural or language differences and labor unrest,</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longer payment cycles and greater difficulty in collecting accounts receivable, and</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compliance with trade and other laws in a variety of jurisdictions.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From time to time, we have experienced minor disruptions in our manufacturing process as a result of power outages.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any transportation problems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achieve certain milestones, we could be obligated to pay Intel Corporation amounts up to $135 million.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conjunction with the issuance of stock rights to Intel in September 2003, we agreed to achieve operational objectives through May 2005, including certain levels of DDR2 production and 300 mm wafer processing capacity, and dedication of resources to advanced product development. If we fail to achieve certain 2005 milestones and our common stock price is then below Intel’s purchase price of $13.29, we could be obligated to pay Intel amounts up to $135 million, a substantial portion of which is payable, at our election, in our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spacing w:after="0" w:line="386"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9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214"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9"/>
          <w:szCs w:val="19"/>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18" w:lineRule="exact"/>
        <w:rPr>
          <w:rFonts w:ascii="Arial" w:cs="Arial" w:eastAsia="Arial" w:hAnsi="Arial"/>
          <w:sz w:val="19"/>
          <w:szCs w:val="19"/>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may encounter adverse publicity, which could cause a decrease in sales of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ectPr>
          <w:pgSz w:w="11900" w:h="16838" w:orient="portrait"/>
          <w:cols w:equalWidth="0" w:num="1">
            <w:col w:w="11420"/>
          </w:cols>
          <w:pgMar w:left="240" w:top="121" w:right="239" w:bottom="0" w:gutter="0" w:footer="0" w:header="0"/>
        </w:sectPr>
      </w:pPr>
    </w:p>
    <w:bookmarkStart w:id="15" w:name="page16"/>
    <w:bookmarkEnd w:id="15"/>
    <w:p>
      <w:pPr>
        <w:ind w:right="580" w:firstLine="648"/>
        <w:spacing w:after="0" w:line="277" w:lineRule="auto"/>
        <w:rPr>
          <w:sz w:val="20"/>
          <w:szCs w:val="20"/>
          <w:color w:val="auto"/>
        </w:rPr>
      </w:pPr>
      <w:r>
        <w:rPr>
          <w:rFonts w:ascii="Arial" w:cs="Arial" w:eastAsia="Arial" w:hAnsi="Arial"/>
          <w:sz w:val="18"/>
          <w:szCs w:val="18"/>
          <w:color w:val="auto"/>
        </w:rPr>
        <w:t>We expect to make future acquisitions where we believe it is advisable to enhance our market position. Acquisitions involve numerous risks, including:</w:t>
      </w:r>
    </w:p>
    <w:p>
      <w:pPr>
        <w:spacing w:after="0" w:line="175"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increasing our exposure to changes in average selling prices for semiconductor memory products,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difficulties in integrating the operations, technologies and products of the acquired companies,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increasing capital expenditures to upgrade and maintain facilities,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increasing debt to finance any acquisition,</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diverting management’s attention from normal daily operations,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managing larger operations and facilities and employees in separate geographic areas, and</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hiring and retaining key employees.</w:t>
      </w:r>
    </w:p>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Substantially all of the Company’s investments are at fixed interest rates; therefore, the fair value of these instruments is affected by changes in market interest rates. The Company believes that the market risk arising from its holdings of investments is minimal as the Company’s investments generally mature within one year.</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All of the Company’s debt is at fixed interest rates; therefore, the fair value of the debt fluctuates based on changes in market interest rates. The estimated fair market value of the Company’s debt as of December 4, 2004 and August 28, 2003, approximated $1.2 billion and $1.3 billion, respectively. The Company entered into an interest rate swap agreement (the “Swap”) that effectively converted, beginning August 29, 2003, the 2.5% fixed interest rate on the Company’s $632.5 million Convertible Subordinated Notes (the “Notes”) to a variable interest rate based on the 3-month London Interbank Offering Rate (“LIBOR”) less 65 basis points. The Swap qualifies as a fair-value hedge under SFAS No. 133, “Accounting for Derivative Instruments and Hedging Activities.” The gain or loss from changes in the fair value of the Swap is expected to be highly effective at offsetting the gain or loss from changes in the fair value of the Notes attributable to changes in interest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functional currency for substantially all of the Company’s operations is the U.S. dollar. The Company held aggregate cash and other assets in foreign currency valued at U.S. $200.6 million as of December 4, 2003, and U.S. $203.1 million as of August 28, 2003 (including deferred income tax assets denominated in Japanese yen valued at U.S. $100.7 million as of December 4, 2003, and U.S. $105.4 million as of August 28, 2003). The Company also held aggregate foreign currency liabilities valued at U.S. $512.9 million as of December 4, 2003, and U.S. $513.2 million as of August 28, 2003 (including debt denominated in Japanese yen valued at U.S. $149.0 million as of December 4, 2003, and U.S. $170.5 million as of August 28, 2003). Foreign currency receivables and payables as of December 4, 2003, were comprised primarily of Japanese yen, euros, Singapore dollars and British pounds. The Company estimates that, based on its assets and liabilities denominated in currencies other than U.S. dollar as of December 4, 2003, a 1% change in the exchange rate versus the U.S. dollar would result in foreign currency gains or losses of approximately $2 million for the Japanese yen and $1 million for the euro.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its Chief Executive Officer and Chief Financial Officer, of the effectiveness of the design and operation of the Company’s disclosure controls and procedures (as defined in Rule 13a-14 and 15d-14 under the Securities Exchange Act of 1934) as of the end of the period covered by this report. Based upon that evaluation, the Chief Executive Officer and Chief Financial Officer concluded that those disclosure controls and procedures were effective to ensure that material information required to be disclosed by the Company in the reports that it files or submits under the Exchange Act is recorded, processed, summarized and reported, within the time periods specified in the Commission’s rules and forms.</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quarterly period covered by this report, there were no significant changes in the Company’s internal controls over financial reporting that have materially affected, or are reasonably likely to materially affect, the Company’s internal controls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On August 28, 2000, the Company filed a declaratory judgment action against Rambus, Inc. (“Rambus”) in U.S. District Court for the District of Delaware. On February 1, 2001, the Company amended its complaint. Pursuant to its amended complaint, the Company is seeking: (1) relief under the federal antitrust laws for violations by Rambus of Section 2 of the Sherman Act; (2) a declaratory judgment (a) that certain Rambus patents are not infringed by the Company, are invalid, and/or are unenforceable due to, among other reasons, Rambus’ fraudulent conduct in misusing and enforcing those patents, (b)</w:t>
      </w:r>
    </w:p>
    <w:p>
      <w:pPr>
        <w:sectPr>
          <w:pgSz w:w="11900" w:h="16838" w:orient="portrait"/>
          <w:cols w:equalWidth="0" w:num="1">
            <w:col w:w="11420"/>
          </w:cols>
          <w:pgMar w:left="240" w:top="125" w:right="239" w:bottom="0" w:gutter="0" w:footer="0" w:header="0"/>
        </w:sectPr>
      </w:pPr>
    </w:p>
    <w:bookmarkStart w:id="16" w:name="page17"/>
    <w:bookmarkEnd w:id="16"/>
    <w:p>
      <w:pPr>
        <w:spacing w:after="0" w:line="284" w:lineRule="auto"/>
        <w:rPr>
          <w:sz w:val="20"/>
          <w:szCs w:val="20"/>
          <w:color w:val="auto"/>
        </w:rPr>
      </w:pPr>
      <w:r>
        <w:rPr>
          <w:rFonts w:ascii="Arial" w:cs="Arial" w:eastAsia="Arial" w:hAnsi="Arial"/>
          <w:sz w:val="16"/>
          <w:szCs w:val="16"/>
          <w:color w:val="auto"/>
        </w:rPr>
        <w:t>that the Company has an implied license to those patents and (c) that Rambus is estopped from enforcing those patents against the Company because of its conduct in the Joint Electron Device Engineering Council, a standard-setting organization; and (3) damages and declaratory relief for Rambus’ breach of contract, fraud, deceptive trade practices, negligent misrepresentation, and conduct requiring the application of equitable estoppel. On February 15, 2001, Rambus filed an answer and counterclaim against the Company in Delaware denying the Company is entitled to relief, alleging infringement of the eight Rambus patents named in the Company’s declaratory judgment claim, and seeking monetary damages and injunctive relief. A number of other suits between Rambus and the Company have been filed in Europe. On September 1, 2000, Rambus filed suit against Micron Semiconductor (Deutschland)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 products) in Court of First Instance of Paris, France, alleging that certain SDRAM and DDR SDRAM products infringe the French counterpart to European patent 525 068. On September 29, 2000, the Company filed suit against Rambus in the Civil Court of Milan, Italy, alleging invalidity and non-infringement of the Italian counterpart to European patent 525 068. On September 29, 2000, Rambus filed a preliminary proceeding against the Company and EBV (a distributor of the Company’s products) in the Civil Court of Monza, Italy, alleging that certain SDRAM products infringe the Italian counterpart to European patent 525 068, and seeking the seizure of certain materials and the entry of a preliminary injunction as to products manufactured at the Company’s Avezzano, Italy, site. On December 21, 2000, an appeals panel of the Court of Monza held that the Monza trial court had no jurisdiction to adjudicate the seizure matter. The Monza trial court ordered that technical review proceedings continue with respect to the issue of preliminary injunction. On May 24, 2001, the trial court rejected Rambus’ assertions of infringement and denied its request for a preliminary injunction. Rambus’ appeal from the trial judge’s ruling was rejected by the Monza appeals panel on July 18, 2001. On December 29, 2000, the Company filed suit against Rambus in the Civil Court of Avezzano, Italy, alleging invalidity and non-infringement of the Italian counterpart to European patent 1 004 956. On August 10, 2001, Rambus filed suit against the Company and Assitec (an electronics retailer) in the Civil Court of Pavia, Italy, alleging that certain DDR SDRAM products infringe the Italian counterpart to European patent 1 022 642. In its various European suits against the Company, Rambus is seeking monetary damages and injunctive relief. The Company is unable to predict the outcome of these suits. A court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393"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Subsequent to the commencement of the DOJ investigation, a number of purported class action lawsuits were filed against the Company and other DRAM suppliers. Sixteen cases were filed between June 21, 2002, and September 19, 2002, in the following federal district courts: one in the Southern District of New York, five in the District of Idaho and ten in the Northern District of California. Each of the federal district court cases purports to be on behalf of a class of individuals and entities who purchased DRAM directly from the various DRAM suppliers during a specified time period commencing on or after October 1, 2001. The complaints allege price-fixing in violation of the Sherman Act and seek treble monetary damages, costs, attorneys’ fees, and an injunction against the allegedly unlawful conduct.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foregoing federal district court cases were transferred to the U.S. District Court for the Northern District of California (San Francisco) for consolidated proceedings. On October 6, 2003, the plaintiffs filed a consolidated amended class action complaint. The consolidated amended complaint purports to be on behalf of a class of individuals and entities who purchased DRAM directly from the various DRAM suppliers during the period from approximately November 1, 2001 through at least June 30, 2002. The consolidated amended complaint alleges price-fixing in violation of the Sherman Act and seeks treble monetary damages, costs, attorneys’ fees, and an injunction against the allegedly unlawful conduct. Eight additional cases were filed between August 2, 2002, and March 11, 2003, in the following California state superior courts: five in San Francisco County, one in Santa Clara County, one in Los Angeles County and one in Humboldt County. Each of the California state cases purports to be on behalf of a class of individuals and entities who indirectly purchased DRAM during a specified time period commencing December 1, 2001. The complaints allege violations of California’s Cartwright Act and state unfair competition law and unjust enrichment and seek treble monetary damages, restitution, costs, attorneys’ fees, and an injunction against the allegedly unlawful conduct.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 2002. The consolidated amended complaint alleges violations of California’s Cartwright Act and state unfair competition law and unjust enrichment and seeks treble monetary damages, costs, attorneys’ fees, and an injunction against the allegedly unlawful conduct.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Company can give no assurance that the final resolution will not result in significant liability and will not have a material adverse effect on the Company’s business, results of operations or financial condition.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7. Management’s Discussion and Analysis of Financial Condition and Results of Operations – Certain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Changes in Securities and Use of Proceeds</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On September 24, 2003, the Company received $450.0 million in cash from Intel Corporation (“Intel”) in exchange for the issuance of stock rights exchangeable at the option of the holder into approximately 33.9 million shares of the Company’s common stock. The stock rights were issued in a private placement in reliance of Section 4(2) of the Securities Act. Each right represents the right by the holder to receive one share of the Company’s common stock, subject to adjustment in the event of stock splits, reorganization, dividend, liquidation or similar events in the manner set forth in the stock rights agreement. In conjunction with the issuance of the stock rights, the Company agreed to achieve operational objectives through May 2005, including certain levels of DDR2 production and 300 mm wafer processing capacity, and dedication of resources to advanced product development. In the event the Company fails to achieve certain 2005 milestones and the Company’s common stock price is then below Intel’s purchase price of $13.29, the Company could be obligated to pay Intel amounts not to exceed $135 million, a substantial portion of which is payable, at the Company’s election, in the Company’s common stock.</w:t>
      </w:r>
    </w:p>
    <w:p>
      <w:pPr>
        <w:spacing w:after="0" w:line="19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In connection with the Company’s acquisition on April 22, 2002, of substantially all of the assets of Toshiba Corporation’s (“Toshiba”) DRAM business as conducted by Dominion Semiconductor L.L.C., the Company granted Toshiba an option to require the Company to repurchase the 1.5 million</w:t>
      </w:r>
    </w:p>
    <w:p>
      <w:pPr>
        <w:sectPr>
          <w:pgSz w:w="11900" w:h="16838" w:orient="portrait"/>
          <w:cols w:equalWidth="0" w:num="1">
            <w:col w:w="11400"/>
          </w:cols>
          <w:pgMar w:left="240" w:top="125" w:right="259" w:bottom="0" w:gutter="0" w:footer="0" w:header="0"/>
        </w:sectPr>
      </w:pPr>
    </w:p>
    <w:bookmarkStart w:id="17" w:name="page18"/>
    <w:bookmarkEnd w:id="17"/>
    <w:p>
      <w:pPr>
        <w:spacing w:after="0" w:line="3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shares issued in connection with the acquisition for $67.5 million in cash. Toshiba exercised its option and the Company redeemed the shares in October 2003.</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Shareholders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registrant’s 2003 Annual Meeting of Shareholders was held on November 21, 2003. At the meeting, the following items were submitted to a vote of the shareholders:</w:t>
      </w:r>
    </w:p>
    <w:p>
      <w:pPr>
        <w:spacing w:after="0" w:line="170" w:lineRule="exact"/>
        <w:rPr>
          <w:sz w:val="20"/>
          <w:szCs w:val="20"/>
          <w:color w:val="auto"/>
        </w:rPr>
      </w:pPr>
    </w:p>
    <w:p>
      <w:pPr>
        <w:ind w:right="40" w:firstLine="656"/>
        <w:spacing w:after="0" w:line="277"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Nominee</w:t>
            </w: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Votes</w:t>
            </w: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Votes Cast</w:t>
            </w:r>
          </w:p>
        </w:tc>
        <w:tc>
          <w:tcPr>
            <w:tcW w:w="0" w:type="dxa"/>
            <w:vAlign w:val="bottom"/>
          </w:tcPr>
          <w:p>
            <w:pPr>
              <w:spacing w:after="0"/>
              <w:rPr>
                <w:sz w:val="1"/>
                <w:szCs w:val="1"/>
                <w:color w:val="auto"/>
              </w:rPr>
            </w:pPr>
          </w:p>
        </w:tc>
      </w:tr>
      <w:tr>
        <w:trPr>
          <w:trHeight w:val="171"/>
        </w:trPr>
        <w:tc>
          <w:tcPr>
            <w:tcW w:w="5580" w:type="dxa"/>
            <w:vAlign w:val="bottom"/>
            <w:gridSpan w:val="3"/>
            <w:vMerge w:val="continue"/>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Cast For</w:t>
            </w: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Against/Withheld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533,960,908</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17,713,691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541,512,516</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10,162,083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Lothrop</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485,024,825</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66,649,774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Thomas T. Nicholson</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485,118,048</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66,556,551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C. Smith</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541,610,551</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10,064,048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William P. Weber</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487,144,651</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64,529,948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56"/>
        <w:spacing w:after="0" w:line="286" w:lineRule="auto"/>
        <w:tabs>
          <w:tab w:leader="none" w:pos="94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proposal by the Company to approve an amendment to the Company’s 1989 Employee Stock Purchase Plan increasing the number of shares of Common Stock reserved for issuance thereunder by 5,000,000 and making certain other changes as described in the proxy statement was approved with 420,286,255 votes in favor, 11,696,700 votes against, 2,967,848 abstentions and 116,723,977 broker non-votes.</w:t>
      </w:r>
    </w:p>
    <w:p>
      <w:pPr>
        <w:spacing w:after="0" w:line="165" w:lineRule="exact"/>
        <w:rPr>
          <w:rFonts w:ascii="Arial" w:cs="Arial" w:eastAsia="Arial" w:hAnsi="Arial"/>
          <w:sz w:val="17"/>
          <w:szCs w:val="17"/>
          <w:color w:val="auto"/>
        </w:rPr>
      </w:pPr>
    </w:p>
    <w:p>
      <w:pPr>
        <w:ind w:right="80" w:firstLine="656"/>
        <w:spacing w:after="0" w:line="264" w:lineRule="auto"/>
        <w:tabs>
          <w:tab w:leader="none" w:pos="9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proposal by the Company to approve an amendment to the Company’s 2001 Stock Option Plan increasing the number of shares of Common Stock reserved for issuance thereunder by 17,000,000 was approved with 310,362,927 votes in favor, 121,126,335 votes against, 3,461,541 abstentions and 116,723,977 broker non-votes.</w:t>
      </w:r>
    </w:p>
    <w:p>
      <w:pPr>
        <w:spacing w:after="0" w:line="181" w:lineRule="exact"/>
        <w:rPr>
          <w:rFonts w:ascii="Arial" w:cs="Arial" w:eastAsia="Arial" w:hAnsi="Arial"/>
          <w:sz w:val="18"/>
          <w:szCs w:val="18"/>
          <w:color w:val="auto"/>
        </w:rPr>
      </w:pPr>
    </w:p>
    <w:p>
      <w:pPr>
        <w:ind w:right="560" w:firstLine="656"/>
        <w:spacing w:after="0" w:line="308" w:lineRule="auto"/>
        <w:tabs>
          <w:tab w:leader="none" w:pos="94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as independent public accountants of the Company for the fiscal year ending September 2, 2004, was approved with 533,291,396 votes in favor, 15,390,522 votes against and 2,992,680 abstentions.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 and Reports on Form 8-K</w:t>
      </w:r>
    </w:p>
    <w:p>
      <w:pPr>
        <w:spacing w:after="0" w:line="229" w:lineRule="exact"/>
        <w:rPr>
          <w:sz w:val="20"/>
          <w:szCs w:val="20"/>
          <w:color w:val="auto"/>
        </w:rPr>
      </w:pPr>
    </w:p>
    <w:p>
      <w:pPr>
        <w:ind w:left="700" w:hanging="692"/>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are filed as a part of this report: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ind w:left="66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9140" w:type="dxa"/>
            <w:vAlign w:val="bottom"/>
            <w:vMerge w:val="restart"/>
          </w:tcPr>
          <w:p>
            <w:pPr>
              <w:ind w:left="3880"/>
              <w:spacing w:after="0"/>
              <w:rPr>
                <w:sz w:val="20"/>
                <w:szCs w:val="20"/>
                <w:color w:val="auto"/>
              </w:rPr>
            </w:pPr>
            <w:r>
              <w:rPr>
                <w:rFonts w:ascii="Arial" w:cs="Arial" w:eastAsia="Arial" w:hAnsi="Arial"/>
                <w:sz w:val="14"/>
                <w:szCs w:val="14"/>
                <w:b w:val="1"/>
                <w:bCs w:val="1"/>
                <w:color w:val="auto"/>
              </w:rPr>
              <w:t>Description of Exhibit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gridSpan w:val="2"/>
          </w:tcPr>
          <w:p>
            <w:pPr>
              <w:ind w:left="6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9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0" w:type="dxa"/>
            <w:vAlign w:val="bottom"/>
          </w:tcPr>
          <w:p>
            <w:pPr>
              <w:spacing w:after="0"/>
              <w:rPr>
                <w:sz w:val="24"/>
                <w:szCs w:val="24"/>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color w:val="auto"/>
              </w:rPr>
              <w:t>4.1</w:t>
            </w:r>
          </w:p>
        </w:tc>
        <w:tc>
          <w:tcPr>
            <w:tcW w:w="9400" w:type="dxa"/>
            <w:vAlign w:val="bottom"/>
            <w:gridSpan w:val="2"/>
          </w:tcPr>
          <w:p>
            <w:pPr>
              <w:ind w:left="220"/>
              <w:spacing w:after="0"/>
              <w:rPr>
                <w:sz w:val="20"/>
                <w:szCs w:val="20"/>
                <w:color w:val="auto"/>
              </w:rPr>
            </w:pPr>
            <w:r>
              <w:rPr>
                <w:rFonts w:ascii="Arial" w:cs="Arial" w:eastAsia="Arial" w:hAnsi="Arial"/>
                <w:sz w:val="18"/>
                <w:szCs w:val="18"/>
                <w:color w:val="auto"/>
              </w:rPr>
              <w:t>Securities Purchase Agreement, dated September 24, 2003, between the Company and Intel Capital (1)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jc w:val="right"/>
              <w:ind w:right="630"/>
              <w:spacing w:after="0"/>
              <w:rPr>
                <w:sz w:val="20"/>
                <w:szCs w:val="20"/>
                <w:color w:val="auto"/>
              </w:rPr>
            </w:pPr>
            <w:r>
              <w:rPr>
                <w:rFonts w:ascii="Arial" w:cs="Arial" w:eastAsia="Arial" w:hAnsi="Arial"/>
                <w:sz w:val="18"/>
                <w:szCs w:val="18"/>
                <w:color w:val="auto"/>
              </w:rPr>
              <w:t>4.2</w:t>
            </w:r>
          </w:p>
        </w:tc>
        <w:tc>
          <w:tcPr>
            <w:tcW w:w="9400" w:type="dxa"/>
            <w:vAlign w:val="bottom"/>
            <w:gridSpan w:val="2"/>
          </w:tcPr>
          <w:p>
            <w:pPr>
              <w:ind w:left="220"/>
              <w:spacing w:after="0"/>
              <w:rPr>
                <w:sz w:val="20"/>
                <w:szCs w:val="20"/>
                <w:color w:val="auto"/>
              </w:rPr>
            </w:pPr>
            <w:r>
              <w:rPr>
                <w:rFonts w:ascii="Arial" w:cs="Arial" w:eastAsia="Arial" w:hAnsi="Arial"/>
                <w:sz w:val="18"/>
                <w:szCs w:val="18"/>
                <w:color w:val="auto"/>
              </w:rPr>
              <w:t>Stock Rights Agreement, dated September 24, 2003, between the Company and Intel Capital (1)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jc w:val="right"/>
              <w:ind w:right="630"/>
              <w:spacing w:after="0"/>
              <w:rPr>
                <w:sz w:val="20"/>
                <w:szCs w:val="20"/>
                <w:color w:val="auto"/>
              </w:rPr>
            </w:pPr>
            <w:r>
              <w:rPr>
                <w:rFonts w:ascii="Arial" w:cs="Arial" w:eastAsia="Arial" w:hAnsi="Arial"/>
                <w:sz w:val="18"/>
                <w:szCs w:val="18"/>
                <w:color w:val="auto"/>
              </w:rPr>
              <w:t>10.1</w:t>
            </w:r>
          </w:p>
        </w:tc>
        <w:tc>
          <w:tcPr>
            <w:tcW w:w="9400" w:type="dxa"/>
            <w:vAlign w:val="bottom"/>
            <w:gridSpan w:val="2"/>
          </w:tcPr>
          <w:p>
            <w:pPr>
              <w:ind w:left="220"/>
              <w:spacing w:after="0"/>
              <w:rPr>
                <w:sz w:val="20"/>
                <w:szCs w:val="20"/>
                <w:color w:val="auto"/>
              </w:rPr>
            </w:pPr>
            <w:r>
              <w:rPr>
                <w:rFonts w:ascii="Arial" w:cs="Arial" w:eastAsia="Arial" w:hAnsi="Arial"/>
                <w:sz w:val="18"/>
                <w:szCs w:val="18"/>
                <w:color w:val="auto"/>
              </w:rPr>
              <w:t>Business Agreement, dated September 24, 2003, between the Company and Intel * (1)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jc w:val="right"/>
              <w:ind w:right="630"/>
              <w:spacing w:after="0"/>
              <w:rPr>
                <w:sz w:val="20"/>
                <w:szCs w:val="20"/>
                <w:color w:val="auto"/>
              </w:rPr>
            </w:pPr>
            <w:r>
              <w:rPr>
                <w:rFonts w:ascii="Arial" w:cs="Arial" w:eastAsia="Arial" w:hAnsi="Arial"/>
                <w:sz w:val="18"/>
                <w:szCs w:val="18"/>
                <w:color w:val="auto"/>
              </w:rPr>
              <w:t>10.2</w:t>
            </w:r>
          </w:p>
        </w:tc>
        <w:tc>
          <w:tcPr>
            <w:tcW w:w="9400" w:type="dxa"/>
            <w:vAlign w:val="bottom"/>
            <w:gridSpan w:val="2"/>
          </w:tcPr>
          <w:p>
            <w:pPr>
              <w:ind w:left="220"/>
              <w:spacing w:after="0"/>
              <w:rPr>
                <w:sz w:val="20"/>
                <w:szCs w:val="20"/>
                <w:color w:val="auto"/>
              </w:rPr>
            </w:pPr>
            <w:r>
              <w:rPr>
                <w:rFonts w:ascii="Arial" w:cs="Arial" w:eastAsia="Arial" w:hAnsi="Arial"/>
                <w:sz w:val="18"/>
                <w:szCs w:val="18"/>
                <w:color w:val="auto"/>
                <w:w w:val="97"/>
              </w:rPr>
              <w:t>Securities Rights and Restrictions Agreement, dated September 24, 2003, between the Company and Intel Capital (1)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jc w:val="right"/>
              <w:ind w:right="630"/>
              <w:spacing w:after="0"/>
              <w:rPr>
                <w:sz w:val="20"/>
                <w:szCs w:val="20"/>
                <w:color w:val="auto"/>
              </w:rPr>
            </w:pPr>
            <w:r>
              <w:rPr>
                <w:rFonts w:ascii="Arial" w:cs="Arial" w:eastAsia="Arial" w:hAnsi="Arial"/>
                <w:sz w:val="18"/>
                <w:szCs w:val="18"/>
                <w:color w:val="auto"/>
              </w:rPr>
              <w:t>31.1</w:t>
            </w:r>
          </w:p>
        </w:tc>
        <w:tc>
          <w:tcPr>
            <w:tcW w:w="9400" w:type="dxa"/>
            <w:vAlign w:val="bottom"/>
            <w:gridSpan w:val="2"/>
          </w:tcPr>
          <w:p>
            <w:pPr>
              <w:ind w:left="2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jc w:val="right"/>
              <w:ind w:right="630"/>
              <w:spacing w:after="0"/>
              <w:rPr>
                <w:sz w:val="20"/>
                <w:szCs w:val="20"/>
                <w:color w:val="auto"/>
              </w:rPr>
            </w:pPr>
            <w:r>
              <w:rPr>
                <w:rFonts w:ascii="Arial" w:cs="Arial" w:eastAsia="Arial" w:hAnsi="Arial"/>
                <w:sz w:val="18"/>
                <w:szCs w:val="18"/>
                <w:color w:val="auto"/>
              </w:rPr>
              <w:t>31.2</w:t>
            </w:r>
          </w:p>
        </w:tc>
        <w:tc>
          <w:tcPr>
            <w:tcW w:w="9400" w:type="dxa"/>
            <w:vAlign w:val="bottom"/>
            <w:gridSpan w:val="2"/>
          </w:tcPr>
          <w:p>
            <w:pPr>
              <w:ind w:left="2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jc w:val="right"/>
              <w:ind w:right="630"/>
              <w:spacing w:after="0"/>
              <w:rPr>
                <w:sz w:val="20"/>
                <w:szCs w:val="20"/>
                <w:color w:val="auto"/>
              </w:rPr>
            </w:pPr>
            <w:r>
              <w:rPr>
                <w:rFonts w:ascii="Arial" w:cs="Arial" w:eastAsia="Arial" w:hAnsi="Arial"/>
                <w:sz w:val="18"/>
                <w:szCs w:val="18"/>
                <w:color w:val="auto"/>
              </w:rPr>
              <w:t>32.1</w:t>
            </w:r>
          </w:p>
        </w:tc>
        <w:tc>
          <w:tcPr>
            <w:tcW w:w="9400" w:type="dxa"/>
            <w:vAlign w:val="bottom"/>
            <w:gridSpan w:val="2"/>
          </w:tcPr>
          <w:p>
            <w:pPr>
              <w:ind w:left="220"/>
              <w:spacing w:after="0"/>
              <w:rPr>
                <w:sz w:val="20"/>
                <w:szCs w:val="20"/>
                <w:color w:val="auto"/>
              </w:rPr>
            </w:pPr>
            <w:r>
              <w:rPr>
                <w:rFonts w:ascii="Arial" w:cs="Arial" w:eastAsia="Arial" w:hAnsi="Arial"/>
                <w:sz w:val="18"/>
                <w:szCs w:val="18"/>
                <w:color w:val="auto"/>
                <w:w w:val="97"/>
              </w:rPr>
              <w:t>Certification of Chief Executive Officer Pursuant to 18 U.S.C. Section 1350, as Adopted Pursuant to Section 906 of the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14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jc w:val="right"/>
              <w:ind w:right="630"/>
              <w:spacing w:after="0"/>
              <w:rPr>
                <w:sz w:val="20"/>
                <w:szCs w:val="20"/>
                <w:color w:val="auto"/>
              </w:rPr>
            </w:pPr>
            <w:r>
              <w:rPr>
                <w:rFonts w:ascii="Arial" w:cs="Arial" w:eastAsia="Arial" w:hAnsi="Arial"/>
                <w:sz w:val="18"/>
                <w:szCs w:val="18"/>
                <w:color w:val="auto"/>
              </w:rPr>
              <w:t>32.2</w:t>
            </w:r>
          </w:p>
        </w:tc>
        <w:tc>
          <w:tcPr>
            <w:tcW w:w="9400" w:type="dxa"/>
            <w:vAlign w:val="bottom"/>
            <w:gridSpan w:val="2"/>
          </w:tcPr>
          <w:p>
            <w:pPr>
              <w:ind w:left="220"/>
              <w:spacing w:after="0"/>
              <w:rPr>
                <w:sz w:val="20"/>
                <w:szCs w:val="20"/>
                <w:color w:val="auto"/>
              </w:rPr>
            </w:pPr>
            <w:r>
              <w:rPr>
                <w:rFonts w:ascii="Arial" w:cs="Arial" w:eastAsia="Arial" w:hAnsi="Arial"/>
                <w:sz w:val="18"/>
                <w:szCs w:val="18"/>
                <w:color w:val="auto"/>
                <w:w w:val="97"/>
              </w:rPr>
              <w:t>Certification of Chief Financial Officer Pursuant to 18 U.S.C. Section 1350, as Adopted Pursuant to Section 906 of the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14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0" w:type="dxa"/>
            <w:vAlign w:val="bottom"/>
            <w:gridSpan w:val="2"/>
          </w:tcPr>
          <w:p>
            <w:pPr>
              <w:ind w:left="37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60" w:hanging="40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on September 29, 2003.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Portions of this exhibit have been omitted pursuant to a request for confidential treatment filed with the Commission.</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 filed the following reports on Form 8-K during the fiscal quarter ended December 4, 2003: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4"/>
                <w:szCs w:val="14"/>
                <w:color w:val="auto"/>
              </w:rPr>
            </w:pPr>
          </w:p>
        </w:tc>
        <w:tc>
          <w:tcPr>
            <w:tcW w:w="7040" w:type="dxa"/>
            <w:vAlign w:val="bottom"/>
            <w:tcBorders>
              <w:bottom w:val="single" w:sz="8" w:color="auto"/>
            </w:tcBorders>
          </w:tcPr>
          <w:p>
            <w:pPr>
              <w:jc w:val="right"/>
              <w:ind w:right="3308"/>
              <w:spacing w:after="0"/>
              <w:rPr>
                <w:sz w:val="20"/>
                <w:szCs w:val="20"/>
                <w:color w:val="auto"/>
              </w:rPr>
            </w:pPr>
            <w:r>
              <w:rPr>
                <w:rFonts w:ascii="Arial" w:cs="Arial" w:eastAsia="Arial" w:hAnsi="Arial"/>
                <w:sz w:val="14"/>
                <w:szCs w:val="14"/>
                <w:b w:val="1"/>
                <w:bCs w:val="1"/>
                <w:color w:val="auto"/>
              </w:rPr>
              <w:t>Item</w:t>
            </w:r>
          </w:p>
        </w:tc>
        <w:tc>
          <w:tcPr>
            <w:tcW w:w="700" w:type="dxa"/>
            <w:vAlign w:val="bottom"/>
          </w:tcPr>
          <w:p>
            <w:pPr>
              <w:spacing w:after="0"/>
              <w:rPr>
                <w:sz w:val="14"/>
                <w:szCs w:val="14"/>
                <w:color w:val="auto"/>
              </w:rPr>
            </w:pPr>
          </w:p>
        </w:tc>
      </w:tr>
      <w:tr>
        <w:trPr>
          <w:trHeight w:val="210"/>
        </w:trPr>
        <w:tc>
          <w:tcPr>
            <w:tcW w:w="1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September 24, 2003</w:t>
            </w:r>
          </w:p>
        </w:tc>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Item 12, Disclosure of Results of Operations and Financial Condition</w:t>
            </w:r>
          </w:p>
        </w:tc>
        <w:tc>
          <w:tcPr>
            <w:tcW w:w="70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September 29, 2003</w:t>
            </w:r>
          </w:p>
        </w:tc>
        <w:tc>
          <w:tcPr>
            <w:tcW w:w="7220" w:type="dxa"/>
            <w:vAlign w:val="bottom"/>
            <w:gridSpan w:val="2"/>
          </w:tcPr>
          <w:p>
            <w:pPr>
              <w:ind w:left="180"/>
              <w:spacing w:after="0"/>
              <w:rPr>
                <w:sz w:val="20"/>
                <w:szCs w:val="20"/>
                <w:color w:val="auto"/>
              </w:rPr>
            </w:pPr>
            <w:r>
              <w:rPr>
                <w:rFonts w:ascii="Arial" w:cs="Arial" w:eastAsia="Arial" w:hAnsi="Arial"/>
                <w:sz w:val="18"/>
                <w:szCs w:val="18"/>
                <w:color w:val="auto"/>
              </w:rPr>
              <w:t>Item 5, Other Events</w:t>
            </w:r>
          </w:p>
        </w:tc>
        <w:tc>
          <w:tcPr>
            <w:tcW w:w="70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20" w:type="dxa"/>
            <w:vAlign w:val="bottom"/>
            <w:gridSpan w:val="2"/>
          </w:tcPr>
          <w:p>
            <w:pPr>
              <w:jc w:val="right"/>
              <w:ind w:right="4868"/>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24"/>
                <w:szCs w:val="24"/>
                <w:color w:val="auto"/>
              </w:rPr>
            </w:pPr>
          </w:p>
        </w:tc>
      </w:tr>
      <w:tr>
        <w:trPr>
          <w:trHeight w:val="105"/>
        </w:trPr>
        <w:tc>
          <w:tcPr>
            <w:tcW w:w="130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75" w:orient="portrait"/>
          <w:cols w:equalWidth="0" w:num="1">
            <w:col w:w="11440"/>
          </w:cols>
          <w:pgMar w:left="240" w:top="125" w:right="21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Micron Technology, Inc.</w:t>
            </w:r>
          </w:p>
        </w:tc>
        <w:tc>
          <w:tcPr>
            <w:tcW w:w="20" w:type="dxa"/>
            <w:vAlign w:val="bottom"/>
          </w:tcPr>
          <w:p>
            <w:pPr>
              <w:spacing w:after="0"/>
              <w:rPr>
                <w:sz w:val="20"/>
                <w:szCs w:val="20"/>
                <w:color w:val="auto"/>
              </w:rPr>
            </w:pPr>
          </w:p>
        </w:tc>
      </w:tr>
      <w:tr>
        <w:trPr>
          <w:trHeight w:val="224"/>
        </w:trPr>
        <w:tc>
          <w:tcPr>
            <w:tcW w:w="53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19"/>
                <w:szCs w:val="19"/>
                <w:color w:val="auto"/>
              </w:rPr>
            </w:pPr>
          </w:p>
        </w:tc>
      </w:tr>
      <w:tr>
        <w:trPr>
          <w:trHeight w:val="634"/>
        </w:trPr>
        <w:tc>
          <w:tcPr>
            <w:tcW w:w="5320" w:type="dxa"/>
            <w:vAlign w:val="bottom"/>
          </w:tcPr>
          <w:p>
            <w:pPr>
              <w:ind w:left="20"/>
              <w:spacing w:after="0"/>
              <w:rPr>
                <w:sz w:val="20"/>
                <w:szCs w:val="20"/>
                <w:color w:val="auto"/>
              </w:rPr>
            </w:pPr>
            <w:r>
              <w:rPr>
                <w:rFonts w:ascii="Arial" w:cs="Arial" w:eastAsia="Arial" w:hAnsi="Arial"/>
                <w:sz w:val="18"/>
                <w:szCs w:val="18"/>
                <w:color w:val="auto"/>
              </w:rPr>
              <w:t>Dated: January 15, 2004</w:t>
            </w:r>
          </w:p>
        </w:tc>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W. G. Stover, Jr.</w:t>
            </w:r>
          </w:p>
        </w:tc>
        <w:tc>
          <w:tcPr>
            <w:tcW w:w="20" w:type="dxa"/>
            <w:vAlign w:val="bottom"/>
          </w:tcPr>
          <w:p>
            <w:pPr>
              <w:spacing w:after="0"/>
              <w:rPr>
                <w:sz w:val="24"/>
                <w:szCs w:val="24"/>
                <w:color w:val="auto"/>
              </w:rPr>
            </w:pPr>
          </w:p>
        </w:tc>
      </w:tr>
      <w:tr>
        <w:trPr>
          <w:trHeight w:val="195"/>
        </w:trPr>
        <w:tc>
          <w:tcPr>
            <w:tcW w:w="5320" w:type="dxa"/>
            <w:vAlign w:val="bottom"/>
          </w:tcPr>
          <w:p>
            <w:pPr>
              <w:spacing w:after="0"/>
              <w:rPr>
                <w:sz w:val="16"/>
                <w:szCs w:val="16"/>
                <w:color w:val="auto"/>
              </w:rPr>
            </w:pPr>
          </w:p>
        </w:tc>
        <w:tc>
          <w:tcPr>
            <w:tcW w:w="6100" w:type="dxa"/>
            <w:vAlign w:val="bottom"/>
          </w:tcPr>
          <w:p>
            <w:pPr>
              <w:ind w:left="20"/>
              <w:spacing w:after="0" w:line="195" w:lineRule="exact"/>
              <w:rPr>
                <w:sz w:val="20"/>
                <w:szCs w:val="20"/>
                <w:color w:val="auto"/>
              </w:rPr>
            </w:pPr>
            <w:r>
              <w:rPr>
                <w:rFonts w:ascii="Arial" w:cs="Arial" w:eastAsia="Arial" w:hAnsi="Arial"/>
                <w:sz w:val="18"/>
                <w:szCs w:val="18"/>
                <w:color w:val="auto"/>
              </w:rPr>
              <w:t>W. G. Stover, Jr., Vice President of Finance and</w:t>
            </w:r>
          </w:p>
        </w:tc>
        <w:tc>
          <w:tcPr>
            <w:tcW w:w="20" w:type="dxa"/>
            <w:vAlign w:val="bottom"/>
          </w:tcPr>
          <w:p>
            <w:pPr>
              <w:spacing w:after="0"/>
              <w:rPr>
                <w:sz w:val="16"/>
                <w:szCs w:val="16"/>
                <w:color w:val="auto"/>
              </w:rPr>
            </w:pPr>
          </w:p>
        </w:tc>
      </w:tr>
      <w:tr>
        <w:trPr>
          <w:trHeight w:val="216"/>
        </w:trPr>
        <w:tc>
          <w:tcPr>
            <w:tcW w:w="532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w:t>
            </w:r>
          </w:p>
        </w:tc>
        <w:tc>
          <w:tcPr>
            <w:tcW w:w="20" w:type="dxa"/>
            <w:vAlign w:val="bottom"/>
          </w:tcPr>
          <w:p>
            <w:pPr>
              <w:spacing w:after="0"/>
              <w:rPr>
                <w:sz w:val="18"/>
                <w:szCs w:val="18"/>
                <w:color w:val="auto"/>
              </w:rPr>
            </w:pPr>
          </w:p>
        </w:tc>
      </w:tr>
      <w:tr>
        <w:trPr>
          <w:trHeight w:val="230"/>
        </w:trPr>
        <w:tc>
          <w:tcPr>
            <w:tcW w:w="532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20" w:type="dxa"/>
            <w:vAlign w:val="bottom"/>
          </w:tcPr>
          <w:p>
            <w:pPr>
              <w:spacing w:after="0"/>
              <w:rPr>
                <w:sz w:val="20"/>
                <w:szCs w:val="20"/>
                <w:color w:val="auto"/>
              </w:rPr>
            </w:pPr>
          </w:p>
        </w:tc>
      </w:tr>
      <w:tr>
        <w:trPr>
          <w:trHeight w:val="432"/>
        </w:trPr>
        <w:tc>
          <w:tcPr>
            <w:tcW w:w="5320" w:type="dxa"/>
            <w:vAlign w:val="bottom"/>
          </w:tcPr>
          <w:p>
            <w:pPr>
              <w:spacing w:after="0"/>
              <w:rPr>
                <w:sz w:val="24"/>
                <w:szCs w:val="24"/>
                <w:color w:val="auto"/>
              </w:rPr>
            </w:pPr>
          </w:p>
        </w:tc>
        <w:tc>
          <w:tcPr>
            <w:tcW w:w="6100" w:type="dxa"/>
            <w:vAlign w:val="bottom"/>
          </w:tcPr>
          <w:p>
            <w:pPr>
              <w:ind w:left="30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r>
      <w:tr>
        <w:trPr>
          <w:trHeight w:val="105"/>
        </w:trPr>
        <w:tc>
          <w:tcPr>
            <w:tcW w:w="5320" w:type="dxa"/>
            <w:vAlign w:val="bottom"/>
            <w:tcBorders>
              <w:bottom w:val="single" w:sz="8" w:color="808080"/>
            </w:tcBorders>
          </w:tcPr>
          <w:p>
            <w:pPr>
              <w:spacing w:after="0"/>
              <w:rPr>
                <w:sz w:val="9"/>
                <w:szCs w:val="9"/>
                <w:color w:val="auto"/>
              </w:rPr>
            </w:pPr>
          </w:p>
        </w:tc>
        <w:tc>
          <w:tcPr>
            <w:tcW w:w="6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80" w:hanging="332"/>
        <w:spacing w:after="0" w:line="264" w:lineRule="auto"/>
        <w:tabs>
          <w:tab w:leader="none" w:pos="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140" w:hanging="332"/>
        <w:spacing w:after="0" w:line="308" w:lineRule="auto"/>
        <w:tabs>
          <w:tab w:leader="none" w:pos="3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720" w:hanging="332"/>
        <w:spacing w:after="0" w:line="277" w:lineRule="auto"/>
        <w:tabs>
          <w:tab w:leader="none" w:pos="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3"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46" w:lineRule="exact"/>
        <w:rPr>
          <w:rFonts w:ascii="Arial" w:cs="Arial" w:eastAsia="Arial" w:hAnsi="Arial"/>
          <w:sz w:val="17"/>
          <w:szCs w:val="17"/>
          <w:color w:val="auto"/>
        </w:rPr>
      </w:pPr>
    </w:p>
    <w:p>
      <w:pPr>
        <w:ind w:left="660" w:right="20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70" w:lineRule="exact"/>
        <w:rPr>
          <w:rFonts w:ascii="Arial" w:cs="Arial" w:eastAsia="Arial" w:hAnsi="Arial"/>
          <w:sz w:val="18"/>
          <w:szCs w:val="18"/>
          <w:color w:val="auto"/>
        </w:rPr>
      </w:pPr>
    </w:p>
    <w:p>
      <w:pPr>
        <w:ind w:left="340" w:right="60" w:hanging="332"/>
        <w:spacing w:after="0" w:line="277" w:lineRule="auto"/>
        <w:tabs>
          <w:tab w:leader="none" w:pos="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right="480" w:hanging="328"/>
        <w:spacing w:after="0" w:line="342" w:lineRule="auto"/>
        <w:tabs>
          <w:tab w:leader="none" w:pos="663"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jc w:val="both"/>
        <w:ind w:left="340" w:right="60" w:hanging="332"/>
        <w:spacing w:after="0" w:line="264" w:lineRule="auto"/>
        <w:tabs>
          <w:tab w:leader="none" w:pos="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15, 2004</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 Steven R. Appleton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Wilbur G. Stover, Jr.,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80" w:hanging="332"/>
        <w:spacing w:after="0" w:line="264" w:lineRule="auto"/>
        <w:tabs>
          <w:tab w:leader="none" w:pos="3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140" w:hanging="332"/>
        <w:spacing w:after="0" w:line="308" w:lineRule="auto"/>
        <w:tabs>
          <w:tab w:leader="none" w:pos="3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720" w:hanging="332"/>
        <w:spacing w:after="0" w:line="277" w:lineRule="auto"/>
        <w:tabs>
          <w:tab w:leader="none" w:pos="3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3"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46" w:lineRule="exact"/>
        <w:rPr>
          <w:rFonts w:ascii="Arial" w:cs="Arial" w:eastAsia="Arial" w:hAnsi="Arial"/>
          <w:sz w:val="17"/>
          <w:szCs w:val="17"/>
          <w:color w:val="auto"/>
        </w:rPr>
      </w:pPr>
    </w:p>
    <w:p>
      <w:pPr>
        <w:ind w:left="660" w:right="20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70" w:lineRule="exact"/>
        <w:rPr>
          <w:rFonts w:ascii="Arial" w:cs="Arial" w:eastAsia="Arial" w:hAnsi="Arial"/>
          <w:sz w:val="18"/>
          <w:szCs w:val="18"/>
          <w:color w:val="auto"/>
        </w:rPr>
      </w:pPr>
    </w:p>
    <w:p>
      <w:pPr>
        <w:ind w:left="340" w:right="60" w:hanging="332"/>
        <w:spacing w:after="0" w:line="277" w:lineRule="auto"/>
        <w:tabs>
          <w:tab w:leader="none" w:pos="3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right="480" w:hanging="328"/>
        <w:spacing w:after="0" w:line="342" w:lineRule="auto"/>
        <w:tabs>
          <w:tab w:leader="none" w:pos="663"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jc w:val="both"/>
        <w:ind w:left="340" w:right="60" w:hanging="332"/>
        <w:spacing w:after="0" w:line="264" w:lineRule="auto"/>
        <w:tabs>
          <w:tab w:leader="none" w:pos="3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15, 2004</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 W. G. Stover, Jr.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 Steven R. Appleton, certify, pursuant to 18 U.S.C. Section 1350, as adopted pursuant to Section 906 of the Sarbanes-Oxley Act of 2002, that the Quarterly Report of Micron Technology, Inc. on Form 10-Q for the period ended December 4, 2003,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Date: January 15, 2004</w:t>
            </w:r>
          </w:p>
        </w:tc>
        <w:tc>
          <w:tcPr>
            <w:tcW w:w="2720" w:type="dxa"/>
            <w:vAlign w:val="bottom"/>
          </w:tcPr>
          <w:p>
            <w:pPr>
              <w:ind w:left="20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Appleton</w:t>
            </w:r>
          </w:p>
        </w:tc>
        <w:tc>
          <w:tcPr>
            <w:tcW w:w="20" w:type="dxa"/>
            <w:vAlign w:val="bottom"/>
          </w:tcPr>
          <w:p>
            <w:pPr>
              <w:spacing w:after="0"/>
              <w:rPr>
                <w:sz w:val="20"/>
                <w:szCs w:val="20"/>
                <w:color w:val="auto"/>
              </w:rPr>
            </w:pPr>
          </w:p>
        </w:tc>
      </w:tr>
      <w:tr>
        <w:trPr>
          <w:trHeight w:val="195"/>
        </w:trPr>
        <w:tc>
          <w:tcPr>
            <w:tcW w:w="37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960" w:type="dxa"/>
            <w:vAlign w:val="bottom"/>
          </w:tcPr>
          <w:p>
            <w:pPr>
              <w:ind w:left="20"/>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Chairman of the Board, Chief Executive Officer</w:t>
            </w:r>
          </w:p>
        </w:tc>
        <w:tc>
          <w:tcPr>
            <w:tcW w:w="2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and President</w:t>
            </w:r>
          </w:p>
        </w:tc>
        <w:tc>
          <w:tcPr>
            <w:tcW w:w="20" w:type="dxa"/>
            <w:vAlign w:val="bottom"/>
          </w:tcPr>
          <w:p>
            <w:pPr>
              <w:spacing w:after="0"/>
              <w:rPr>
                <w:sz w:val="20"/>
                <w:szCs w:val="20"/>
                <w:color w:val="auto"/>
              </w:rPr>
            </w:pPr>
          </w:p>
        </w:tc>
      </w:tr>
      <w:tr>
        <w:trPr>
          <w:trHeight w:val="321"/>
        </w:trPr>
        <w:tc>
          <w:tcPr>
            <w:tcW w:w="374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2" w:name="page23"/>
    <w:bookmarkEnd w:id="22"/>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 W. G. Stover, Jr., certify, pursuant to 18 U.S.C. Section 1350, as adopted pursuant to Section 906 of the Sarbanes-Oxley Act of 2002, that the Quarterly Report of Micron Technology, Inc. on Form 10-Q for the period ended December 4, 2003,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Date: January 15, 2004</w:t>
            </w:r>
          </w:p>
        </w:tc>
        <w:tc>
          <w:tcPr>
            <w:tcW w:w="2800" w:type="dxa"/>
            <w:vAlign w:val="bottom"/>
          </w:tcPr>
          <w:p>
            <w:pPr>
              <w:ind w:left="22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0"/>
                <w:szCs w:val="20"/>
                <w:color w:val="auto"/>
              </w:rPr>
            </w:pPr>
          </w:p>
        </w:tc>
      </w:tr>
      <w:tr>
        <w:trPr>
          <w:trHeight w:val="195"/>
        </w:trPr>
        <w:tc>
          <w:tcPr>
            <w:tcW w:w="3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321"/>
        </w:trPr>
        <w:tc>
          <w:tcPr>
            <w:tcW w:w="394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2019-12-11T20:09:12Z</dcterms:created>
  <dcterms:modified xsi:type="dcterms:W3CDTF">2019-12-11T20:09:12Z</dcterms:modified>
</cp:coreProperties>
</file>