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Incorporated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 595112103</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3,340,874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32,358,848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32,358,848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14.989%</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rPr>
                <w:sz w:val="20"/>
                <w:szCs w:val="20"/>
                <w:color w:val="auto"/>
              </w:rPr>
            </w:pPr>
            <w:r>
              <w:rPr>
                <w:rFonts w:ascii="Courier New" w:cs="Courier New" w:eastAsia="Courier New" w:hAnsi="Courier New"/>
                <w:sz w:val="18"/>
                <w:szCs w:val="18"/>
                <w:color w:val="auto"/>
              </w:rPr>
              <w:t>HC</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32,358,848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32,358,848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14.989%</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rPr>
                <w:sz w:val="20"/>
                <w:szCs w:val="20"/>
                <w:color w:val="auto"/>
              </w:rPr>
            </w:pPr>
            <w:r>
              <w:rPr>
                <w:rFonts w:ascii="Courier New" w:cs="Courier New" w:eastAsia="Courier New" w:hAnsi="Courier New"/>
                <w:sz w:val="18"/>
                <w:szCs w:val="18"/>
                <w:color w:val="auto"/>
              </w:rPr>
              <w:t>IN</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32,358,848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32,358,848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14.989%</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Micron Technology Incorporated</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311"/>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8000 South</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Federal Way, P. O. Box 6</w:t>
            </w:r>
          </w:p>
        </w:tc>
      </w:tr>
      <w:tr>
        <w:trPr>
          <w:trHeight w:val="296"/>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Boise, ID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83716-9632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FMR Corp.</w:t>
            </w:r>
          </w:p>
        </w:tc>
        <w:tc>
          <w:tcPr>
            <w:tcW w:w="416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Address or Principal Business Office or, if None,</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14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595112103</w:t>
            </w:r>
          </w:p>
        </w:tc>
        <w:tc>
          <w:tcPr>
            <w:tcW w:w="4160" w:type="dxa"/>
            <w:vAlign w:val="bottom"/>
          </w:tcPr>
          <w:p>
            <w:pPr>
              <w:spacing w:after="0"/>
              <w:rPr>
                <w:sz w:val="24"/>
                <w:szCs w:val="24"/>
                <w:color w:val="auto"/>
              </w:rPr>
            </w:pPr>
          </w:p>
        </w:tc>
      </w:tr>
    </w:tbl>
    <w:p>
      <w:pPr>
        <w:spacing w:after="0" w:line="109" w:lineRule="exact"/>
        <w:rPr>
          <w:sz w:val="24"/>
          <w:szCs w:val="24"/>
          <w:color w:val="auto"/>
        </w:rPr>
      </w:pPr>
    </w:p>
    <w:p>
      <w:pPr>
        <w:ind w:right="293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420"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32,358,848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14.989%</w:t>
            </w:r>
          </w:p>
        </w:tc>
        <w:tc>
          <w:tcPr>
            <w:tcW w:w="110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3,340,874</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860" w:right="2839" w:hanging="9"/>
        <w:spacing w:after="0" w:line="347"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32,358,848</w:t>
      </w:r>
    </w:p>
    <w:p>
      <w:pPr>
        <w:spacing w:after="0" w:line="1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2619" w:firstLine="843"/>
        <w:spacing w:after="0" w:line="306"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 No one person's interest in the common stock of Micron Technology Incorporated is more than five percent of the total outstanding common stock.</w:t>
      </w:r>
    </w:p>
    <w:p>
      <w:pPr>
        <w:spacing w:after="0" w:line="60" w:lineRule="exact"/>
        <w:rPr>
          <w:sz w:val="20"/>
          <w:szCs w:val="20"/>
          <w:color w:val="auto"/>
        </w:rPr>
      </w:pPr>
    </w:p>
    <w:p>
      <w:pPr>
        <w:ind w:right="283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61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39" w:firstLine="843"/>
        <w:spacing w:after="0" w:line="26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Micron Technology Incorporated at December 31, 1998 is true, complete and correct.</w:t>
      </w:r>
    </w:p>
    <w:p>
      <w:pPr>
        <w:spacing w:after="0" w:line="2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12" w:right="1440" w:bottom="0" w:gutter="0" w:footer="0" w:header="0"/>
        </w:sectPr>
      </w:pPr>
    </w:p>
    <w:bookmarkStart w:id="2" w:name="page3"/>
    <w:bookmarkEnd w:id="2"/>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2619" w:firstLine="843"/>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28,599,915 shares or 13.248% of the common stock outstanding of Micron Technology Incorporated ("the Company") as a result of acting as investment adviser to various investment companies registered under Section 8 of the Investment Company Act of 1940, and as a result of acting as sub-adviser to Fidelity American Special Situations Trust ("FASST"). The number of shares of common stock of Micron Technology Incorporated owned by the investment companies at December 31, 1998 included 2,299,813 shares of common stock resulting from the assumed conversion of $155,110,000 principal amount of the 7% Convertible Subordinated Debenture 7/01/04 (14.827 shares of common stock for each $1,000 principal amount of the convertible subordinated debenture).</w:t>
      </w:r>
    </w:p>
    <w:p>
      <w:pPr>
        <w:spacing w:after="0" w:line="113" w:lineRule="exact"/>
        <w:rPr>
          <w:sz w:val="20"/>
          <w:szCs w:val="20"/>
          <w:color w:val="auto"/>
        </w:rPr>
      </w:pPr>
    </w:p>
    <w:p>
      <w:pPr>
        <w:ind w:right="2739" w:firstLine="843"/>
        <w:spacing w:after="0" w:line="265"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90" w:lineRule="exact"/>
        <w:rPr>
          <w:sz w:val="20"/>
          <w:szCs w:val="20"/>
          <w:color w:val="auto"/>
        </w:rPr>
      </w:pPr>
    </w:p>
    <w:p>
      <w:pPr>
        <w:ind w:right="251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28,479,715 shares owned by the Funds.</w:t>
      </w:r>
    </w:p>
    <w:p>
      <w:pPr>
        <w:spacing w:after="0" w:line="66" w:lineRule="exact"/>
        <w:rPr>
          <w:sz w:val="20"/>
          <w:szCs w:val="20"/>
          <w:color w:val="auto"/>
        </w:rPr>
      </w:pPr>
    </w:p>
    <w:p>
      <w:pPr>
        <w:ind w:right="303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3" w:lineRule="exact"/>
        <w:rPr>
          <w:sz w:val="20"/>
          <w:szCs w:val="20"/>
          <w:color w:val="auto"/>
        </w:rPr>
      </w:pPr>
    </w:p>
    <w:p>
      <w:pPr>
        <w:ind w:right="2739" w:firstLine="843"/>
        <w:spacing w:after="0" w:line="292"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120,200 shares held by FASST.</w:t>
      </w:r>
    </w:p>
    <w:p>
      <w:pPr>
        <w:spacing w:after="0" w:line="66" w:lineRule="exact"/>
        <w:rPr>
          <w:sz w:val="20"/>
          <w:szCs w:val="20"/>
          <w:color w:val="auto"/>
        </w:rPr>
      </w:pPr>
    </w:p>
    <w:p>
      <w:pPr>
        <w:ind w:right="2619" w:firstLine="843"/>
        <w:spacing w:after="0" w:line="249"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3,483,931 shares or 1.613% of the common stock outstanding of the Company as a result of its serving as investment manager of the institutional account(s). The number of shares of common stock of Micron Technology Incorporated owned by the institutional account(s) at December 31, 1998 included 76,205 shares of common stock resulting from the assumed conversion of $5,140,000 principal amount of the 7% Convertible Subordinated Debenture 7/01/04 described above.</w:t>
      </w:r>
    </w:p>
    <w:p>
      <w:pPr>
        <w:spacing w:after="0" w:line="104" w:lineRule="exact"/>
        <w:rPr>
          <w:sz w:val="20"/>
          <w:szCs w:val="20"/>
          <w:color w:val="auto"/>
        </w:rPr>
      </w:pPr>
    </w:p>
    <w:p>
      <w:pPr>
        <w:ind w:right="2739" w:firstLine="843"/>
        <w:spacing w:after="0" w:line="260"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3,483,931 shares and sole power to vote or to direct the voting of 2,975,973 shares, and no power to vote or to direct the voting of 507,958 shares of common stock owned by the institutional account(s) as reported above.</w:t>
      </w:r>
    </w:p>
    <w:p>
      <w:pPr>
        <w:spacing w:after="0" w:line="93" w:lineRule="exact"/>
        <w:rPr>
          <w:sz w:val="20"/>
          <w:szCs w:val="20"/>
          <w:color w:val="auto"/>
        </w:rPr>
      </w:pPr>
    </w:p>
    <w:p>
      <w:pPr>
        <w:ind w:right="2739" w:firstLine="843"/>
        <w:spacing w:after="0" w:line="281"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90" w:lineRule="exact"/>
        <w:rPr>
          <w:sz w:val="20"/>
          <w:szCs w:val="20"/>
          <w:color w:val="auto"/>
        </w:rPr>
      </w:pPr>
    </w:p>
    <w:p>
      <w:pPr>
        <w:ind w:right="3159" w:firstLine="843"/>
        <w:spacing w:after="0" w:line="306"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w:t>
      </w:r>
    </w:p>
    <w:p>
      <w:pPr>
        <w:sectPr>
          <w:pgSz w:w="11900" w:h="16862" w:orient="portrait"/>
          <w:cols w:equalWidth="0" w:num="1">
            <w:col w:w="10219"/>
          </w:cols>
          <w:pgMar w:left="240" w:top="515" w:right="1440" w:bottom="0" w:gutter="0" w:footer="0" w:header="0"/>
        </w:sectPr>
      </w:pPr>
    </w:p>
    <w:bookmarkStart w:id="3" w:name="page4"/>
    <w:bookmarkEnd w:id="3"/>
    <w:p>
      <w:pPr>
        <w:ind w:right="2839"/>
        <w:spacing w:after="0" w:line="245" w:lineRule="auto"/>
        <w:rPr>
          <w:sz w:val="20"/>
          <w:szCs w:val="20"/>
          <w:color w:val="auto"/>
        </w:rPr>
      </w:pPr>
      <w:r>
        <w:rPr>
          <w:rFonts w:ascii="Courier New" w:cs="Courier New" w:eastAsia="Courier New" w:hAnsi="Courier New"/>
          <w:sz w:val="18"/>
          <w:szCs w:val="18"/>
          <w:color w:val="auto"/>
        </w:rPr>
        <w:t>beneficial owner of 395,200 shares or 0.183% of the common stock outstanding of the Company, which includes 120,200 shares or 0.055% of the common stock outstanding of the company owned by FASST. Additional information with respect to the beneficial ownership of Fidelity International Limited is shown on Exhibit B, page 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2619" w:firstLine="843"/>
        <w:spacing w:after="0" w:line="250"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395,200 shares or 0.183% of the common stock outstanding of Micron Technology Incorporated, which includes 120,200 shares or 0.055% of the common stock outstanding of the company owned by FASST.</w:t>
      </w:r>
    </w:p>
    <w:p>
      <w:pPr>
        <w:spacing w:after="0" w:line="104" w:lineRule="exact"/>
        <w:rPr>
          <w:sz w:val="20"/>
          <w:szCs w:val="20"/>
          <w:color w:val="auto"/>
        </w:rPr>
      </w:pPr>
    </w:p>
    <w:p>
      <w:pPr>
        <w:ind w:right="2739" w:firstLine="843"/>
        <w:spacing w:after="0" w:line="253"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104" w:lineRule="exact"/>
        <w:rPr>
          <w:sz w:val="20"/>
          <w:szCs w:val="20"/>
          <w:color w:val="auto"/>
        </w:rPr>
      </w:pPr>
    </w:p>
    <w:p>
      <w:pPr>
        <w:ind w:right="2739" w:firstLine="843"/>
        <w:spacing w:after="0" w:line="252"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99" w:lineRule="exact"/>
        <w:rPr>
          <w:sz w:val="20"/>
          <w:szCs w:val="20"/>
          <w:color w:val="auto"/>
        </w:rPr>
      </w:pPr>
    </w:p>
    <w:p>
      <w:pPr>
        <w:ind w:right="2739" w:firstLine="843"/>
        <w:spacing w:after="0" w:line="250"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104" w:lineRule="exact"/>
        <w:rPr>
          <w:sz w:val="20"/>
          <w:szCs w:val="20"/>
          <w:color w:val="auto"/>
        </w:rPr>
      </w:pPr>
    </w:p>
    <w:p>
      <w:pPr>
        <w:ind w:right="2739" w:firstLine="843"/>
        <w:spacing w:after="0" w:line="265"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90" w:lineRule="exact"/>
        <w:rPr>
          <w:sz w:val="20"/>
          <w:szCs w:val="20"/>
          <w:color w:val="auto"/>
        </w:rPr>
      </w:pPr>
    </w:p>
    <w:p>
      <w:pPr>
        <w:ind w:right="2739" w:firstLine="843"/>
        <w:spacing w:after="0" w:line="252"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99" w:lineRule="exact"/>
        <w:rPr>
          <w:sz w:val="20"/>
          <w:szCs w:val="20"/>
          <w:color w:val="auto"/>
        </w:rPr>
      </w:pPr>
    </w:p>
    <w:p>
      <w:pPr>
        <w:ind w:right="2619" w:firstLine="843"/>
        <w:spacing w:after="0" w:line="276"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3" w:lineRule="exact"/>
        <w:rPr>
          <w:sz w:val="20"/>
          <w:szCs w:val="20"/>
          <w:color w:val="auto"/>
        </w:rPr>
      </w:pPr>
    </w:p>
    <w:p>
      <w:pPr>
        <w:ind w:right="2739" w:firstLine="8"/>
        <w:spacing w:after="0" w:line="252"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0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FIL has sole dispositive power over 395,200 shares owned by the</w:t>
      </w:r>
    </w:p>
    <w:p>
      <w:pPr>
        <w:sectPr>
          <w:pgSz w:w="11900" w:h="16838" w:orient="portrait"/>
          <w:cols w:equalWidth="0" w:num="1">
            <w:col w:w="10219"/>
          </w:cols>
          <w:pgMar w:left="240" w:top="110" w:right="1440" w:bottom="0" w:gutter="0" w:footer="0" w:header="0"/>
        </w:sectPr>
      </w:pPr>
    </w:p>
    <w:bookmarkStart w:id="4" w:name="page5"/>
    <w:bookmarkEnd w:id="4"/>
    <w:p>
      <w:pPr>
        <w:ind w:right="2739"/>
        <w:spacing w:after="0" w:line="306" w:lineRule="auto"/>
        <w:rPr>
          <w:sz w:val="20"/>
          <w:szCs w:val="20"/>
          <w:color w:val="auto"/>
        </w:rPr>
      </w:pPr>
      <w:r>
        <w:rPr>
          <w:rFonts w:ascii="Courier New" w:cs="Courier New" w:eastAsia="Courier New" w:hAnsi="Courier New"/>
          <w:sz w:val="16"/>
          <w:szCs w:val="16"/>
          <w:color w:val="auto"/>
        </w:rPr>
        <w:t>International Funds. FIL has sole power to vote or direct the voting of 364,900 shares and no power to vote or direct the voting of 30,300 shares of common stock held by the International Funds as reported above. FIL, FMR Corp., through its control of Fidelity, and FASST each has sole power to vote and to dispose of 120,200 shares held by FASST.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2619" w:firstLine="843"/>
        <w:spacing w:after="0" w:line="274" w:lineRule="auto"/>
        <w:rPr>
          <w:sz w:val="20"/>
          <w:szCs w:val="20"/>
          <w:color w:val="auto"/>
        </w:rPr>
      </w:pPr>
      <w:r>
        <w:rPr>
          <w:rFonts w:ascii="Courier New" w:cs="Courier New" w:eastAsia="Courier New" w:hAnsi="Courier New"/>
          <w:sz w:val="18"/>
          <w:szCs w:val="18"/>
          <w:color w:val="auto"/>
        </w:rPr>
        <w:t>The undersigned persons, on February 01, 1999, agree and consent to the joint filing on their behalf of this Schedule 13G in connection with their beneficial ownership of the common stock of Micron Technology Incorporated at December 31, 1998.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96"/>
        </w:trPr>
        <w:tc>
          <w:tcPr>
            <w:tcW w:w="3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2019-12-13T13:18:17Z</dcterms:created>
  <dcterms:modified xsi:type="dcterms:W3CDTF">2019-12-13T13:18:17Z</dcterms:modified>
</cp:coreProperties>
</file>