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47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Poppen Joel 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02/11/2021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37"/>
        <w:spacing w:after="0"/>
        <w:rPr>
          <w:sz w:val="20"/>
          <w:szCs w:val="20"/>
          <w:color w:val="auto"/>
        </w:rPr>
      </w:pPr>
      <w:r>
        <w:rPr>
          <w:rFonts w:ascii="Arial" w:cs="Arial" w:eastAsia="Arial" w:hAnsi="Arial"/>
          <w:sz w:val="16"/>
          <w:szCs w:val="16"/>
          <w:color w:val="0000FF"/>
        </w:rPr>
        <w:t>SVP, General Counsel&amp;Secretary</w:t>
      </w:r>
    </w:p>
    <w:p>
      <w:pPr>
        <w:spacing w:after="0" w:line="323" w:lineRule="exact"/>
        <w:rPr>
          <w:sz w:val="24"/>
          <w:szCs w:val="24"/>
          <w:color w:val="auto"/>
        </w:rPr>
      </w:pPr>
    </w:p>
    <w:p>
      <w:pPr>
        <w:sectPr>
          <w:pgSz w:w="11900" w:h="16838" w:orient="portrait"/>
          <w:cols w:equalWidth="0" w:num="3">
            <w:col w:w="3200" w:space="720"/>
            <w:col w:w="3280" w:space="543"/>
            <w:col w:w="3337"/>
          </w:cols>
          <w:pgMar w:left="460" w:top="222" w:right="359" w:bottom="47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350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35013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47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51"/>
              <w:spacing w:after="0"/>
              <w:rPr>
                <w:sz w:val="20"/>
                <w:szCs w:val="20"/>
                <w:color w:val="auto"/>
              </w:rPr>
            </w:pPr>
            <w:r>
              <w:rPr>
                <w:rFonts w:ascii="Arial" w:cs="Arial" w:eastAsia="Arial" w:hAnsi="Arial"/>
                <w:sz w:val="17"/>
                <w:szCs w:val="17"/>
                <w:color w:val="0000FF"/>
                <w:w w:val="89"/>
              </w:rPr>
              <w:t>02/11/2021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3"/>
              <w:spacing w:after="0"/>
              <w:rPr>
                <w:sz w:val="20"/>
                <w:szCs w:val="20"/>
                <w:color w:val="auto"/>
              </w:rPr>
            </w:pPr>
            <w:r>
              <w:rPr>
                <w:rFonts w:ascii="Arial" w:cs="Arial" w:eastAsia="Arial" w:hAnsi="Arial"/>
                <w:sz w:val="13"/>
                <w:szCs w:val="13"/>
                <w:color w:val="0000FF"/>
              </w:rPr>
              <w:t>M</w:t>
            </w:r>
          </w:p>
        </w:tc>
        <w:tc>
          <w:tcPr>
            <w:tcW w:w="680" w:type="dxa"/>
            <w:vAlign w:val="bottom"/>
          </w:tcPr>
          <w:p>
            <w:pPr>
              <w:jc w:val="center"/>
              <w:ind w:left="111"/>
              <w:spacing w:after="0"/>
              <w:rPr>
                <w:sz w:val="20"/>
                <w:szCs w:val="20"/>
                <w:color w:val="auto"/>
              </w:rPr>
            </w:pPr>
            <w:r>
              <w:rPr>
                <w:rFonts w:ascii="Arial" w:cs="Arial" w:eastAsia="Arial" w:hAnsi="Arial"/>
                <w:sz w:val="17"/>
                <w:szCs w:val="17"/>
                <w:color w:val="0000FF"/>
                <w:w w:val="89"/>
              </w:rPr>
              <w:t>4,984</w:t>
            </w:r>
          </w:p>
        </w:tc>
        <w:tc>
          <w:tcPr>
            <w:tcW w:w="680" w:type="dxa"/>
            <w:vAlign w:val="bottom"/>
          </w:tcPr>
          <w:p>
            <w:pPr>
              <w:jc w:val="right"/>
              <w:ind w:right="154"/>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18.18</w:t>
            </w: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1"/>
              </w:rPr>
              <w:t>303,252</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Arial" w:cs="Arial" w:eastAsia="Arial" w:hAnsi="Arial"/>
                <w:sz w:val="17"/>
                <w:szCs w:val="17"/>
                <w:color w:val="0000FF"/>
                <w:w w:val="89"/>
              </w:rPr>
              <w:t>02/11/2021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1"/>
              </w:rPr>
              <w:t>860</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84.93</w:t>
            </w:r>
            <w:r>
              <w:rPr>
                <w:rFonts w:ascii="Arial" w:cs="Arial" w:eastAsia="Arial" w:hAnsi="Arial"/>
                <w:sz w:val="21"/>
                <w:szCs w:val="21"/>
                <w:color w:val="008000"/>
                <w:w w:val="95"/>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302,392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Arial" w:cs="Arial" w:eastAsia="Arial" w:hAnsi="Arial"/>
                <w:sz w:val="17"/>
                <w:szCs w:val="17"/>
                <w:color w:val="0000FF"/>
                <w:w w:val="89"/>
              </w:rPr>
              <w:t>02/11/2021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3,000</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85.82</w:t>
            </w:r>
            <w:r>
              <w:rPr>
                <w:rFonts w:ascii="Arial" w:cs="Arial" w:eastAsia="Arial" w:hAnsi="Arial"/>
                <w:sz w:val="21"/>
                <w:szCs w:val="21"/>
                <w:color w:val="008000"/>
                <w:w w:val="95"/>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299,392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Arial" w:cs="Arial" w:eastAsia="Arial" w:hAnsi="Arial"/>
                <w:sz w:val="17"/>
                <w:szCs w:val="17"/>
                <w:color w:val="0000FF"/>
                <w:w w:val="89"/>
              </w:rPr>
              <w:t>02/11/2021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1,124</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86.43</w:t>
            </w:r>
            <w:r>
              <w:rPr>
                <w:rFonts w:ascii="Arial" w:cs="Arial" w:eastAsia="Arial" w:hAnsi="Arial"/>
                <w:sz w:val="21"/>
                <w:szCs w:val="21"/>
                <w:color w:val="008000"/>
                <w:w w:val="95"/>
                <w:vertAlign w:val="superscript"/>
              </w:rPr>
              <w:t>(4)</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298,767</w:t>
            </w:r>
            <w:r>
              <w:rPr>
                <w:rFonts w:ascii="Arial" w:cs="Arial" w:eastAsia="Arial" w:hAnsi="Arial"/>
                <w:sz w:val="21"/>
                <w:szCs w:val="21"/>
                <w:color w:val="008000"/>
                <w:w w:val="86"/>
                <w:vertAlign w:val="superscript"/>
              </w:rPr>
              <w:t>(5)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3"/>
              </w:rPr>
              <w:t>3,650</w:t>
            </w:r>
            <w:r>
              <w:rPr>
                <w:rFonts w:ascii="Arial" w:cs="Arial" w:eastAsia="Arial" w:hAnsi="Arial"/>
                <w:sz w:val="21"/>
                <w:szCs w:val="21"/>
                <w:color w:val="008000"/>
                <w:w w:val="83"/>
                <w:vertAlign w:val="superscript"/>
              </w:rPr>
              <w:t>(6)</w:t>
            </w:r>
          </w:p>
        </w:tc>
        <w:tc>
          <w:tcPr>
            <w:tcW w:w="260" w:type="dxa"/>
            <w:vAlign w:val="bottom"/>
          </w:tcPr>
          <w:p>
            <w:pPr>
              <w:spacing w:after="0"/>
              <w:rPr>
                <w:sz w:val="18"/>
                <w:szCs w:val="18"/>
                <w:color w:val="auto"/>
              </w:rPr>
            </w:pPr>
          </w:p>
        </w:tc>
        <w:tc>
          <w:tcPr>
            <w:tcW w:w="680" w:type="dxa"/>
            <w:vAlign w:val="bottom"/>
            <w:vMerge w:val="restart"/>
          </w:tcPr>
          <w:p>
            <w:pPr>
              <w:jc w:val="center"/>
              <w:ind w:right="31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Jointly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with</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60" w:type="dxa"/>
            <w:vAlign w:val="bottom"/>
            <w:gridSpan w:val="10"/>
          </w:tcPr>
          <w:p>
            <w:pPr>
              <w:jc w:val="center"/>
              <w:ind w:left="29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18.18</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02/11/2021</w:t>
            </w:r>
          </w:p>
        </w:tc>
        <w:tc>
          <w:tcPr>
            <w:tcW w:w="110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4,984</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(7)</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10/14/2023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4,984</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39,872</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4"/>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November 18,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$84.30 to $85.24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$85.31 to $86.28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$86.32 to $86.56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499 shares acquired under the Micron Technology, Inc. Employee Stock Purchase Plan, which acquisition is exempt from reporting under Rule 16a-3(f)(1)(i)(B).</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previously were inadvertently reported as directly held.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October 14, 2016, 2017, 2018, and 2019.</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02/16/2021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4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95382"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2021-02-16T17:04:24Z</dcterms:created>
  <dcterms:modified xsi:type="dcterms:W3CDTF">2021-02-16T17:04:24Z</dcterms:modified>
</cp:coreProperties>
</file>