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621030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10-Q</w:t>
      </w:r>
    </w:p>
    <w:p>
      <w:pPr>
        <w:spacing w:after="0" w:line="102"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(Mark One)</w:t>
      </w:r>
    </w:p>
    <w:p>
      <w:pPr>
        <w:spacing w:after="0" w:line="18" w:lineRule="exact"/>
        <w:rPr>
          <w:sz w:val="24"/>
          <w:szCs w:val="24"/>
          <w:color w:val="auto"/>
        </w:rPr>
      </w:pPr>
    </w:p>
    <w:p>
      <w:pPr>
        <w:ind w:left="1680" w:hanging="923"/>
        <w:spacing w:after="0"/>
        <w:tabs>
          <w:tab w:leader="none" w:pos="1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240"/>
          </w:cols>
          <w:pgMar w:left="320" w:top="233" w:right="339" w:bottom="1440" w:gutter="0" w:footer="0" w:header="0"/>
        </w:sectPr>
      </w:pPr>
    </w:p>
    <w:p>
      <w:pPr>
        <w:spacing w:after="0" w:line="158" w:lineRule="exact"/>
        <w:rPr>
          <w:sz w:val="24"/>
          <w:szCs w:val="24"/>
          <w:color w:val="auto"/>
        </w:rPr>
      </w:pPr>
    </w:p>
    <w:p>
      <w:pPr>
        <w:jc w:val="center"/>
        <w:ind w:right="-19"/>
        <w:spacing w:after="0"/>
        <w:tabs>
          <w:tab w:leader="none" w:pos="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1-10658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52070</wp:posOffset>
            </wp:positionV>
            <wp:extent cx="150876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 w:lineRule="exact"/>
        <w:rPr>
          <w:sz w:val="24"/>
          <w:szCs w:val="24"/>
          <w:color w:val="auto"/>
        </w:rPr>
      </w:pPr>
    </w:p>
    <w:tbl>
      <w:tblPr>
        <w:tblLayout w:type="fixed"/>
        <w:tblInd w:w="120" w:type="dxa"/>
        <w:tblCellMar>
          <w:top w:w="0" w:type="dxa"/>
          <w:left w:w="0" w:type="dxa"/>
          <w:bottom w:w="0" w:type="dxa"/>
          <w:right w:w="0" w:type="dxa"/>
        </w:tblCellMar>
      </w:tblPr>
      <w:tr>
        <w:trPr>
          <w:trHeight w:val="229"/>
        </w:trPr>
        <w:tc>
          <w:tcPr>
            <w:tcW w:w="6020" w:type="dxa"/>
            <w:vAlign w:val="bottom"/>
          </w:tcPr>
          <w:p>
            <w:pPr>
              <w:jc w:val="center"/>
              <w:ind w:right="1292"/>
              <w:spacing w:after="0"/>
              <w:rPr>
                <w:sz w:val="20"/>
                <w:szCs w:val="20"/>
                <w:color w:val="auto"/>
              </w:rPr>
            </w:pPr>
            <w:r>
              <w:rPr>
                <w:rFonts w:ascii="Arial" w:cs="Arial" w:eastAsia="Arial" w:hAnsi="Arial"/>
                <w:sz w:val="18"/>
                <w:szCs w:val="18"/>
                <w:b w:val="1"/>
                <w:bCs w:val="1"/>
                <w:color w:val="auto"/>
              </w:rPr>
              <w:t>Delaware</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75-1618004</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9"/>
              </w:rPr>
              <w:t>(I.R.S. Employer Identification No.)</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6"/>
                <w:szCs w:val="16"/>
                <w:b w:val="1"/>
                <w:bCs w:val="1"/>
                <w:color w:val="auto"/>
              </w:rPr>
              <w:t>8000 S. Federal Way, Boise, Idaho</w:t>
            </w:r>
          </w:p>
        </w:tc>
        <w:tc>
          <w:tcPr>
            <w:tcW w:w="4140" w:type="dxa"/>
            <w:vAlign w:val="bottom"/>
          </w:tcPr>
          <w:p>
            <w:pPr>
              <w:jc w:val="center"/>
              <w:ind w:left="1292"/>
              <w:spacing w:after="0"/>
              <w:rPr>
                <w:sz w:val="20"/>
                <w:szCs w:val="20"/>
                <w:color w:val="auto"/>
              </w:rPr>
            </w:pPr>
            <w:r>
              <w:rPr>
                <w:rFonts w:ascii="Arial" w:cs="Arial" w:eastAsia="Arial" w:hAnsi="Arial"/>
                <w:sz w:val="18"/>
                <w:szCs w:val="18"/>
                <w:b w:val="1"/>
                <w:bCs w:val="1"/>
                <w:color w:val="auto"/>
                <w:w w:val="99"/>
              </w:rPr>
              <w:t>83716-9632</w:t>
            </w:r>
          </w:p>
        </w:tc>
      </w:tr>
      <w:tr>
        <w:trPr>
          <w:trHeight w:val="230"/>
        </w:trPr>
        <w:tc>
          <w:tcPr>
            <w:tcW w:w="6020" w:type="dxa"/>
            <w:vAlign w:val="bottom"/>
          </w:tcPr>
          <w:p>
            <w:pPr>
              <w:jc w:val="center"/>
              <w:ind w:right="1292"/>
              <w:spacing w:after="0"/>
              <w:rPr>
                <w:sz w:val="20"/>
                <w:szCs w:val="20"/>
                <w:color w:val="auto"/>
              </w:rPr>
            </w:pPr>
            <w:r>
              <w:rPr>
                <w:rFonts w:ascii="Arial" w:cs="Arial" w:eastAsia="Arial" w:hAnsi="Arial"/>
                <w:sz w:val="18"/>
                <w:szCs w:val="18"/>
                <w:color w:val="auto"/>
                <w:w w:val="99"/>
              </w:rPr>
              <w:t>(Address of principal executive offices)</w:t>
            </w:r>
          </w:p>
        </w:tc>
        <w:tc>
          <w:tcPr>
            <w:tcW w:w="4140" w:type="dxa"/>
            <w:vAlign w:val="bottom"/>
          </w:tcPr>
          <w:p>
            <w:pPr>
              <w:jc w:val="center"/>
              <w:ind w:left="1292"/>
              <w:spacing w:after="0"/>
              <w:rPr>
                <w:sz w:val="20"/>
                <w:szCs w:val="20"/>
                <w:color w:val="auto"/>
              </w:rPr>
            </w:pPr>
            <w:r>
              <w:rPr>
                <w:rFonts w:ascii="Arial" w:cs="Arial" w:eastAsia="Arial" w:hAnsi="Arial"/>
                <w:sz w:val="18"/>
                <w:szCs w:val="18"/>
                <w:color w:val="auto"/>
                <w:w w:val="98"/>
              </w:rPr>
              <w:t>(Zip Code)</w:t>
            </w:r>
          </w:p>
        </w:tc>
      </w:tr>
      <w:tr>
        <w:trPr>
          <w:trHeight w:val="239"/>
        </w:trPr>
        <w:tc>
          <w:tcPr>
            <w:tcW w:w="6020" w:type="dxa"/>
            <w:vAlign w:val="bottom"/>
          </w:tcPr>
          <w:p>
            <w:pPr>
              <w:jc w:val="center"/>
              <w:ind w:right="1312"/>
              <w:spacing w:after="0"/>
              <w:rPr>
                <w:sz w:val="20"/>
                <w:szCs w:val="20"/>
                <w:color w:val="auto"/>
              </w:rPr>
            </w:pPr>
            <w:r>
              <w:rPr>
                <w:rFonts w:ascii="Arial" w:cs="Arial" w:eastAsia="Arial" w:hAnsi="Arial"/>
                <w:sz w:val="18"/>
                <w:szCs w:val="18"/>
                <w:color w:val="auto"/>
                <w:w w:val="99"/>
              </w:rPr>
              <w:t>(Registrant’s telephone number, including area code)</w:t>
            </w:r>
          </w:p>
        </w:tc>
        <w:tc>
          <w:tcPr>
            <w:tcW w:w="4140" w:type="dxa"/>
            <w:vAlign w:val="bottom"/>
          </w:tcPr>
          <w:p>
            <w:pPr>
              <w:jc w:val="center"/>
              <w:ind w:left="1292"/>
              <w:spacing w:after="0"/>
              <w:rPr>
                <w:sz w:val="20"/>
                <w:szCs w:val="20"/>
                <w:color w:val="auto"/>
              </w:rPr>
            </w:pPr>
            <w:r>
              <w:rPr>
                <w:rFonts w:ascii="Arial" w:cs="Arial" w:eastAsia="Arial" w:hAnsi="Arial"/>
                <w:sz w:val="16"/>
                <w:szCs w:val="16"/>
                <w:b w:val="1"/>
                <w:bCs w:val="1"/>
                <w:color w:val="auto"/>
              </w:rPr>
              <w:t>(208) 368-4000</w:t>
            </w:r>
          </w:p>
        </w:tc>
      </w:tr>
    </w:tbl>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25"/>
        </w:trPr>
        <w:tc>
          <w:tcPr>
            <w:tcW w:w="4920" w:type="dxa"/>
            <w:vAlign w:val="bottom"/>
            <w:gridSpan w:val="2"/>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Trading Symbol</w:t>
            </w:r>
          </w:p>
        </w:tc>
        <w:tc>
          <w:tcPr>
            <w:tcW w:w="4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8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Common Stock, par value $0.10 per share</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3860" w:type="dxa"/>
            <w:vAlign w:val="bottom"/>
            <w:tcBorders>
              <w:top w:val="single" w:sz="8" w:color="auto"/>
            </w:tcBorders>
            <w:gridSpan w:val="2"/>
          </w:tcPr>
          <w:p>
            <w:pPr>
              <w:jc w:val="center"/>
              <w:ind w:left="670"/>
              <w:spacing w:after="0"/>
              <w:rPr>
                <w:sz w:val="20"/>
                <w:szCs w:val="20"/>
                <w:color w:val="auto"/>
              </w:rPr>
            </w:pPr>
            <w:r>
              <w:rPr>
                <w:rFonts w:ascii="Arial" w:cs="Arial" w:eastAsia="Arial" w:hAnsi="Arial"/>
                <w:sz w:val="18"/>
                <w:szCs w:val="18"/>
                <w:color w:val="auto"/>
                <w:w w:val="99"/>
              </w:rPr>
              <w:t>Nasdaq Global Select Market</w:t>
            </w: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9520" w:type="dxa"/>
            <w:vAlign w:val="bottom"/>
            <w:gridSpan w:val="5"/>
          </w:tcPr>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w:t>
            </w:r>
          </w:p>
        </w:tc>
        <w:tc>
          <w:tcPr>
            <w:tcW w:w="88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4"/>
        </w:trPr>
        <w:tc>
          <w:tcPr>
            <w:tcW w:w="9520" w:type="dxa"/>
            <w:vAlign w:val="bottom"/>
            <w:gridSpan w:val="5"/>
          </w:tcPr>
          <w:p>
            <w:pPr>
              <w:spacing w:after="0" w:line="183" w:lineRule="exact"/>
              <w:rPr>
                <w:sz w:val="20"/>
                <w:szCs w:val="20"/>
                <w:color w:val="auto"/>
              </w:rPr>
            </w:pPr>
            <w:r>
              <w:rPr>
                <w:rFonts w:ascii="Arial" w:cs="Arial" w:eastAsia="Arial" w:hAnsi="Arial"/>
                <w:sz w:val="18"/>
                <w:szCs w:val="18"/>
                <w:color w:val="auto"/>
              </w:rPr>
              <w:t>Securities Exchange Act of 1934 during the preceding 12 months (or for such shorter period that the registrant was</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520" w:type="dxa"/>
            <w:vAlign w:val="bottom"/>
            <w:gridSpan w:val="5"/>
          </w:tcPr>
          <w:p>
            <w:pPr>
              <w:spacing w:after="0"/>
              <w:rPr>
                <w:sz w:val="20"/>
                <w:szCs w:val="20"/>
                <w:color w:val="auto"/>
              </w:rPr>
            </w:pPr>
            <w:r>
              <w:rPr>
                <w:rFonts w:ascii="Arial" w:cs="Arial" w:eastAsia="Arial" w:hAnsi="Arial"/>
                <w:sz w:val="18"/>
                <w:szCs w:val="18"/>
                <w:color w:val="auto"/>
              </w:rPr>
              <w:t>required to file such reports), and (2) has been subject to such filing requirements for the past 90 days.</w:t>
            </w:r>
          </w:p>
        </w:tc>
        <w:tc>
          <w:tcPr>
            <w:tcW w:w="880" w:type="dxa"/>
            <w:vAlign w:val="bottom"/>
            <w:vMerge w:val="restart"/>
          </w:tcPr>
          <w:p>
            <w:pPr>
              <w:ind w:left="2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80" w:type="dxa"/>
            <w:vAlign w:val="bottom"/>
            <w:vMerge w:val="restart"/>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9520" w:type="dxa"/>
            <w:vAlign w:val="bottom"/>
            <w:gridSpan w:val="5"/>
          </w:tcPr>
          <w:p>
            <w:pPr>
              <w:spacing w:after="0" w:line="181"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w:t>
            </w:r>
          </w:p>
        </w:tc>
        <w:tc>
          <w:tcPr>
            <w:tcW w:w="88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520" w:type="dxa"/>
            <w:vAlign w:val="bottom"/>
            <w:gridSpan w:val="5"/>
          </w:tcPr>
          <w:p>
            <w:pPr>
              <w:spacing w:after="0" w:line="201" w:lineRule="exact"/>
              <w:rPr>
                <w:sz w:val="20"/>
                <w:szCs w:val="20"/>
                <w:color w:val="auto"/>
              </w:rPr>
            </w:pPr>
            <w:r>
              <w:rPr>
                <w:rFonts w:ascii="Arial" w:cs="Arial" w:eastAsia="Arial" w:hAnsi="Arial"/>
                <w:sz w:val="18"/>
                <w:szCs w:val="18"/>
                <w:color w:val="auto"/>
              </w:rPr>
              <w:t>submitted pursuant to Rule 405 of Regulation S-T (§232.405 of this chapter) during the preceding 12 months (or for</w:t>
            </w: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8"/>
          <w:szCs w:val="18"/>
          <w:color w:val="auto"/>
        </w:rPr>
        <w:t>such shorter period that the registrant was required to submit such files).</w:t>
      </w:r>
    </w:p>
    <w:p>
      <w:pPr>
        <w:spacing w:after="0" w:line="14" w:lineRule="exact"/>
        <w:rPr>
          <w:sz w:val="24"/>
          <w:szCs w:val="24"/>
          <w:color w:val="auto"/>
        </w:rPr>
      </w:pPr>
    </w:p>
    <w:p>
      <w:pPr>
        <w:ind w:left="40" w:right="300"/>
        <w:spacing w:after="0" w:line="22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w:t>
      </w:r>
    </w:p>
    <w:p>
      <w:pPr>
        <w:ind w:left="40"/>
        <w:spacing w:after="0"/>
        <w:rPr>
          <w:sz w:val="20"/>
          <w:szCs w:val="20"/>
          <w:color w:val="auto"/>
        </w:rPr>
      </w:pPr>
      <w:r>
        <w:rPr>
          <w:rFonts w:ascii="Arial" w:cs="Arial" w:eastAsia="Arial" w:hAnsi="Arial"/>
          <w:sz w:val="18"/>
          <w:szCs w:val="18"/>
          <w:color w:val="auto"/>
        </w:rPr>
        <w:t>and “emerging growth company” in Rule 12b-2 of the Exchange Act.</w:t>
      </w:r>
    </w:p>
    <w:p>
      <w:pPr>
        <w:spacing w:after="0" w:line="8"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340" w:type="dxa"/>
            <w:vAlign w:val="bottom"/>
          </w:tcPr>
          <w:p>
            <w:pPr>
              <w:jc w:val="center"/>
              <w:ind w:right="32"/>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20" w:type="dxa"/>
            <w:vAlign w:val="bottom"/>
          </w:tcPr>
          <w:p>
            <w:pPr>
              <w:jc w:val="center"/>
              <w:ind w:left="115"/>
              <w:spacing w:after="0"/>
              <w:rPr>
                <w:sz w:val="20"/>
                <w:szCs w:val="20"/>
                <w:color w:val="auto"/>
              </w:rPr>
            </w:pPr>
            <w:r>
              <w:rPr>
                <w:rFonts w:ascii="Arial" w:cs="Arial" w:eastAsia="Arial" w:hAnsi="Arial"/>
                <w:sz w:val="16"/>
                <w:szCs w:val="16"/>
                <w:color w:val="auto"/>
              </w:rPr>
              <w:t>Non-Accelerated Filer</w:t>
            </w:r>
          </w:p>
        </w:tc>
        <w:tc>
          <w:tcPr>
            <w:tcW w:w="2420" w:type="dxa"/>
            <w:vAlign w:val="bottom"/>
          </w:tcPr>
          <w:p>
            <w:pPr>
              <w:jc w:val="center"/>
              <w:spacing w:after="0"/>
              <w:rPr>
                <w:sz w:val="20"/>
                <w:szCs w:val="20"/>
                <w:color w:val="auto"/>
              </w:rPr>
            </w:pPr>
            <w:r>
              <w:rPr>
                <w:rFonts w:ascii="Arial" w:cs="Arial" w:eastAsia="Arial" w:hAnsi="Arial"/>
                <w:sz w:val="16"/>
                <w:szCs w:val="16"/>
                <w:color w:val="auto"/>
              </w:rPr>
              <w:t>Smaller Reporting Company</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rPr>
              <w:t>Emerging Growth Company</w:t>
            </w:r>
          </w:p>
        </w:tc>
        <w:tc>
          <w:tcPr>
            <w:tcW w:w="0" w:type="dxa"/>
            <w:vAlign w:val="bottom"/>
          </w:tcPr>
          <w:p>
            <w:pPr>
              <w:spacing w:after="0"/>
              <w:rPr>
                <w:sz w:val="1"/>
                <w:szCs w:val="1"/>
                <w:color w:val="auto"/>
              </w:rPr>
            </w:pPr>
          </w:p>
        </w:tc>
      </w:tr>
      <w:tr>
        <w:trPr>
          <w:trHeight w:val="258"/>
        </w:trPr>
        <w:tc>
          <w:tcPr>
            <w:tcW w:w="2340" w:type="dxa"/>
            <w:vAlign w:val="bottom"/>
          </w:tcPr>
          <w:p>
            <w:pPr>
              <w:jc w:val="center"/>
              <w:ind w:right="52"/>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20" w:type="dxa"/>
            <w:vAlign w:val="bottom"/>
          </w:tcPr>
          <w:p>
            <w:pPr>
              <w:jc w:val="center"/>
              <w:ind w:left="135"/>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c>
          <w:tcPr>
            <w:tcW w:w="1360" w:type="dxa"/>
            <w:vAlign w:val="bottom"/>
          </w:tcPr>
          <w:p>
            <w:pPr>
              <w:jc w:val="center"/>
              <w:ind w:left="673"/>
              <w:spacing w:after="0" w:line="181" w:lineRule="exact"/>
              <w:rPr>
                <w:sz w:val="20"/>
                <w:szCs w:val="20"/>
                <w:color w:val="auto"/>
              </w:rPr>
            </w:pPr>
            <w:r>
              <w:rPr>
                <w:rFonts w:ascii="MS PGothic" w:cs="MS PGothic" w:eastAsia="MS PGothic" w:hAnsi="MS PGothic"/>
                <w:sz w:val="18"/>
                <w:szCs w:val="18"/>
                <w:color w:val="auto"/>
                <w:w w:val="88"/>
              </w:rPr>
              <w:t>☐</w:t>
            </w:r>
          </w:p>
        </w:tc>
        <w:tc>
          <w:tcPr>
            <w:tcW w:w="700" w:type="dxa"/>
            <w:vAlign w:val="bottom"/>
            <w:vMerge w:val="restart"/>
          </w:tcPr>
          <w:p>
            <w:pPr>
              <w:jc w:val="right"/>
              <w:ind w:right="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1"/>
        </w:trPr>
        <w:tc>
          <w:tcPr>
            <w:tcW w:w="10400" w:type="dxa"/>
            <w:vAlign w:val="bottom"/>
            <w:gridSpan w:val="5"/>
          </w:tcPr>
          <w:p>
            <w:pPr>
              <w:spacing w:after="0" w:line="181"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400" w:type="dxa"/>
            <w:vAlign w:val="bottom"/>
            <w:gridSpan w:val="5"/>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9040" w:type="dxa"/>
            <w:vAlign w:val="bottom"/>
            <w:gridSpan w:val="4"/>
          </w:tcPr>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tc>
        <w:tc>
          <w:tcPr>
            <w:tcW w:w="1360" w:type="dxa"/>
            <w:vAlign w:val="bottom"/>
          </w:tcPr>
          <w:p>
            <w:pPr>
              <w:ind w:left="6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700" w:type="dxa"/>
            <w:vAlign w:val="bottom"/>
          </w:tcPr>
          <w:p>
            <w:pPr>
              <w:jc w:val="right"/>
              <w:ind w:right="1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December 16, 2022 was 1,091,176,552.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ind w:left="9854"/>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423545</wp:posOffset>
            </wp:positionV>
            <wp:extent cx="6266180"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6180" cy="1903095"/>
                    </a:xfrm>
                    <a:prstGeom prst="rect">
                      <a:avLst/>
                    </a:prstGeom>
                    <a:noFill/>
                  </pic:spPr>
                </pic:pic>
              </a:graphicData>
            </a:graphic>
          </wp:anchor>
        </w:drawing>
      </w:r>
    </w:p>
    <w:p>
      <w:pPr>
        <w:sectPr>
          <w:pgSz w:w="11900" w:h="16838" w:orient="portrait"/>
          <w:cols w:equalWidth="0" w:num="1">
            <w:col w:w="11214"/>
          </w:cols>
          <w:pgMar w:left="346"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14"/>
        <w:spacing w:after="0" w:line="238"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2134235" cy="6249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249035"/>
                    </a:xfrm>
                    <a:prstGeom prst="rect">
                      <a:avLst/>
                    </a:prstGeom>
                    <a:noFill/>
                  </pic:spPr>
                </pic:pic>
              </a:graphicData>
            </a:graphic>
          </wp:anchor>
        </w:drawing>
      </w:r>
    </w:p>
    <w:p>
      <w:pPr>
        <w:ind w:left="214"/>
        <w:spacing w:after="0"/>
        <w:rPr>
          <w:sz w:val="20"/>
          <w:szCs w:val="20"/>
          <w:color w:val="auto"/>
        </w:rPr>
      </w:pPr>
      <w:r>
        <w:rPr>
          <w:rFonts w:ascii="Arial" w:cs="Arial" w:eastAsia="Arial" w:hAnsi="Arial"/>
          <w:sz w:val="18"/>
          <w:szCs w:val="18"/>
          <w:color w:val="FFFFFF"/>
        </w:rPr>
        <w:t>Founded on October 5, 1978</w:t>
      </w:r>
    </w:p>
    <w:p>
      <w:pPr>
        <w:spacing w:after="0" w:line="140"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ind w:left="214" w:right="500"/>
        <w:spacing w:after="0" w:line="229" w:lineRule="auto"/>
        <w:rPr>
          <w:sz w:val="20"/>
          <w:szCs w:val="20"/>
          <w:color w:val="auto"/>
        </w:rPr>
      </w:pPr>
      <w:r>
        <w:rPr>
          <w:rFonts w:ascii="Arial" w:cs="Arial" w:eastAsia="Arial" w:hAnsi="Arial"/>
          <w:sz w:val="18"/>
          <w:szCs w:val="18"/>
          <w:color w:val="FFFFFF"/>
        </w:rPr>
        <w:t>Largest semiconductor company in the world*</w:t>
      </w:r>
    </w:p>
    <w:p>
      <w:pPr>
        <w:spacing w:after="0" w:line="70"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127</w:t>
      </w:r>
    </w:p>
    <w:p>
      <w:pPr>
        <w:ind w:left="214"/>
        <w:spacing w:after="0"/>
        <w:rPr>
          <w:sz w:val="20"/>
          <w:szCs w:val="20"/>
          <w:color w:val="auto"/>
        </w:rPr>
      </w:pPr>
      <w:r>
        <w:rPr>
          <w:rFonts w:ascii="Arial" w:cs="Arial" w:eastAsia="Arial" w:hAnsi="Arial"/>
          <w:sz w:val="18"/>
          <w:szCs w:val="18"/>
          <w:color w:val="FFFFFF"/>
        </w:rPr>
        <w:t>On the 2022 Fortune 500</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~52,000</w:t>
      </w:r>
    </w:p>
    <w:p>
      <w:pPr>
        <w:ind w:left="214"/>
        <w:spacing w:after="0"/>
        <w:rPr>
          <w:sz w:val="20"/>
          <w:szCs w:val="20"/>
          <w:color w:val="auto"/>
        </w:rPr>
      </w:pPr>
      <w:r>
        <w:rPr>
          <w:rFonts w:ascii="Arial" w:cs="Arial" w:eastAsia="Arial" w:hAnsi="Arial"/>
          <w:sz w:val="18"/>
          <w:szCs w:val="18"/>
          <w:color w:val="FFFFFF"/>
        </w:rPr>
        <w:t>Patents granted and growing**</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ind w:left="214"/>
        <w:spacing w:after="0"/>
        <w:rPr>
          <w:sz w:val="20"/>
          <w:szCs w:val="20"/>
          <w:color w:val="auto"/>
        </w:rPr>
      </w:pPr>
      <w:r>
        <w:rPr>
          <w:rFonts w:ascii="Arial" w:cs="Arial" w:eastAsia="Arial" w:hAnsi="Arial"/>
          <w:sz w:val="18"/>
          <w:szCs w:val="18"/>
          <w:color w:val="FFFFFF"/>
        </w:rPr>
        <w:t>Countries**</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11</w:t>
      </w:r>
    </w:p>
    <w:p>
      <w:pPr>
        <w:ind w:left="214" w:right="1180"/>
        <w:spacing w:after="0" w:line="237" w:lineRule="auto"/>
        <w:rPr>
          <w:sz w:val="20"/>
          <w:szCs w:val="20"/>
          <w:color w:val="auto"/>
        </w:rPr>
      </w:pPr>
      <w:r>
        <w:rPr>
          <w:rFonts w:ascii="Arial" w:cs="Arial" w:eastAsia="Arial" w:hAnsi="Arial"/>
          <w:sz w:val="18"/>
          <w:szCs w:val="18"/>
          <w:color w:val="FFFFFF"/>
        </w:rPr>
        <w:t>Manufacturing sites and 19 customer labs**</w:t>
      </w:r>
    </w:p>
    <w:p>
      <w:pPr>
        <w:spacing w:after="0" w:line="56"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~49,000</w:t>
      </w:r>
    </w:p>
    <w:p>
      <w:pPr>
        <w:spacing w:after="0" w:line="13"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Team members**</w:t>
      </w:r>
    </w:p>
    <w:p>
      <w:pPr>
        <w:spacing w:after="0" w:line="200" w:lineRule="exact"/>
        <w:rPr>
          <w:sz w:val="20"/>
          <w:szCs w:val="20"/>
          <w:color w:val="auto"/>
        </w:rPr>
      </w:pPr>
    </w:p>
    <w:p>
      <w:pPr>
        <w:spacing w:after="0" w:line="322" w:lineRule="exact"/>
        <w:rPr>
          <w:sz w:val="20"/>
          <w:szCs w:val="20"/>
          <w:color w:val="auto"/>
        </w:rPr>
      </w:pPr>
    </w:p>
    <w:p>
      <w:pPr>
        <w:ind w:left="214" w:right="240"/>
        <w:spacing w:after="0" w:line="216" w:lineRule="auto"/>
        <w:rPr>
          <w:sz w:val="20"/>
          <w:szCs w:val="20"/>
          <w:color w:val="auto"/>
        </w:rPr>
      </w:pPr>
      <w:r>
        <w:rPr>
          <w:rFonts w:ascii="Arial" w:cs="Arial" w:eastAsia="Arial" w:hAnsi="Arial"/>
          <w:sz w:val="16"/>
          <w:szCs w:val="16"/>
          <w:color w:val="FFFFFF"/>
        </w:rPr>
        <w:t>*Based on Gartner Market Share: Semiconductors by End Market, Worldwide, 2021 (April 2022), excluding IP/software revenue.</w:t>
      </w:r>
    </w:p>
    <w:p>
      <w:pPr>
        <w:spacing w:after="0" w:line="2" w:lineRule="exact"/>
        <w:rPr>
          <w:sz w:val="20"/>
          <w:szCs w:val="20"/>
          <w:color w:val="auto"/>
        </w:rPr>
      </w:pPr>
    </w:p>
    <w:p>
      <w:pPr>
        <w:ind w:left="214"/>
        <w:spacing w:after="0"/>
        <w:rPr>
          <w:sz w:val="20"/>
          <w:szCs w:val="20"/>
          <w:color w:val="auto"/>
        </w:rPr>
      </w:pPr>
      <w:r>
        <w:rPr>
          <w:rFonts w:ascii="Arial" w:cs="Arial" w:eastAsia="Arial" w:hAnsi="Arial"/>
          <w:sz w:val="16"/>
          <w:szCs w:val="16"/>
          <w:color w:val="FFFFFF"/>
        </w:rPr>
        <w:t>**Micron data as of December 1, 2022.</w:t>
      </w:r>
    </w:p>
    <w:p>
      <w:pPr>
        <w:spacing w:after="0" w:line="273" w:lineRule="exact"/>
        <w:rPr>
          <w:sz w:val="20"/>
          <w:szCs w:val="20"/>
          <w:color w:val="auto"/>
        </w:rPr>
      </w:pPr>
    </w:p>
    <w:p>
      <w:pPr>
        <w:ind w:left="214" w:right="1040"/>
        <w:spacing w:after="0" w:line="251" w:lineRule="auto"/>
        <w:rPr>
          <w:sz w:val="20"/>
          <w:szCs w:val="20"/>
          <w:color w:val="auto"/>
        </w:rPr>
      </w:pPr>
      <w:r>
        <w:rPr>
          <w:rFonts w:ascii="Arial" w:cs="Arial" w:eastAsia="Arial" w:hAnsi="Arial"/>
          <w:sz w:val="16"/>
          <w:szCs w:val="16"/>
          <w:b w:val="1"/>
          <w:bCs w:val="1"/>
          <w:color w:val="FFFFFF"/>
        </w:rPr>
        <w:t xml:space="preserve">Media Inquiries </w:t>
      </w:r>
      <w:r>
        <w:rPr>
          <w:rFonts w:ascii="Arial" w:cs="Arial" w:eastAsia="Arial" w:hAnsi="Arial"/>
          <w:sz w:val="16"/>
          <w:szCs w:val="16"/>
          <w:color w:val="FFFFFF"/>
        </w:rPr>
        <w:t>mediarelations@micron.com</w:t>
      </w:r>
    </w:p>
    <w:p>
      <w:pPr>
        <w:spacing w:after="0" w:line="176" w:lineRule="exact"/>
        <w:rPr>
          <w:sz w:val="20"/>
          <w:szCs w:val="20"/>
          <w:color w:val="auto"/>
        </w:rPr>
      </w:pPr>
    </w:p>
    <w:p>
      <w:pPr>
        <w:ind w:left="214"/>
        <w:spacing w:after="0"/>
        <w:rPr>
          <w:sz w:val="20"/>
          <w:szCs w:val="20"/>
          <w:color w:val="auto"/>
        </w:rPr>
      </w:pPr>
      <w:r>
        <w:rPr>
          <w:rFonts w:ascii="Arial" w:cs="Arial" w:eastAsia="Arial" w:hAnsi="Arial"/>
          <w:sz w:val="16"/>
          <w:szCs w:val="16"/>
          <w:b w:val="1"/>
          <w:bCs w:val="1"/>
          <w:color w:val="FFFFFF"/>
        </w:rPr>
        <w:t>Government Inquiries</w:t>
      </w:r>
    </w:p>
    <w:p>
      <w:pPr>
        <w:ind w:left="214"/>
        <w:spacing w:after="0"/>
        <w:rPr>
          <w:sz w:val="20"/>
          <w:szCs w:val="20"/>
          <w:color w:val="auto"/>
        </w:rPr>
      </w:pPr>
      <w:r>
        <w:rPr>
          <w:rFonts w:ascii="Arial" w:cs="Arial" w:eastAsia="Arial" w:hAnsi="Arial"/>
          <w:sz w:val="16"/>
          <w:szCs w:val="16"/>
          <w:color w:val="FFFFFF"/>
        </w:rPr>
        <w:t>govaffairs@micron.com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13" w:lineRule="exact"/>
        <w:rPr>
          <w:sz w:val="20"/>
          <w:szCs w:val="20"/>
          <w:color w:val="auto"/>
        </w:rPr>
      </w:pPr>
    </w:p>
    <w:p>
      <w:pPr>
        <w:spacing w:after="0"/>
        <w:rPr>
          <w:sz w:val="20"/>
          <w:szCs w:val="20"/>
          <w:color w:val="auto"/>
        </w:rPr>
      </w:pPr>
      <w:r>
        <w:rPr>
          <w:rFonts w:ascii="Arial" w:cs="Arial" w:eastAsia="Arial" w:hAnsi="Arial"/>
          <w:sz w:val="25"/>
          <w:szCs w:val="25"/>
          <w:b w:val="1"/>
          <w:bCs w:val="1"/>
          <w:color w:val="0090DA"/>
        </w:rPr>
        <w:t>Data is today’s new business currency, and memory</w:t>
      </w:r>
    </w:p>
    <w:p>
      <w:pPr>
        <w:ind w:right="1500"/>
        <w:spacing w:after="0" w:line="208" w:lineRule="auto"/>
        <w:rPr>
          <w:sz w:val="20"/>
          <w:szCs w:val="20"/>
          <w:color w:val="auto"/>
        </w:rPr>
      </w:pPr>
      <w:r>
        <w:rPr>
          <w:rFonts w:ascii="Arial" w:cs="Arial" w:eastAsia="Arial" w:hAnsi="Arial"/>
          <w:sz w:val="25"/>
          <w:szCs w:val="25"/>
          <w:b w:val="1"/>
          <w:bCs w:val="1"/>
          <w:color w:val="0090DA"/>
        </w:rPr>
        <w:t>and storage are a critical foundation for the data economy. Memory and storage innovations will help</w:t>
      </w:r>
    </w:p>
    <w:p>
      <w:pPr>
        <w:spacing w:after="0" w:line="1" w:lineRule="exact"/>
        <w:rPr>
          <w:sz w:val="20"/>
          <w:szCs w:val="20"/>
          <w:color w:val="auto"/>
        </w:rPr>
      </w:pPr>
    </w:p>
    <w:p>
      <w:pPr>
        <w:ind w:right="1780"/>
        <w:spacing w:after="0" w:line="242" w:lineRule="auto"/>
        <w:rPr>
          <w:sz w:val="20"/>
          <w:szCs w:val="20"/>
          <w:color w:val="auto"/>
        </w:rPr>
      </w:pPr>
      <w:r>
        <w:rPr>
          <w:rFonts w:ascii="Arial" w:cs="Arial" w:eastAsia="Arial" w:hAnsi="Arial"/>
          <w:sz w:val="25"/>
          <w:szCs w:val="25"/>
          <w:b w:val="1"/>
          <w:bCs w:val="1"/>
          <w:color w:val="0090DA"/>
        </w:rPr>
        <w:t xml:space="preserve">transform society and enable significant value </w:t>
      </w:r>
      <w:r>
        <w:rPr>
          <w:rFonts w:ascii="Arial" w:cs="Arial" w:eastAsia="Arial" w:hAnsi="Arial"/>
          <w:sz w:val="25"/>
          <w:szCs w:val="25"/>
          <w:b w:val="1"/>
          <w:bCs w:val="1"/>
          <w:i w:val="1"/>
          <w:iCs w:val="1"/>
          <w:color w:val="0090DA"/>
        </w:rPr>
        <w:t>for</w:t>
      </w:r>
      <w:r>
        <w:rPr>
          <w:rFonts w:ascii="Arial" w:cs="Arial" w:eastAsia="Arial" w:hAnsi="Arial"/>
          <w:sz w:val="25"/>
          <w:szCs w:val="25"/>
          <w:b w:val="1"/>
          <w:bCs w:val="1"/>
          <w:color w:val="0090DA"/>
        </w:rPr>
        <w:t xml:space="preserve"> </w:t>
      </w:r>
      <w:r>
        <w:rPr>
          <w:rFonts w:ascii="Arial" w:cs="Arial" w:eastAsia="Arial" w:hAnsi="Arial"/>
          <w:sz w:val="25"/>
          <w:szCs w:val="25"/>
          <w:b w:val="1"/>
          <w:bCs w:val="1"/>
          <w:i w:val="1"/>
          <w:iCs w:val="1"/>
          <w:color w:val="0090DA"/>
        </w:rPr>
        <w:t>all</w:t>
      </w:r>
      <w:r>
        <w:rPr>
          <w:rFonts w:ascii="Arial" w:cs="Arial" w:eastAsia="Arial" w:hAnsi="Arial"/>
          <w:sz w:val="25"/>
          <w:szCs w:val="25"/>
          <w:b w:val="1"/>
          <w:bCs w:val="1"/>
          <w:color w:val="0090DA"/>
        </w:rPr>
        <w:t>.</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1" w:lineRule="exact"/>
        <w:rPr>
          <w:sz w:val="20"/>
          <w:szCs w:val="20"/>
          <w:color w:val="auto"/>
        </w:rPr>
      </w:pPr>
    </w:p>
    <w:p>
      <w:pPr>
        <w:ind w:right="1360"/>
        <w:spacing w:after="0" w:line="211"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w:t>
      </w:r>
    </w:p>
    <w:p>
      <w:pPr>
        <w:spacing w:after="0" w:line="1" w:lineRule="exact"/>
        <w:rPr>
          <w:sz w:val="20"/>
          <w:szCs w:val="20"/>
          <w:color w:val="auto"/>
        </w:rPr>
      </w:pPr>
    </w:p>
    <w:p>
      <w:pPr>
        <w:ind w:right="1380"/>
        <w:spacing w:after="0" w:line="208" w:lineRule="auto"/>
        <w:rPr>
          <w:sz w:val="20"/>
          <w:szCs w:val="20"/>
          <w:color w:val="auto"/>
        </w:rPr>
      </w:pPr>
      <w:r>
        <w:rPr>
          <w:rFonts w:ascii="Arial" w:cs="Arial" w:eastAsia="Arial" w:hAnsi="Arial"/>
          <w:sz w:val="18"/>
          <w:szCs w:val="18"/>
          <w:color w:val="auto"/>
        </w:rPr>
        <w:t>center, the intelligent edge, and consumer devices, we unlock innovation across industries including healthcare, automotive and communications. Our technology and expertise are central to maximizing value from cutting-edge</w:t>
      </w:r>
    </w:p>
    <w:p>
      <w:pPr>
        <w:spacing w:after="0" w:line="2" w:lineRule="exact"/>
        <w:rPr>
          <w:sz w:val="20"/>
          <w:szCs w:val="20"/>
          <w:color w:val="auto"/>
        </w:rPr>
      </w:pPr>
    </w:p>
    <w:p>
      <w:pPr>
        <w:ind w:right="1600"/>
        <w:spacing w:after="0" w:line="229" w:lineRule="auto"/>
        <w:rPr>
          <w:sz w:val="20"/>
          <w:szCs w:val="20"/>
          <w:color w:val="auto"/>
        </w:rPr>
      </w:pPr>
      <w:r>
        <w:rPr>
          <w:rFonts w:ascii="Arial" w:cs="Arial" w:eastAsia="Arial" w:hAnsi="Arial"/>
          <w:sz w:val="18"/>
          <w:szCs w:val="18"/>
          <w:color w:val="auto"/>
        </w:rPr>
        <w:t>computing applications and new business models which disrupt and advance the industry.</w:t>
      </w: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1" w:lineRule="exact"/>
        <w:rPr>
          <w:sz w:val="20"/>
          <w:szCs w:val="20"/>
          <w:color w:val="auto"/>
        </w:rPr>
      </w:pPr>
    </w:p>
    <w:p>
      <w:pPr>
        <w:ind w:right="1580"/>
        <w:spacing w:after="0" w:line="223" w:lineRule="auto"/>
        <w:rPr>
          <w:sz w:val="20"/>
          <w:szCs w:val="20"/>
          <w:color w:val="auto"/>
        </w:rPr>
      </w:pPr>
      <w:r>
        <w:rPr>
          <w:rFonts w:ascii="Arial" w:cs="Arial" w:eastAsia="Arial" w:hAnsi="Arial"/>
          <w:sz w:val="17"/>
          <w:szCs w:val="17"/>
          <w:color w:val="auto"/>
        </w:rPr>
        <w:t xml:space="preserve">As a global leader in memory and storage solutions, we are transforming how the world uses information to enrich life </w:t>
      </w:r>
      <w:r>
        <w:rPr>
          <w:rFonts w:ascii="Arial" w:cs="Arial" w:eastAsia="Arial" w:hAnsi="Arial"/>
          <w:sz w:val="17"/>
          <w:szCs w:val="17"/>
          <w:i w:val="1"/>
          <w:iCs w:val="1"/>
          <w:color w:val="auto"/>
        </w:rPr>
        <w:t>for all</w:t>
      </w:r>
      <w:r>
        <w:rPr>
          <w:rFonts w:ascii="Arial" w:cs="Arial" w:eastAsia="Arial" w:hAnsi="Arial"/>
          <w:sz w:val="17"/>
          <w:szCs w:val="17"/>
          <w:color w:val="auto"/>
        </w:rPr>
        <w:t>. By advancing technologies to</w:t>
      </w:r>
    </w:p>
    <w:p>
      <w:pPr>
        <w:spacing w:after="0" w:line="1" w:lineRule="exact"/>
        <w:rPr>
          <w:sz w:val="20"/>
          <w:szCs w:val="20"/>
          <w:color w:val="auto"/>
        </w:rPr>
      </w:pPr>
    </w:p>
    <w:p>
      <w:pPr>
        <w:ind w:right="1480"/>
        <w:spacing w:after="0" w:line="208" w:lineRule="auto"/>
        <w:rPr>
          <w:sz w:val="20"/>
          <w:szCs w:val="20"/>
          <w:color w:val="auto"/>
        </w:rPr>
      </w:pPr>
      <w:r>
        <w:rPr>
          <w:rFonts w:ascii="Arial" w:cs="Arial" w:eastAsia="Arial" w:hAnsi="Arial"/>
          <w:sz w:val="18"/>
          <w:szCs w:val="18"/>
          <w:color w:val="auto"/>
        </w:rPr>
        <w:t>collect, store and manage data with unprecedented speed and efficiency, we lead the transformation of data to intelligence. In a world of change, we remain nimble, delivering products that help inspire the world to learn, communicate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advance faster than ever.</w:t>
      </w: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1" w:lineRule="exact"/>
        <w:rPr>
          <w:sz w:val="20"/>
          <w:szCs w:val="20"/>
          <w:color w:val="auto"/>
        </w:rPr>
      </w:pPr>
    </w:p>
    <w:p>
      <w:pPr>
        <w:ind w:right="1640"/>
        <w:spacing w:after="0" w:line="211" w:lineRule="auto"/>
        <w:rPr>
          <w:sz w:val="20"/>
          <w:szCs w:val="20"/>
          <w:color w:val="auto"/>
        </w:rPr>
      </w:pPr>
      <w:r>
        <w:rPr>
          <w:rFonts w:ascii="Arial" w:cs="Arial" w:eastAsia="Arial" w:hAnsi="Arial"/>
          <w:sz w:val="18"/>
          <w:szCs w:val="18"/>
          <w:color w:val="auto"/>
        </w:rPr>
        <w:t>Our customers depend on our innovative solutions every day. We dedicate ourselves to demonstrating our environmental conscience, an inclusive team</w:t>
      </w:r>
    </w:p>
    <w:p>
      <w:pPr>
        <w:spacing w:after="0" w:line="1" w:lineRule="exact"/>
        <w:rPr>
          <w:sz w:val="20"/>
          <w:szCs w:val="20"/>
          <w:color w:val="auto"/>
        </w:rPr>
      </w:pPr>
    </w:p>
    <w:p>
      <w:pPr>
        <w:ind w:right="2160"/>
        <w:spacing w:after="0" w:line="229" w:lineRule="auto"/>
        <w:rPr>
          <w:sz w:val="20"/>
          <w:szCs w:val="20"/>
          <w:color w:val="auto"/>
        </w:rPr>
      </w:pPr>
      <w:r>
        <w:rPr>
          <w:rFonts w:ascii="Arial" w:cs="Arial" w:eastAsia="Arial" w:hAnsi="Arial"/>
          <w:sz w:val="18"/>
          <w:szCs w:val="18"/>
          <w:color w:val="auto"/>
        </w:rPr>
        <w:t xml:space="preserve">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54" w:lineRule="exact"/>
        <w:rPr>
          <w:sz w:val="20"/>
          <w:szCs w:val="20"/>
          <w:color w:val="auto"/>
        </w:rPr>
      </w:pPr>
    </w:p>
    <w:p>
      <w:pPr>
        <w:ind w:right="1840"/>
        <w:spacing w:after="0" w:line="235" w:lineRule="auto"/>
        <w:rPr>
          <w:sz w:val="20"/>
          <w:szCs w:val="20"/>
          <w:color w:val="auto"/>
        </w:rPr>
      </w:pPr>
      <w:r>
        <w:rPr>
          <w:rFonts w:ascii="Arial" w:cs="Arial" w:eastAsia="Arial" w:hAnsi="Arial"/>
          <w:sz w:val="16"/>
          <w:szCs w:val="16"/>
          <w:color w:val="0090DA"/>
        </w:rPr>
        <w:t>DRAM | NAND | NOR | Solid-State Drives | Graphics and High Bandwidth Memory (HBM) | Managed NAND and Multichip Packages</w:t>
      </w:r>
    </w:p>
    <w:p>
      <w:pPr>
        <w:spacing w:after="0" w:line="468" w:lineRule="exact"/>
        <w:rPr>
          <w:sz w:val="20"/>
          <w:szCs w:val="20"/>
          <w:color w:val="auto"/>
        </w:rPr>
      </w:pPr>
    </w:p>
    <w:p>
      <w:pPr>
        <w:sectPr>
          <w:pgSz w:w="11900" w:h="16838" w:orient="portrait"/>
          <w:cols w:equalWidth="0" w:num="2">
            <w:col w:w="3314" w:space="160"/>
            <w:col w:w="7740"/>
          </w:cols>
          <w:pgMar w:left="346" w:top="125" w:right="339" w:bottom="1440" w:gutter="0" w:footer="0" w:header="0"/>
          <w:type w:val="continuous"/>
        </w:sectPr>
      </w:pPr>
    </w:p>
    <w:p>
      <w:pPr>
        <w:ind w:left="214"/>
        <w:spacing w:after="0"/>
        <w:rPr>
          <w:sz w:val="20"/>
          <w:szCs w:val="20"/>
          <w:color w:val="auto"/>
        </w:rPr>
      </w:pPr>
      <w:r>
        <w:rPr>
          <w:rFonts w:ascii="Arial" w:cs="Arial" w:eastAsia="Arial" w:hAnsi="Arial"/>
          <w:sz w:val="16"/>
          <w:szCs w:val="16"/>
          <w:b w:val="1"/>
          <w:bCs w:val="1"/>
          <w:color w:val="FFFFFF"/>
        </w:rPr>
        <w:t>Investor Inquiries</w:t>
      </w:r>
    </w:p>
    <w:p>
      <w:pPr>
        <w:ind w:left="214"/>
        <w:spacing w:after="0"/>
        <w:rPr>
          <w:sz w:val="20"/>
          <w:szCs w:val="20"/>
          <w:color w:val="auto"/>
        </w:rPr>
      </w:pP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5"/>
          <w:szCs w:val="25"/>
          <w:b w:val="1"/>
          <w:bCs w:val="1"/>
          <w:color w:val="FFFFFF"/>
        </w:rPr>
        <w:t>Connect with us on 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-1708150</wp:posOffset>
            </wp:positionH>
            <wp:positionV relativeFrom="paragraph">
              <wp:posOffset>-217805</wp:posOffset>
            </wp:positionV>
            <wp:extent cx="4140200"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40200" cy="30035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5314" w:space="720"/>
            <w:col w:w="5180"/>
          </w:cols>
          <w:pgMar w:left="346" w:top="125" w:right="339" w:bottom="1440" w:gutter="0" w:footer="0" w:header="0"/>
          <w:type w:val="continuous"/>
        </w:sectPr>
      </w:pPr>
    </w:p>
    <w:p>
      <w:pPr>
        <w:ind w:left="-6" w:right="1520" w:firstLine="6"/>
        <w:spacing w:after="0" w:line="210"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2022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12/22.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4"/>
          </w:cols>
          <w:pgMar w:left="346" w:top="125"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8560" w:type="dxa"/>
            <w:vAlign w:val="bottom"/>
            <w:shd w:val="clear" w:color="auto" w:fill="D1D2D4"/>
          </w:tcPr>
          <w:p>
            <w:pPr>
              <w:spacing w:after="0"/>
              <w:rPr>
                <w:sz w:val="19"/>
                <w:szCs w:val="19"/>
                <w:color w:val="auto"/>
              </w:rPr>
            </w:pP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9620" w:type="dxa"/>
            <w:vAlign w:val="bottom"/>
            <w:gridSpan w:val="2"/>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1620" w:type="dxa"/>
            <w:vAlign w:val="bottom"/>
          </w:tcPr>
          <w:p>
            <w:pPr>
              <w:spacing w:after="0"/>
              <w:rPr>
                <w:sz w:val="19"/>
                <w:szCs w:val="19"/>
                <w:color w:val="auto"/>
              </w:rPr>
            </w:pPr>
          </w:p>
        </w:tc>
      </w:tr>
      <w:tr>
        <w:trPr>
          <w:trHeight w:val="230"/>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Financial Statements: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Statements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Consolidated Statements of Comprehensive Income (Loss)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Balance Sheets</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Consolidated Statements of Changes in Equity</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Consolidated Statements of Cash Flows</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1060" w:type="dxa"/>
            <w:vAlign w:val="bottom"/>
            <w:shd w:val="clear" w:color="auto" w:fill="D1D2D4"/>
          </w:tcPr>
          <w:p>
            <w:pPr>
              <w:spacing w:after="0"/>
              <w:rPr>
                <w:sz w:val="19"/>
                <w:szCs w:val="19"/>
                <w:color w:val="auto"/>
              </w:rPr>
            </w:pPr>
          </w:p>
        </w:tc>
        <w:tc>
          <w:tcPr>
            <w:tcW w:w="8560" w:type="dxa"/>
            <w:vAlign w:val="bottom"/>
            <w:shd w:val="clear" w:color="auto" w:fill="D1D2D4"/>
          </w:tcPr>
          <w:p>
            <w:pPr>
              <w:ind w:left="200"/>
              <w:spacing w:after="0"/>
              <w:rPr>
                <w:sz w:val="20"/>
                <w:szCs w:val="20"/>
                <w:color w:val="auto"/>
              </w:rPr>
            </w:pPr>
            <w:r>
              <w:rPr>
                <w:rFonts w:ascii="Arial" w:cs="Arial" w:eastAsia="Arial" w:hAnsi="Arial"/>
                <w:sz w:val="18"/>
                <w:szCs w:val="18"/>
                <w:color w:val="auto"/>
              </w:rPr>
              <w:t>Results of Operations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106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Liquidity and Capital Resources</w:t>
            </w:r>
          </w:p>
        </w:tc>
        <w:tc>
          <w:tcPr>
            <w:tcW w:w="16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060" w:type="dxa"/>
            <w:vAlign w:val="bottom"/>
          </w:tcPr>
          <w:p>
            <w:pPr>
              <w:ind w:left="140"/>
              <w:spacing w:after="0"/>
              <w:rPr>
                <w:sz w:val="20"/>
                <w:szCs w:val="20"/>
                <w:color w:val="auto"/>
              </w:rPr>
            </w:pPr>
            <w:r>
              <w:rPr>
                <w:rFonts w:ascii="Arial" w:cs="Arial" w:eastAsia="Arial" w:hAnsi="Arial"/>
                <w:sz w:val="18"/>
                <w:szCs w:val="18"/>
                <w:color w:val="auto"/>
              </w:rPr>
              <w:t>Item 4.</w:t>
            </w:r>
          </w:p>
        </w:tc>
        <w:tc>
          <w:tcPr>
            <w:tcW w:w="856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9620" w:type="dxa"/>
            <w:vAlign w:val="bottom"/>
            <w:gridSpan w:val="2"/>
            <w:shd w:val="clear" w:color="auto" w:fill="D1D2D4"/>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1620" w:type="dxa"/>
            <w:vAlign w:val="bottom"/>
            <w:shd w:val="clear" w:color="auto" w:fill="D1D2D4"/>
          </w:tcPr>
          <w:p>
            <w:pPr>
              <w:spacing w:after="0"/>
              <w:rPr>
                <w:sz w:val="19"/>
                <w:szCs w:val="19"/>
                <w:color w:val="auto"/>
              </w:rPr>
            </w:pPr>
          </w:p>
        </w:tc>
      </w:tr>
      <w:tr>
        <w:trPr>
          <w:trHeight w:val="230"/>
        </w:trPr>
        <w:tc>
          <w:tcPr>
            <w:tcW w:w="1060" w:type="dxa"/>
            <w:vAlign w:val="bottom"/>
          </w:tcPr>
          <w:p>
            <w:pPr>
              <w:ind w:left="140"/>
              <w:spacing w:after="0"/>
              <w:rPr>
                <w:sz w:val="20"/>
                <w:szCs w:val="20"/>
                <w:color w:val="auto"/>
              </w:rPr>
            </w:pPr>
            <w:r>
              <w:rPr>
                <w:rFonts w:ascii="Arial" w:cs="Arial" w:eastAsia="Arial" w:hAnsi="Arial"/>
                <w:sz w:val="18"/>
                <w:szCs w:val="18"/>
                <w:color w:val="auto"/>
              </w:rPr>
              <w:t>Item 1.</w:t>
            </w:r>
          </w:p>
        </w:tc>
        <w:tc>
          <w:tcPr>
            <w:tcW w:w="856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1A.</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Risk Factors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1060" w:type="dxa"/>
            <w:vAlign w:val="bottom"/>
          </w:tcPr>
          <w:p>
            <w:pPr>
              <w:ind w:left="140"/>
              <w:spacing w:after="0"/>
              <w:rPr>
                <w:sz w:val="20"/>
                <w:szCs w:val="20"/>
                <w:color w:val="auto"/>
              </w:rPr>
            </w:pPr>
            <w:r>
              <w:rPr>
                <w:rFonts w:ascii="Arial" w:cs="Arial" w:eastAsia="Arial" w:hAnsi="Arial"/>
                <w:sz w:val="18"/>
                <w:szCs w:val="18"/>
                <w:color w:val="auto"/>
              </w:rPr>
              <w:t>Item 2.</w:t>
            </w:r>
          </w:p>
        </w:tc>
        <w:tc>
          <w:tcPr>
            <w:tcW w:w="8560" w:type="dxa"/>
            <w:vAlign w:val="bottom"/>
          </w:tcPr>
          <w:p>
            <w:pPr>
              <w:ind w:left="80"/>
              <w:spacing w:after="0"/>
              <w:rPr>
                <w:sz w:val="20"/>
                <w:szCs w:val="20"/>
                <w:color w:val="auto"/>
              </w:rPr>
            </w:pPr>
            <w:r>
              <w:rPr>
                <w:rFonts w:ascii="Arial" w:cs="Arial" w:eastAsia="Arial" w:hAnsi="Arial"/>
                <w:sz w:val="18"/>
                <w:szCs w:val="18"/>
                <w:color w:val="auto"/>
              </w:rPr>
              <w:t>Unregistered Sales of Equity Securities and Use of Proceeds</w:t>
            </w:r>
          </w:p>
        </w:tc>
        <w:tc>
          <w:tcPr>
            <w:tcW w:w="16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10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6.</w:t>
            </w:r>
          </w:p>
        </w:tc>
        <w:tc>
          <w:tcPr>
            <w:tcW w:w="8560" w:type="dxa"/>
            <w:vAlign w:val="bottom"/>
            <w:shd w:val="clear" w:color="auto" w:fill="D1D2D4"/>
          </w:tcPr>
          <w:p>
            <w:pPr>
              <w:ind w:left="80"/>
              <w:spacing w:after="0"/>
              <w:rPr>
                <w:sz w:val="20"/>
                <w:szCs w:val="20"/>
                <w:color w:val="auto"/>
              </w:rPr>
            </w:pPr>
            <w:r>
              <w:rPr>
                <w:rFonts w:ascii="Arial" w:cs="Arial" w:eastAsia="Arial" w:hAnsi="Arial"/>
                <w:sz w:val="18"/>
                <w:szCs w:val="18"/>
                <w:color w:val="auto"/>
              </w:rPr>
              <w:t>Exhibits</w:t>
            </w:r>
          </w:p>
        </w:tc>
        <w:tc>
          <w:tcPr>
            <w:tcW w:w="1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w:t>
            </w:r>
          </w:p>
        </w:tc>
      </w:tr>
      <w:tr>
        <w:trPr>
          <w:trHeight w:val="239"/>
        </w:trPr>
        <w:tc>
          <w:tcPr>
            <w:tcW w:w="106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85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ind w:left="20"/>
              <w:spacing w:after="0"/>
              <w:rPr>
                <w:sz w:val="20"/>
                <w:szCs w:val="20"/>
                <w:color w:val="auto"/>
              </w:rPr>
            </w:pPr>
            <w:r>
              <w:rPr>
                <w:rFonts w:ascii="Arial" w:cs="Arial" w:eastAsia="Arial" w:hAnsi="Arial"/>
                <w:sz w:val="18"/>
                <w:szCs w:val="18"/>
                <w:b w:val="1"/>
                <w:bCs w:val="1"/>
                <w:color w:val="auto"/>
                <w:w w:val="95"/>
              </w:rPr>
              <w:t>Term</w:t>
            </w: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24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175"/>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2023, repaid</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DDR</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Double data rate DRAM</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2024</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2024,</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EBITDA</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Earnings before interest, taxes, depreciation,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November 2021</w:t>
            </w: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and amortization</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ESG</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Environmental, social, and governance</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2025</w:t>
            </w:r>
          </w:p>
        </w:tc>
        <w:tc>
          <w:tcPr>
            <w:tcW w:w="1200" w:type="dxa"/>
            <w:vAlign w:val="bottom"/>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Senior Term Loan A due November 2025</w:t>
            </w:r>
          </w:p>
        </w:tc>
        <w:tc>
          <w:tcPr>
            <w:tcW w:w="1560" w:type="dxa"/>
            <w:vAlign w:val="bottom"/>
          </w:tcPr>
          <w:p>
            <w:pPr>
              <w:spacing w:after="0"/>
              <w:rPr>
                <w:sz w:val="20"/>
                <w:szCs w:val="20"/>
                <w:color w:val="auto"/>
              </w:rPr>
            </w:pPr>
            <w:r>
              <w:rPr>
                <w:rFonts w:ascii="Arial" w:cs="Arial" w:eastAsia="Arial" w:hAnsi="Arial"/>
                <w:sz w:val="18"/>
                <w:szCs w:val="18"/>
                <w:color w:val="auto"/>
              </w:rPr>
              <w:t>EUV</w:t>
            </w:r>
          </w:p>
        </w:tc>
        <w:tc>
          <w:tcPr>
            <w:tcW w:w="4060" w:type="dxa"/>
            <w:vAlign w:val="bottom"/>
          </w:tcPr>
          <w:p>
            <w:pPr>
              <w:ind w:left="240"/>
              <w:spacing w:after="0"/>
              <w:rPr>
                <w:sz w:val="20"/>
                <w:szCs w:val="20"/>
                <w:color w:val="auto"/>
              </w:rPr>
            </w:pPr>
            <w:r>
              <w:rPr>
                <w:rFonts w:ascii="Arial" w:cs="Arial" w:eastAsia="Arial" w:hAnsi="Arial"/>
                <w:sz w:val="18"/>
                <w:szCs w:val="18"/>
                <w:color w:val="auto"/>
              </w:rPr>
              <w:t>Extreme ultraviolet lithography</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November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GDDR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Graphics double data rate</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November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HBM</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High-bandwidth memory, a stacked DRAM</w:t>
            </w:r>
          </w:p>
        </w:tc>
      </w:tr>
      <w:tr>
        <w:trPr>
          <w:trHeight w:val="175"/>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technology optimized for memory-bandwidth</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intensive applications</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2026</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4.975%</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Inotera</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Inotera Memories, Inc.</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2027</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rPr>
                <w:sz w:val="20"/>
                <w:szCs w:val="20"/>
                <w:color w:val="auto"/>
              </w:rPr>
            </w:pPr>
            <w:r>
              <w:rPr>
                <w:rFonts w:ascii="Arial" w:cs="Arial" w:eastAsia="Arial" w:hAnsi="Arial"/>
                <w:sz w:val="18"/>
                <w:szCs w:val="18"/>
                <w:color w:val="auto"/>
              </w:rPr>
              <w:t>LIBOR</w:t>
            </w:r>
          </w:p>
        </w:tc>
        <w:tc>
          <w:tcPr>
            <w:tcW w:w="4060" w:type="dxa"/>
            <w:vAlign w:val="bottom"/>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229"/>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2029 A Notes</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5.327% Senior Notes due February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LPDRAM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DRAM</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2029</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B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6.750%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November 2029</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MCP</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2030</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2032</w:t>
            </w:r>
          </w:p>
        </w:tc>
        <w:tc>
          <w:tcPr>
            <w:tcW w:w="1200" w:type="dxa"/>
            <w:vAlign w:val="bottom"/>
          </w:tcPr>
          <w:p>
            <w:pPr>
              <w:ind w:left="20"/>
              <w:spacing w:after="0"/>
              <w:rPr>
                <w:sz w:val="20"/>
                <w:szCs w:val="20"/>
                <w:color w:val="auto"/>
              </w:rPr>
            </w:pPr>
            <w:r>
              <w:rPr>
                <w:rFonts w:ascii="Arial" w:cs="Arial" w:eastAsia="Arial" w:hAnsi="Arial"/>
                <w:sz w:val="18"/>
                <w:szCs w:val="18"/>
                <w:color w:val="auto"/>
              </w:rPr>
              <w:t>Green Bonds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2.703%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April 2032</w:t>
            </w:r>
          </w:p>
        </w:tc>
        <w:tc>
          <w:tcPr>
            <w:tcW w:w="1560" w:type="dxa"/>
            <w:vAlign w:val="bottom"/>
          </w:tcPr>
          <w:p>
            <w:pPr>
              <w:spacing w:after="0"/>
              <w:rPr>
                <w:sz w:val="20"/>
                <w:szCs w:val="20"/>
                <w:color w:val="auto"/>
              </w:rPr>
            </w:pPr>
            <w:r>
              <w:rPr>
                <w:rFonts w:ascii="Arial" w:cs="Arial" w:eastAsia="Arial" w:hAnsi="Arial"/>
                <w:sz w:val="18"/>
                <w:szCs w:val="18"/>
                <w:color w:val="auto"/>
              </w:rPr>
              <w:t>Qimonda</w:t>
            </w:r>
          </w:p>
        </w:tc>
        <w:tc>
          <w:tcPr>
            <w:tcW w:w="4060" w:type="dxa"/>
            <w:vAlign w:val="bottom"/>
          </w:tcPr>
          <w:p>
            <w:pPr>
              <w:ind w:left="240"/>
              <w:spacing w:after="0"/>
              <w:rPr>
                <w:sz w:val="20"/>
                <w:szCs w:val="20"/>
                <w:color w:val="auto"/>
              </w:rPr>
            </w:pPr>
            <w:r>
              <w:rPr>
                <w:rFonts w:ascii="Arial" w:cs="Arial" w:eastAsia="Arial" w:hAnsi="Arial"/>
                <w:sz w:val="18"/>
                <w:szCs w:val="18"/>
                <w:color w:val="auto"/>
              </w:rPr>
              <w:t>Qimonda AG</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2041</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3.366%</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November 2041</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Facility</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2026</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2051</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3.477%</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November 2051</w:t>
            </w:r>
          </w:p>
        </w:tc>
        <w:tc>
          <w:tcPr>
            <w:tcW w:w="1560" w:type="dxa"/>
            <w:vAlign w:val="bottom"/>
          </w:tcPr>
          <w:p>
            <w:pPr>
              <w:spacing w:after="0"/>
              <w:rPr>
                <w:sz w:val="20"/>
                <w:szCs w:val="20"/>
                <w:color w:val="auto"/>
              </w:rPr>
            </w:pPr>
            <w:r>
              <w:rPr>
                <w:rFonts w:ascii="Arial" w:cs="Arial" w:eastAsia="Arial" w:hAnsi="Arial"/>
                <w:sz w:val="18"/>
                <w:szCs w:val="18"/>
                <w:color w:val="auto"/>
              </w:rPr>
              <w:t>SOFR</w:t>
            </w:r>
          </w:p>
        </w:tc>
        <w:tc>
          <w:tcPr>
            <w:tcW w:w="4060" w:type="dxa"/>
            <w:vAlign w:val="bottom"/>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Artificial intelligence</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SSD</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Solid state drive</w:t>
            </w:r>
          </w:p>
        </w:tc>
      </w:tr>
    </w:tbl>
    <w:p>
      <w:pPr>
        <w:spacing w:after="0" w:line="35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31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30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restructure plans and related charges; market conditions and profitability in our industry; reductions in our wafer starts and the corresponding impact on our costs in 2023; the timing for construction and ramping of production for new memory manufacturing fabs in the United States; the receipt of government grants and investment tax credits; the sufficiency of our cash and investments; capital spending in 2023; funding of sustainability-focused projects; and allocation and dispersal of the net proceeds of our 2032 Green Bonds. Our actual results could differ materially from our historical results and those discussed in the forward-looking statements. Factors that could cause actual results to differ materially include, but are not limited to, those identified in “Part II. Other Information – Item 1A. Risk Factors.”</w:t>
      </w:r>
    </w:p>
    <w:p>
      <w:pPr>
        <w:spacing w:after="0" w:line="336"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FINANCIAL INFORMATION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Operations</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56"/>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Earnings (loss) per share</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9"/>
        </w:trPr>
        <w:tc>
          <w:tcPr>
            <w:tcW w:w="83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 (Loss)</w:t>
      </w:r>
    </w:p>
    <w:p>
      <w:pP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17"/>
                <w:szCs w:val="17"/>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83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Pension liability adjustments</w:t>
            </w:r>
          </w:p>
        </w:tc>
        <w:tc>
          <w:tcPr>
            <w:tcW w:w="14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40" w:type="dxa"/>
            <w:vAlign w:val="bottom"/>
          </w:tcPr>
          <w:p>
            <w:pPr>
              <w:ind w:left="140"/>
              <w:spacing w:after="0"/>
              <w:rPr>
                <w:sz w:val="20"/>
                <w:szCs w:val="20"/>
                <w:color w:val="auto"/>
              </w:rPr>
            </w:pPr>
            <w:r>
              <w:rPr>
                <w:rFonts w:ascii="Arial" w:cs="Arial" w:eastAsia="Arial" w:hAnsi="Arial"/>
                <w:sz w:val="18"/>
                <w:szCs w:val="18"/>
                <w:color w:val="auto"/>
              </w:rPr>
              <w:t>Gains (losses) on investments</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3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0"/>
        </w:trPr>
        <w:tc>
          <w:tcPr>
            <w:tcW w:w="834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9,574</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8,359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22,921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21,781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39,335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5,438</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6,525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6,803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4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16,376</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60" w:type="dxa"/>
            <w:vAlign w:val="bottom"/>
            <w:shd w:val="clear" w:color="auto" w:fill="D1D2D4"/>
          </w:tcPr>
          <w:p>
            <w:pPr>
              <w:spacing w:after="0"/>
              <w:rPr>
                <w:sz w:val="20"/>
                <w:szCs w:val="20"/>
                <w:color w:val="auto"/>
              </w:rPr>
            </w:pPr>
          </w:p>
        </w:tc>
        <w:tc>
          <w:tcPr>
            <w:tcW w:w="130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D1D2D4"/>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1,232 shares issued and 1,091</w:t>
            </w:r>
          </w:p>
        </w:tc>
        <w:tc>
          <w:tcPr>
            <w:tcW w:w="14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D1D2D4"/>
          </w:tcPr>
          <w:p>
            <w:pPr>
              <w:spacing w:after="0"/>
              <w:rPr>
                <w:sz w:val="15"/>
                <w:szCs w:val="15"/>
                <w:color w:val="auto"/>
              </w:rPr>
            </w:pPr>
          </w:p>
        </w:tc>
        <w:tc>
          <w:tcPr>
            <w:tcW w:w="60" w:type="dxa"/>
            <w:vAlign w:val="bottom"/>
            <w:shd w:val="clear" w:color="auto" w:fill="D1D2D4"/>
          </w:tcPr>
          <w:p>
            <w:pPr>
              <w:spacing w:after="0"/>
              <w:rPr>
                <w:sz w:val="15"/>
                <w:szCs w:val="15"/>
                <w:color w:val="auto"/>
              </w:rPr>
            </w:pPr>
          </w:p>
        </w:tc>
        <w:tc>
          <w:tcPr>
            <w:tcW w:w="13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5"/>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outstanding (1,226 shares issued and 1,094 outstanding as of September 1, 2022)</w:t>
            </w:r>
          </w:p>
        </w:tc>
        <w:tc>
          <w:tcPr>
            <w:tcW w:w="140" w:type="dxa"/>
            <w:vAlign w:val="bottom"/>
            <w:shd w:val="clear" w:color="auto" w:fill="D1D2D4"/>
          </w:tcPr>
          <w:p>
            <w:pPr>
              <w:spacing w:after="0"/>
              <w:rPr>
                <w:sz w:val="20"/>
                <w:szCs w:val="20"/>
                <w:color w:val="auto"/>
              </w:rPr>
            </w:pPr>
          </w:p>
        </w:tc>
        <w:tc>
          <w:tcPr>
            <w:tcW w:w="1300" w:type="dxa"/>
            <w:vAlign w:val="bottom"/>
            <w:vMerge w:val="continue"/>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60" w:type="dxa"/>
            <w:vAlign w:val="bottom"/>
            <w:shd w:val="clear" w:color="auto" w:fill="D1D2D4"/>
          </w:tcPr>
          <w:p>
            <w:pPr>
              <w:spacing w:after="0"/>
              <w:rPr>
                <w:sz w:val="20"/>
                <w:szCs w:val="20"/>
                <w:color w:val="auto"/>
              </w:rPr>
            </w:pPr>
          </w:p>
        </w:tc>
        <w:tc>
          <w:tcPr>
            <w:tcW w:w="130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Additional capital</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10,335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10,197</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46,873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47,274</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Treasury stock, 141 shares held (132 shares as of September 1, 2022)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(7,552)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(473)</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49,907</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48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67,874</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66,283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0"/>
              <w:spacing w:after="0" w:line="156" w:lineRule="exact"/>
              <w:rPr>
                <w:sz w:val="20"/>
                <w:szCs w:val="20"/>
                <w:color w:val="auto"/>
              </w:rPr>
            </w:pPr>
            <w:r>
              <w:rPr>
                <w:rFonts w:ascii="Arial" w:cs="Arial" w:eastAsia="Arial" w:hAnsi="Arial"/>
                <w:sz w:val="18"/>
                <w:szCs w:val="18"/>
                <w:b w:val="1"/>
                <w:bCs w:val="1"/>
                <w:color w:val="auto"/>
                <w:w w:val="99"/>
              </w:rPr>
              <w:t>Other</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760" w:type="dxa"/>
            <w:vAlign w:val="bottom"/>
            <w:gridSpan w:val="2"/>
          </w:tcPr>
          <w:p>
            <w:pPr>
              <w:ind w:left="80"/>
              <w:spacing w:after="0" w:line="176"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sectPr>
      </w:pPr>
    </w:p>
    <w:p>
      <w:pPr>
        <w:ind w:left="40" w:right="1040"/>
        <w:spacing w:after="0" w:line="271" w:lineRule="auto"/>
        <w:rPr>
          <w:sz w:val="20"/>
          <w:szCs w:val="20"/>
          <w:color w:val="auto"/>
        </w:rPr>
      </w:pPr>
      <w:r>
        <w:rPr>
          <w:rFonts w:ascii="Arial" w:cs="Arial" w:eastAsia="Arial" w:hAnsi="Arial"/>
          <w:sz w:val="18"/>
          <w:szCs w:val="18"/>
          <w:b w:val="1"/>
          <w:bCs w:val="1"/>
          <w:color w:val="auto"/>
        </w:rPr>
        <w:t xml:space="preserve">Balance at September 1, 2022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of stock - repurchase program</w:t>
      </w:r>
    </w:p>
    <w:p>
      <w:pPr>
        <w:spacing w:after="0" w:line="23" w:lineRule="exact"/>
        <w:rPr>
          <w:sz w:val="20"/>
          <w:szCs w:val="20"/>
          <w:color w:val="auto"/>
        </w:rPr>
      </w:pPr>
    </w:p>
    <w:p>
      <w:pPr>
        <w:ind w:left="40" w:right="520"/>
        <w:spacing w:after="0" w:line="242" w:lineRule="auto"/>
        <w:rPr>
          <w:sz w:val="20"/>
          <w:szCs w:val="20"/>
          <w:color w:val="auto"/>
        </w:rPr>
      </w:pPr>
      <w:r>
        <w:rPr>
          <w:rFonts w:ascii="Arial" w:cs="Arial" w:eastAsia="Arial" w:hAnsi="Arial"/>
          <w:sz w:val="18"/>
          <w:szCs w:val="18"/>
          <w:color w:val="auto"/>
        </w:rPr>
        <w:t>Repurchase of stock - withholdings on employee equity awards</w:t>
      </w:r>
    </w:p>
    <w:p>
      <w:pPr>
        <w:spacing w:after="0" w:line="1" w:lineRule="exact"/>
        <w:rPr>
          <w:sz w:val="20"/>
          <w:szCs w:val="20"/>
          <w:color w:val="auto"/>
        </w:rPr>
      </w:pPr>
    </w:p>
    <w:p>
      <w:pPr>
        <w:ind w:left="40"/>
        <w:spacing w:after="0" w:line="245" w:lineRule="auto"/>
        <w:rPr>
          <w:sz w:val="20"/>
          <w:szCs w:val="20"/>
          <w:color w:val="auto"/>
        </w:rPr>
      </w:pPr>
      <w:r>
        <w:rPr>
          <w:rFonts w:ascii="Arial" w:cs="Arial" w:eastAsia="Arial" w:hAnsi="Arial"/>
          <w:sz w:val="18"/>
          <w:szCs w:val="18"/>
          <w:color w:val="auto"/>
        </w:rPr>
        <w:t>Dividends and dividend equivalents declared ($0.115 per share)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1,226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10,197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47,274</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(7,127)</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49,907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w:t>
            </w: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418"/>
        </w:trPr>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14"/>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46,873</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(7,552)</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49,306</w:t>
            </w: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-1593850</wp:posOffset>
            </wp:positionV>
            <wp:extent cx="711517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-1302385</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-1010920</wp:posOffset>
            </wp:positionV>
            <wp:extent cx="711517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-719455</wp:posOffset>
            </wp:positionV>
            <wp:extent cx="7115175"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-187960</wp:posOffset>
            </wp:positionV>
            <wp:extent cx="711517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40"/>
            <w:col w:w="7600"/>
          </w:cols>
          <w:pgMar w:left="320" w:top="125"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1920" w:type="dxa"/>
            <w:vAlign w:val="bottom"/>
            <w:tcBorders>
              <w:bottom w:val="single" w:sz="8" w:color="0090DA"/>
            </w:tcBorders>
          </w:tcPr>
          <w:p>
            <w:pPr>
              <w:ind w:left="3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20" w:type="dxa"/>
            <w:vAlign w:val="bottom"/>
          </w:tcPr>
          <w:p>
            <w:pPr>
              <w:jc w:val="center"/>
              <w:ind w:right="11"/>
              <w:spacing w:after="0"/>
              <w:rPr>
                <w:sz w:val="20"/>
                <w:szCs w:val="20"/>
                <w:color w:val="auto"/>
              </w:rPr>
            </w:pPr>
            <w:r>
              <w:rPr>
                <w:rFonts w:ascii="Arial" w:cs="Arial" w:eastAsia="Arial" w:hAnsi="Arial"/>
                <w:sz w:val="18"/>
                <w:szCs w:val="18"/>
                <w:b w:val="1"/>
                <w:bCs w:val="1"/>
                <w:color w:val="auto"/>
                <w:w w:val="99"/>
              </w:rPr>
              <w:t>Accumulated</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9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Number</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Additional</w:t>
            </w:r>
          </w:p>
        </w:tc>
        <w:tc>
          <w:tcPr>
            <w:tcW w:w="9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Retained</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Treasury</w:t>
            </w:r>
          </w:p>
        </w:tc>
        <w:tc>
          <w:tcPr>
            <w:tcW w:w="1620" w:type="dxa"/>
            <w:vAlign w:val="bottom"/>
          </w:tcPr>
          <w:p>
            <w:pPr>
              <w:jc w:val="center"/>
              <w:ind w:right="11"/>
              <w:spacing w:after="0" w:line="149" w:lineRule="exact"/>
              <w:rPr>
                <w:sz w:val="20"/>
                <w:szCs w:val="20"/>
                <w:color w:val="auto"/>
              </w:rPr>
            </w:pPr>
            <w:r>
              <w:rPr>
                <w:rFonts w:ascii="Arial" w:cs="Arial" w:eastAsia="Arial" w:hAnsi="Arial"/>
                <w:sz w:val="17"/>
                <w:szCs w:val="17"/>
                <w:b w:val="1"/>
                <w:bCs w:val="1"/>
                <w:color w:val="auto"/>
              </w:rPr>
              <w:t>Other</w:t>
            </w:r>
          </w:p>
        </w:tc>
        <w:tc>
          <w:tcPr>
            <w:tcW w:w="1140" w:type="dxa"/>
            <w:vAlign w:val="bottom"/>
          </w:tcPr>
          <w:p>
            <w:pPr>
              <w:jc w:val="center"/>
              <w:ind w:right="33"/>
              <w:spacing w:after="0" w:line="149" w:lineRule="exact"/>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7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Comprehensive Shareholders’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0090DA"/>
            </w:tcBorders>
          </w:tcPr>
          <w:p>
            <w:pPr>
              <w:spacing w:after="0"/>
              <w:rPr>
                <w:sz w:val="19"/>
                <w:szCs w:val="19"/>
                <w:color w:val="auto"/>
              </w:rPr>
            </w:pPr>
          </w:p>
        </w:tc>
        <w:tc>
          <w:tcPr>
            <w:tcW w:w="1920" w:type="dxa"/>
            <w:vAlign w:val="bottom"/>
            <w:tcBorders>
              <w:bottom w:val="single" w:sz="8" w:color="0090DA"/>
            </w:tcBorders>
          </w:tcPr>
          <w:p>
            <w:pPr>
              <w:ind w:left="60"/>
              <w:spacing w:after="0"/>
              <w:rPr>
                <w:sz w:val="20"/>
                <w:szCs w:val="20"/>
                <w:color w:val="auto"/>
              </w:rPr>
            </w:pPr>
            <w:r>
              <w:rPr>
                <w:rFonts w:ascii="Arial" w:cs="Arial" w:eastAsia="Arial" w:hAnsi="Arial"/>
                <w:sz w:val="18"/>
                <w:szCs w:val="18"/>
                <w:b w:val="1"/>
                <w:bCs w:val="1"/>
                <w:color w:val="auto"/>
              </w:rPr>
              <w:t>of Shares  Amount</w:t>
            </w:r>
          </w:p>
        </w:tc>
        <w:tc>
          <w:tcPr>
            <w:tcW w:w="10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Capital</w:t>
            </w:r>
          </w:p>
        </w:tc>
        <w:tc>
          <w:tcPr>
            <w:tcW w:w="960" w:type="dxa"/>
            <w:vAlign w:val="bottom"/>
            <w:tcBorders>
              <w:bottom w:val="single" w:sz="8" w:color="0090DA"/>
            </w:tcBorders>
          </w:tcPr>
          <w:p>
            <w:pPr>
              <w:ind w:left="80"/>
              <w:spacing w:after="0"/>
              <w:rPr>
                <w:sz w:val="20"/>
                <w:szCs w:val="20"/>
                <w:color w:val="auto"/>
              </w:rPr>
            </w:pPr>
            <w:r>
              <w:rPr>
                <w:rFonts w:ascii="Arial" w:cs="Arial" w:eastAsia="Arial" w:hAnsi="Arial"/>
                <w:sz w:val="18"/>
                <w:szCs w:val="18"/>
                <w:b w:val="1"/>
                <w:bCs w:val="1"/>
                <w:color w:val="auto"/>
              </w:rPr>
              <w:t>Earnings</w:t>
            </w:r>
          </w:p>
        </w:tc>
        <w:tc>
          <w:tcPr>
            <w:tcW w:w="9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Stock</w:t>
            </w:r>
          </w:p>
        </w:tc>
        <w:tc>
          <w:tcPr>
            <w:tcW w:w="16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Income (Loss)</w:t>
            </w:r>
          </w:p>
        </w:tc>
        <w:tc>
          <w:tcPr>
            <w:tcW w:w="1140" w:type="dxa"/>
            <w:vAlign w:val="bottom"/>
            <w:tcBorders>
              <w:bottom w:val="single" w:sz="8" w:color="0090DA"/>
            </w:tcBorders>
          </w:tcPr>
          <w:p>
            <w:pPr>
              <w:jc w:val="center"/>
              <w:ind w:right="33"/>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ind w:left="40" w:right="900"/>
        <w:spacing w:after="0" w:line="271" w:lineRule="auto"/>
        <w:rPr>
          <w:sz w:val="20"/>
          <w:szCs w:val="20"/>
          <w:color w:val="auto"/>
        </w:rPr>
      </w:pPr>
      <w:r>
        <w:rPr>
          <w:rFonts w:ascii="Arial" w:cs="Arial" w:eastAsia="Arial" w:hAnsi="Arial"/>
          <w:sz w:val="18"/>
          <w:szCs w:val="18"/>
          <w:b w:val="1"/>
          <w:bCs w:val="1"/>
          <w:color w:val="auto"/>
        </w:rPr>
        <w:t xml:space="preserve">Balance at September 2, 2021 </w:t>
      </w:r>
      <w:r>
        <w:rPr>
          <w:rFonts w:ascii="Arial" w:cs="Arial" w:eastAsia="Arial" w:hAnsi="Arial"/>
          <w:sz w:val="18"/>
          <w:szCs w:val="18"/>
          <w:color w:val="auto"/>
        </w:rPr>
        <w:t>Net income (loss)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comprehensive income (loss), net</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 issued under stock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7"/>
          <w:szCs w:val="17"/>
          <w:color w:val="auto"/>
        </w:rPr>
        <w:t>Repurchase of stock - repurchase program</w:t>
      </w:r>
    </w:p>
    <w:p>
      <w:pPr>
        <w:spacing w:after="0" w:line="34" w:lineRule="exact"/>
        <w:rPr>
          <w:sz w:val="20"/>
          <w:szCs w:val="20"/>
          <w:color w:val="auto"/>
        </w:rPr>
      </w:pPr>
    </w:p>
    <w:p>
      <w:pPr>
        <w:ind w:left="40" w:right="380"/>
        <w:spacing w:after="0" w:line="234" w:lineRule="auto"/>
        <w:rPr>
          <w:sz w:val="20"/>
          <w:szCs w:val="20"/>
          <w:color w:val="auto"/>
        </w:rPr>
      </w:pPr>
      <w:r>
        <w:rPr>
          <w:rFonts w:ascii="Arial" w:cs="Arial" w:eastAsia="Arial" w:hAnsi="Arial"/>
          <w:sz w:val="18"/>
          <w:szCs w:val="18"/>
          <w:color w:val="auto"/>
        </w:rPr>
        <w:t>Repurchase of stock - withholdings on employee equity awards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Balance at December 2, 2021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1,216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9,453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39,051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(4,695)</w:t>
            </w: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43,933</w:t>
            </w:r>
          </w:p>
        </w:tc>
      </w:tr>
      <w:tr>
        <w:trPr>
          <w:trHeight w:val="22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2,306</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415"/>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9,564</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41,267</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6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45,908</w:t>
            </w: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-1328420</wp:posOffset>
            </wp:positionV>
            <wp:extent cx="7115175"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-1036320</wp:posOffset>
            </wp:positionV>
            <wp:extent cx="7115175"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-745490</wp:posOffset>
            </wp:positionV>
            <wp:extent cx="7115175"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-2297430</wp:posOffset>
            </wp:positionH>
            <wp:positionV relativeFrom="paragraph">
              <wp:posOffset>-453390</wp:posOffset>
            </wp:positionV>
            <wp:extent cx="7115175" cy="265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60" w:space="180"/>
            <w:col w:w="7600"/>
          </w:cols>
          <w:pgMar w:left="320" w:top="125" w:right="339" w:bottom="1440" w:gutter="0" w:footer="0" w:header="0"/>
          <w:type w:val="continuous"/>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(Unaudited)</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(Gain) loss on debt repurchases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196"/>
        </w:trPr>
        <w:tc>
          <w:tcPr>
            <w:tcW w:w="836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sale of Lehi, Utah fab</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196"/>
        </w:trPr>
        <w:tc>
          <w:tcPr>
            <w:tcW w:w="836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196"/>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9,642</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8,763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5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a discussion of our significant accounting policies, see “Part II – Item 8. Financial Statements and Supplementary Data – Notes to Consolidated Financial Statements – Significant Accounting Policies” of our Annual Report on Form 10-K for the year ended September 1, 2022. There have been no changes to our significant accounting policies since our Annual Report on Form 10-K for the year ended September 1, 2022.</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September 1, 2022.</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 period amounts to conform to current period presentation.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fiscal year is the 52 or 53-week period ending on the Thursday closest to August 31. Fiscal years 2023 and 2022 each contain 52 weeks. All period references are to our fiscal periods unless otherwise indicated. These interim financial statements should be read in conjunction with the consolidated financial statements and accompanying notes included in our Annual Report on Form 10-K for the year ended September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of our short-term investments and long-term marketable investments were classified as available-for-sale as of the dates noted below.</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equivalents and the fair values of our available-for-sale investments, which approximated amortized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0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December 1, 2022</w:t>
            </w: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2420" w:type="dxa"/>
            <w:vAlign w:val="bottom"/>
            <w:tcBorders>
              <w:bottom w:val="single" w:sz="8" w:color="0090DA"/>
            </w:tcBorders>
            <w:gridSpan w:val="3"/>
          </w:tcPr>
          <w:p>
            <w:pPr>
              <w:jc w:val="right"/>
              <w:ind w:right="510"/>
              <w:spacing w:after="0"/>
              <w:rPr>
                <w:sz w:val="20"/>
                <w:szCs w:val="20"/>
                <w:color w:val="auto"/>
              </w:rPr>
            </w:pPr>
            <w:r>
              <w:rPr>
                <w:rFonts w:ascii="Arial" w:cs="Arial" w:eastAsia="Arial" w:hAnsi="Arial"/>
                <w:sz w:val="18"/>
                <w:szCs w:val="18"/>
                <w:b w:val="1"/>
                <w:bCs w:val="1"/>
                <w:color w:val="auto"/>
              </w:rPr>
              <w:t>September 1, 2022</w:t>
            </w: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5"/>
                <w:szCs w:val="15"/>
                <w:color w:val="auto"/>
              </w:rPr>
            </w:pPr>
          </w:p>
        </w:tc>
        <w:tc>
          <w:tcPr>
            <w:tcW w:w="116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00" w:type="dxa"/>
            <w:vAlign w:val="bottom"/>
          </w:tcPr>
          <w:p>
            <w:pPr>
              <w:spacing w:after="0"/>
              <w:rPr>
                <w:sz w:val="15"/>
                <w:szCs w:val="15"/>
                <w:color w:val="auto"/>
              </w:rPr>
            </w:pPr>
          </w:p>
        </w:tc>
        <w:tc>
          <w:tcPr>
            <w:tcW w:w="118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18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547</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D1D2D4"/>
          </w:tcPr>
          <w:p>
            <w:pPr>
              <w:spacing w:after="0"/>
              <w:rPr>
                <w:sz w:val="15"/>
                <w:szCs w:val="15"/>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118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68</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77</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118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9,642</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40" w:hanging="232"/>
        <w:spacing w:after="0" w:line="196" w:lineRule="auto"/>
        <w:tabs>
          <w:tab w:leader="none" w:pos="24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December 1, 2022 or September 1, 2022.</w:t>
      </w:r>
    </w:p>
    <w:p>
      <w:pPr>
        <w:spacing w:after="0" w:line="1" w:lineRule="exact"/>
        <w:rPr>
          <w:rFonts w:ascii="Arial" w:cs="Arial" w:eastAsia="Arial" w:hAnsi="Arial"/>
          <w:sz w:val="23"/>
          <w:szCs w:val="23"/>
          <w:i w:val="1"/>
          <w:iCs w:val="1"/>
          <w:color w:val="auto"/>
          <w:vertAlign w:val="superscript"/>
        </w:rPr>
      </w:pPr>
    </w:p>
    <w:p>
      <w:pPr>
        <w:ind w:left="260" w:right="420" w:hanging="252"/>
        <w:spacing w:after="0" w:line="222" w:lineRule="auto"/>
        <w:tabs>
          <w:tab w:leader="none" w:pos="254"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Non-marketable Equity Investments</w:t>
      </w:r>
    </w:p>
    <w:p>
      <w:pPr>
        <w:spacing w:after="0" w:line="24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addition to the amounts included in the table above, we had $218 million and $222 million of non-marketable equity investments without a readily determinable fair value that were included in other noncurrent assets as of December 1, 2022 and September 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140" w:type="dxa"/>
            <w:vAlign w:val="bottom"/>
          </w:tcPr>
          <w:p>
            <w:pPr>
              <w:spacing w:after="0"/>
              <w:rPr>
                <w:sz w:val="24"/>
                <w:szCs w:val="2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8"/>
              </w:rPr>
              <w:t>December 1,</w:t>
            </w: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5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2,875</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8"/>
              </w:rPr>
              <w:t>December 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21"/>
                <w:szCs w:val="21"/>
                <w:color w:val="auto"/>
              </w:rPr>
            </w:pPr>
          </w:p>
        </w:tc>
        <w:tc>
          <w:tcPr>
            <w:tcW w:w="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1,649</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Property, Plant, and Equipment</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8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8"/>
              </w:rPr>
              <w:t>December 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149"/>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0090DA"/>
            </w:tcBorders>
          </w:tcPr>
          <w:p>
            <w:pPr>
              <w:spacing w:after="0"/>
              <w:rPr>
                <w:sz w:val="21"/>
                <w:szCs w:val="21"/>
                <w:color w:val="auto"/>
              </w:rPr>
            </w:pPr>
          </w:p>
        </w:tc>
        <w:tc>
          <w:tcPr>
            <w:tcW w:w="6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17,133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63,450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61,354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1,170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81,331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(44,526)</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(42,782)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39,335</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260" w:right="220" w:hanging="252"/>
        <w:spacing w:after="0" w:line="228" w:lineRule="auto"/>
        <w:tabs>
          <w:tab w:leader="none" w:pos="254"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$4.10 billion as of December 1, 2022 and $3.35 billion as of September 1, 2022.</w:t>
      </w:r>
    </w:p>
    <w:p>
      <w:pPr>
        <w:ind w:left="240" w:hanging="232"/>
        <w:spacing w:after="0" w:line="200" w:lineRule="auto"/>
        <w:tabs>
          <w:tab w:leader="none" w:pos="240" w:val="left"/>
        </w:tabs>
        <w:numPr>
          <w:ilvl w:val="0"/>
          <w:numId w:val="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Intangible Assets and Goodwill</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ind w:left="440"/>
              <w:spacing w:after="0"/>
              <w:rPr>
                <w:sz w:val="20"/>
                <w:szCs w:val="20"/>
                <w:color w:val="auto"/>
              </w:rPr>
            </w:pPr>
            <w:r>
              <w:rPr>
                <w:rFonts w:ascii="Arial" w:cs="Arial" w:eastAsia="Arial" w:hAnsi="Arial"/>
                <w:sz w:val="18"/>
                <w:szCs w:val="18"/>
                <w:b w:val="1"/>
                <w:bCs w:val="1"/>
                <w:color w:val="auto"/>
              </w:rPr>
              <w:t>December 1, 2022</w:t>
            </w:r>
          </w:p>
        </w:tc>
        <w:tc>
          <w:tcPr>
            <w:tcW w:w="240" w:type="dxa"/>
            <w:vAlign w:val="bottom"/>
          </w:tcPr>
          <w:p>
            <w:pPr>
              <w:spacing w:after="0"/>
              <w:rPr>
                <w:sz w:val="18"/>
                <w:szCs w:val="18"/>
                <w:color w:val="auto"/>
              </w:rPr>
            </w:pPr>
          </w:p>
        </w:tc>
        <w:tc>
          <w:tcPr>
            <w:tcW w:w="26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1, 2022</w:t>
            </w: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4"/>
                <w:szCs w:val="14"/>
                <w:color w:val="auto"/>
              </w:rPr>
            </w:pPr>
          </w:p>
        </w:tc>
        <w:tc>
          <w:tcPr>
            <w:tcW w:w="240" w:type="dxa"/>
            <w:vAlign w:val="bottom"/>
            <w:tcBorders>
              <w:top w:val="single" w:sz="8" w:color="0090DA"/>
            </w:tcBorders>
          </w:tcPr>
          <w:p>
            <w:pPr>
              <w:spacing w:after="0"/>
              <w:rPr>
                <w:sz w:val="14"/>
                <w:szCs w:val="14"/>
                <w:color w:val="auto"/>
              </w:rPr>
            </w:pPr>
          </w:p>
        </w:tc>
        <w:tc>
          <w:tcPr>
            <w:tcW w:w="1160" w:type="dxa"/>
            <w:vAlign w:val="bottom"/>
            <w:tcBorders>
              <w:top w:val="single" w:sz="8" w:color="0090DA"/>
            </w:tcBorders>
          </w:tcPr>
          <w:p>
            <w:pPr>
              <w:jc w:val="right"/>
              <w:ind w:right="330"/>
              <w:spacing w:after="0" w:line="169" w:lineRule="exact"/>
              <w:rPr>
                <w:sz w:val="20"/>
                <w:szCs w:val="20"/>
                <w:color w:val="auto"/>
              </w:rPr>
            </w:pPr>
            <w:r>
              <w:rPr>
                <w:rFonts w:ascii="Arial" w:cs="Arial" w:eastAsia="Arial" w:hAnsi="Arial"/>
                <w:sz w:val="18"/>
                <w:szCs w:val="18"/>
                <w:b w:val="1"/>
                <w:bCs w:val="1"/>
                <w:color w:val="auto"/>
              </w:rPr>
              <w:t>Gross</w:t>
            </w:r>
          </w:p>
        </w:tc>
        <w:tc>
          <w:tcPr>
            <w:tcW w:w="180" w:type="dxa"/>
            <w:vAlign w:val="bottom"/>
            <w:tcBorders>
              <w:top w:val="single" w:sz="8" w:color="0090DA"/>
            </w:tcBorders>
          </w:tcPr>
          <w:p>
            <w:pPr>
              <w:spacing w:after="0"/>
              <w:rPr>
                <w:sz w:val="14"/>
                <w:szCs w:val="14"/>
                <w:color w:val="auto"/>
              </w:rPr>
            </w:pPr>
          </w:p>
        </w:tc>
        <w:tc>
          <w:tcPr>
            <w:tcW w:w="1300" w:type="dxa"/>
            <w:vAlign w:val="bottom"/>
            <w:tcBorders>
              <w:top w:val="single" w:sz="8" w:color="0090DA"/>
            </w:tcBorders>
          </w:tcPr>
          <w:p>
            <w:pPr>
              <w:ind w:left="20"/>
              <w:spacing w:after="0" w:line="169" w:lineRule="exact"/>
              <w:rPr>
                <w:sz w:val="20"/>
                <w:szCs w:val="20"/>
                <w:color w:val="auto"/>
              </w:rPr>
            </w:pPr>
            <w:r>
              <w:rPr>
                <w:rFonts w:ascii="Arial" w:cs="Arial" w:eastAsia="Arial" w:hAnsi="Arial"/>
                <w:sz w:val="18"/>
                <w:szCs w:val="18"/>
                <w:b w:val="1"/>
                <w:bCs w:val="1"/>
                <w:color w:val="auto"/>
              </w:rPr>
              <w:t>Accumulated</w:t>
            </w:r>
          </w:p>
        </w:tc>
        <w:tc>
          <w:tcPr>
            <w:tcW w:w="0" w:type="dxa"/>
            <w:vAlign w:val="bottom"/>
          </w:tcPr>
          <w:p>
            <w:pPr>
              <w:spacing w:after="0"/>
              <w:rPr>
                <w:sz w:val="1"/>
                <w:szCs w:val="1"/>
                <w:color w:val="auto"/>
              </w:rPr>
            </w:pPr>
          </w:p>
        </w:tc>
      </w:tr>
      <w:tr>
        <w:trPr>
          <w:trHeight w:val="243"/>
        </w:trPr>
        <w:tc>
          <w:tcPr>
            <w:tcW w:w="53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1300" w:type="dxa"/>
            <w:vAlign w:val="bottom"/>
          </w:tcPr>
          <w:p>
            <w:pPr>
              <w:ind w:left="2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the first quarters of 2023 and 2022, we capitalized $30 million and $18 million, respectively, for product and process technology with weighted-average useful lives of 10 years, and 11 years, respectively. Amortization expense was $23 million and $20 million for the first three months of 2023 and 2022, respectively. Expected amortization expense is $65 million for the remainder of 2023, $76 million for 2024, $55 million for 2025, $46 million for 2026, and $39 million for 2027.</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8360" w:type="dxa"/>
            <w:vAlign w:val="bottom"/>
          </w:tcPr>
          <w:p>
            <w:pPr>
              <w:spacing w:after="0"/>
              <w:rPr>
                <w:sz w:val="20"/>
                <w:szCs w:val="20"/>
                <w:color w:val="auto"/>
              </w:rPr>
            </w:pPr>
            <w:r>
              <w:rPr>
                <w:rFonts w:ascii="Arial" w:cs="Arial" w:eastAsia="Arial" w:hAnsi="Arial"/>
                <w:sz w:val="40"/>
                <w:szCs w:val="40"/>
                <w:b w:val="1"/>
                <w:bCs w:val="1"/>
                <w:color w:val="auto"/>
              </w:rPr>
              <w:t>Leases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836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DDDDD"/>
          </w:tcPr>
          <w:p>
            <w:pPr>
              <w:ind w:left="20"/>
              <w:spacing w:after="0"/>
              <w:rPr>
                <w:sz w:val="20"/>
                <w:szCs w:val="20"/>
                <w:color w:val="auto"/>
              </w:rPr>
            </w:pPr>
            <w:r>
              <w:rPr>
                <w:rFonts w:ascii="Arial" w:cs="Arial" w:eastAsia="Arial" w:hAnsi="Arial"/>
                <w:sz w:val="18"/>
                <w:szCs w:val="18"/>
                <w:color w:val="auto"/>
              </w:rPr>
              <w:t>Finance lease cost</w:t>
            </w:r>
          </w:p>
        </w:tc>
        <w:tc>
          <w:tcPr>
            <w:tcW w:w="140" w:type="dxa"/>
            <w:vAlign w:val="bottom"/>
            <w:shd w:val="clear" w:color="auto" w:fill="DDDDDD"/>
          </w:tcPr>
          <w:p>
            <w:pPr>
              <w:spacing w:after="0"/>
              <w:rPr>
                <w:sz w:val="19"/>
                <w:szCs w:val="19"/>
                <w:color w:val="auto"/>
              </w:rPr>
            </w:pPr>
          </w:p>
        </w:tc>
        <w:tc>
          <w:tcPr>
            <w:tcW w:w="1260" w:type="dxa"/>
            <w:vAlign w:val="bottom"/>
            <w:shd w:val="clear" w:color="auto" w:fill="DDDDDD"/>
          </w:tcPr>
          <w:p>
            <w:pPr>
              <w:spacing w:after="0"/>
              <w:rPr>
                <w:sz w:val="19"/>
                <w:szCs w:val="19"/>
                <w:color w:val="auto"/>
              </w:rPr>
            </w:pPr>
          </w:p>
        </w:tc>
        <w:tc>
          <w:tcPr>
            <w:tcW w:w="1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8360" w:type="dxa"/>
            <w:vAlign w:val="bottom"/>
            <w:shd w:val="clear" w:color="auto" w:fill="DDDDDD"/>
          </w:tcPr>
          <w:p>
            <w:pPr>
              <w:ind w:left="140"/>
              <w:spacing w:after="0"/>
              <w:rPr>
                <w:sz w:val="20"/>
                <w:szCs w:val="20"/>
                <w:color w:val="auto"/>
              </w:rPr>
            </w:pPr>
            <w:r>
              <w:rPr>
                <w:rFonts w:ascii="Arial" w:cs="Arial" w:eastAsia="Arial" w:hAnsi="Arial"/>
                <w:sz w:val="18"/>
                <w:szCs w:val="18"/>
                <w:color w:val="auto"/>
              </w:rPr>
              <w:t>Interest on lease liabilities</w:t>
            </w:r>
          </w:p>
        </w:tc>
        <w:tc>
          <w:tcPr>
            <w:tcW w:w="140" w:type="dxa"/>
            <w:vAlign w:val="bottom"/>
            <w:shd w:val="clear" w:color="auto" w:fill="DDDDDD"/>
          </w:tcPr>
          <w:p>
            <w:pPr>
              <w:spacing w:after="0"/>
              <w:rPr>
                <w:sz w:val="19"/>
                <w:szCs w:val="19"/>
                <w:color w:val="auto"/>
              </w:rPr>
            </w:pPr>
          </w:p>
        </w:tc>
        <w:tc>
          <w:tcPr>
            <w:tcW w:w="12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DDDDDD"/>
          </w:tcPr>
          <w:p>
            <w:pPr>
              <w:spacing w:after="0"/>
              <w:rPr>
                <w:sz w:val="19"/>
                <w:szCs w:val="19"/>
                <w:color w:val="auto"/>
              </w:rPr>
            </w:pPr>
          </w:p>
        </w:tc>
        <w:tc>
          <w:tcPr>
            <w:tcW w:w="60" w:type="dxa"/>
            <w:vAlign w:val="bottom"/>
            <w:shd w:val="clear" w:color="auto" w:fill="DDDDDD"/>
          </w:tcPr>
          <w:p>
            <w:pPr>
              <w:spacing w:after="0"/>
              <w:rPr>
                <w:sz w:val="19"/>
                <w:szCs w:val="19"/>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DDDDD"/>
            </w:tcBorders>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66</w:t>
            </w:r>
          </w:p>
        </w:tc>
        <w:tc>
          <w:tcPr>
            <w:tcW w:w="180" w:type="dxa"/>
            <w:vAlign w:val="bottom"/>
            <w:tcBorders>
              <w:bottom w:val="single" w:sz="8" w:color="auto"/>
            </w:tcBorders>
            <w:gridSpan w:val="2"/>
            <w:shd w:val="clear" w:color="auto" w:fill="DDDDDD"/>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836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DDDDDD"/>
              <w:bottom w:val="single" w:sz="8" w:color="auto"/>
            </w:tcBorders>
          </w:tcPr>
          <w:p>
            <w:pPr>
              <w:spacing w:after="0" w:line="20" w:lineRule="exact"/>
              <w:rPr>
                <w:sz w:val="1"/>
                <w:szCs w:val="1"/>
                <w:color w:val="auto"/>
              </w:rPr>
            </w:pPr>
          </w:p>
        </w:tc>
        <w:tc>
          <w:tcPr>
            <w:tcW w:w="1260" w:type="dxa"/>
            <w:vAlign w:val="bottom"/>
            <w:tcBorders>
              <w:top w:val="single" w:sz="8" w:color="DDDDDD"/>
              <w:bottom w:val="single" w:sz="8" w:color="auto"/>
            </w:tcBorders>
          </w:tcPr>
          <w:p>
            <w:pPr>
              <w:spacing w:after="0" w:line="20" w:lineRule="exact"/>
              <w:rPr>
                <w:sz w:val="1"/>
                <w:szCs w:val="1"/>
                <w:color w:val="auto"/>
              </w:rPr>
            </w:pPr>
          </w:p>
        </w:tc>
        <w:tc>
          <w:tcPr>
            <w:tcW w:w="120" w:type="dxa"/>
            <w:vAlign w:val="bottom"/>
            <w:tcBorders>
              <w:top w:val="single" w:sz="8" w:color="DDDDDD"/>
              <w:bottom w:val="single" w:sz="8" w:color="auto"/>
            </w:tcBorders>
          </w:tcPr>
          <w:p>
            <w:pPr>
              <w:spacing w:after="0" w:line="20" w:lineRule="exact"/>
              <w:rPr>
                <w:sz w:val="1"/>
                <w:szCs w:val="1"/>
                <w:color w:val="auto"/>
              </w:rPr>
            </w:pPr>
          </w:p>
        </w:tc>
        <w:tc>
          <w:tcPr>
            <w:tcW w:w="6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160" w:hanging="152"/>
        <w:spacing w:after="0"/>
        <w:tabs>
          <w:tab w:leader="none" w:pos="160" w:val="left"/>
        </w:tabs>
        <w:numPr>
          <w:ilvl w:val="0"/>
          <w:numId w:val="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2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17"/>
                <w:szCs w:val="17"/>
                <w:color w:val="auto"/>
              </w:rPr>
            </w:pPr>
          </w:p>
        </w:tc>
        <w:tc>
          <w:tcPr>
            <w:tcW w:w="1280" w:type="dxa"/>
            <w:vAlign w:val="bottom"/>
            <w:gridSpan w:val="2"/>
          </w:tcPr>
          <w:p>
            <w:pPr>
              <w:jc w:val="right"/>
              <w:ind w:right="90"/>
              <w:spacing w:after="0" w:line="199" w:lineRule="exact"/>
              <w:rPr>
                <w:sz w:val="20"/>
                <w:szCs w:val="20"/>
                <w:color w:val="auto"/>
              </w:rPr>
            </w:pPr>
            <w:r>
              <w:rPr>
                <w:rFonts w:ascii="Arial" w:cs="Arial" w:eastAsia="Arial" w:hAnsi="Arial"/>
                <w:sz w:val="18"/>
                <w:szCs w:val="18"/>
                <w:b w:val="1"/>
                <w:bCs w:val="1"/>
                <w:color w:val="auto"/>
              </w:rPr>
              <w:t>December 1,</w:t>
            </w:r>
          </w:p>
        </w:tc>
        <w:tc>
          <w:tcPr>
            <w:tcW w:w="160" w:type="dxa"/>
            <w:vAlign w:val="bottom"/>
          </w:tcPr>
          <w:p>
            <w:pPr>
              <w:spacing w:after="0"/>
              <w:rPr>
                <w:sz w:val="17"/>
                <w:szCs w:val="17"/>
                <w:color w:val="auto"/>
              </w:rPr>
            </w:pPr>
          </w:p>
        </w:tc>
        <w:tc>
          <w:tcPr>
            <w:tcW w:w="1300" w:type="dxa"/>
            <w:vAlign w:val="bottom"/>
            <w:gridSpan w:val="2"/>
          </w:tcPr>
          <w:p>
            <w:pPr>
              <w:ind w:left="40"/>
              <w:spacing w:after="0" w:line="199" w:lineRule="exact"/>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43"/>
        </w:trPr>
        <w:tc>
          <w:tcPr>
            <w:tcW w:w="7520" w:type="dxa"/>
            <w:vAlign w:val="bottom"/>
            <w:tcBorders>
              <w:bottom w:val="single" w:sz="8" w:color="0090DA"/>
            </w:tcBorders>
            <w:gridSpan w:val="2"/>
            <w:vMerge w:val="continue"/>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0090DA"/>
            </w:tcBorders>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0090DA"/>
            </w:tcBorders>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2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98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DDDDDD"/>
          </w:tcPr>
          <w:p>
            <w:pPr>
              <w:spacing w:after="0"/>
              <w:rPr>
                <w:sz w:val="19"/>
                <w:szCs w:val="19"/>
                <w:color w:val="auto"/>
              </w:rPr>
            </w:pPr>
          </w:p>
        </w:tc>
        <w:tc>
          <w:tcPr>
            <w:tcW w:w="7480" w:type="dxa"/>
            <w:vAlign w:val="bottom"/>
            <w:shd w:val="clear" w:color="auto" w:fill="DDDDDD"/>
          </w:tcPr>
          <w:p>
            <w:pPr>
              <w:ind w:left="10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33</w:t>
            </w:r>
          </w:p>
        </w:tc>
        <w:tc>
          <w:tcPr>
            <w:tcW w:w="16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20</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gridSpan w:val="2"/>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98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80" w:type="dxa"/>
            <w:vAlign w:val="bottom"/>
            <w:shd w:val="clear" w:color="auto" w:fill="DDDDDD"/>
          </w:tcPr>
          <w:p>
            <w:pPr>
              <w:spacing w:after="0"/>
              <w:rPr>
                <w:sz w:val="19"/>
                <w:szCs w:val="19"/>
                <w:color w:val="auto"/>
              </w:rPr>
            </w:pPr>
          </w:p>
        </w:tc>
        <w:tc>
          <w:tcPr>
            <w:tcW w:w="16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DDDDDD"/>
          </w:tcPr>
          <w:p>
            <w:pPr>
              <w:spacing w:after="0"/>
              <w:rPr>
                <w:sz w:val="19"/>
                <w:szCs w:val="19"/>
                <w:color w:val="auto"/>
              </w:rPr>
            </w:pPr>
          </w:p>
        </w:tc>
        <w:tc>
          <w:tcPr>
            <w:tcW w:w="7480" w:type="dxa"/>
            <w:vAlign w:val="bottom"/>
            <w:shd w:val="clear" w:color="auto" w:fill="DDDDDD"/>
          </w:tcPr>
          <w:p>
            <w:pPr>
              <w:ind w:left="10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DDDDDD"/>
          </w:tcPr>
          <w:p>
            <w:pPr>
              <w:spacing w:after="0"/>
              <w:rPr>
                <w:sz w:val="19"/>
                <w:szCs w:val="19"/>
                <w:color w:val="auto"/>
              </w:rPr>
            </w:pPr>
          </w:p>
        </w:tc>
        <w:tc>
          <w:tcPr>
            <w:tcW w:w="1000" w:type="dxa"/>
            <w:vAlign w:val="bottom"/>
            <w:shd w:val="clear" w:color="auto" w:fill="DDDDDD"/>
          </w:tcPr>
          <w:p>
            <w:pPr>
              <w:spacing w:after="0"/>
              <w:rPr>
                <w:sz w:val="19"/>
                <w:szCs w:val="19"/>
                <w:color w:val="auto"/>
              </w:rPr>
            </w:pPr>
          </w:p>
        </w:tc>
        <w:tc>
          <w:tcPr>
            <w:tcW w:w="2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35</w:t>
            </w:r>
          </w:p>
        </w:tc>
        <w:tc>
          <w:tcPr>
            <w:tcW w:w="160" w:type="dxa"/>
            <w:vAlign w:val="bottom"/>
            <w:shd w:val="clear" w:color="auto" w:fill="DDDDDD"/>
          </w:tcPr>
          <w:p>
            <w:pPr>
              <w:spacing w:after="0"/>
              <w:rPr>
                <w:sz w:val="19"/>
                <w:szCs w:val="19"/>
                <w:color w:val="auto"/>
              </w:rPr>
            </w:pPr>
          </w:p>
        </w:tc>
        <w:tc>
          <w:tcPr>
            <w:tcW w:w="12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DDDDDD"/>
          </w:tcPr>
          <w:p>
            <w:pPr>
              <w:spacing w:after="0"/>
              <w:rPr>
                <w:sz w:val="19"/>
                <w:szCs w:val="19"/>
                <w:color w:val="auto"/>
              </w:rPr>
            </w:pPr>
          </w:p>
        </w:tc>
        <w:tc>
          <w:tcPr>
            <w:tcW w:w="0" w:type="dxa"/>
            <w:vAlign w:val="bottom"/>
          </w:tcPr>
          <w:p>
            <w:pPr>
              <w:spacing w:after="0"/>
              <w:rPr>
                <w:sz w:val="1"/>
                <w:szCs w:val="1"/>
                <w:color w:val="auto"/>
              </w:rPr>
            </w:pPr>
          </w:p>
        </w:tc>
      </w:tr>
      <w:tr>
        <w:trPr>
          <w:trHeight w:val="557"/>
        </w:trPr>
        <w:tc>
          <w:tcPr>
            <w:tcW w:w="752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As of</w:t>
            </w:r>
          </w:p>
        </w:tc>
        <w:tc>
          <w:tcPr>
            <w:tcW w:w="2260" w:type="dxa"/>
            <w:vAlign w:val="bottom"/>
            <w:gridSpan w:val="3"/>
            <w:vMerge w:val="restart"/>
          </w:tcPr>
          <w:p>
            <w:pPr>
              <w:ind w:left="560"/>
              <w:spacing w:after="0"/>
              <w:rPr>
                <w:sz w:val="20"/>
                <w:szCs w:val="20"/>
                <w:color w:val="auto"/>
              </w:rPr>
            </w:pPr>
            <w:r>
              <w:rPr>
                <w:rFonts w:ascii="Arial" w:cs="Arial" w:eastAsia="Arial" w:hAnsi="Arial"/>
                <w:sz w:val="18"/>
                <w:szCs w:val="18"/>
                <w:b w:val="1"/>
                <w:bCs w:val="1"/>
                <w:color w:val="auto"/>
              </w:rPr>
              <w:t>December 1, 2022</w:t>
            </w:r>
          </w:p>
        </w:tc>
        <w:tc>
          <w:tcPr>
            <w:tcW w:w="1460" w:type="dxa"/>
            <w:vAlign w:val="bottom"/>
            <w:gridSpan w:val="3"/>
          </w:tcPr>
          <w:p>
            <w:pPr>
              <w:ind w:left="80"/>
              <w:spacing w:after="0" w:line="199" w:lineRule="exact"/>
              <w:rPr>
                <w:sz w:val="20"/>
                <w:szCs w:val="20"/>
                <w:color w:val="auto"/>
              </w:rPr>
            </w:pPr>
            <w:r>
              <w:rPr>
                <w:rFonts w:ascii="Arial" w:cs="Arial" w:eastAsia="Arial" w:hAnsi="Arial"/>
                <w:sz w:val="18"/>
                <w:szCs w:val="18"/>
                <w:b w:val="1"/>
                <w:bCs w:val="1"/>
                <w:color w:val="auto"/>
              </w:rPr>
              <w:t>September 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480" w:type="dxa"/>
            <w:vAlign w:val="bottom"/>
            <w:tcBorders>
              <w:bottom w:val="single" w:sz="8" w:color="0090DA"/>
            </w:tcBorders>
            <w:vMerge w:val="continue"/>
          </w:tcPr>
          <w:p>
            <w:pPr>
              <w:spacing w:after="0"/>
              <w:rPr>
                <w:sz w:val="21"/>
                <w:szCs w:val="21"/>
                <w:color w:val="auto"/>
              </w:rPr>
            </w:pPr>
          </w:p>
        </w:tc>
        <w:tc>
          <w:tcPr>
            <w:tcW w:w="2260" w:type="dxa"/>
            <w:vAlign w:val="bottom"/>
            <w:tcBorders>
              <w:bottom w:val="single" w:sz="8" w:color="0090DA"/>
            </w:tcBorders>
            <w:gridSpan w:val="3"/>
            <w:vMerge w:val="continue"/>
          </w:tcPr>
          <w:p>
            <w:pPr>
              <w:spacing w:after="0"/>
              <w:rPr>
                <w:sz w:val="21"/>
                <w:szCs w:val="21"/>
                <w:color w:val="auto"/>
              </w:rPr>
            </w:pPr>
          </w:p>
        </w:tc>
        <w:tc>
          <w:tcPr>
            <w:tcW w:w="16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shd w:val="clear" w:color="auto" w:fill="D1D2D4"/>
          </w:tcPr>
          <w:p>
            <w:pPr>
              <w:spacing w:after="0"/>
              <w:rPr>
                <w:sz w:val="20"/>
                <w:szCs w:val="20"/>
                <w:color w:val="auto"/>
              </w:rPr>
            </w:pPr>
            <w:r>
              <w:rPr>
                <w:rFonts w:ascii="Arial" w:cs="Arial" w:eastAsia="Arial" w:hAnsi="Arial"/>
                <w:sz w:val="18"/>
                <w:szCs w:val="18"/>
                <w:color w:val="auto"/>
              </w:rPr>
              <w:t>Finance lease right-of-use assets (included in property, plant, and equipment)</w:t>
            </w:r>
          </w:p>
        </w:tc>
        <w:tc>
          <w:tcPr>
            <w:tcW w:w="980" w:type="dxa"/>
            <w:vAlign w:val="bottom"/>
            <w:shd w:val="clear" w:color="auto" w:fill="D1D2D4"/>
          </w:tcPr>
          <w:p>
            <w:pPr>
              <w:ind w:left="5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924</w:t>
            </w:r>
          </w:p>
        </w:tc>
        <w:tc>
          <w:tcPr>
            <w:tcW w:w="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98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480" w:type="dxa"/>
            <w:vAlign w:val="bottom"/>
            <w:shd w:val="clear" w:color="auto" w:fill="D1D2D4"/>
          </w:tcPr>
          <w:p>
            <w:pPr>
              <w:spacing w:after="0"/>
              <w:rPr>
                <w:sz w:val="23"/>
                <w:szCs w:val="23"/>
                <w:color w:val="auto"/>
              </w:rPr>
            </w:pPr>
          </w:p>
        </w:tc>
        <w:tc>
          <w:tcPr>
            <w:tcW w:w="980" w:type="dxa"/>
            <w:vAlign w:val="bottom"/>
            <w:shd w:val="clear" w:color="auto" w:fill="D1D2D4"/>
          </w:tcPr>
          <w:p>
            <w:pPr>
              <w:spacing w:after="0"/>
              <w:rPr>
                <w:sz w:val="23"/>
                <w:szCs w:val="23"/>
                <w:color w:val="auto"/>
              </w:rPr>
            </w:pPr>
          </w:p>
        </w:tc>
        <w:tc>
          <w:tcPr>
            <w:tcW w:w="1000" w:type="dxa"/>
            <w:vAlign w:val="bottom"/>
            <w:shd w:val="clear" w:color="auto" w:fill="D1D2D4"/>
          </w:tcPr>
          <w:p>
            <w:pPr>
              <w:spacing w:after="0"/>
              <w:rPr>
                <w:sz w:val="23"/>
                <w:szCs w:val="23"/>
                <w:color w:val="auto"/>
              </w:rPr>
            </w:pPr>
          </w:p>
        </w:tc>
        <w:tc>
          <w:tcPr>
            <w:tcW w:w="280" w:type="dxa"/>
            <w:vAlign w:val="bottom"/>
            <w:shd w:val="clear" w:color="auto" w:fill="D1D2D4"/>
          </w:tcPr>
          <w:p>
            <w:pPr>
              <w:spacing w:after="0"/>
              <w:rPr>
                <w:sz w:val="23"/>
                <w:szCs w:val="23"/>
                <w:color w:val="auto"/>
              </w:rPr>
            </w:pPr>
          </w:p>
        </w:tc>
        <w:tc>
          <w:tcPr>
            <w:tcW w:w="160" w:type="dxa"/>
            <w:vAlign w:val="bottom"/>
            <w:shd w:val="clear" w:color="auto" w:fill="D1D2D4"/>
          </w:tcPr>
          <w:p>
            <w:pPr>
              <w:spacing w:after="0"/>
              <w:rPr>
                <w:sz w:val="23"/>
                <w:szCs w:val="23"/>
                <w:color w:val="auto"/>
              </w:rPr>
            </w:pPr>
          </w:p>
        </w:tc>
        <w:tc>
          <w:tcPr>
            <w:tcW w:w="128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98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shd w:val="clear" w:color="auto" w:fill="D1D2D4"/>
          </w:tcPr>
          <w:p>
            <w:pPr>
              <w:spacing w:after="0"/>
              <w:rPr>
                <w:sz w:val="20"/>
                <w:szCs w:val="20"/>
                <w:color w:val="auto"/>
              </w:rPr>
            </w:pPr>
            <w:r>
              <w:rPr>
                <w:rFonts w:ascii="Arial" w:cs="Arial" w:eastAsia="Arial" w:hAnsi="Arial"/>
                <w:sz w:val="18"/>
                <w:szCs w:val="18"/>
                <w:color w:val="auto"/>
              </w:rPr>
              <w:t>Weighted-average discount rate</w:t>
            </w:r>
          </w:p>
        </w:tc>
        <w:tc>
          <w:tcPr>
            <w:tcW w:w="980" w:type="dxa"/>
            <w:vAlign w:val="bottom"/>
            <w:shd w:val="clear" w:color="auto" w:fill="D1D2D4"/>
          </w:tcPr>
          <w:p>
            <w:pPr>
              <w:spacing w:after="0"/>
              <w:rPr>
                <w:sz w:val="19"/>
                <w:szCs w:val="19"/>
                <w:color w:val="auto"/>
              </w:rPr>
            </w:pPr>
          </w:p>
        </w:tc>
        <w:tc>
          <w:tcPr>
            <w:tcW w:w="1000" w:type="dxa"/>
            <w:vAlign w:val="bottom"/>
            <w:shd w:val="clear" w:color="auto" w:fill="D1D2D4"/>
          </w:tcPr>
          <w:p>
            <w:pPr>
              <w:spacing w:after="0"/>
              <w:rPr>
                <w:sz w:val="19"/>
                <w:szCs w:val="19"/>
                <w:color w:val="auto"/>
              </w:rPr>
            </w:pPr>
          </w:p>
        </w:tc>
        <w:tc>
          <w:tcPr>
            <w:tcW w:w="2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980" w:type="dxa"/>
            <w:vAlign w:val="bottom"/>
          </w:tcPr>
          <w:p>
            <w:pPr>
              <w:spacing w:after="0"/>
              <w:rPr>
                <w:sz w:val="19"/>
                <w:szCs w:val="19"/>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color w:val="auto"/>
              </w:rPr>
              <w:t>2.67 %</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980" w:type="dxa"/>
            <w:vAlign w:val="bottom"/>
            <w:shd w:val="clear" w:color="auto" w:fill="D1D2D4"/>
          </w:tcPr>
          <w:p>
            <w:pPr>
              <w:spacing w:after="0"/>
              <w:rPr>
                <w:sz w:val="19"/>
                <w:szCs w:val="19"/>
                <w:color w:val="auto"/>
              </w:rPr>
            </w:pPr>
          </w:p>
        </w:tc>
        <w:tc>
          <w:tcPr>
            <w:tcW w:w="128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3.04 %</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As of December 1, 2022, maturities of lease liabilities by fiscal year were as follows: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14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40" w:type="dxa"/>
            <w:vAlign w:val="bottom"/>
            <w:tcBorders>
              <w:bottom w:val="single" w:sz="8" w:color="0090DA"/>
            </w:tcBorders>
            <w:gridSpan w:val="2"/>
            <w:vMerge w:val="continue"/>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1240" w:type="dxa"/>
            <w:vAlign w:val="bottom"/>
            <w:tcBorders>
              <w:bottom w:val="single" w:sz="8" w:color="0090DA"/>
            </w:tcBorders>
          </w:tcPr>
          <w:p>
            <w:pPr>
              <w:jc w:val="right"/>
              <w:ind w:right="330"/>
              <w:spacing w:after="0"/>
              <w:rPr>
                <w:sz w:val="20"/>
                <w:szCs w:val="20"/>
                <w:color w:val="auto"/>
              </w:rPr>
            </w:pPr>
            <w:r>
              <w:rPr>
                <w:rFonts w:ascii="Arial" w:cs="Arial" w:eastAsia="Arial" w:hAnsi="Arial"/>
                <w:sz w:val="18"/>
                <w:szCs w:val="18"/>
                <w:b w:val="1"/>
                <w:bCs w:val="1"/>
                <w:color w:val="auto"/>
              </w:rPr>
              <w:t>Leases</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D1D2D4"/>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D1D2D4"/>
          </w:tcPr>
          <w:p>
            <w:pPr>
              <w:spacing w:after="0"/>
              <w:rPr>
                <w:sz w:val="19"/>
                <w:szCs w:val="19"/>
                <w:color w:val="auto"/>
              </w:rPr>
            </w:pPr>
          </w:p>
        </w:tc>
        <w:tc>
          <w:tcPr>
            <w:tcW w:w="9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540" w:type="dxa"/>
            <w:vAlign w:val="bottom"/>
            <w:tcBorders>
              <w:bottom w:val="single" w:sz="8" w:color="auto"/>
            </w:tcBorders>
            <w:shd w:val="clear" w:color="auto" w:fill="D1D2D4"/>
          </w:tcPr>
          <w:p>
            <w:pPr>
              <w:spacing w:after="0"/>
              <w:rPr>
                <w:sz w:val="19"/>
                <w:szCs w:val="19"/>
                <w:color w:val="auto"/>
              </w:rPr>
            </w:pPr>
          </w:p>
        </w:tc>
        <w:tc>
          <w:tcPr>
            <w:tcW w:w="9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December 1, 2022, excluded obligations consisted of $ 186 million of estimated finance lease payments over a weighted-average period of 13 years for gas supply arrangements deemed to contain embedded leases and equipment leases. We will recognize right-of-use assets and associated lease liabilities at the time such assets become available for our use.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Accounts Payable and Accrued Expenses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1,</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342</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Debt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020" w:type="dxa"/>
            <w:vAlign w:val="bottom"/>
            <w:tcBorders>
              <w:bottom w:val="single" w:sz="8" w:color="0090DA"/>
            </w:tcBorders>
          </w:tcPr>
          <w:p>
            <w:pPr>
              <w:spacing w:after="0"/>
              <w:rPr>
                <w:sz w:val="18"/>
                <w:szCs w:val="18"/>
                <w:color w:val="auto"/>
              </w:rPr>
            </w:pPr>
          </w:p>
        </w:tc>
        <w:tc>
          <w:tcPr>
            <w:tcW w:w="2760" w:type="dxa"/>
            <w:vAlign w:val="bottom"/>
            <w:tcBorders>
              <w:bottom w:val="single" w:sz="8" w:color="0090DA"/>
            </w:tcBorders>
            <w:gridSpan w:val="5"/>
          </w:tcPr>
          <w:p>
            <w:pPr>
              <w:jc w:val="right"/>
              <w:ind w:right="570"/>
              <w:spacing w:after="0"/>
              <w:rPr>
                <w:sz w:val="20"/>
                <w:szCs w:val="20"/>
                <w:color w:val="auto"/>
              </w:rPr>
            </w:pPr>
            <w:r>
              <w:rPr>
                <w:rFonts w:ascii="Arial" w:cs="Arial" w:eastAsia="Arial" w:hAnsi="Arial"/>
                <w:sz w:val="18"/>
                <w:szCs w:val="18"/>
                <w:b w:val="1"/>
                <w:bCs w:val="1"/>
                <w:color w:val="auto"/>
              </w:rPr>
              <w:t>December 1, 2022</w:t>
            </w:r>
          </w:p>
        </w:tc>
        <w:tc>
          <w:tcPr>
            <w:tcW w:w="220" w:type="dxa"/>
            <w:vAlign w:val="bottom"/>
            <w:tcBorders>
              <w:bottom w:val="single" w:sz="8" w:color="0090DA"/>
            </w:tcBorders>
          </w:tcPr>
          <w:p>
            <w:pPr>
              <w:spacing w:after="0"/>
              <w:rPr>
                <w:sz w:val="18"/>
                <w:szCs w:val="18"/>
                <w:color w:val="auto"/>
              </w:rPr>
            </w:pPr>
          </w:p>
        </w:tc>
        <w:tc>
          <w:tcPr>
            <w:tcW w:w="720" w:type="dxa"/>
            <w:vAlign w:val="bottom"/>
            <w:tcBorders>
              <w:bottom w:val="single" w:sz="8" w:color="0090DA"/>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2600" w:type="dxa"/>
            <w:vAlign w:val="bottom"/>
            <w:tcBorders>
              <w:bottom w:val="single" w:sz="8" w:color="0090DA"/>
            </w:tcBorders>
            <w:gridSpan w:val="5"/>
          </w:tcPr>
          <w:p>
            <w:pPr>
              <w:jc w:val="center"/>
              <w:ind w:right="10"/>
              <w:spacing w:after="0"/>
              <w:rPr>
                <w:sz w:val="20"/>
                <w:szCs w:val="20"/>
                <w:color w:val="auto"/>
              </w:rPr>
            </w:pPr>
            <w:r>
              <w:rPr>
                <w:rFonts w:ascii="Arial" w:cs="Arial" w:eastAsia="Arial" w:hAnsi="Arial"/>
                <w:sz w:val="18"/>
                <w:szCs w:val="18"/>
                <w:b w:val="1"/>
                <w:bCs w:val="1"/>
                <w:color w:val="auto"/>
                <w:w w:val="99"/>
              </w:rPr>
              <w:t>September 1, 2022</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60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0" w:type="dxa"/>
            <w:vAlign w:val="bottom"/>
          </w:tcPr>
          <w:p>
            <w:pPr>
              <w:spacing w:after="0"/>
              <w:rPr>
                <w:sz w:val="1"/>
                <w:szCs w:val="1"/>
                <w:color w:val="auto"/>
              </w:rPr>
            </w:pPr>
          </w:p>
        </w:tc>
      </w:tr>
      <w:tr>
        <w:trPr>
          <w:trHeight w:val="177"/>
        </w:trPr>
        <w:tc>
          <w:tcPr>
            <w:tcW w:w="3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rPr>
              <w:t>Stated</w:t>
            </w:r>
          </w:p>
        </w:tc>
        <w:tc>
          <w:tcPr>
            <w:tcW w:w="980" w:type="dxa"/>
            <w:vAlign w:val="bottom"/>
          </w:tcPr>
          <w:p>
            <w:pPr>
              <w:jc w:val="right"/>
              <w:ind w:right="50"/>
              <w:spacing w:after="0" w:line="177" w:lineRule="exact"/>
              <w:rPr>
                <w:sz w:val="20"/>
                <w:szCs w:val="20"/>
                <w:color w:val="auto"/>
              </w:rPr>
            </w:pPr>
            <w:r>
              <w:rPr>
                <w:rFonts w:ascii="Arial" w:cs="Arial" w:eastAsia="Arial" w:hAnsi="Arial"/>
                <w:sz w:val="18"/>
                <w:szCs w:val="18"/>
                <w:b w:val="1"/>
                <w:bCs w:val="1"/>
                <w:color w:val="auto"/>
              </w:rPr>
              <w:t>Effective</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180" w:type="dxa"/>
            <w:vAlign w:val="bottom"/>
          </w:tcPr>
          <w:p>
            <w:pPr>
              <w:spacing w:after="0"/>
              <w:rPr>
                <w:sz w:val="15"/>
                <w:szCs w:val="15"/>
                <w:color w:val="auto"/>
              </w:rPr>
            </w:pPr>
          </w:p>
        </w:tc>
        <w:tc>
          <w:tcPr>
            <w:tcW w:w="720" w:type="dxa"/>
            <w:vAlign w:val="bottom"/>
          </w:tcPr>
          <w:p>
            <w:pPr>
              <w:jc w:val="center"/>
              <w:ind w:right="1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5"/>
                <w:szCs w:val="15"/>
                <w:color w:val="auto"/>
              </w:rPr>
            </w:pPr>
          </w:p>
        </w:tc>
        <w:tc>
          <w:tcPr>
            <w:tcW w:w="7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8"/>
              </w:rPr>
              <w:t>Current</w:t>
            </w:r>
          </w:p>
        </w:tc>
        <w:tc>
          <w:tcPr>
            <w:tcW w:w="200" w:type="dxa"/>
            <w:vAlign w:val="bottom"/>
          </w:tcPr>
          <w:p>
            <w:pPr>
              <w:spacing w:after="0"/>
              <w:rPr>
                <w:sz w:val="15"/>
                <w:szCs w:val="15"/>
                <w:color w:val="auto"/>
              </w:rPr>
            </w:pPr>
          </w:p>
        </w:tc>
        <w:tc>
          <w:tcPr>
            <w:tcW w:w="700" w:type="dxa"/>
            <w:vAlign w:val="bottom"/>
          </w:tcPr>
          <w:p>
            <w:pPr>
              <w:jc w:val="center"/>
              <w:ind w:right="30"/>
              <w:spacing w:after="0" w:line="177"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5"/>
                <w:szCs w:val="15"/>
                <w:color w:val="auto"/>
              </w:rPr>
            </w:pPr>
          </w:p>
        </w:tc>
        <w:tc>
          <w:tcPr>
            <w:tcW w:w="7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5"/>
        </w:trPr>
        <w:tc>
          <w:tcPr>
            <w:tcW w:w="3700" w:type="dxa"/>
            <w:vAlign w:val="bottom"/>
            <w:vMerge w:val="continue"/>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Rate</w:t>
            </w:r>
          </w:p>
        </w:tc>
        <w:tc>
          <w:tcPr>
            <w:tcW w:w="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Term</w:t>
            </w:r>
          </w:p>
        </w:tc>
        <w:tc>
          <w:tcPr>
            <w:tcW w:w="22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700" w:type="dxa"/>
            <w:vAlign w:val="bottom"/>
            <w:tcBorders>
              <w:top w:val="single" w:sz="8" w:color="0090DA"/>
            </w:tcBorders>
          </w:tcPr>
          <w:p>
            <w:pPr>
              <w:spacing w:after="0"/>
              <w:rPr>
                <w:sz w:val="2"/>
                <w:szCs w:val="2"/>
                <w:color w:val="auto"/>
              </w:rPr>
            </w:pPr>
          </w:p>
        </w:tc>
        <w:tc>
          <w:tcPr>
            <w:tcW w:w="102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4.720 %</w:t>
            </w:r>
          </w:p>
        </w:tc>
        <w:tc>
          <w:tcPr>
            <w:tcW w:w="11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4.76 % $</w:t>
            </w:r>
          </w:p>
        </w:tc>
        <w:tc>
          <w:tcPr>
            <w:tcW w:w="9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2025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5.436 %</w:t>
            </w:r>
          </w:p>
        </w:tc>
        <w:tc>
          <w:tcPr>
            <w:tcW w:w="980" w:type="dxa"/>
            <w:vAlign w:val="bottom"/>
          </w:tcPr>
          <w:p>
            <w:pPr>
              <w:jc w:val="right"/>
              <w:spacing w:after="0"/>
              <w:rPr>
                <w:sz w:val="20"/>
                <w:szCs w:val="20"/>
                <w:color w:val="auto"/>
              </w:rPr>
            </w:pPr>
            <w:r>
              <w:rPr>
                <w:rFonts w:ascii="Arial" w:cs="Arial" w:eastAsia="Arial" w:hAnsi="Arial"/>
                <w:sz w:val="18"/>
                <w:szCs w:val="18"/>
                <w:color w:val="auto"/>
              </w:rPr>
              <w:t>5.57 %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Term Loan A</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5.561 %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2027 Term Loan A</w:t>
            </w:r>
          </w:p>
        </w:tc>
        <w:tc>
          <w:tcPr>
            <w:tcW w:w="1020" w:type="dxa"/>
            <w:vAlign w:val="bottom"/>
          </w:tcPr>
          <w:p>
            <w:pPr>
              <w:jc w:val="right"/>
              <w:spacing w:after="0"/>
              <w:rPr>
                <w:sz w:val="20"/>
                <w:szCs w:val="20"/>
                <w:color w:val="auto"/>
              </w:rPr>
            </w:pPr>
            <w:r>
              <w:rPr>
                <w:rFonts w:ascii="Arial" w:cs="Arial" w:eastAsia="Arial" w:hAnsi="Arial"/>
                <w:sz w:val="18"/>
                <w:szCs w:val="18"/>
                <w:color w:val="auto"/>
              </w:rPr>
              <w:t>5.686 %</w:t>
            </w:r>
          </w:p>
        </w:tc>
        <w:tc>
          <w:tcPr>
            <w:tcW w:w="980" w:type="dxa"/>
            <w:vAlign w:val="bottom"/>
          </w:tcPr>
          <w:p>
            <w:pPr>
              <w:jc w:val="right"/>
              <w:spacing w:after="0"/>
              <w:rPr>
                <w:sz w:val="20"/>
                <w:szCs w:val="20"/>
                <w:color w:val="auto"/>
              </w:rPr>
            </w:pPr>
            <w:r>
              <w:rPr>
                <w:rFonts w:ascii="Arial" w:cs="Arial" w:eastAsia="Arial" w:hAnsi="Arial"/>
                <w:sz w:val="18"/>
                <w:szCs w:val="18"/>
                <w:color w:val="auto"/>
              </w:rPr>
              <w:t>5.82 %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2026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5.07 %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20" w:type="dxa"/>
            <w:vAlign w:val="bottom"/>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tcPr>
          <w:p>
            <w:pPr>
              <w:jc w:val="right"/>
              <w:spacing w:after="0"/>
              <w:rPr>
                <w:sz w:val="20"/>
                <w:szCs w:val="20"/>
                <w:color w:val="auto"/>
              </w:rPr>
            </w:pPr>
            <w:r>
              <w:rPr>
                <w:rFonts w:ascii="Arial" w:cs="Arial" w:eastAsia="Arial" w:hAnsi="Arial"/>
                <w:sz w:val="18"/>
                <w:szCs w:val="18"/>
                <w:color w:val="auto"/>
              </w:rPr>
              <w:t>4.27 %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2029 A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5.40 %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2029 B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6.750 %</w:t>
            </w:r>
          </w:p>
        </w:tc>
        <w:tc>
          <w:tcPr>
            <w:tcW w:w="980" w:type="dxa"/>
            <w:vAlign w:val="bottom"/>
          </w:tcPr>
          <w:p>
            <w:pPr>
              <w:jc w:val="right"/>
              <w:spacing w:after="0"/>
              <w:rPr>
                <w:sz w:val="20"/>
                <w:szCs w:val="20"/>
                <w:color w:val="auto"/>
              </w:rPr>
            </w:pPr>
            <w:r>
              <w:rPr>
                <w:rFonts w:ascii="Arial" w:cs="Arial" w:eastAsia="Arial" w:hAnsi="Arial"/>
                <w:sz w:val="18"/>
                <w:szCs w:val="18"/>
                <w:color w:val="auto"/>
              </w:rPr>
              <w:t>6.89 %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2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9"/>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2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30"/>
        </w:trPr>
        <w:tc>
          <w:tcPr>
            <w:tcW w:w="370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Finance lease obligations</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2.67 %</w:t>
            </w: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783</w:t>
            </w: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values of our 2027 Notes reflect adjustments in fair value.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Debt Activity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effects of debt financing activities in the first quarter of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rPr>
              <w:t>Increase in</w:t>
            </w:r>
          </w:p>
        </w:tc>
        <w:tc>
          <w:tcPr>
            <w:tcW w:w="2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Increase in</w:t>
            </w:r>
          </w:p>
        </w:tc>
        <w:tc>
          <w:tcPr>
            <w:tcW w:w="2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Increase in</w:t>
            </w:r>
          </w:p>
        </w:tc>
      </w:tr>
      <w:tr>
        <w:trPr>
          <w:trHeight w:val="243"/>
        </w:trPr>
        <w:tc>
          <w:tcPr>
            <w:tcW w:w="6900" w:type="dxa"/>
            <w:vAlign w:val="bottom"/>
            <w:tcBorders>
              <w:bottom w:val="single" w:sz="8" w:color="0090DA"/>
            </w:tcBorders>
          </w:tcPr>
          <w:p>
            <w:pPr>
              <w:spacing w:after="0"/>
              <w:rPr>
                <w:sz w:val="21"/>
                <w:szCs w:val="21"/>
                <w:color w:val="auto"/>
              </w:rPr>
            </w:pPr>
          </w:p>
        </w:tc>
        <w:tc>
          <w:tcPr>
            <w:tcW w:w="18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210"/>
              <w:spacing w:after="0"/>
              <w:rPr>
                <w:sz w:val="20"/>
                <w:szCs w:val="20"/>
                <w:color w:val="auto"/>
              </w:rPr>
            </w:pPr>
            <w:r>
              <w:rPr>
                <w:rFonts w:ascii="Arial" w:cs="Arial" w:eastAsia="Arial" w:hAnsi="Arial"/>
                <w:sz w:val="18"/>
                <w:szCs w:val="18"/>
                <w:b w:val="1"/>
                <w:bCs w:val="1"/>
                <w:color w:val="auto"/>
              </w:rPr>
              <w:t>Principal</w:t>
            </w:r>
          </w:p>
        </w:tc>
        <w:tc>
          <w:tcPr>
            <w:tcW w:w="14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Carrying Value</w:t>
            </w:r>
          </w:p>
        </w:tc>
        <w:tc>
          <w:tcPr>
            <w:tcW w:w="220" w:type="dxa"/>
            <w:vAlign w:val="bottom"/>
            <w:tcBorders>
              <w:bottom w:val="single" w:sz="8" w:color="0090DA"/>
            </w:tcBorders>
          </w:tcPr>
          <w:p>
            <w:pPr>
              <w:spacing w:after="0"/>
              <w:rPr>
                <w:sz w:val="21"/>
                <w:szCs w:val="21"/>
                <w:color w:val="auto"/>
              </w:rPr>
            </w:pPr>
          </w:p>
        </w:tc>
        <w:tc>
          <w:tcPr>
            <w:tcW w:w="126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Cash</w:t>
            </w:r>
          </w:p>
        </w:tc>
      </w:tr>
      <w:tr>
        <w:trPr>
          <w:trHeight w:val="34"/>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 Term Loan A</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2026 Term Loan A</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 Term Loan A</w:t>
            </w:r>
          </w:p>
        </w:tc>
        <w:tc>
          <w:tcPr>
            <w:tcW w:w="1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927</w:t>
            </w:r>
          </w:p>
        </w:tc>
        <w:tc>
          <w:tcPr>
            <w:tcW w:w="22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2029 B Notes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3,350</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3,338</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3,338</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Term Loan Agreement</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November 3, 2022, we entered into a term loan agreement consisting of three tranches and borrowed $2.60 billion in aggregate principal amount, including $927 million due November 3, 2025; $ 746 million due November 3, 2026; and $927 million due November 3, 2027 (the “Term Loan Agreement”). We incurred aggregate fees of $6 million in connection with these borrowings. The 2026 Term Loan A and 2027 Term Loan A each require equal quarterly installment payments in an amount equal to 1.25% of the original principal amount. The 2025 Term Loan A does not require quarterly installment payments. Borrowings under the Term Loan Agreement will generally bear interest at adjusted term SOFR plus an applicable interest rate margin ranging from 1.00% to 2.00%, varying by tranche and depending on our corporate credit ratings.</w:t>
      </w:r>
    </w:p>
    <w:p>
      <w:pPr>
        <w:spacing w:after="0" w:line="21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Term Loan Agreement requires us to maintain, on a consolidated basis, a leverage ratio of total indebtedness to adjusted EBITDA, as defined in the Term Loan Agreement and calculated as of the last day of each fiscal quarter, not to exceed 3.25 to 1.00, subject to a temporary four fiscal quarter increase in such maximum ratio to 3.75 to 1.00 following certain material acquisitions. Our obligations under the Term Loan Agreement are unsecured.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2029 B Notes</w:t>
      </w:r>
    </w:p>
    <w:p>
      <w:pPr>
        <w:spacing w:after="0" w:line="243"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On October 31, 2022, we issued $750 million principal amount of senior unsecured 2029 B Notes in a public offering. The 2029 B Notes bear interest at a rate of 6.750% per year and will mature on November 1, 2029. Issuance costs and debt discount for these notes were $6 million. We may redeem the 2029 B Notes, in whole or in part, at our option prior to their maturity date at a redemption price equal to the greater of</w:t>
      </w:r>
    </w:p>
    <w:p>
      <w:pPr>
        <w:spacing w:after="0" w:line="1" w:lineRule="exact"/>
        <w:rPr>
          <w:sz w:val="20"/>
          <w:szCs w:val="20"/>
          <w:color w:val="auto"/>
        </w:rPr>
      </w:pPr>
    </w:p>
    <w:p>
      <w:pPr>
        <w:ind w:right="40" w:firstLine="8"/>
        <w:spacing w:after="0" w:line="258"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 (ii) the present value of the remaining scheduled payments of principal and interest, plus accrued interest in each case. We may also redeem the 2029 B Notes, in whole or in part, at a price equal to par two months prior to maturity in accordance with the terms of the 2029 B Notes.</w:t>
      </w: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2029 B Notes contain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w:t>
      </w:r>
    </w:p>
    <w:p>
      <w:pPr>
        <w:spacing w:after="0" w:line="1" w:lineRule="exact"/>
        <w:rPr>
          <w:sz w:val="20"/>
          <w:szCs w:val="20"/>
          <w:color w:val="auto"/>
        </w:rPr>
      </w:pPr>
    </w:p>
    <w:p>
      <w:pPr>
        <w:ind w:right="40" w:firstLine="8"/>
        <w:spacing w:after="0" w:line="255" w:lineRule="auto"/>
        <w:tabs>
          <w:tab w:leader="none" w:pos="27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 governing our 2029 B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1, 2022, $2.50 billion was available to us under the Revolving Credit Facility and no amounts were outstanding. Any amounts outstanding under the Revolving Credit Facility would mature in May 2026 and amounts borrowed may be prepaid any time without penalty. Any amounts drawn under the Revolving Credit Facility would generally bear interest at a rate equal to LIBOR plus 1.00% to 1.75%, depending on our corporate credit ratings. The credit facility agreement provides for a transition to SOFR or other alternate benchmark rate upon the retirement of LIBOR in 2023.</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Maturities of Notes Payable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December 1, 2022, maturities of notes payable by fiscal year were as follows: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1,562</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5,019</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520" w:type="dxa"/>
            <w:vAlign w:val="bottom"/>
            <w:tcBorders>
              <w:bottom w:val="single" w:sz="8" w:color="auto"/>
            </w:tcBorders>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9,351</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8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 The complaint was dismissed on November 21, 2022 pursuant to an agreement between the parties.</w:t>
      </w:r>
    </w:p>
    <w:p>
      <w:pPr>
        <w:spacing w:after="0" w:line="2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and costs. On June 24, 2022, Netlist amended its complaint to also seek injunctive relief. On June 10, 2022, Netlist filed a patent infringement complaint against Micron, MSP, and MTEC in the U.S. District Court for the Eastern District of Texas (“E.D. Tex.”) alleging that six U.S. patents are infringed by certain of our memory modules and HBM products. The complaint seeks injunctive relief, damages, and attorneys’ fees. On August 1, 2022, Netlist filed a second patent infringement complaint against Micron, MSP, and MTEC in E.D. Tex. alleging that one U.S. patent is infringed by certain of our LRDIMMs. On August 15, 2022, Netlist amended the second complaint to assert that two additional U.S. patents are infringed by certain of our LRDIMMs. The second complaint in E.D. Tex. seeks injunctive relief, damages, and attorneys’ fees.</w:t>
      </w:r>
    </w:p>
    <w:p>
      <w:pPr>
        <w:spacing w:after="0" w:line="2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May 10, 2021, Vervain, LLC filed a patent infringement action against Micron, MSP, and MTEC in the U.S. District Court for the Western District of Texas. The complaint alleges that four U.S. patents are infringed by certain SSD products. The complaint seeks injunctive relief, damages, attorneys’ fees, and costs.</w:t>
      </w:r>
    </w:p>
    <w:p>
      <w:pPr>
        <w:spacing w:after="0" w:line="19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Between April 27, 2022 and October 18, 2022, Bell Semiconductor, LLC (“Bell”) filed four patent infringement complaints against Micron in the U.S. District Court for the District of Idaho. These complaints allege that a total of six U.S. patents are infringed by certain SSDs, a process for designing a NAND flash device included in certain SSDs, and an SSD controller. On September 30, 2022, Bell filed a complaint against Micron in the U.S. District Court for the District of Delaware alleging that six U.S. patents are infringed by certain SSD, GDDR5, GDDR6, GDDR6X, and DDR3 SDRAM products. Each of Bell’s complaints in the District Courts seeks damages, injunctive relief, attorneys’ fees, and costs. On October 6, 2022, Bell filed a complaint with the ITC alleging violations of Section 337 of the Tariff Act of 1930 based on alleged importation of certain SSDs that infringe two U.S. patents also asserted by Bell in two of the lawsuits pending in the District of Idaho. The complaint requests institution of an investigation, which was granted on November 8, 2022, and, after the investigation, issuance of a limited exclusion order and cease and desist orders prohibiting Micron from importing, selling, offering for sale, or marketing the accused products in the United States.</w:t>
      </w:r>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0" w:lineRule="exact"/>
        <w:rPr>
          <w:sz w:val="20"/>
          <w:szCs w:val="20"/>
          <w:color w:val="auto"/>
        </w:rPr>
      </w:pPr>
    </w:p>
    <w:p>
      <w:pPr>
        <w:spacing w:after="0" w:line="21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1" w:lineRule="exact"/>
        <w:rPr>
          <w:sz w:val="20"/>
          <w:szCs w:val="20"/>
          <w:color w:val="auto"/>
        </w:rPr>
      </w:pPr>
    </w:p>
    <w:p>
      <w:pPr>
        <w:ind w:right="140" w:firstLine="8"/>
        <w:spacing w:after="0" w:line="251" w:lineRule="auto"/>
        <w:tabs>
          <w:tab w:leader="none" w:pos="2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 The Appeals Court set a date of May 23, 2023 for issuing a decision.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Six cases have been filed against Micron alleging price fixing of DRAM products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was dismissed on November 15, 2022, pursuant to a stipulation of voluntary dismissal.</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In the first quarter of 2023, we repurchased 8.6 million shares of our common stock for $ 425 million. Through December 1, 2022, we had repurchased an aggregate of $6.89 billion under the authorization. Amounts repurchased are included in treasury stock.</w:t>
      </w:r>
    </w:p>
    <w:p>
      <w:pPr>
        <w:spacing w:after="0" w:line="20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quarter of 2023, we declared and paid dividends of $126 million ($0.115 per share) to shareholders of record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October 11, 2022.</w:t>
      </w:r>
    </w:p>
    <w:p>
      <w:pPr>
        <w:spacing w:after="0" w:line="180"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December 1, 2022 were as follows:</w:t>
      </w: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82" w:lineRule="exact"/>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9"/>
              </w:rPr>
              <w:t>Pension</w:t>
            </w:r>
          </w:p>
        </w:tc>
        <w:tc>
          <w:tcPr>
            <w:tcW w:w="16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2660" w:type="dxa"/>
            <w:vAlign w:val="bottom"/>
            <w:gridSpan w:val="4"/>
          </w:tcPr>
          <w:p>
            <w:pPr>
              <w:ind w:left="20"/>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320" w:type="dxa"/>
            <w:vAlign w:val="bottom"/>
            <w:gridSpan w:val="2"/>
          </w:tcPr>
          <w:p>
            <w:pPr>
              <w:jc w:val="right"/>
              <w:ind w:right="10"/>
              <w:spacing w:after="0" w:line="176"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Liability</w:t>
            </w:r>
          </w:p>
        </w:tc>
        <w:tc>
          <w:tcPr>
            <w:tcW w:w="16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5"/>
                <w:szCs w:val="15"/>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580" w:type="dxa"/>
            <w:vAlign w:val="bottom"/>
            <w:tcBorders>
              <w:bottom w:val="single" w:sz="8" w:color="0090DA"/>
            </w:tcBorders>
          </w:tcPr>
          <w:p>
            <w:pPr>
              <w:spacing w:after="0"/>
              <w:rPr>
                <w:sz w:val="21"/>
                <w:szCs w:val="21"/>
                <w:color w:val="auto"/>
              </w:rPr>
            </w:pPr>
          </w:p>
        </w:tc>
        <w:tc>
          <w:tcPr>
            <w:tcW w:w="12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10"/>
              <w:spacing w:after="0"/>
              <w:rPr>
                <w:sz w:val="20"/>
                <w:szCs w:val="20"/>
                <w:color w:val="auto"/>
              </w:rPr>
            </w:pPr>
            <w:r>
              <w:rPr>
                <w:rFonts w:ascii="Arial" w:cs="Arial" w:eastAsia="Arial" w:hAnsi="Arial"/>
                <w:sz w:val="18"/>
                <w:szCs w:val="18"/>
                <w:b w:val="1"/>
                <w:bCs w:val="1"/>
                <w:color w:val="auto"/>
              </w:rPr>
              <w:t>Adjustments</w:t>
            </w:r>
          </w:p>
        </w:tc>
        <w:tc>
          <w:tcPr>
            <w:tcW w:w="1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21"/>
                <w:szCs w:val="21"/>
                <w:color w:val="auto"/>
              </w:rPr>
            </w:pPr>
          </w:p>
        </w:tc>
        <w:tc>
          <w:tcPr>
            <w:tcW w:w="1040" w:type="dxa"/>
            <w:vAlign w:val="bottom"/>
            <w:tcBorders>
              <w:bottom w:val="single" w:sz="8" w:color="0090DA"/>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20" w:type="dxa"/>
            <w:vAlign w:val="bottom"/>
            <w:tcBorders>
              <w:bottom w:val="single" w:sz="8" w:color="auto"/>
            </w:tcBorders>
            <w:shd w:val="clear" w:color="auto" w:fill="D1D2D4"/>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gridSpan w:val="2"/>
            <w:shd w:val="clear" w:color="auto" w:fill="D1D2D4"/>
          </w:tcPr>
          <w:p>
            <w:pPr>
              <w:ind w:left="94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55"/>
        </w:trPr>
        <w:tc>
          <w:tcPr>
            <w:tcW w:w="4580" w:type="dxa"/>
            <w:vAlign w:val="bottom"/>
          </w:tcPr>
          <w:p>
            <w:pPr>
              <w:ind w:left="240"/>
              <w:spacing w:after="0" w:line="156" w:lineRule="exact"/>
              <w:rPr>
                <w:sz w:val="20"/>
                <w:szCs w:val="20"/>
                <w:color w:val="auto"/>
              </w:rPr>
            </w:pPr>
            <w:r>
              <w:rPr>
                <w:rFonts w:ascii="Arial" w:cs="Arial" w:eastAsia="Arial" w:hAnsi="Arial"/>
                <w:sz w:val="18"/>
                <w:szCs w:val="18"/>
                <w:color w:val="auto"/>
              </w:rPr>
              <w:t>Other comprehensive income (loss) before</w:t>
            </w: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580" w:type="dxa"/>
            <w:vAlign w:val="bottom"/>
          </w:tcPr>
          <w:p>
            <w:pPr>
              <w:ind w:left="240"/>
              <w:spacing w:after="0"/>
              <w:rPr>
                <w:sz w:val="20"/>
                <w:szCs w:val="20"/>
                <w:color w:val="auto"/>
              </w:rPr>
            </w:pPr>
            <w:r>
              <w:rPr>
                <w:rFonts w:ascii="Arial" w:cs="Arial" w:eastAsia="Arial" w:hAnsi="Arial"/>
                <w:sz w:val="18"/>
                <w:szCs w:val="18"/>
                <w:color w:val="auto"/>
              </w:rPr>
              <w:t>reclassifications</w:t>
            </w:r>
          </w:p>
        </w:tc>
        <w:tc>
          <w:tcPr>
            <w:tcW w:w="12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6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December 1, 2022</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00" w:type="dxa"/>
            <w:vAlign w:val="bottom"/>
            <w:gridSpan w:val="4"/>
          </w:tcPr>
          <w:p>
            <w:pPr>
              <w:ind w:left="120"/>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5360" w:type="dxa"/>
            <w:vAlign w:val="bottom"/>
          </w:tcPr>
          <w:p>
            <w:pPr>
              <w:spacing w:after="0"/>
              <w:rPr>
                <w:sz w:val="20"/>
                <w:szCs w:val="20"/>
                <w:color w:val="auto"/>
              </w:rPr>
            </w:pPr>
            <w:r>
              <w:rPr>
                <w:rFonts w:ascii="Arial" w:cs="Arial" w:eastAsia="Arial" w:hAnsi="Arial"/>
                <w:sz w:val="40"/>
                <w:szCs w:val="40"/>
                <w:b w:val="1"/>
                <w:bCs w:val="1"/>
                <w:color w:val="auto"/>
              </w:rPr>
              <w:t>Fair Value Measurements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0090DA"/>
            </w:tcBorders>
          </w:tcPr>
          <w:p>
            <w:pPr>
              <w:spacing w:after="0"/>
              <w:rPr>
                <w:sz w:val="24"/>
                <w:szCs w:val="24"/>
                <w:color w:val="auto"/>
              </w:rPr>
            </w:pPr>
          </w:p>
        </w:tc>
        <w:tc>
          <w:tcPr>
            <w:tcW w:w="120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360" w:type="dxa"/>
            <w:vAlign w:val="bottom"/>
            <w:gridSpan w:val="5"/>
          </w:tcPr>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00" w:type="dxa"/>
            <w:vAlign w:val="bottom"/>
            <w:gridSpan w:val="3"/>
          </w:tcPr>
          <w:p>
            <w:pPr>
              <w:ind w:left="380"/>
              <w:spacing w:after="0"/>
              <w:rPr>
                <w:sz w:val="20"/>
                <w:szCs w:val="20"/>
                <w:color w:val="auto"/>
              </w:rPr>
            </w:pPr>
            <w:r>
              <w:rPr>
                <w:rFonts w:ascii="Arial" w:cs="Arial" w:eastAsia="Arial" w:hAnsi="Arial"/>
                <w:sz w:val="18"/>
                <w:szCs w:val="18"/>
                <w:b w:val="1"/>
                <w:bCs w:val="1"/>
                <w:color w:val="auto"/>
              </w:rPr>
              <w:t>December 1, 2022</w:t>
            </w:r>
          </w:p>
        </w:tc>
        <w:tc>
          <w:tcPr>
            <w:tcW w:w="300" w:type="dxa"/>
            <w:vAlign w:val="bottom"/>
          </w:tcPr>
          <w:p>
            <w:pPr>
              <w:spacing w:after="0"/>
              <w:rPr>
                <w:sz w:val="21"/>
                <w:szCs w:val="21"/>
                <w:color w:val="auto"/>
              </w:rPr>
            </w:pPr>
          </w:p>
        </w:tc>
        <w:tc>
          <w:tcPr>
            <w:tcW w:w="2600" w:type="dxa"/>
            <w:vAlign w:val="bottom"/>
            <w:gridSpan w:val="5"/>
          </w:tcPr>
          <w:p>
            <w:pPr>
              <w:ind w:left="340"/>
              <w:spacing w:after="0"/>
              <w:rPr>
                <w:sz w:val="20"/>
                <w:szCs w:val="20"/>
                <w:color w:val="auto"/>
              </w:rPr>
            </w:pPr>
            <w:r>
              <w:rPr>
                <w:rFonts w:ascii="Arial" w:cs="Arial" w:eastAsia="Arial" w:hAnsi="Arial"/>
                <w:sz w:val="18"/>
                <w:szCs w:val="18"/>
                <w:b w:val="1"/>
                <w:bCs w:val="1"/>
                <w:color w:val="auto"/>
              </w:rPr>
              <w:t>September 1, 2022</w:t>
            </w:r>
          </w:p>
        </w:tc>
        <w:tc>
          <w:tcPr>
            <w:tcW w:w="0" w:type="dxa"/>
            <w:vAlign w:val="bottom"/>
          </w:tcPr>
          <w:p>
            <w:pPr>
              <w:spacing w:after="0"/>
              <w:rPr>
                <w:sz w:val="1"/>
                <w:szCs w:val="1"/>
                <w:color w:val="auto"/>
              </w:rPr>
            </w:pPr>
          </w:p>
        </w:tc>
      </w:tr>
      <w:tr>
        <w:trPr>
          <w:trHeight w:val="177"/>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Borders>
              <w:top w:val="single" w:sz="8" w:color="0090DA"/>
            </w:tcBorders>
          </w:tcPr>
          <w:p>
            <w:pPr>
              <w:spacing w:after="0"/>
              <w:rPr>
                <w:sz w:val="15"/>
                <w:szCs w:val="15"/>
                <w:color w:val="auto"/>
              </w:rPr>
            </w:pPr>
          </w:p>
        </w:tc>
        <w:tc>
          <w:tcPr>
            <w:tcW w:w="1380" w:type="dxa"/>
            <w:vAlign w:val="bottom"/>
            <w:tcBorders>
              <w:top w:val="single" w:sz="8" w:color="0090DA"/>
            </w:tcBorders>
          </w:tcPr>
          <w:p>
            <w:pPr>
              <w:jc w:val="center"/>
              <w:ind w:right="450"/>
              <w:spacing w:after="0" w:line="177" w:lineRule="exact"/>
              <w:rPr>
                <w:sz w:val="20"/>
                <w:szCs w:val="20"/>
                <w:color w:val="auto"/>
              </w:rPr>
            </w:pPr>
            <w:r>
              <w:rPr>
                <w:rFonts w:ascii="Arial" w:cs="Arial" w:eastAsia="Arial" w:hAnsi="Arial"/>
                <w:sz w:val="18"/>
                <w:szCs w:val="18"/>
                <w:b w:val="1"/>
                <w:bCs w:val="1"/>
                <w:color w:val="auto"/>
                <w:w w:val="96"/>
              </w:rPr>
              <w:t>Fair</w:t>
            </w:r>
          </w:p>
        </w:tc>
        <w:tc>
          <w:tcPr>
            <w:tcW w:w="1200" w:type="dxa"/>
            <w:vAlign w:val="bottom"/>
            <w:tcBorders>
              <w:top w:val="single" w:sz="8" w:color="0090DA"/>
            </w:tcBorders>
          </w:tcPr>
          <w:p>
            <w:pPr>
              <w:jc w:val="center"/>
              <w:ind w:right="130"/>
              <w:spacing w:after="0" w:line="177"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5"/>
                <w:szCs w:val="15"/>
                <w:color w:val="auto"/>
              </w:rPr>
            </w:pPr>
          </w:p>
        </w:tc>
        <w:tc>
          <w:tcPr>
            <w:tcW w:w="300" w:type="dxa"/>
            <w:vAlign w:val="bottom"/>
            <w:tcBorders>
              <w:top w:val="single" w:sz="8" w:color="0090DA"/>
            </w:tcBorders>
          </w:tcPr>
          <w:p>
            <w:pPr>
              <w:spacing w:after="0"/>
              <w:rPr>
                <w:sz w:val="15"/>
                <w:szCs w:val="15"/>
                <w:color w:val="auto"/>
              </w:rPr>
            </w:pPr>
          </w:p>
        </w:tc>
        <w:tc>
          <w:tcPr>
            <w:tcW w:w="1100" w:type="dxa"/>
            <w:vAlign w:val="bottom"/>
            <w:tcBorders>
              <w:top w:val="single" w:sz="8" w:color="0090DA"/>
            </w:tcBorders>
          </w:tcPr>
          <w:p>
            <w:pPr>
              <w:jc w:val="center"/>
              <w:ind w:right="190"/>
              <w:spacing w:after="0" w:line="177"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0090DA"/>
            </w:tcBorders>
          </w:tcPr>
          <w:p>
            <w:pPr>
              <w:spacing w:after="0"/>
              <w:rPr>
                <w:sz w:val="15"/>
                <w:szCs w:val="15"/>
                <w:color w:val="auto"/>
              </w:rPr>
            </w:pPr>
          </w:p>
        </w:tc>
        <w:tc>
          <w:tcPr>
            <w:tcW w:w="160" w:type="dxa"/>
            <w:vAlign w:val="bottom"/>
            <w:tcBorders>
              <w:top w:val="single" w:sz="8" w:color="0090DA"/>
            </w:tcBorders>
          </w:tcPr>
          <w:p>
            <w:pPr>
              <w:spacing w:after="0"/>
              <w:rPr>
                <w:sz w:val="15"/>
                <w:szCs w:val="15"/>
                <w:color w:val="auto"/>
              </w:rPr>
            </w:pPr>
          </w:p>
        </w:tc>
        <w:tc>
          <w:tcPr>
            <w:tcW w:w="1200" w:type="dxa"/>
            <w:vAlign w:val="bottom"/>
            <w:tcBorders>
              <w:top w:val="single" w:sz="8" w:color="0090DA"/>
            </w:tcBorders>
          </w:tcPr>
          <w:p>
            <w:pPr>
              <w:jc w:val="center"/>
              <w:ind w:right="170"/>
              <w:spacing w:after="0" w:line="177" w:lineRule="exact"/>
              <w:rPr>
                <w:sz w:val="20"/>
                <w:szCs w:val="20"/>
                <w:color w:val="auto"/>
              </w:rPr>
            </w:pPr>
            <w:r>
              <w:rPr>
                <w:rFonts w:ascii="Arial" w:cs="Arial" w:eastAsia="Arial" w:hAnsi="Arial"/>
                <w:sz w:val="18"/>
                <w:szCs w:val="18"/>
                <w:b w:val="1"/>
                <w:bCs w:val="1"/>
                <w:color w:val="auto"/>
                <w:w w:val="99"/>
              </w:rPr>
              <w:t>Carrying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center"/>
              <w:ind w:right="450"/>
              <w:spacing w:after="0"/>
              <w:rPr>
                <w:sz w:val="20"/>
                <w:szCs w:val="20"/>
                <w:color w:val="auto"/>
              </w:rPr>
            </w:pPr>
            <w:r>
              <w:rPr>
                <w:rFonts w:ascii="Arial" w:cs="Arial" w:eastAsia="Arial" w:hAnsi="Arial"/>
                <w:sz w:val="18"/>
                <w:szCs w:val="18"/>
                <w:b w:val="1"/>
                <w:bCs w:val="1"/>
                <w:color w:val="auto"/>
                <w:w w:val="99"/>
              </w:rPr>
              <w:t>Value</w:t>
            </w: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Value</w:t>
            </w:r>
          </w:p>
        </w:tc>
        <w:tc>
          <w:tcPr>
            <w:tcW w:w="300" w:type="dxa"/>
            <w:vAlign w:val="bottom"/>
          </w:tcPr>
          <w:p>
            <w:pPr>
              <w:spacing w:after="0"/>
              <w:rPr>
                <w:sz w:val="20"/>
                <w:szCs w:val="20"/>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38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8,902 $</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9,351</w:t>
            </w:r>
          </w:p>
        </w:tc>
        <w:tc>
          <w:tcPr>
            <w:tcW w:w="120" w:type="dxa"/>
            <w:vAlign w:val="bottom"/>
            <w:shd w:val="clear" w:color="auto" w:fill="D1D2D4"/>
          </w:tcPr>
          <w:p>
            <w:pPr>
              <w:spacing w:after="0"/>
              <w:rPr>
                <w:sz w:val="19"/>
                <w:szCs w:val="19"/>
                <w:color w:val="auto"/>
              </w:rPr>
            </w:pP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5,472</w:t>
            </w:r>
          </w:p>
        </w:tc>
        <w:tc>
          <w:tcPr>
            <w:tcW w:w="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Derivative Instruments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0"/>
                <w:szCs w:val="20"/>
                <w:color w:val="auto"/>
              </w:rPr>
            </w:pPr>
          </w:p>
        </w:tc>
        <w:tc>
          <w:tcPr>
            <w:tcW w:w="26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0"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22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220" w:type="dxa"/>
            <w:vAlign w:val="bottom"/>
          </w:tcPr>
          <w:p>
            <w:pPr>
              <w:spacing w:after="0"/>
              <w:rPr>
                <w:sz w:val="4"/>
                <w:szCs w:val="4"/>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35"/>
        </w:trPr>
        <w:tc>
          <w:tcPr>
            <w:tcW w:w="590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vMerge w:val="continue"/>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December 1,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4,604</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2,042</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1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recognized gains from cash flow hedges of $53 million and losses of $100 million for the first quarters of 2023 and 2022, respectively, in accumulated other comprehensive income (loss). As of December 1, 2022, we expect to reclassify $ 239 million of pre-tax losses related to cash flow hedges from accumulated other comprehensive income (loss) into earnings in the next 12 months.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The effects of fair value hedges on our consolidated statements of operations, recognized in interest expense, were not significant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 We do not use derivative instruments for speculative purposes.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5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of December 1, 2022, 51 million shares of our common stock were available for future awards under our equity plans, including 18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is summarized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18"/>
                <w:szCs w:val="18"/>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December 1,</w:t>
            </w:r>
          </w:p>
        </w:tc>
        <w:tc>
          <w:tcPr>
            <w:tcW w:w="18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43"/>
        </w:trPr>
        <w:tc>
          <w:tcPr>
            <w:tcW w:w="6100" w:type="dxa"/>
            <w:vAlign w:val="bottom"/>
            <w:tcBorders>
              <w:bottom w:val="single" w:sz="8" w:color="0090DA"/>
            </w:tcBorders>
            <w:vMerge w:val="continue"/>
          </w:tcPr>
          <w:p>
            <w:pPr>
              <w:spacing w:after="0"/>
              <w:rPr>
                <w:sz w:val="21"/>
                <w:szCs w:val="21"/>
                <w:color w:val="auto"/>
              </w:rPr>
            </w:pPr>
          </w:p>
        </w:tc>
        <w:tc>
          <w:tcPr>
            <w:tcW w:w="2280" w:type="dxa"/>
            <w:vAlign w:val="bottom"/>
            <w:tcBorders>
              <w:bottom w:val="single" w:sz="8" w:color="0090DA"/>
            </w:tcBorders>
          </w:tcPr>
          <w:p>
            <w:pPr>
              <w:spacing w:after="0"/>
              <w:rPr>
                <w:sz w:val="21"/>
                <w:szCs w:val="21"/>
                <w:color w:val="auto"/>
              </w:rPr>
            </w:pPr>
          </w:p>
        </w:tc>
        <w:tc>
          <w:tcPr>
            <w:tcW w:w="1340" w:type="dxa"/>
            <w:vAlign w:val="bottom"/>
            <w:tcBorders>
              <w:bottom w:val="single" w:sz="8" w:color="0090DA"/>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21"/>
                <w:szCs w:val="21"/>
                <w:color w:val="auto"/>
              </w:rPr>
            </w:pPr>
          </w:p>
        </w:tc>
        <w:tc>
          <w:tcPr>
            <w:tcW w:w="134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1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228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D1D2D4"/>
          </w:tcPr>
          <w:p>
            <w:pPr>
              <w:spacing w:after="0"/>
              <w:rPr>
                <w:sz w:val="19"/>
                <w:szCs w:val="19"/>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9"/>
        </w:trPr>
        <w:tc>
          <w:tcPr>
            <w:tcW w:w="610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53.94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Stock-based compensation expense recognized in our statements of operations is presented below. Stock-based compensation expense of $69 million and $48 million was capitalized and remained in inventory as of December 1, 2022 and September 1, 2022, respectively.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ESPP</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760"/>
        <w:spacing w:after="0" w:line="318" w:lineRule="auto"/>
        <w:rPr>
          <w:sz w:val="20"/>
          <w:szCs w:val="20"/>
          <w:color w:val="auto"/>
        </w:rPr>
      </w:pPr>
      <w:r>
        <w:rPr>
          <w:rFonts w:ascii="Arial" w:cs="Arial" w:eastAsia="Arial" w:hAnsi="Arial"/>
          <w:sz w:val="17"/>
          <w:szCs w:val="17"/>
          <w:color w:val="auto"/>
        </w:rPr>
        <w:t>As of December 1, 2022, $1.59 billion of total unrecognized compensation costs for unvested awards, before the effect of any future forfeitures, was expected to be recognized through the first quarter of 2027, resulting in a weighted-average period of 1.5 years.</w:t>
      </w:r>
    </w:p>
    <w:p>
      <w:pPr>
        <w:spacing w:after="0" w:line="15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w:t>
      </w: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December 1, 2022, our future performance obligations beyond one year were not significant.</w:t>
      </w:r>
    </w:p>
    <w:p>
      <w:pPr>
        <w:spacing w:after="0" w:line="20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December 1, 2022 and September 1, 2022, other current liabilities included $ 829 million and $1.26 billion for estimates of consideration payable to customers, respectively, including estimates for pricing adjustments and returns.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1,</w:t>
            </w:r>
          </w:p>
        </w:tc>
        <w:tc>
          <w:tcPr>
            <w:tcW w:w="18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2,829</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5,587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NAND</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NOR and 3D XPoint memory)</w:t>
            </w:r>
          </w:p>
        </w:tc>
        <w:tc>
          <w:tcPr>
            <w:tcW w:w="14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ectPr>
          <w:pgSz w:w="11900" w:h="16838" w:orient="portrait"/>
          <w:cols w:equalWidth="0" w:num="1">
            <w:col w:w="11240"/>
          </w:cols>
          <w:pgMar w:left="320" w:top="125" w:right="339" w:bottom="1440" w:gutter="0" w:footer="0" w:header="0"/>
        </w:sect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Three months ended</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Gain (loss) on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Gain (loss) on debt repurchases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r>
      <w:tr>
        <w:trPr>
          <w:trHeight w:val="247"/>
        </w:trPr>
        <w:tc>
          <w:tcPr>
            <w:tcW w:w="14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1"/>
                <w:szCs w:val="21"/>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66"/>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5"/>
        </w:trPr>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-625475</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-334010</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-659765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720"/>
            <w:col w:w="2880"/>
          </w:cols>
          <w:pgMar w:left="320" w:top="125" w:right="339" w:bottom="1440" w:gutter="0" w:footer="0" w:header="0"/>
          <w:type w:val="continuous"/>
        </w:sect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Income Taxes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2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3"/>
        </w:trPr>
        <w:tc>
          <w:tcPr>
            <w:tcW w:w="64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4800" w:type="dxa"/>
            <w:vAlign w:val="bottom"/>
            <w:tcBorders>
              <w:bottom w:val="single" w:sz="8" w:color="0090DA"/>
            </w:tcBorders>
            <w:gridSpan w:val="4"/>
          </w:tcPr>
          <w:p>
            <w:pPr>
              <w:ind w:left="1660"/>
              <w:spacing w:after="0"/>
              <w:rPr>
                <w:sz w:val="20"/>
                <w:szCs w:val="20"/>
                <w:color w:val="auto"/>
              </w:rPr>
            </w:pPr>
            <w:r>
              <w:rPr>
                <w:rFonts w:ascii="Arial" w:cs="Arial" w:eastAsia="Arial" w:hAnsi="Arial"/>
                <w:sz w:val="18"/>
                <w:szCs w:val="18"/>
                <w:b w:val="1"/>
                <w:bCs w:val="1"/>
                <w:color w:val="auto"/>
              </w:rPr>
              <w:t>December 1, 2022 December 2, 2021</w:t>
            </w:r>
          </w:p>
        </w:tc>
      </w:tr>
      <w:tr>
        <w:trPr>
          <w:trHeight w:val="34"/>
        </w:trPr>
        <w:tc>
          <w:tcPr>
            <w:tcW w:w="6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2160" w:type="dxa"/>
            <w:vAlign w:val="bottom"/>
            <w:shd w:val="clear" w:color="auto" w:fill="D1D2D4"/>
          </w:tcPr>
          <w:p>
            <w:pPr>
              <w:ind w:left="16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(176)</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2,521</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160" w:type="dxa"/>
            <w:vAlign w:val="bottom"/>
          </w:tcPr>
          <w:p>
            <w:pPr>
              <w:spacing w:after="0"/>
              <w:rPr>
                <w:sz w:val="19"/>
                <w:szCs w:val="19"/>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(219)</w:t>
            </w:r>
          </w:p>
        </w:tc>
      </w:tr>
      <w:tr>
        <w:trPr>
          <w:trHeight w:val="230"/>
        </w:trPr>
        <w:tc>
          <w:tcPr>
            <w:tcW w:w="64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216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5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8.7 %</w:t>
            </w:r>
          </w:p>
        </w:tc>
      </w:tr>
    </w:tbl>
    <w:p>
      <w:pPr>
        <w:spacing w:after="0" w:line="3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change in our effective tax rate for the first quarter of 2023 as compared to the first quarter of 2022 was primarily due to a loss before taxes in the first quarter of 2023, which eliminated substantially all of our U.S. tax on foreign operations. The geographic mix of our income, together with U.S. and foreign tax rules, results in more variability in our tax rate at lower profitability levels.</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benefit from tax incentive arrangements was not material for the first quarter of 2023. These arrangements reduced our tax provision by $290 million ($0.26 per diluted share) for the first quarter of 2022.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14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1"/>
                <w:szCs w:val="21"/>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(loss) – Basic and Diluted</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14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1,090</w:t>
            </w:r>
          </w:p>
        </w:tc>
        <w:tc>
          <w:tcPr>
            <w:tcW w:w="140" w:type="dxa"/>
            <w:vAlign w:val="bottom"/>
            <w:tcBorders>
              <w:bottom w:val="single" w:sz="8" w:color="auto"/>
            </w:tcBorders>
            <w:shd w:val="clear" w:color="auto" w:fill="D1D2D4"/>
          </w:tcPr>
          <w:p>
            <w:pPr>
              <w:spacing w:after="0"/>
              <w:rPr>
                <w:sz w:val="21"/>
                <w:szCs w:val="21"/>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30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35 million and 3 million for the first quarters of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38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9" w:lineRule="exact"/>
        <w:rPr>
          <w:sz w:val="20"/>
          <w:szCs w:val="20"/>
          <w:color w:val="auto"/>
        </w:rPr>
      </w:pPr>
    </w:p>
    <w:p>
      <w:pPr>
        <w:ind w:left="340" w:hanging="323"/>
        <w:spacing w:after="0" w:line="266"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9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December 1,</w:t>
            </w:r>
          </w:p>
        </w:tc>
        <w:tc>
          <w:tcPr>
            <w:tcW w:w="140" w:type="dxa"/>
            <w:vAlign w:val="bottom"/>
          </w:tcPr>
          <w:p>
            <w:pPr>
              <w:spacing w:after="0"/>
              <w:rPr>
                <w:sz w:val="17"/>
                <w:szCs w:val="17"/>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1,746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29"/>
        </w:trPr>
        <w:tc>
          <w:tcPr>
            <w:tcW w:w="8360" w:type="dxa"/>
            <w:vAlign w:val="bottom"/>
          </w:tcPr>
          <w:p>
            <w:pPr>
              <w:ind w:left="140"/>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spacing w:after="0"/>
              <w:rPr>
                <w:sz w:val="21"/>
                <w:szCs w:val="21"/>
                <w:color w:val="auto"/>
              </w:rPr>
            </w:pP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CNBU</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EBU</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6"/>
        </w:trPr>
        <w:tc>
          <w:tcPr>
            <w:tcW w:w="8360" w:type="dxa"/>
            <w:vAlign w:val="bottom"/>
            <w:tcBorders>
              <w:bottom w:val="single" w:sz="8" w:color="D1D2D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1154"/>
        </w:trPr>
        <w:tc>
          <w:tcPr>
            <w:tcW w:w="624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r>
      <w:tr>
        <w:trPr>
          <w:trHeight w:val="410"/>
        </w:trPr>
        <w:tc>
          <w:tcPr>
            <w:tcW w:w="9760" w:type="dxa"/>
            <w:vAlign w:val="bottom"/>
            <w:gridSpan w:val="2"/>
          </w:tcPr>
          <w:p>
            <w:pPr>
              <w:spacing w:after="0"/>
              <w:rPr>
                <w:sz w:val="20"/>
                <w:szCs w:val="20"/>
                <w:color w:val="auto"/>
              </w:rPr>
            </w:pPr>
            <w:r>
              <w:rPr>
                <w:rFonts w:ascii="Arial" w:cs="Arial" w:eastAsia="Arial" w:hAnsi="Arial"/>
                <w:sz w:val="18"/>
                <w:szCs w:val="18"/>
                <w:color w:val="auto"/>
              </w:rPr>
              <w:t>Revenue for key market segments as an approximate percent of total revenue is presented in the table below:</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2"/>
        </w:trPr>
        <w:tc>
          <w:tcPr>
            <w:tcW w:w="62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Three months ended</w:t>
            </w:r>
          </w:p>
        </w:tc>
        <w:tc>
          <w:tcPr>
            <w:tcW w:w="5000" w:type="dxa"/>
            <w:vAlign w:val="bottom"/>
            <w:tcBorders>
              <w:bottom w:val="single" w:sz="8" w:color="0090DA"/>
            </w:tcBorders>
            <w:gridSpan w:val="3"/>
          </w:tcPr>
          <w:p>
            <w:pPr>
              <w:jc w:val="right"/>
              <w:ind w:right="20"/>
              <w:spacing w:after="0"/>
              <w:rPr>
                <w:sz w:val="20"/>
                <w:szCs w:val="20"/>
                <w:color w:val="auto"/>
              </w:rPr>
            </w:pPr>
            <w:r>
              <w:rPr>
                <w:rFonts w:ascii="Arial" w:cs="Arial" w:eastAsia="Arial" w:hAnsi="Arial"/>
                <w:sz w:val="18"/>
                <w:szCs w:val="18"/>
                <w:b w:val="1"/>
                <w:bCs w:val="1"/>
                <w:color w:val="auto"/>
              </w:rPr>
              <w:t>December 1, 2022 December 2, 2021</w:t>
            </w:r>
          </w:p>
        </w:tc>
      </w:tr>
      <w:tr>
        <w:trPr>
          <w:trHeight w:val="34"/>
        </w:trPr>
        <w:tc>
          <w:tcPr>
            <w:tcW w:w="62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6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35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25 %</w:t>
            </w:r>
          </w:p>
        </w:tc>
        <w:tc>
          <w:tcPr>
            <w:tcW w:w="14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15 %</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Enterprise and cloud server</w:t>
            </w:r>
          </w:p>
        </w:tc>
        <w:tc>
          <w:tcPr>
            <w:tcW w:w="3520" w:type="dxa"/>
            <w:vAlign w:val="bottom"/>
          </w:tcPr>
          <w:p>
            <w:pPr>
              <w:jc w:val="right"/>
              <w:ind w:right="30"/>
              <w:spacing w:after="0"/>
              <w:rPr>
                <w:sz w:val="20"/>
                <w:szCs w:val="20"/>
                <w:color w:val="auto"/>
              </w:rPr>
            </w:pPr>
            <w:r>
              <w:rPr>
                <w:rFonts w:ascii="Arial" w:cs="Arial" w:eastAsia="Arial" w:hAnsi="Arial"/>
                <w:sz w:val="18"/>
                <w:szCs w:val="18"/>
                <w:color w:val="auto"/>
              </w:rPr>
              <w:t>20 %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29"/>
        </w:trPr>
        <w:tc>
          <w:tcPr>
            <w:tcW w:w="6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Client and graphics</w:t>
            </w:r>
          </w:p>
        </w:tc>
        <w:tc>
          <w:tcPr>
            <w:tcW w:w="35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15 %</w:t>
            </w:r>
          </w:p>
        </w:tc>
        <w:tc>
          <w:tcPr>
            <w:tcW w:w="14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20 %</w:t>
            </w: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SSDs and other storage</w:t>
            </w:r>
          </w:p>
        </w:tc>
        <w:tc>
          <w:tcPr>
            <w:tcW w:w="3520" w:type="dxa"/>
            <w:vAlign w:val="bottom"/>
          </w:tcPr>
          <w:p>
            <w:pPr>
              <w:jc w:val="right"/>
              <w:ind w:right="30"/>
              <w:spacing w:after="0"/>
              <w:rPr>
                <w:sz w:val="20"/>
                <w:szCs w:val="20"/>
                <w:color w:val="auto"/>
              </w:rPr>
            </w:pPr>
            <w:r>
              <w:rPr>
                <w:rFonts w:ascii="Arial" w:cs="Arial" w:eastAsia="Arial" w:hAnsi="Arial"/>
                <w:sz w:val="18"/>
                <w:szCs w:val="18"/>
                <w:color w:val="auto"/>
              </w:rPr>
              <w:t>15 %</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r>
      <w:tr>
        <w:trPr>
          <w:trHeight w:val="229"/>
        </w:trPr>
        <w:tc>
          <w:tcPr>
            <w:tcW w:w="6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Mobile</w:t>
            </w:r>
          </w:p>
        </w:tc>
        <w:tc>
          <w:tcPr>
            <w:tcW w:w="35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15 %</w:t>
            </w:r>
          </w:p>
        </w:tc>
        <w:tc>
          <w:tcPr>
            <w:tcW w:w="14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25 %</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Subsequent Events</w:t>
      </w:r>
    </w:p>
    <w:p>
      <w:pPr>
        <w:spacing w:after="0" w:line="25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December 19, 2022, we reached an agreement in principle to settle an insurance claim involving an operational disruption in 2017, under which we will receive $120 million in cash, the majority of which is for business interruption and will be recognized in revenue.</w:t>
      </w:r>
    </w:p>
    <w:p>
      <w:pPr>
        <w:spacing w:after="0" w:line="180"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On December 19, 2022, our Board of Directors declared a quarterly dividend of $0.115 per share, payable in cash on January 19, 2023, to shareholders of record as of the close of business on January 3, 2023.</w:t>
      </w:r>
    </w:p>
    <w:p>
      <w:pPr>
        <w:spacing w:after="0" w:line="18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December 21, 2022, we announced a restructure plan in response to challenging industry conditions. Under the restructure plan, we expect to reduce our headcount by approximately 10% over calendar year 2023, through a combination of voluntary attrition and personnel reductions. In connection with the plan, we expect to incur charges of at least $30 million in the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2. MANAGEMENT’S DISCUSSION AND ANALYSIS OF FINANCIAL CONDITION AND RESULTS OF OPERATIONS</w:t>
      </w:r>
    </w:p>
    <w:p>
      <w:pPr>
        <w:spacing w:after="0" w:line="14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included in our Annual Report on Form 10-K for the year ended September 1, 2022. All period references are to our fiscal periods unless otherwise indicated. Our fiscal year is the 52 or 53-week period ending on the Thursday closest to August 31. Fiscal years 2023 and 2022 each contain 52 weeks. All tabular dollar amounts are in millions, except per share amounts.</w:t>
      </w:r>
    </w:p>
    <w:p>
      <w:pPr>
        <w:spacing w:after="0" w:line="20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had, and continues to have, a significant impact around the world, prompting governments and businesses to take measures such as restrictions on travel and business operations, temporary closures of businesses, and quarantine and shelter-in-place orders. The pandemic and efforts to address it have at times significantly curtailed global economic activity and caused volatility and disruption in global financial markets and may do so in the future. In addition, our workforce and operations, the operations of our customers, and those of our vendors and suppliers around the world have been impacted at times and may in the future be impacted by the pandemic and related measures to address it.</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Throughout the pandemic, we have implemented and updated our protocols and procedures in an effort to maintain a healthy and safe environment. We remain committed to the health and safety of our team members, contractors, suppliers, customers, distributors, and communities. We cannot predict how the pandemic or the steps we, our team members, government entities, suppliers, or customers take in response will ultimately impact our business, outlook,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DRAM: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 xml:space="preserve">NAND: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NOR: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96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94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4,085</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6,643</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100 %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7,687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w:t>
            </w:r>
          </w:p>
        </w:tc>
        <w:tc>
          <w:tcPr>
            <w:tcW w:w="300" w:type="dxa"/>
            <w:vAlign w:val="bottom"/>
            <w:tcBorders>
              <w:bottom w:val="single" w:sz="8" w:color="D1D2D4"/>
            </w:tcBorders>
          </w:tcPr>
          <w:p>
            <w:pPr>
              <w:spacing w:after="0"/>
              <w:rPr>
                <w:sz w:val="19"/>
                <w:szCs w:val="19"/>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78 %</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61 %</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54 %</w:t>
            </w:r>
          </w:p>
        </w:tc>
      </w:tr>
      <w:tr>
        <w:trPr>
          <w:trHeight w:val="223"/>
        </w:trPr>
        <w:tc>
          <w:tcPr>
            <w:tcW w:w="58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893</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3,565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46 %</w:t>
            </w:r>
          </w:p>
        </w:tc>
      </w:tr>
      <w:tr>
        <w:trPr>
          <w:trHeight w:val="256"/>
        </w:trPr>
        <w:tc>
          <w:tcPr>
            <w:tcW w:w="5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839</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 (loss)</w:t>
            </w:r>
          </w:p>
        </w:tc>
        <w:tc>
          <w:tcPr>
            <w:tcW w:w="220" w:type="dxa"/>
            <w:vAlign w:val="bottom"/>
            <w:tcBorders>
              <w:top w:val="single" w:sz="8" w:color="auto"/>
            </w:tcBorders>
            <w:shd w:val="clear" w:color="auto" w:fill="D1D2D4"/>
          </w:tcPr>
          <w:p>
            <w:pPr>
              <w:spacing w:after="0"/>
              <w:rPr>
                <w:sz w:val="19"/>
                <w:szCs w:val="19"/>
                <w:color w:val="auto"/>
              </w:rPr>
            </w:pPr>
          </w:p>
        </w:tc>
        <w:tc>
          <w:tcPr>
            <w:tcW w:w="66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(209)</w:t>
            </w:r>
          </w:p>
        </w:tc>
        <w:tc>
          <w:tcPr>
            <w:tcW w:w="300" w:type="dxa"/>
            <w:vAlign w:val="bottom"/>
            <w:tcBorders>
              <w:top w:val="single" w:sz="8" w:color="D1D2D4"/>
            </w:tcBorders>
            <w:shd w:val="clear" w:color="auto" w:fill="D1D2D4"/>
          </w:tcPr>
          <w:p>
            <w:pPr>
              <w:spacing w:after="0"/>
              <w:rPr>
                <w:sz w:val="19"/>
                <w:szCs w:val="19"/>
                <w:color w:val="auto"/>
              </w:rPr>
            </w:pPr>
          </w:p>
        </w:tc>
        <w:tc>
          <w:tcPr>
            <w:tcW w:w="60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tcBorders>
            <w:shd w:val="clear" w:color="auto" w:fill="D1D2D4"/>
          </w:tcPr>
          <w:p>
            <w:pPr>
              <w:spacing w:after="0"/>
              <w:rPr>
                <w:sz w:val="19"/>
                <w:szCs w:val="19"/>
                <w:color w:val="auto"/>
              </w:rPr>
            </w:pPr>
          </w:p>
        </w:tc>
        <w:tc>
          <w:tcPr>
            <w:tcW w:w="68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1,521</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240" w:type="dxa"/>
            <w:vAlign w:val="bottom"/>
            <w:tcBorders>
              <w:top w:val="single" w:sz="8" w:color="auto"/>
            </w:tcBorders>
            <w:shd w:val="clear" w:color="auto" w:fill="D1D2D4"/>
          </w:tcPr>
          <w:p>
            <w:pPr>
              <w:spacing w:after="0"/>
              <w:rPr>
                <w:sz w:val="19"/>
                <w:szCs w:val="19"/>
                <w:color w:val="auto"/>
              </w:rPr>
            </w:pPr>
          </w:p>
        </w:tc>
        <w:tc>
          <w:tcPr>
            <w:tcW w:w="64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2,631</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34 %</w:t>
            </w:r>
          </w:p>
        </w:tc>
      </w:tr>
      <w:tr>
        <w:trPr>
          <w:trHeight w:val="257"/>
        </w:trPr>
        <w:tc>
          <w:tcPr>
            <w:tcW w:w="5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9"/>
                <w:szCs w:val="19"/>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860" w:type="dxa"/>
            <w:vAlign w:val="bottom"/>
            <w:gridSpan w:val="2"/>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48"/>
        </w:trPr>
        <w:tc>
          <w:tcPr>
            <w:tcW w:w="5860" w:type="dxa"/>
            <w:vAlign w:val="bottom"/>
            <w:tcBorders>
              <w:top w:val="single" w:sz="8" w:color="D1D2D4"/>
              <w:bottom w:val="single" w:sz="8" w:color="D1D2D4"/>
            </w:tcBorders>
            <w:shd w:val="clear" w:color="auto" w:fill="D1D2D4"/>
          </w:tcPr>
          <w:p>
            <w:pPr>
              <w:ind w:left="40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bottom w:val="single" w:sz="8" w:color="auto"/>
            </w:tcBorders>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0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1,492</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Borders>
              <w:top w:val="single" w:sz="8" w:color="auto"/>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2,306</w:t>
            </w:r>
          </w:p>
        </w:tc>
        <w:tc>
          <w:tcPr>
            <w:tcW w:w="300" w:type="dxa"/>
            <w:vAlign w:val="bottom"/>
            <w:tcBorders>
              <w:top w:val="single" w:sz="8" w:color="D1D2D4"/>
              <w:bottom w:val="single" w:sz="8" w:color="D1D2D4"/>
            </w:tcBorders>
            <w:shd w:val="clear" w:color="auto" w:fill="D1D2D4"/>
          </w:tcPr>
          <w:p>
            <w:pPr>
              <w:spacing w:after="0"/>
              <w:rPr>
                <w:sz w:val="21"/>
                <w:szCs w:val="21"/>
                <w:color w:val="auto"/>
              </w:rPr>
            </w:pPr>
          </w:p>
        </w:tc>
        <w:tc>
          <w:tcPr>
            <w:tcW w:w="620" w:type="dxa"/>
            <w:vAlign w:val="bottom"/>
            <w:tcBorders>
              <w:top w:val="single" w:sz="8" w:color="D1D2D4"/>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30 %</w:t>
            </w:r>
          </w:p>
        </w:tc>
      </w:tr>
      <w:tr>
        <w:trPr>
          <w:trHeight w:val="20"/>
        </w:trPr>
        <w:tc>
          <w:tcPr>
            <w:tcW w:w="58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66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00" w:type="dxa"/>
            <w:vAlign w:val="bottom"/>
            <w:tcBorders>
              <w:top w:val="single" w:sz="8" w:color="D1D2D4"/>
            </w:tcBorders>
          </w:tcPr>
          <w:p>
            <w:pPr>
              <w:spacing w:after="0" w:line="20" w:lineRule="exact"/>
              <w:rPr>
                <w:sz w:val="1"/>
                <w:szCs w:val="1"/>
                <w:color w:val="auto"/>
              </w:rPr>
            </w:pPr>
          </w:p>
        </w:tc>
        <w:tc>
          <w:tcPr>
            <w:tcW w:w="200" w:type="dxa"/>
            <w:vAlign w:val="bottom"/>
            <w:tcBorders>
              <w:top w:val="single" w:sz="8" w:color="D1D2D4"/>
              <w:bottom w:val="single" w:sz="8" w:color="auto"/>
            </w:tcBorders>
          </w:tcPr>
          <w:p>
            <w:pPr>
              <w:spacing w:after="0" w:line="20" w:lineRule="exact"/>
              <w:rPr>
                <w:sz w:val="1"/>
                <w:szCs w:val="1"/>
                <w:color w:val="auto"/>
              </w:rPr>
            </w:pPr>
          </w:p>
        </w:tc>
        <w:tc>
          <w:tcPr>
            <w:tcW w:w="68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6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tcBorders>
          </w:tcPr>
          <w:p>
            <w:pPr>
              <w:spacing w:after="0" w:line="20" w:lineRule="exact"/>
              <w:rPr>
                <w:sz w:val="1"/>
                <w:szCs w:val="1"/>
                <w:color w:val="auto"/>
              </w:rPr>
            </w:pPr>
          </w:p>
        </w:tc>
        <w:tc>
          <w:tcPr>
            <w:tcW w:w="620" w:type="dxa"/>
            <w:vAlign w:val="bottom"/>
            <w:tcBorders>
              <w:top w:val="single" w:sz="8" w:color="D1D2D4"/>
            </w:tcBorders>
          </w:tcPr>
          <w:p>
            <w:pPr>
              <w:spacing w:after="0" w:line="20" w:lineRule="exact"/>
              <w:rPr>
                <w:sz w:val="1"/>
                <w:szCs w:val="1"/>
                <w:color w:val="auto"/>
              </w:rPr>
            </w:pPr>
          </w:p>
        </w:tc>
      </w:tr>
    </w:tbl>
    <w:p>
      <w:pPr>
        <w:spacing w:after="0" w:line="3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Industry Conditions: </w:t>
      </w:r>
      <w:r>
        <w:rPr>
          <w:rFonts w:ascii="Arial" w:cs="Arial" w:eastAsia="Arial" w:hAnsi="Arial"/>
          <w:sz w:val="18"/>
          <w:szCs w:val="18"/>
          <w:color w:val="auto"/>
        </w:rPr>
        <w:t>The memory and storage industry environment deteriorated sharply in the fourth quarter of 2022 and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2023 due to global and macroeconomic challenges combined with downward inventory adjustments by customers and weak demand in many end markets. This led to significant reductions in bit shipments and average selling prices for both DRAM and NAND as well as declines in revenue across nearly all our end markets. Given the challenging pricing environment, elevated levels of inventories for suppliers and customers, and significant supply demand mismatch, we expect industry profitability will remain challenged throughout calendar 2023. As a result of these conditions and increases in our inventory levels, we are reducing wafer starts and capital expenditures. We estimate an approximate $460 million increase to our costs of goods sold in 2023 from wafer start reductions, starting in the second quarter of 2023, with most of the impact expected in the second half of 2023.</w:t>
      </w:r>
    </w:p>
    <w:p>
      <w:pPr>
        <w:spacing w:after="0" w:line="21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are also taking significant steps to reduce our costs and operating expenses. These actions include reductions in external spending, productivity programs across the business, suspension of our 2023 bonus company-wide, select product program reductions, lower discretionary spending, and cuts to 2023 executive salaries across the company. In addition, in the second quarter of 2023, we initiated a restructure plan to reduce our headcount by approximately 10% over calendar 2023, through a combination of voluntary attrition and personnel reductions. In connection with the plan, we expect to incur charges of at least $30 million in the second quarter of 2023.</w:t>
      </w:r>
    </w:p>
    <w:p>
      <w:pPr>
        <w:spacing w:after="0" w:line="206"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the first quarter of 2023 decreased 39% as compared to the fourth quarter of 2022 primarily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decreases in sales of both DRAM and NAND products.</w:t>
      </w:r>
    </w:p>
    <w:p>
      <w:pPr>
        <w:spacing w:after="0" w:line="180" w:lineRule="exact"/>
        <w:rPr>
          <w:sz w:val="20"/>
          <w:szCs w:val="20"/>
          <w:color w:val="auto"/>
        </w:rPr>
      </w:pPr>
    </w:p>
    <w:p>
      <w:pPr>
        <w:ind w:left="660" w:right="5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DRAM products decreased 41% primarily due to decreases in bit shipments in the mid-20 percent range and a low-20 percent range decline in average selling prices.</w:t>
      </w:r>
    </w:p>
    <w:p>
      <w:pPr>
        <w:spacing w:after="0" w:line="1" w:lineRule="exact"/>
        <w:rPr>
          <w:rFonts w:ascii="Arial" w:cs="Arial" w:eastAsia="Arial" w:hAnsi="Arial"/>
          <w:sz w:val="18"/>
          <w:szCs w:val="18"/>
          <w:color w:val="auto"/>
        </w:rPr>
      </w:pPr>
    </w:p>
    <w:p>
      <w:pPr>
        <w:ind w:left="660" w:right="22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NAND products decreased 35% primarily due to a low-20 percent range decline in average selling prices and a mid-teens percent range decrease in bit shipments.</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Total revenue for the first quarter of 2023 decreased 47% as compared to the first quarter of 2022 primarily due to decreases in sales of both DRAM and NAND products.</w:t>
      </w:r>
    </w:p>
    <w:p>
      <w:pPr>
        <w:spacing w:after="0" w:line="180" w:lineRule="exact"/>
        <w:rPr>
          <w:sz w:val="20"/>
          <w:szCs w:val="20"/>
          <w:color w:val="auto"/>
        </w:rPr>
      </w:pPr>
    </w:p>
    <w:p>
      <w:pPr>
        <w:ind w:left="660" w:right="60" w:hanging="328"/>
        <w:spacing w:after="0" w:line="260"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decreased 49% primarily due to a high-30 percent range decline in average selling prices and decreases in bit shipments in the high-teens percent range.</w:t>
      </w:r>
    </w:p>
    <w:p>
      <w:pPr>
        <w:spacing w:after="0" w:line="1" w:lineRule="exact"/>
        <w:rPr>
          <w:rFonts w:ascii="Arial" w:cs="Arial" w:eastAsia="Arial" w:hAnsi="Arial"/>
          <w:sz w:val="18"/>
          <w:szCs w:val="18"/>
          <w:b w:val="1"/>
          <w:bCs w:val="1"/>
          <w:i w:val="1"/>
          <w:iCs w:val="1"/>
          <w:color w:val="auto"/>
        </w:rPr>
      </w:pPr>
    </w:p>
    <w:p>
      <w:pPr>
        <w:ind w:left="660" w:right="120" w:hanging="328"/>
        <w:spacing w:after="0" w:line="266" w:lineRule="auto"/>
        <w:tabs>
          <w:tab w:leader="none" w:pos="655"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Sales of NAND products decreased 41% primarily due to a mid-20 percent range decline in average selling prices and decreases in bit shipments in the low-20 percent range.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percentage decreased to 22% for the first quarter of 2023 from 39%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fourth quarter of 2022, as a result of reductions in margins for both DRAM and NAND products, primarily due to declines in average selling prices. Our consolidated gross margin percentage declined to 22% for the first quarter of 2023 from 46% for the first quarter of 2022 as a result of reductions in margins for both DRAM and NAND products, primarily due to declines in average selling prices. Cost of goods sold for the first quarter of 2023 were adversely impacted by reductions in sales volumes and inflationary cost pressures.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First Quarter</w:t>
            </w:r>
          </w:p>
        </w:tc>
        <w:tc>
          <w:tcPr>
            <w:tcW w:w="18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1,746</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43 %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2,931</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44 %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3,406</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1,907</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200" w:type="dxa"/>
            <w:vAlign w:val="bottom"/>
            <w:shd w:val="clear" w:color="auto" w:fill="D1D2D4"/>
          </w:tcPr>
          <w:p>
            <w:pPr>
              <w:spacing w:after="0"/>
              <w:rPr>
                <w:sz w:val="19"/>
                <w:szCs w:val="19"/>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17 %</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70"/>
              <w:spacing w:after="0"/>
              <w:rPr>
                <w:sz w:val="20"/>
                <w:szCs w:val="20"/>
                <w:color w:val="auto"/>
              </w:rPr>
            </w:pPr>
            <w:r>
              <w:rPr>
                <w:rFonts w:ascii="Arial" w:cs="Arial" w:eastAsia="Arial" w:hAnsi="Arial"/>
                <w:sz w:val="18"/>
                <w:szCs w:val="18"/>
                <w:color w:val="auto"/>
              </w:rPr>
              <w:t>—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6,643</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2023 as compared to the fourth quarter of 2022 were as follows:</w:t>
      </w:r>
    </w:p>
    <w:p>
      <w:pPr>
        <w:spacing w:after="0" w:line="252" w:lineRule="exact"/>
        <w:rPr>
          <w:sz w:val="20"/>
          <w:szCs w:val="20"/>
          <w:color w:val="auto"/>
        </w:rPr>
      </w:pPr>
    </w:p>
    <w:p>
      <w:pPr>
        <w:ind w:left="660" w:right="22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CNBU revenue decreased 40% primarily due to declines in DRAM average selling prices and decreases in bit shipments reflecting weakness across markets.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MBU revenue decreased 57% primarily due to decreases in bit shipments and declines in average selling prices for both DRAM and NAND.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EBU revenue decreased 23% primarily due to decreases in bit shipments and declines in DRAM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SBU revenue decreased 24% primarily due to declines in average selling prices for NAND.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the first quarter of 2023 as compared to the first quarter of 2022 were as follows:</w:t>
      </w:r>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CNBU revenue decreased 49% primarily due to declines in DRAM average selling prices and decreases in bit shipments.</w:t>
      </w:r>
    </w:p>
    <w:p>
      <w:pPr>
        <w:spacing w:after="0" w:line="27"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MBU revenue decreased 66% primarily due to declines in average selling prices and decreases in bit shipments for both DRAM and NAND.</w:t>
      </w:r>
    </w:p>
    <w:p>
      <w:pPr>
        <w:ind w:left="660" w:right="4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EBU revenue decreased 18% primarily due to lower DRAM revenue resulting from declines in DRAM average selling prices and decreases in bit shipments.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SBU revenue decreased 41% primarily due to declines in average selling prices and decreases in bit shipments for NAND.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9"/>
              </w:rPr>
              <w:t>First Quarter</w:t>
            </w:r>
          </w:p>
        </w:tc>
        <w:tc>
          <w:tcPr>
            <w:tcW w:w="186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rPr>
              <w:t>Fourth Quarter</w:t>
            </w:r>
          </w:p>
        </w:tc>
        <w:tc>
          <w:tcPr>
            <w:tcW w:w="15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9"/>
              </w:rPr>
              <w:t>First Quarter</w:t>
            </w:r>
          </w:p>
        </w:tc>
      </w:tr>
      <w:tr>
        <w:trPr>
          <w:trHeight w:val="235"/>
        </w:trPr>
        <w:tc>
          <w:tcPr>
            <w:tcW w:w="5860" w:type="dxa"/>
            <w:vAlign w:val="bottom"/>
            <w:tcBorders>
              <w:bottom w:val="single" w:sz="8" w:color="0090DA"/>
            </w:tcBorders>
          </w:tcPr>
          <w:p>
            <w:pPr>
              <w:spacing w:after="0"/>
              <w:rPr>
                <w:sz w:val="20"/>
                <w:szCs w:val="20"/>
                <w:color w:val="auto"/>
              </w:rPr>
            </w:pPr>
          </w:p>
        </w:tc>
        <w:tc>
          <w:tcPr>
            <w:tcW w:w="220" w:type="dxa"/>
            <w:vAlign w:val="bottom"/>
            <w:tcBorders>
              <w:bottom w:val="single" w:sz="8" w:color="0090DA"/>
            </w:tcBorders>
          </w:tcPr>
          <w:p>
            <w:pPr>
              <w:spacing w:after="0"/>
              <w:rPr>
                <w:sz w:val="20"/>
                <w:szCs w:val="20"/>
                <w:color w:val="auto"/>
              </w:rPr>
            </w:pPr>
          </w:p>
        </w:tc>
        <w:tc>
          <w:tcPr>
            <w:tcW w:w="960" w:type="dxa"/>
            <w:vAlign w:val="bottom"/>
            <w:tcBorders>
              <w:bottom w:val="single" w:sz="8" w:color="0090DA"/>
            </w:tcBorders>
            <w:gridSpan w:val="2"/>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20"/>
                <w:szCs w:val="20"/>
                <w:color w:val="auto"/>
              </w:rPr>
            </w:pPr>
          </w:p>
        </w:tc>
      </w:tr>
      <w:tr>
        <w:trPr>
          <w:trHeight w:val="34"/>
        </w:trPr>
        <w:tc>
          <w:tcPr>
            <w:tcW w:w="5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2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320" w:type="dxa"/>
            <w:vAlign w:val="bottom"/>
            <w:shd w:val="clear" w:color="auto" w:fill="D1D2D4"/>
          </w:tcPr>
          <w:p>
            <w:pPr>
              <w:spacing w:after="0"/>
              <w:rPr>
                <w:sz w:val="19"/>
                <w:szCs w:val="19"/>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980</w:t>
            </w:r>
          </w:p>
        </w:tc>
        <w:tc>
          <w:tcPr>
            <w:tcW w:w="300" w:type="dxa"/>
            <w:vAlign w:val="bottom"/>
            <w:shd w:val="clear" w:color="auto" w:fill="D1D2D4"/>
          </w:tcPr>
          <w:p>
            <w:pPr>
              <w:spacing w:after="0"/>
              <w:rPr>
                <w:sz w:val="19"/>
                <w:szCs w:val="19"/>
                <w:color w:val="auto"/>
              </w:rPr>
            </w:pPr>
          </w:p>
        </w:tc>
        <w:tc>
          <w:tcPr>
            <w:tcW w:w="86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33 %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1,524</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MBU</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2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194</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35 %</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SBU</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2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D1D2D4"/>
          </w:tcPr>
          <w:p>
            <w:pPr>
              <w:spacing w:after="0"/>
              <w:rPr>
                <w:sz w:val="19"/>
                <w:szCs w:val="19"/>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w:t>
            </w:r>
          </w:p>
        </w:tc>
        <w:tc>
          <w:tcPr>
            <w:tcW w:w="18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75 %</w:t>
            </w:r>
          </w:p>
        </w:tc>
      </w:tr>
      <w:tr>
        <w:trPr>
          <w:trHeight w:val="223"/>
        </w:trPr>
        <w:tc>
          <w:tcPr>
            <w:tcW w:w="58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Changes in operating income or loss for each business unit for the first quarter of 2023 as compared to the fourth quarter of 2022 were as follows:</w:t>
      </w:r>
    </w:p>
    <w:p>
      <w:pPr>
        <w:spacing w:after="0" w:line="18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average selling prices and lower bit shipments.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MBU operating income (loss) deteriorated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EBU operating income decreased primarily due to lower bit shipments and declines in DRAM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SBU operating loss increased primarily due to declines in average selling prices.</w:t>
      </w:r>
    </w:p>
    <w:p>
      <w:pPr>
        <w:spacing w:after="0" w:line="234"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Changes in operating income or loss for each business unit for the first quarter of 2023 as compared to the first quarter of 2022 were as follows:</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CNBU operating income decreased primarily due to declines in average selling prices and lower bit shipments.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MBU operating income (loss) deteriorated primarily due to declines in average selling prices and lower bit shipments.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EBU operating income decreased primarily due to declines in average selling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SBU operating income (loss) deteriorated primarily due to declines in average selling prices and lower bit shipments.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R&amp;D expenses for the first quarter of 2023 were relatively unchanged as compared to the fourth quarter of 2022. R&amp;D expenses for the first quarter of 2023 were 19% higher as compared to the first quarter of 2022 primarily due to higher volumes of development and prequalification wafers, increases in employee compensation, and depreciation expense.</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the first quarter of 2023 were 10% lower as compared to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primarily due to incremental decreases across multiple expense categories. SG&amp;A expenses for the first quarter of 2023 were relatively unchanged as compared to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856"/>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r>
      <w:tr>
        <w:trPr>
          <w:trHeight w:val="239"/>
        </w:trPr>
        <w:tc>
          <w:tcPr>
            <w:tcW w:w="6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Pr>
          <w:p>
            <w:pPr>
              <w:spacing w:after="0"/>
              <w:rPr>
                <w:sz w:val="20"/>
                <w:szCs w:val="20"/>
                <w:color w:val="auto"/>
              </w:rPr>
            </w:pPr>
          </w:p>
        </w:tc>
        <w:tc>
          <w:tcPr>
            <w:tcW w:w="14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Fourth Quarter</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rPr>
              <w:t>First Quarter</w:t>
            </w:r>
          </w:p>
        </w:tc>
      </w:tr>
      <w:tr>
        <w:trPr>
          <w:trHeight w:val="235"/>
        </w:trPr>
        <w:tc>
          <w:tcPr>
            <w:tcW w:w="6340" w:type="dxa"/>
            <w:vAlign w:val="bottom"/>
            <w:tcBorders>
              <w:bottom w:val="single" w:sz="8" w:color="0090DA"/>
            </w:tcBorders>
          </w:tcPr>
          <w:p>
            <w:pPr>
              <w:spacing w:after="0"/>
              <w:rPr>
                <w:sz w:val="20"/>
                <w:szCs w:val="20"/>
                <w:color w:val="auto"/>
              </w:rPr>
            </w:pPr>
          </w:p>
        </w:tc>
        <w:tc>
          <w:tcPr>
            <w:tcW w:w="400" w:type="dxa"/>
            <w:vAlign w:val="bottom"/>
            <w:tcBorders>
              <w:bottom w:val="single" w:sz="8" w:color="0090DA"/>
            </w:tcBorders>
          </w:tcPr>
          <w:p>
            <w:pPr>
              <w:spacing w:after="0"/>
              <w:rPr>
                <w:sz w:val="20"/>
                <w:szCs w:val="20"/>
                <w:color w:val="auto"/>
              </w:rPr>
            </w:pPr>
          </w:p>
        </w:tc>
        <w:tc>
          <w:tcPr>
            <w:tcW w:w="1360" w:type="dxa"/>
            <w:vAlign w:val="bottom"/>
            <w:tcBorders>
              <w:bottom w:val="single" w:sz="8" w:color="0090DA"/>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bottom w:val="single" w:sz="8" w:color="0090DA"/>
            </w:tcBorders>
          </w:tcPr>
          <w:p>
            <w:pPr>
              <w:spacing w:after="0"/>
              <w:rPr>
                <w:sz w:val="20"/>
                <w:szCs w:val="20"/>
                <w:color w:val="auto"/>
              </w:rPr>
            </w:pPr>
          </w:p>
        </w:tc>
        <w:tc>
          <w:tcPr>
            <w:tcW w:w="144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0090DA"/>
            </w:tcBorders>
          </w:tcPr>
          <w:p>
            <w:pPr>
              <w:spacing w:after="0"/>
              <w:rPr>
                <w:sz w:val="20"/>
                <w:szCs w:val="20"/>
                <w:color w:val="auto"/>
              </w:rPr>
            </w:pPr>
          </w:p>
        </w:tc>
        <w:tc>
          <w:tcPr>
            <w:tcW w:w="1400" w:type="dxa"/>
            <w:vAlign w:val="bottom"/>
            <w:tcBorders>
              <w:bottom w:val="single" w:sz="8" w:color="0090DA"/>
            </w:tcBorders>
            <w:gridSpan w:val="2"/>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(loss) before taxes</w:t>
            </w:r>
          </w:p>
        </w:tc>
        <w:tc>
          <w:tcPr>
            <w:tcW w:w="4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1,553</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2,521</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9"/>
                <w:szCs w:val="19"/>
                <w:color w:val="auto"/>
              </w:rPr>
            </w:pP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(219)</w:t>
            </w:r>
          </w:p>
        </w:tc>
      </w:tr>
      <w:tr>
        <w:trPr>
          <w:trHeight w:val="229"/>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D1D2D4"/>
          </w:tcPr>
          <w:p>
            <w:pPr>
              <w:spacing w:after="0"/>
              <w:rPr>
                <w:sz w:val="19"/>
                <w:szCs w:val="19"/>
                <w:color w:val="auto"/>
              </w:rPr>
            </w:pP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3.6 %</w:t>
            </w:r>
          </w:p>
        </w:tc>
        <w:tc>
          <w:tcPr>
            <w:tcW w:w="160" w:type="dxa"/>
            <w:vAlign w:val="bottom"/>
            <w:shd w:val="clear" w:color="auto" w:fill="D1D2D4"/>
          </w:tcPr>
          <w:p>
            <w:pPr>
              <w:spacing w:after="0"/>
              <w:rPr>
                <w:sz w:val="19"/>
                <w:szCs w:val="19"/>
                <w:color w:val="auto"/>
              </w:rPr>
            </w:pPr>
          </w:p>
        </w:tc>
        <w:tc>
          <w:tcPr>
            <w:tcW w:w="14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8.7 %</w:t>
            </w:r>
          </w:p>
        </w:tc>
      </w:tr>
    </w:tbl>
    <w:p>
      <w:pPr>
        <w:spacing w:after="0" w:line="31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changes in our effective tax rate for the first quarter of 2023 as compared to the fourth quarter of 2022 and the first quarter of 2022 were primarily due to a loss before taxes in the first quarter of 2023, which eliminated substantially all of our U.S. tax on foreign operations. The geographic mix of our income, together with U.S. and foreign tax rules, results in more variability in our tax rate at lower profitability levels.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benefit from tax incentive arrangements was not material for the first quarter of 2023. These arrangements reduced our tax provision by $161 million ($0.15 per diluted share) for the fourth quarter of 2022 and by $290 million ($0.26 per diluted share) for the first quarter of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on other items can be found in “Item 1. Financial Statements – Notes to Consolidated Financial Statements.”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$12.01 billion as of December 1, 2022, and $10.98 billion as of September 1, 2022.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December 1, 2022, $1.37 billion of our cash and marketable investments was held by our foreign subsidiaries.</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We are continuously evaluating alternatives for efficiently funding our capital expenditures and ongoing operations. We expect, from time to time, to engage in a variety of financing transactions for such purposes, including the issuance of securities. As of December 1, 2022, $2.50 billion was available to draw under our Revolving Credit Facility. Funding of certain significant capital projects is also dependent on the receipt of government incentives, which are subject to conditions and may not be obtained.</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2023 for property, plant, and equipment, net of partner contributions, to be in the range of $7.0 billion to $7.5 billion. Actual amounts for 2023 will vary depending on market conditions. As of December 1, 2022, we had purchase obligations of approximately $ 3.56 billion for the acquisition of property, plant, and equipment, of which approximately $2.73 billion is expected to be paid within one year. For a description of other contractual obligations, such as debt and leases, see “Item 1. Financial Statements – Notes to Consolidated Financial Statements – Leases” and “ – Debt.”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U.S. CHIPS and Science Act of 2022 (“CHIPS Act”),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is expected to begin in calendar 2023 with DRAM production targeted to start in calendar 2025. In addition, in October 2022, we announced plans to build a second leading-edge DRAM manufacturing fab in Clay, New York. We plan to start site preparation work in calendar 2023 and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plan to allocate an amount equal to the net proceeds to fund eligible sustainability-focused projects involving renewable energy, green buildings, energy efficiency, water management, waste abatement, and a circular economy. Through November 1, 2022, the date of our 2022 Green Bond Report, we had allocated $676 million toward this commitment. We currently anticipate that 100% of net proceeds of the 2032 Green Bonds will be allocated and dispersed for eligible projects by November 1, 2023.</w:t>
      </w:r>
    </w:p>
    <w:p>
      <w:pPr>
        <w:spacing w:after="0" w:line="2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December 1, 2022, we had repurchased an aggregate of $6.89 billion of the authorized amount. See “Item 1. Financial Statements – Notes to Consolidated Financial Statements – Equity.”</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December 19, 2022, our Board of Directors declared a quarterly dividend of $0.115 per share, payable in cash on January 19, 2023, to shareholders of record as of the close of business on January 3, 2023.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5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First Quarter</w:t>
            </w:r>
          </w:p>
        </w:tc>
      </w:tr>
      <w:tr>
        <w:trPr>
          <w:trHeight w:val="235"/>
        </w:trPr>
        <w:tc>
          <w:tcPr>
            <w:tcW w:w="8360" w:type="dxa"/>
            <w:vAlign w:val="bottom"/>
            <w:tcBorders>
              <w:bottom w:val="single" w:sz="8" w:color="0090DA"/>
            </w:tcBorders>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943</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3,938</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(2,266)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(2,485)</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2,632</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1,303</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934</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provided by operating activities reflects net income (loss) adjusted for certain non-cash items,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expense, amortization of intangible assets, and stock-based compensation, and the effects of changes in operating assets and liabilities. The decrease in cash provided by operating activities for the first quarter of 2023 as compared to the first quarter of 2022 was primarily due to a net loss in the current quarter adjusted for non-cash items and the effect of lower receivables, partially offset by an increase in inventories and a decline in accounts payable and accrued expenses.</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For the first quarter of 2023, net cash used for investing activities consisted primarily of $2.45 billion of expenditures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plant, and equipment, partially offset by $272 million of net inflows from maturities, sales, and purchases of available-for-sale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For the first quarter of 2022, net cash used for investing activities consisted primarily of $3.27 billion of expenditures for property, plant, and equipment; inflows of $55 million of partner contributions for capital expenditures; $893 million of net inflows from the sale of the Lehi, Utah fab; and $91 million of net outflows from purchases, sales, and maturities of available-for-sale securities.</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For the first quarter of 2023, net cash provided by financing activities consisted primarily of $2.60 billion of proceeds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our 2025, 2026, and 2027 Term Loan A borrowings and $749 million (net of original issue discount) from the issuance of the 2029 B Notes. See “Item 1. Financial Statements – Notes to Consolidated Financial Statements – Debt.” Cash used for financing activities included $425 million for the acquisition of 8.6 million shares of our common stock under our share repurchase authorization, $126 million of cash payments of dividends to shareholders, and $47 million of payments on equipment purchase contracts.</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first quarter of 2022, net cash used for financing activities included $1.95 billion of repayments of debt primarily to redeem the 2023 Notes and 2024 Notes, $259 million for the acquisition of 3.6 million shares of our common stock under our share repurchase authorization, $112 million of cash payments of dividends to shareholders, $102 million used for stock repurchases related to tax withholdings for employee equity awards, and $78 million of payments on equipment purchase contracts. Cash used for financing activities was partially offset by aggregate proceeds of $2.00 billion from the issuance of the unsecured 2032 Green Bonds, 2041 Notes, and 2051 Notes.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a discussion of our critical accounting estimates, see “Part II – Item 7. Management’s Discussion and Analysis of Financial Condition and Results of Operations – Critical Accounting Estimates” of our Annual Report on Form 10-K for the year ended September 1, 2022. There have been no changes to our critical accounting estimates since our Annual Report on Form 10-K for the year ended September 1, 2022.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Adopted Accounting Standards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Recently Issued Accounting Standards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QUANTITATIVE AND QUALITATIVE DISCLOSURES ABOUT MARKET RISK</w:t>
      </w:r>
    </w:p>
    <w:p>
      <w:pPr>
        <w:spacing w:after="0" w:line="25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exposed to interest rate risk related to our indebtedness. As of December 1, 2022 and September 1, 2022, we had fixed-rate debt with an aggregate carrying value of $4.77 billion and $ 4.03 billion, respectively, and as a result, the fair value of our debt fluctuates with changes in market interest rates. In the first quarter of 2023, we issued $750 million principal amount of new fixed-rate debt. We estimate that, as of December 1, 2022 and September 1, 2022, a hypothetical 1% decrease in market interest rates would increase the fair value of our fixed-rate debt by approximately $325 million and $275 million, respectively.</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1, 2022 and September 1, 2022, we had floating-rate debt as well as fixed-rate debt that is swapped to floating-rate debt with an aggregate principal amount of $4.69 billion and $2.09 billion, respectively. In the first quarter of 2023, we borrowed $2.60 billion principal amount of new floating-rate debt. We estimate that, as of December 1, 2022 and September 1, 2022 a hypothetical 1% increase in the interest rates of this floating-rate debt would result in an increase in annual interest expense of approximately $47 million and $21 million,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about market risk and sensitivity analysis related to changes in interest rates and currency exchange rates, see “Part II</w:t>
      </w:r>
    </w:p>
    <w:p>
      <w:pPr>
        <w:spacing w:after="0" w:line="2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Item 7A. Quantitative and Qualitative Disclosures About Market Risk” in our Annual Report on Form 10-K for the year ended September 1, 2022.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CONTROLS AND PROCEDURES</w:t>
      </w:r>
    </w:p>
    <w:p>
      <w:pPr>
        <w:spacing w:after="0" w:line="2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During the first quarter of 2023,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LEGAL PROCEEDINGS</w:t>
      </w:r>
    </w:p>
    <w:p>
      <w:pPr>
        <w:spacing w:after="0" w:line="24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a discussion of legal proceedings, see “Part I – Item 3. Legal Proceedings” of our Annual Report on Form 10-K for the year ended September 1, 2022 and the sections titled “Part I. Financial Information – Item 1. Financial Statements – Notes to Consolidated Financial Statements – Contingencies” and “Item 1A. Risk Factors” in this Quarterly Report on Form 10-Q.</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DRAM, annual percentage changes in average selling prices have ranged from approximately plus 35% to minus 35% since 2017. For NAND, annual percentage changes in average selling prices have ranged from nearly flat to approximately minus 50% since 2017.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maintain or improve gross margins include, but are not limited to:</w:t>
      </w:r>
    </w:p>
    <w:p>
      <w:pPr>
        <w:spacing w:after="0" w:line="19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Corporation;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0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that is intended to advance China’s stated national policy objectives. In addition, the Chinese government may restrict us from participating in the China market or may prevent us from competing effectively with Chinese companies.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Downturns in the worldwide economy, due to inflation, geopolitics,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we may experience a decrease in short-term and/or long-term demand resulting in industry oversupply and declines in pricing for our products.</w:t>
      </w:r>
    </w:p>
    <w:p>
      <w:pPr>
        <w:spacing w:after="0" w:line="2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0090DA"/>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2022, nearly half of our revenue was from sales to customers who have headquarters located outside the United States, while over 80% of our revenue in 2022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right="10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 and Russia’s invasion of Ukraine;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 For example, political, economic, or other actions may adversely affect our operations in Taiwan. A majority of our DRAM production output in 2022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9" w:lineRule="exact"/>
        <w:rPr>
          <w:sz w:val="20"/>
          <w:szCs w:val="20"/>
          <w:color w:val="auto"/>
        </w:rPr>
      </w:pPr>
    </w:p>
    <w:p>
      <w:pPr>
        <w:ind w:right="880"/>
        <w:spacing w:after="0" w:line="296" w:lineRule="auto"/>
        <w:rPr>
          <w:sz w:val="20"/>
          <w:szCs w:val="20"/>
          <w:color w:val="auto"/>
        </w:rPr>
      </w:pPr>
      <w:r>
        <w:rPr>
          <w:rFonts w:ascii="Arial" w:cs="Arial" w:eastAsia="Arial" w:hAnsi="Arial"/>
          <w:sz w:val="18"/>
          <w:szCs w:val="18"/>
          <w:b w:val="1"/>
          <w:bCs w:val="1"/>
          <w:color w:val="0090DA"/>
        </w:rPr>
        <w:t>The continued effects of the COVID-19 pandemic could adversely affect our business, results of operations, and financial condition.</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ongoing effects of the public health crisis caused by the COVID-19 pandemic and the measures being taken to limit COVID-19’s impact on our business, results of operations, and financial condition are uncertain and difficult to predict, but may include, and in some cases, have included and may continue to include:</w:t>
      </w:r>
    </w:p>
    <w:p>
      <w:pPr>
        <w:spacing w:after="0" w:line="19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Disruptions to our supply chain and our operations, or those of our suppliers, especially as a result of public health measures;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Impacts to customer demand, resulting in industry oversupply and declines in pricing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impacts to our business activities and increased costs from our efforts to mitigate the impact of COVID-19;</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660" w:right="52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Reductions in, or cessation of, operations at one or more of our sites or those of our subcontractors or suppliers, resulting from government restrictions and/or our own measures to prevent and/or mitigate the spread of COVID-19; and</w:t>
      </w:r>
    </w:p>
    <w:p>
      <w:pPr>
        <w:ind w:left="660" w:right="26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impacts to our construction projects, which could hamper our ability to introduce new technologies, reduce costs, or meet customer demand.</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effects and other impacts of the pandemic, alone or taken together,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9"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like COVID-19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or other third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increasingly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employees. Competition for experienced employees in our industry is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not be able to achieve expected returns from capacity expansions.</w:t>
      </w:r>
    </w:p>
    <w:p>
      <w:pPr>
        <w:spacing w:after="0" w:line="25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have announced our intent to expand our DRAM production capacity in the United States and we also make capital investments in projects outside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4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CHIPS Act and foreign, state, and local grants;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sufficient growth in customer demand to meet our increased output.</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52"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0090DA"/>
        </w:rPr>
        <w:t>We may incur restructure charges in future periods and may not realize expected savings or other benefits from restructure activities.</w:t>
      </w:r>
    </w:p>
    <w:p>
      <w:pPr>
        <w:spacing w:after="0" w:line="164"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In the second quarter of 2023, we initiated a restructure plan in response to current market conditions. See “Part I. Financial Information – Item 1. Financial Statements – Notes to Consolidated Financial Statements – Subsequent Events.” In addition, we may in the future, enter into other restructure initiatives in order to, among other items, streamline our operations, respond to changes in business conditions, our markets, or product offerings, or to centralize certain key functions.</w:t>
      </w:r>
    </w:p>
    <w:p>
      <w:pPr>
        <w:spacing w:after="0" w:line="20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may not realize expected savings or other benefits from our current or future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3"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ESG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980"/>
        <w:spacing w:after="0" w:line="296" w:lineRule="auto"/>
        <w:rPr>
          <w:sz w:val="20"/>
          <w:szCs w:val="20"/>
          <w:color w:val="auto"/>
        </w:rPr>
      </w:pPr>
      <w:r>
        <w:rPr>
          <w:rFonts w:ascii="Arial" w:cs="Arial" w:eastAsia="Arial" w:hAnsi="Arial"/>
          <w:sz w:val="18"/>
          <w:szCs w:val="18"/>
          <w:b w:val="1"/>
          <w:bCs w:val="1"/>
          <w:color w:val="0090DA"/>
        </w:rPr>
        <w:t>Failure to meet ESG expectations or standards or achieve our ESG goals could adversely affect our business, results of operations, financial condition, or stock price.</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recent years, there has been an increased focus from stakeholders on ESG matters, including greenhouse gas emissions and climate-related risks, renewable energy, water stewardship, waste management, diversity, equality and inclusion, responsible sourcing and supply chain, human rights, and social responsibility. Given our commitment to ESG,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on our ability to sell and manufacture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unfavorable ESG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ESG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ESG goals, commitments, and targets could have an adverse effect on our business, results of operations, financial condition, or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 Financial Information – Item 1. Financial Statements – Notes to Consolidated Financial Statements – Contingencies.”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98" w:lineRule="exact"/>
        <w:rPr>
          <w:sz w:val="20"/>
          <w:szCs w:val="20"/>
          <w:color w:val="auto"/>
        </w:rPr>
      </w:pPr>
    </w:p>
    <w:p>
      <w:pPr>
        <w:ind w:left="660" w:right="520" w:hanging="328"/>
        <w:spacing w:after="0" w:line="26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3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 Item 1. Financial Statements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50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0090DA"/>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1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Tax-related matters could have a material adverse effect on our business, results of operations, or financial condition.</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$ 1 billion. We are in the process of assessing whether the book minimum tax would impact our effective tax rate. Further changes in the tax laws of foreign jurisdictions could arise as a result of the base erosion and profit shifting project undertaken by the Organisation for Economic Co-operation and Development. If implemented by taxing authorities in countries where we do business, such changes,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ESG considerations, which may have a material adverse effect on our business, results of operations, or financial condition.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1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ESG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52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2023 for property, plant, and equipment, net of partner contributions, will be in the range of $7.0 billion to $7.5 billion.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capital market and other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December 1, 2022, we had debt with a carrying value of $10.27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1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54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Our expenditures for share repurchases were $2.43 billion in 2022, $1.20 billion in 2021, $176 million in 2020, and $ 2.66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UNREGISTERED SALES OF EQUITY SECURITIES AND USE OF PROCEEDS</w:t>
      </w:r>
    </w:p>
    <w:p>
      <w:pPr>
        <w:spacing w:after="0" w:line="25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tbl>
      <w:tblPr>
        <w:tblLayout w:type="fixed"/>
        <w:tblInd w:w="2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6"/>
                <w:szCs w:val="16"/>
                <w:color w:val="auto"/>
              </w:rPr>
            </w:pPr>
          </w:p>
        </w:tc>
        <w:tc>
          <w:tcPr>
            <w:tcW w:w="88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8"/>
              </w:rPr>
              <w:t>Average</w:t>
            </w:r>
          </w:p>
        </w:tc>
        <w:tc>
          <w:tcPr>
            <w:tcW w:w="22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8"/>
              </w:rPr>
              <w:t>Total number of shares</w:t>
            </w:r>
          </w:p>
        </w:tc>
        <w:tc>
          <w:tcPr>
            <w:tcW w:w="31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Approximate dollar value of shares</w:t>
            </w:r>
          </w:p>
        </w:tc>
        <w:tc>
          <w:tcPr>
            <w:tcW w:w="0" w:type="dxa"/>
            <w:vAlign w:val="bottom"/>
          </w:tcPr>
          <w:p>
            <w:pPr>
              <w:spacing w:after="0"/>
              <w:rPr>
                <w:sz w:val="1"/>
                <w:szCs w:val="1"/>
                <w:color w:val="auto"/>
              </w:rPr>
            </w:pPr>
          </w:p>
        </w:tc>
      </w:tr>
      <w:tr>
        <w:trPr>
          <w:trHeight w:val="181"/>
        </w:trPr>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31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that may yet be purchased under</w:t>
            </w:r>
          </w:p>
        </w:tc>
        <w:tc>
          <w:tcPr>
            <w:tcW w:w="0" w:type="dxa"/>
            <w:vAlign w:val="bottom"/>
          </w:tcPr>
          <w:p>
            <w:pPr>
              <w:spacing w:after="0"/>
              <w:rPr>
                <w:sz w:val="1"/>
                <w:szCs w:val="1"/>
                <w:color w:val="auto"/>
              </w:rPr>
            </w:pPr>
          </w:p>
        </w:tc>
      </w:tr>
      <w:tr>
        <w:trPr>
          <w:trHeight w:val="176"/>
        </w:trPr>
        <w:tc>
          <w:tcPr>
            <w:tcW w:w="35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2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31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 plans or</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0090DA"/>
            </w:tcBorders>
            <w:gridSpan w:val="3"/>
            <w:vMerge w:val="continue"/>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8"/>
              </w:rPr>
              <w:t>purchased</w:t>
            </w:r>
          </w:p>
        </w:tc>
        <w:tc>
          <w:tcPr>
            <w:tcW w:w="100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220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1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 xml:space="preserve">programs </w:t>
            </w:r>
            <w:r>
              <w:rPr>
                <w:rFonts w:ascii="Arial" w:cs="Arial" w:eastAsia="Arial" w:hAnsi="Arial"/>
                <w:sz w:val="18"/>
                <w:szCs w:val="18"/>
                <w:color w:val="auto"/>
                <w:w w:val="99"/>
              </w:rPr>
              <w:t>(in millions)</w:t>
            </w:r>
          </w:p>
        </w:tc>
        <w:tc>
          <w:tcPr>
            <w:tcW w:w="0" w:type="dxa"/>
            <w:vAlign w:val="bottom"/>
          </w:tcPr>
          <w:p>
            <w:pPr>
              <w:spacing w:after="0"/>
              <w:rPr>
                <w:sz w:val="1"/>
                <w:szCs w:val="1"/>
                <w:color w:val="auto"/>
              </w:rPr>
            </w:pPr>
          </w:p>
        </w:tc>
      </w:tr>
      <w:tr>
        <w:trPr>
          <w:trHeight w:val="34"/>
        </w:trPr>
        <w:tc>
          <w:tcPr>
            <w:tcW w:w="1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September 2, 2022 —</w:t>
            </w:r>
          </w:p>
        </w:tc>
        <w:tc>
          <w:tcPr>
            <w:tcW w:w="1660" w:type="dxa"/>
            <w:vAlign w:val="bottom"/>
            <w:shd w:val="clear" w:color="auto" w:fill="D1D2D4"/>
          </w:tcPr>
          <w:p>
            <w:pPr>
              <w:ind w:left="40"/>
              <w:spacing w:after="0"/>
              <w:rPr>
                <w:sz w:val="20"/>
                <w:szCs w:val="20"/>
                <w:color w:val="auto"/>
              </w:rPr>
            </w:pPr>
            <w:r>
              <w:rPr>
                <w:rFonts w:ascii="Arial" w:cs="Arial" w:eastAsia="Arial" w:hAnsi="Arial"/>
                <w:sz w:val="18"/>
                <w:szCs w:val="18"/>
                <w:color w:val="auto"/>
              </w:rPr>
              <w:t>October 6, 2022</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8,577,145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49.58</w:t>
            </w:r>
          </w:p>
        </w:tc>
        <w:tc>
          <w:tcPr>
            <w:tcW w:w="2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8,577,145</w:t>
            </w:r>
          </w:p>
        </w:tc>
        <w:tc>
          <w:tcPr>
            <w:tcW w:w="3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8"/>
                <w:szCs w:val="18"/>
                <w:color w:val="auto"/>
              </w:rPr>
              <w:t>October 7, 2022</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Pr>
          <w:p>
            <w:pPr>
              <w:ind w:left="40"/>
              <w:spacing w:after="0"/>
              <w:rPr>
                <w:sz w:val="20"/>
                <w:szCs w:val="20"/>
                <w:color w:val="auto"/>
              </w:rPr>
            </w:pPr>
            <w:r>
              <w:rPr>
                <w:rFonts w:ascii="Arial" w:cs="Arial" w:eastAsia="Arial" w:hAnsi="Arial"/>
                <w:sz w:val="18"/>
                <w:szCs w:val="18"/>
                <w:color w:val="auto"/>
              </w:rPr>
              <w:t>November 3, 2022</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November 4, 2022</w:t>
            </w:r>
          </w:p>
        </w:tc>
        <w:tc>
          <w:tcPr>
            <w:tcW w:w="280" w:type="dxa"/>
            <w:vAlign w:val="bottom"/>
            <w:shd w:val="clear" w:color="auto" w:fill="D1D2D4"/>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1D2D4"/>
          </w:tcPr>
          <w:p>
            <w:pPr>
              <w:ind w:left="40"/>
              <w:spacing w:after="0"/>
              <w:rPr>
                <w:sz w:val="20"/>
                <w:szCs w:val="20"/>
                <w:color w:val="auto"/>
              </w:rPr>
            </w:pPr>
            <w:r>
              <w:rPr>
                <w:rFonts w:ascii="Arial" w:cs="Arial" w:eastAsia="Arial" w:hAnsi="Arial"/>
                <w:sz w:val="18"/>
                <w:szCs w:val="18"/>
                <w:color w:val="auto"/>
              </w:rPr>
              <w:t>December 1, 2022</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D1D2D4"/>
          </w:tcPr>
          <w:p>
            <w:pPr>
              <w:spacing w:after="0"/>
              <w:rPr>
                <w:sz w:val="19"/>
                <w:szCs w:val="19"/>
                <w:color w:val="auto"/>
              </w:rPr>
            </w:pPr>
          </w:p>
        </w:tc>
        <w:tc>
          <w:tcPr>
            <w:tcW w:w="8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8,577,145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49.58</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8,577,145</w:t>
            </w:r>
          </w:p>
        </w:tc>
        <w:tc>
          <w:tcPr>
            <w:tcW w:w="3120" w:type="dxa"/>
            <w:vAlign w:val="bottom"/>
          </w:tcPr>
          <w:p>
            <w:pPr>
              <w:jc w:val="right"/>
              <w:spacing w:after="0"/>
              <w:rPr>
                <w:sz w:val="20"/>
                <w:szCs w:val="20"/>
                <w:color w:val="auto"/>
              </w:rPr>
            </w:pPr>
            <w:r>
              <w:rPr>
                <w:rFonts w:ascii="Arial" w:cs="Arial" w:eastAsia="Arial" w:hAnsi="Arial"/>
                <w:sz w:val="18"/>
                <w:szCs w:val="18"/>
                <w:color w:val="auto"/>
              </w:rPr>
              <w:t>$3,106</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52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Description of Exhibit</w:t>
            </w:r>
          </w:p>
        </w:tc>
        <w:tc>
          <w:tcPr>
            <w:tcW w:w="1700" w:type="dxa"/>
            <w:vAlign w:val="bottom"/>
          </w:tcPr>
          <w:p>
            <w:pPr>
              <w:ind w:left="60"/>
              <w:spacing w:after="0"/>
              <w:rPr>
                <w:sz w:val="20"/>
                <w:szCs w:val="20"/>
                <w:color w:val="auto"/>
              </w:rPr>
            </w:pPr>
            <w:r>
              <w:rPr>
                <w:rFonts w:ascii="Arial" w:cs="Arial" w:eastAsia="Arial" w:hAnsi="Arial"/>
                <w:sz w:val="18"/>
                <w:szCs w:val="18"/>
                <w:b w:val="1"/>
                <w:bCs w:val="1"/>
                <w:color w:val="auto"/>
              </w:rPr>
              <w:t>Filed</w:t>
            </w: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1040" w:type="dxa"/>
            <w:vAlign w:val="bottom"/>
          </w:tcPr>
          <w:p>
            <w:pPr>
              <w:ind w:left="100"/>
              <w:spacing w:after="0"/>
              <w:rPr>
                <w:sz w:val="20"/>
                <w:szCs w:val="20"/>
                <w:color w:val="auto"/>
              </w:rPr>
            </w:pPr>
            <w:r>
              <w:rPr>
                <w:rFonts w:ascii="Arial" w:cs="Arial" w:eastAsia="Arial" w:hAnsi="Arial"/>
                <w:sz w:val="18"/>
                <w:szCs w:val="18"/>
                <w:b w:val="1"/>
                <w:bCs w:val="1"/>
                <w:color w:val="auto"/>
              </w:rPr>
              <w:t>Exhibit/</w:t>
            </w:r>
          </w:p>
        </w:tc>
        <w:tc>
          <w:tcPr>
            <w:tcW w:w="1020" w:type="dxa"/>
            <w:vAlign w:val="bottom"/>
          </w:tcPr>
          <w:p>
            <w:pPr>
              <w:ind w:left="12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5520" w:type="dxa"/>
            <w:vAlign w:val="bottom"/>
            <w:tcBorders>
              <w:bottom w:val="single" w:sz="8" w:color="auto"/>
            </w:tcBorders>
            <w:gridSpan w:val="16"/>
            <w:vMerge w:val="continue"/>
          </w:tcPr>
          <w:p>
            <w:pPr>
              <w:spacing w:after="0"/>
              <w:rPr>
                <w:sz w:val="20"/>
                <w:szCs w:val="20"/>
                <w:color w:val="auto"/>
              </w:rPr>
            </w:pPr>
          </w:p>
        </w:tc>
        <w:tc>
          <w:tcPr>
            <w:tcW w:w="17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Herewith   Form</w:t>
            </w: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Appendix</w:t>
            </w: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2"/>
        </w:trPr>
        <w:tc>
          <w:tcPr>
            <w:tcW w:w="980" w:type="dxa"/>
            <w:vAlign w:val="bottom"/>
            <w:shd w:val="clear" w:color="auto" w:fill="D1D2D4"/>
          </w:tcPr>
          <w:p>
            <w:pPr>
              <w:ind w:left="20"/>
              <w:spacing w:after="0" w:line="182" w:lineRule="exact"/>
              <w:rPr>
                <w:sz w:val="20"/>
                <w:szCs w:val="20"/>
                <w:color w:val="auto"/>
              </w:rPr>
            </w:pPr>
            <w:r>
              <w:rPr>
                <w:rFonts w:ascii="Arial" w:cs="Arial" w:eastAsia="Arial" w:hAnsi="Arial"/>
                <w:sz w:val="18"/>
                <w:szCs w:val="18"/>
                <w:color w:val="auto"/>
              </w:rPr>
              <w:t>4.1</w:t>
            </w:r>
          </w:p>
        </w:tc>
        <w:tc>
          <w:tcPr>
            <w:tcW w:w="5520" w:type="dxa"/>
            <w:vAlign w:val="bottom"/>
            <w:gridSpan w:val="16"/>
            <w:shd w:val="clear" w:color="auto" w:fill="D1D2D4"/>
          </w:tcPr>
          <w:p>
            <w:pPr>
              <w:spacing w:after="0" w:line="182" w:lineRule="exact"/>
              <w:rPr>
                <w:rFonts w:ascii="Arial" w:cs="Arial" w:eastAsia="Arial" w:hAnsi="Arial"/>
                <w:sz w:val="18"/>
                <w:szCs w:val="18"/>
                <w:color w:val="auto"/>
              </w:rPr>
            </w:pPr>
            <w:hyperlink r:id="rId112">
              <w:r>
                <w:rPr>
                  <w:rFonts w:ascii="Arial" w:cs="Arial" w:eastAsia="Arial" w:hAnsi="Arial"/>
                  <w:sz w:val="18"/>
                  <w:szCs w:val="18"/>
                  <w:color w:val="auto"/>
                </w:rPr>
                <w:t>Fifth Supplemental Indenture, dated as of October 31, 2022, by and</w:t>
              </w:r>
            </w:hyperlink>
          </w:p>
        </w:tc>
        <w:tc>
          <w:tcPr>
            <w:tcW w:w="1700" w:type="dxa"/>
            <w:vAlign w:val="bottom"/>
            <w:shd w:val="clear" w:color="auto" w:fill="D1D2D4"/>
          </w:tcPr>
          <w:p>
            <w:pPr>
              <w:ind w:left="1080"/>
              <w:spacing w:after="0" w:line="182" w:lineRule="exact"/>
              <w:rPr>
                <w:sz w:val="20"/>
                <w:szCs w:val="20"/>
                <w:color w:val="auto"/>
              </w:rPr>
            </w:pPr>
            <w:r>
              <w:rPr>
                <w:rFonts w:ascii="Arial" w:cs="Arial" w:eastAsia="Arial" w:hAnsi="Arial"/>
                <w:sz w:val="18"/>
                <w:szCs w:val="18"/>
                <w:color w:val="auto"/>
              </w:rPr>
              <w:t>8-K</w:t>
            </w:r>
          </w:p>
        </w:tc>
        <w:tc>
          <w:tcPr>
            <w:tcW w:w="980" w:type="dxa"/>
            <w:vAlign w:val="bottom"/>
            <w:shd w:val="clear" w:color="auto" w:fill="D1D2D4"/>
          </w:tcPr>
          <w:p>
            <w:pPr>
              <w:ind w:left="160"/>
              <w:spacing w:after="0" w:line="182" w:lineRule="exact"/>
              <w:rPr>
                <w:sz w:val="20"/>
                <w:szCs w:val="20"/>
                <w:color w:val="auto"/>
              </w:rPr>
            </w:pPr>
            <w:r>
              <w:rPr>
                <w:rFonts w:ascii="Arial" w:cs="Arial" w:eastAsia="Arial" w:hAnsi="Arial"/>
                <w:sz w:val="18"/>
                <w:szCs w:val="18"/>
                <w:color w:val="auto"/>
              </w:rPr>
              <w:t>10/31/22</w:t>
            </w:r>
          </w:p>
        </w:tc>
        <w:tc>
          <w:tcPr>
            <w:tcW w:w="1040" w:type="dxa"/>
            <w:vAlign w:val="bottom"/>
            <w:shd w:val="clear" w:color="auto" w:fill="D1D2D4"/>
          </w:tcPr>
          <w:p>
            <w:pPr>
              <w:ind w:left="100"/>
              <w:spacing w:after="0" w:line="182" w:lineRule="exact"/>
              <w:rPr>
                <w:sz w:val="20"/>
                <w:szCs w:val="20"/>
                <w:color w:val="auto"/>
              </w:rPr>
            </w:pPr>
            <w:r>
              <w:rPr>
                <w:rFonts w:ascii="Arial" w:cs="Arial" w:eastAsia="Arial" w:hAnsi="Arial"/>
                <w:sz w:val="18"/>
                <w:szCs w:val="18"/>
                <w:color w:val="auto"/>
              </w:rPr>
              <w:t>4.2</w:t>
            </w:r>
          </w:p>
        </w:tc>
        <w:tc>
          <w:tcPr>
            <w:tcW w:w="1020" w:type="dxa"/>
            <w:vAlign w:val="bottom"/>
            <w:shd w:val="clear" w:color="auto" w:fill="D1D2D4"/>
          </w:tcPr>
          <w:p>
            <w:pPr>
              <w:ind w:left="120"/>
              <w:spacing w:after="0" w:line="182"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80" w:type="dxa"/>
            <w:vAlign w:val="bottom"/>
            <w:tcBorders>
              <w:top w:val="single" w:sz="8" w:color="auto"/>
            </w:tcBorders>
            <w:gridSpan w:val="12"/>
            <w:shd w:val="clear" w:color="auto" w:fill="D1D2D4"/>
          </w:tcPr>
          <w:p>
            <w:pPr>
              <w:spacing w:after="0" w:line="169" w:lineRule="exact"/>
              <w:rPr>
                <w:rFonts w:ascii="Arial" w:cs="Arial" w:eastAsia="Arial" w:hAnsi="Arial"/>
                <w:sz w:val="18"/>
                <w:szCs w:val="18"/>
                <w:color w:val="auto"/>
              </w:rPr>
            </w:pPr>
            <w:hyperlink r:id="rId112">
              <w:r>
                <w:rPr>
                  <w:rFonts w:ascii="Arial" w:cs="Arial" w:eastAsia="Arial" w:hAnsi="Arial"/>
                  <w:sz w:val="18"/>
                  <w:szCs w:val="18"/>
                  <w:color w:val="auto"/>
                </w:rPr>
                <w:t>between Micron Technology, Inc. and U.S. Bank Trust Company,</w:t>
              </w:r>
            </w:hyperlink>
          </w:p>
        </w:tc>
        <w:tc>
          <w:tcPr>
            <w:tcW w:w="6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40" w:type="dxa"/>
            <w:vAlign w:val="bottom"/>
            <w:tcBorders>
              <w:top w:val="single" w:sz="8" w:color="D1D2D4"/>
            </w:tcBorders>
            <w:shd w:val="clear" w:color="auto" w:fill="D1D2D4"/>
          </w:tcPr>
          <w:p>
            <w:pPr>
              <w:spacing w:after="0"/>
              <w:rPr>
                <w:sz w:val="14"/>
                <w:szCs w:val="14"/>
                <w:color w:val="auto"/>
              </w:rPr>
            </w:pPr>
          </w:p>
        </w:tc>
        <w:tc>
          <w:tcPr>
            <w:tcW w:w="1700" w:type="dxa"/>
            <w:vAlign w:val="bottom"/>
            <w:tcBorders>
              <w:top w:val="single" w:sz="8" w:color="D1D2D4"/>
            </w:tcBorders>
            <w:shd w:val="clear" w:color="auto" w:fill="D1D2D4"/>
          </w:tcPr>
          <w:p>
            <w:pPr>
              <w:spacing w:after="0"/>
              <w:rPr>
                <w:sz w:val="14"/>
                <w:szCs w:val="14"/>
                <w:color w:val="auto"/>
              </w:rPr>
            </w:pPr>
          </w:p>
        </w:tc>
        <w:tc>
          <w:tcPr>
            <w:tcW w:w="980" w:type="dxa"/>
            <w:vAlign w:val="bottom"/>
            <w:tcBorders>
              <w:top w:val="single" w:sz="8" w:color="D1D2D4"/>
            </w:tcBorders>
            <w:shd w:val="clear" w:color="auto" w:fill="D1D2D4"/>
          </w:tcPr>
          <w:p>
            <w:pPr>
              <w:spacing w:after="0"/>
              <w:rPr>
                <w:sz w:val="14"/>
                <w:szCs w:val="14"/>
                <w:color w:val="auto"/>
              </w:rPr>
            </w:pPr>
          </w:p>
        </w:tc>
        <w:tc>
          <w:tcPr>
            <w:tcW w:w="1040" w:type="dxa"/>
            <w:vAlign w:val="bottom"/>
            <w:tcBorders>
              <w:top w:val="single" w:sz="8" w:color="D1D2D4"/>
            </w:tcBorders>
            <w:shd w:val="clear" w:color="auto" w:fill="D1D2D4"/>
          </w:tcPr>
          <w:p>
            <w:pPr>
              <w:spacing w:after="0"/>
              <w:rPr>
                <w:sz w:val="14"/>
                <w:szCs w:val="14"/>
                <w:color w:val="auto"/>
              </w:rPr>
            </w:pPr>
          </w:p>
        </w:tc>
        <w:tc>
          <w:tcPr>
            <w:tcW w:w="102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2580" w:type="dxa"/>
            <w:vAlign w:val="bottom"/>
            <w:tcBorders>
              <w:top w:val="single" w:sz="8" w:color="auto"/>
              <w:bottom w:val="single" w:sz="8" w:color="auto"/>
            </w:tcBorders>
            <w:gridSpan w:val="3"/>
            <w:shd w:val="clear" w:color="auto" w:fill="D1D2D4"/>
          </w:tcPr>
          <w:p>
            <w:pPr>
              <w:spacing w:after="0" w:line="156" w:lineRule="exact"/>
              <w:rPr>
                <w:rFonts w:ascii="Arial" w:cs="Arial" w:eastAsia="Arial" w:hAnsi="Arial"/>
                <w:sz w:val="18"/>
                <w:szCs w:val="18"/>
                <w:color w:val="auto"/>
                <w:w w:val="99"/>
              </w:rPr>
            </w:pPr>
            <w:hyperlink r:id="rId112">
              <w:r>
                <w:rPr>
                  <w:rFonts w:ascii="Arial" w:cs="Arial" w:eastAsia="Arial" w:hAnsi="Arial"/>
                  <w:sz w:val="18"/>
                  <w:szCs w:val="18"/>
                  <w:color w:val="auto"/>
                  <w:w w:val="99"/>
                </w:rPr>
                <w:t>National Association, as Trustee</w:t>
              </w:r>
            </w:hyperlink>
          </w:p>
        </w:tc>
        <w:tc>
          <w:tcPr>
            <w:tcW w:w="2560" w:type="dxa"/>
            <w:vAlign w:val="bottom"/>
            <w:tcBorders>
              <w:top w:val="single" w:sz="8" w:color="auto"/>
              <w:bottom w:val="single" w:sz="8" w:color="D1D2D4"/>
            </w:tcBorders>
            <w:gridSpan w:val="6"/>
            <w:shd w:val="clear" w:color="auto" w:fill="D1D2D4"/>
          </w:tcPr>
          <w:p>
            <w:pPr>
              <w:spacing w:after="0"/>
              <w:rPr>
                <w:sz w:val="15"/>
                <w:szCs w:val="15"/>
                <w:color w:val="auto"/>
              </w:rPr>
            </w:pPr>
          </w:p>
        </w:tc>
        <w:tc>
          <w:tcPr>
            <w:tcW w:w="80" w:type="dxa"/>
            <w:vAlign w:val="bottom"/>
            <w:tcBorders>
              <w:top w:val="single" w:sz="8" w:color="D1D2D4"/>
              <w:bottom w:val="single" w:sz="8" w:color="D1D2D4"/>
            </w:tcBorders>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100" w:type="dxa"/>
            <w:vAlign w:val="bottom"/>
            <w:tcBorders>
              <w:top w:val="single" w:sz="8" w:color="D1D2D4"/>
              <w:bottom w:val="single" w:sz="8" w:color="D1D2D4"/>
            </w:tcBorders>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20" w:type="dxa"/>
            <w:vAlign w:val="bottom"/>
            <w:tcBorders>
              <w:top w:val="single" w:sz="8" w:color="D1D2D4"/>
              <w:bottom w:val="single" w:sz="8" w:color="D1D2D4"/>
            </w:tcBorders>
            <w:shd w:val="clear" w:color="auto" w:fill="D1D2D4"/>
          </w:tcPr>
          <w:p>
            <w:pPr>
              <w:spacing w:after="0"/>
              <w:rPr>
                <w:sz w:val="15"/>
                <w:szCs w:val="15"/>
                <w:color w:val="auto"/>
              </w:rPr>
            </w:pPr>
          </w:p>
        </w:tc>
        <w:tc>
          <w:tcPr>
            <w:tcW w:w="40" w:type="dxa"/>
            <w:vAlign w:val="bottom"/>
            <w:tcBorders>
              <w:top w:val="single" w:sz="8" w:color="D1D2D4"/>
              <w:bottom w:val="single" w:sz="8" w:color="D1D2D4"/>
            </w:tcBorders>
            <w:shd w:val="clear" w:color="auto" w:fill="D1D2D4"/>
          </w:tcPr>
          <w:p>
            <w:pPr>
              <w:spacing w:after="0"/>
              <w:rPr>
                <w:sz w:val="15"/>
                <w:szCs w:val="15"/>
                <w:color w:val="auto"/>
              </w:rPr>
            </w:pPr>
          </w:p>
        </w:tc>
        <w:tc>
          <w:tcPr>
            <w:tcW w:w="1700" w:type="dxa"/>
            <w:vAlign w:val="bottom"/>
            <w:tcBorders>
              <w:top w:val="single" w:sz="8" w:color="D1D2D4"/>
              <w:bottom w:val="single" w:sz="8" w:color="D1D2D4"/>
            </w:tcBorders>
            <w:shd w:val="clear" w:color="auto" w:fill="D1D2D4"/>
          </w:tcPr>
          <w:p>
            <w:pPr>
              <w:spacing w:after="0"/>
              <w:rPr>
                <w:sz w:val="15"/>
                <w:szCs w:val="15"/>
                <w:color w:val="auto"/>
              </w:rPr>
            </w:pPr>
          </w:p>
        </w:tc>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1040" w:type="dxa"/>
            <w:vAlign w:val="bottom"/>
            <w:tcBorders>
              <w:top w:val="single" w:sz="8" w:color="D1D2D4"/>
              <w:bottom w:val="single" w:sz="8" w:color="D1D2D4"/>
            </w:tcBorders>
            <w:shd w:val="clear" w:color="auto" w:fill="D1D2D4"/>
          </w:tcPr>
          <w:p>
            <w:pPr>
              <w:spacing w:after="0"/>
              <w:rPr>
                <w:sz w:val="15"/>
                <w:szCs w:val="15"/>
                <w:color w:val="auto"/>
              </w:rPr>
            </w:pPr>
          </w:p>
        </w:tc>
        <w:tc>
          <w:tcPr>
            <w:tcW w:w="102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20" w:type="dxa"/>
            <w:vAlign w:val="bottom"/>
            <w:gridSpan w:val="16"/>
          </w:tcPr>
          <w:p>
            <w:pPr>
              <w:spacing w:after="0" w:line="189" w:lineRule="exact"/>
              <w:rPr>
                <w:rFonts w:ascii="Arial" w:cs="Arial" w:eastAsia="Arial" w:hAnsi="Arial"/>
                <w:sz w:val="18"/>
                <w:szCs w:val="18"/>
                <w:color w:val="auto"/>
                <w:w w:val="99"/>
              </w:rPr>
            </w:pPr>
            <w:hyperlink r:id="rId112">
              <w:r>
                <w:rPr>
                  <w:rFonts w:ascii="Arial" w:cs="Arial" w:eastAsia="Arial" w:hAnsi="Arial"/>
                  <w:sz w:val="18"/>
                  <w:szCs w:val="18"/>
                  <w:color w:val="auto"/>
                  <w:w w:val="99"/>
                </w:rPr>
                <w:t>Form of Note for Micron Technology, Inc.’s 6.750% Senior Notes due</w:t>
              </w:r>
            </w:hyperlink>
          </w:p>
        </w:tc>
        <w:tc>
          <w:tcPr>
            <w:tcW w:w="1700" w:type="dxa"/>
            <w:vAlign w:val="bottom"/>
          </w:tcPr>
          <w:p>
            <w:pPr>
              <w:ind w:left="1080"/>
              <w:spacing w:after="0" w:line="189" w:lineRule="exact"/>
              <w:rPr>
                <w:sz w:val="20"/>
                <w:szCs w:val="20"/>
                <w:color w:val="auto"/>
              </w:rPr>
            </w:pPr>
            <w:r>
              <w:rPr>
                <w:rFonts w:ascii="Arial" w:cs="Arial" w:eastAsia="Arial" w:hAnsi="Arial"/>
                <w:sz w:val="18"/>
                <w:szCs w:val="18"/>
                <w:color w:val="auto"/>
              </w:rPr>
              <w:t>8-K</w:t>
            </w:r>
          </w:p>
        </w:tc>
        <w:tc>
          <w:tcPr>
            <w:tcW w:w="980" w:type="dxa"/>
            <w:vAlign w:val="bottom"/>
          </w:tcPr>
          <w:p>
            <w:pPr>
              <w:ind w:left="160"/>
              <w:spacing w:after="0" w:line="189" w:lineRule="exact"/>
              <w:rPr>
                <w:sz w:val="20"/>
                <w:szCs w:val="20"/>
                <w:color w:val="auto"/>
              </w:rPr>
            </w:pPr>
            <w:r>
              <w:rPr>
                <w:rFonts w:ascii="Arial" w:cs="Arial" w:eastAsia="Arial" w:hAnsi="Arial"/>
                <w:sz w:val="18"/>
                <w:szCs w:val="18"/>
                <w:color w:val="auto"/>
              </w:rPr>
              <w:t>10/31/22</w:t>
            </w:r>
          </w:p>
        </w:tc>
        <w:tc>
          <w:tcPr>
            <w:tcW w:w="1040" w:type="dxa"/>
            <w:vAlign w:val="bottom"/>
          </w:tcPr>
          <w:p>
            <w:pPr>
              <w:ind w:left="100"/>
              <w:spacing w:after="0" w:line="189" w:lineRule="exact"/>
              <w:rPr>
                <w:sz w:val="20"/>
                <w:szCs w:val="20"/>
                <w:color w:val="auto"/>
              </w:rPr>
            </w:pPr>
            <w:r>
              <w:rPr>
                <w:rFonts w:ascii="Arial" w:cs="Arial" w:eastAsia="Arial" w:hAnsi="Arial"/>
                <w:sz w:val="18"/>
                <w:szCs w:val="18"/>
                <w:color w:val="auto"/>
              </w:rPr>
              <w:t>4.3</w:t>
            </w:r>
          </w:p>
        </w:tc>
        <w:tc>
          <w:tcPr>
            <w:tcW w:w="1020" w:type="dxa"/>
            <w:vAlign w:val="bottom"/>
          </w:tcPr>
          <w:p>
            <w:pPr>
              <w:ind w:left="120"/>
              <w:spacing w:after="0" w:line="189" w:lineRule="exact"/>
              <w:rPr>
                <w:sz w:val="20"/>
                <w:szCs w:val="20"/>
                <w:color w:val="auto"/>
              </w:rPr>
            </w:pPr>
            <w:r>
              <w:rPr>
                <w:rFonts w:ascii="Arial" w:cs="Arial" w:eastAsia="Arial" w:hAnsi="Arial"/>
                <w:sz w:val="18"/>
                <w:szCs w:val="18"/>
                <w:color w:val="auto"/>
              </w:rPr>
              <w:t>10/31/22</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14"/>
          </w:tcPr>
          <w:p>
            <w:pPr>
              <w:spacing w:after="0" w:line="169" w:lineRule="exact"/>
              <w:rPr>
                <w:rFonts w:ascii="Arial" w:cs="Arial" w:eastAsia="Arial" w:hAnsi="Arial"/>
                <w:sz w:val="18"/>
                <w:szCs w:val="18"/>
                <w:color w:val="auto"/>
              </w:rPr>
            </w:pPr>
            <w:hyperlink r:id="rId112">
              <w:r>
                <w:rPr>
                  <w:rFonts w:ascii="Arial" w:cs="Arial" w:eastAsia="Arial" w:hAnsi="Arial"/>
                  <w:sz w:val="18"/>
                  <w:szCs w:val="18"/>
                  <w:color w:val="auto"/>
                </w:rPr>
                <w:t>2029 (included in Exhibit 4.1)</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4080" w:type="dxa"/>
            <w:vAlign w:val="bottom"/>
            <w:tcBorders>
              <w:bottom w:val="single" w:sz="8" w:color="auto"/>
            </w:tcBorders>
            <w:gridSpan w:val="4"/>
            <w:shd w:val="clear" w:color="auto" w:fill="D1D2D4"/>
          </w:tcPr>
          <w:p>
            <w:pPr>
              <w:spacing w:after="0" w:line="189" w:lineRule="exact"/>
              <w:rPr>
                <w:sz w:val="20"/>
                <w:szCs w:val="20"/>
                <w:color w:val="auto"/>
              </w:rPr>
            </w:pPr>
            <w:r>
              <w:rPr>
                <w:rFonts w:ascii="Arial" w:cs="Arial" w:eastAsia="Arial" w:hAnsi="Arial"/>
                <w:sz w:val="18"/>
                <w:szCs w:val="18"/>
                <w:color w:val="auto"/>
                <w:w w:val="99"/>
              </w:rPr>
              <w:t>Amended and Restated 2004 Equity Incentive Plan</w:t>
            </w:r>
          </w:p>
        </w:tc>
        <w:tc>
          <w:tcPr>
            <w:tcW w:w="1440" w:type="dxa"/>
            <w:vAlign w:val="bottom"/>
            <w:tcBorders>
              <w:bottom w:val="single" w:sz="8" w:color="D1D2D4"/>
            </w:tcBorders>
            <w:gridSpan w:val="12"/>
            <w:shd w:val="clear" w:color="auto" w:fill="D1D2D4"/>
          </w:tcPr>
          <w:p>
            <w:pPr>
              <w:spacing w:after="0"/>
              <w:rPr>
                <w:sz w:val="18"/>
                <w:szCs w:val="18"/>
                <w:color w:val="auto"/>
              </w:rPr>
            </w:pPr>
          </w:p>
        </w:tc>
        <w:tc>
          <w:tcPr>
            <w:tcW w:w="170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tcBorders>
              <w:bottom w:val="single" w:sz="8" w:color="D1D2D4"/>
            </w:tcBorders>
            <w:shd w:val="clear" w:color="auto" w:fill="D1D2D4"/>
          </w:tcPr>
          <w:p>
            <w:pPr>
              <w:spacing w:after="0"/>
              <w:rPr>
                <w:sz w:val="18"/>
                <w:szCs w:val="18"/>
                <w:color w:val="auto"/>
              </w:rPr>
            </w:pPr>
          </w:p>
        </w:tc>
        <w:tc>
          <w:tcPr>
            <w:tcW w:w="1040" w:type="dxa"/>
            <w:vAlign w:val="bottom"/>
            <w:tcBorders>
              <w:bottom w:val="single" w:sz="8" w:color="D1D2D4"/>
            </w:tcBorders>
            <w:shd w:val="clear" w:color="auto" w:fill="D1D2D4"/>
          </w:tcPr>
          <w:p>
            <w:pPr>
              <w:spacing w:after="0"/>
              <w:rPr>
                <w:sz w:val="18"/>
                <w:szCs w:val="18"/>
                <w:color w:val="auto"/>
              </w:rPr>
            </w:pPr>
          </w:p>
        </w:tc>
        <w:tc>
          <w:tcPr>
            <w:tcW w:w="102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520" w:type="dxa"/>
            <w:vAlign w:val="bottom"/>
            <w:gridSpan w:val="16"/>
          </w:tcPr>
          <w:p>
            <w:pPr>
              <w:spacing w:after="0" w:line="189" w:lineRule="exact"/>
              <w:rPr>
                <w:sz w:val="20"/>
                <w:szCs w:val="20"/>
                <w:color w:val="auto"/>
              </w:rPr>
            </w:pPr>
            <w:r>
              <w:rPr>
                <w:rFonts w:ascii="Arial" w:cs="Arial" w:eastAsia="Arial" w:hAnsi="Arial"/>
                <w:sz w:val="18"/>
                <w:szCs w:val="18"/>
                <w:color w:val="auto"/>
              </w:rPr>
              <w:t>2004 Equity Incentive Plan Forms of Agreement and Terms and</w:t>
            </w:r>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060" w:type="dxa"/>
            <w:vAlign w:val="bottom"/>
            <w:tcBorders>
              <w:top w:val="single" w:sz="8" w:color="auto"/>
            </w:tcBorders>
            <w:gridSpan w:val="7"/>
          </w:tcPr>
          <w:p>
            <w:pPr>
              <w:spacing w:after="0" w:line="169" w:lineRule="exact"/>
              <w:rPr>
                <w:sz w:val="20"/>
                <w:szCs w:val="20"/>
                <w:color w:val="auto"/>
              </w:rPr>
            </w:pPr>
            <w:r>
              <w:rPr>
                <w:rFonts w:ascii="Arial" w:cs="Arial" w:eastAsia="Arial" w:hAnsi="Arial"/>
                <w:sz w:val="18"/>
                <w:szCs w:val="18"/>
                <w:color w:val="auto"/>
              </w:rPr>
              <w:t>Conditions</w:t>
            </w: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w:t>
            </w:r>
          </w:p>
        </w:tc>
        <w:tc>
          <w:tcPr>
            <w:tcW w:w="5520" w:type="dxa"/>
            <w:vAlign w:val="bottom"/>
            <w:gridSpan w:val="16"/>
            <w:shd w:val="clear" w:color="auto" w:fill="D1D2D4"/>
          </w:tcPr>
          <w:p>
            <w:pPr>
              <w:spacing w:after="0" w:line="189" w:lineRule="exact"/>
              <w:rPr>
                <w:sz w:val="20"/>
                <w:szCs w:val="20"/>
                <w:color w:val="auto"/>
              </w:rPr>
            </w:pPr>
            <w:r>
              <w:rPr>
                <w:rFonts w:ascii="Arial" w:cs="Arial" w:eastAsia="Arial" w:hAnsi="Arial"/>
                <w:sz w:val="18"/>
                <w:szCs w:val="18"/>
                <w:color w:val="auto"/>
              </w:rPr>
              <w:t>2007 Equity Incentive Plan Forms of Agreement and Terms and</w:t>
            </w: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6"/>
                <w:szCs w:val="16"/>
                <w:color w:val="auto"/>
              </w:rPr>
            </w:pPr>
          </w:p>
        </w:tc>
        <w:tc>
          <w:tcPr>
            <w:tcW w:w="1040" w:type="dxa"/>
            <w:vAlign w:val="bottom"/>
            <w:shd w:val="clear" w:color="auto" w:fill="D1D2D4"/>
          </w:tcPr>
          <w:p>
            <w:pPr>
              <w:spacing w:after="0"/>
              <w:rPr>
                <w:sz w:val="16"/>
                <w:szCs w:val="16"/>
                <w:color w:val="auto"/>
              </w:rPr>
            </w:pPr>
          </w:p>
        </w:tc>
        <w:tc>
          <w:tcPr>
            <w:tcW w:w="102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auto"/>
              <w:bottom w:val="single" w:sz="8" w:color="auto"/>
            </w:tcBorders>
            <w:shd w:val="clear" w:color="auto" w:fill="D1D2D4"/>
          </w:tcPr>
          <w:p>
            <w:pPr>
              <w:spacing w:after="0" w:line="169" w:lineRule="exact"/>
              <w:rPr>
                <w:sz w:val="20"/>
                <w:szCs w:val="20"/>
                <w:color w:val="auto"/>
              </w:rPr>
            </w:pPr>
            <w:r>
              <w:rPr>
                <w:rFonts w:ascii="Arial" w:cs="Arial" w:eastAsia="Arial" w:hAnsi="Arial"/>
                <w:sz w:val="18"/>
                <w:szCs w:val="18"/>
                <w:color w:val="auto"/>
                <w:w w:val="98"/>
              </w:rPr>
              <w:t>Conditions</w:t>
            </w:r>
          </w:p>
        </w:tc>
        <w:tc>
          <w:tcPr>
            <w:tcW w:w="4200" w:type="dxa"/>
            <w:vAlign w:val="bottom"/>
            <w:tcBorders>
              <w:top w:val="single" w:sz="8" w:color="auto"/>
              <w:bottom w:val="single" w:sz="8" w:color="D1D2D4"/>
            </w:tcBorders>
            <w:gridSpan w:val="6"/>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4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60" w:type="dxa"/>
            <w:vAlign w:val="bottom"/>
            <w:tcBorders>
              <w:top w:val="single" w:sz="8" w:color="D1D2D4"/>
              <w:bottom w:val="single" w:sz="8" w:color="D1D2D4"/>
            </w:tcBorders>
            <w:shd w:val="clear" w:color="auto" w:fill="D1D2D4"/>
          </w:tcPr>
          <w:p>
            <w:pPr>
              <w:spacing w:after="0"/>
              <w:rPr>
                <w:sz w:val="16"/>
                <w:szCs w:val="16"/>
                <w:color w:val="auto"/>
              </w:rPr>
            </w:pPr>
          </w:p>
        </w:tc>
        <w:tc>
          <w:tcPr>
            <w:tcW w:w="100" w:type="dxa"/>
            <w:vAlign w:val="bottom"/>
            <w:tcBorders>
              <w:top w:val="single" w:sz="8" w:color="D1D2D4"/>
              <w:bottom w:val="single" w:sz="8" w:color="D1D2D4"/>
            </w:tcBorders>
            <w:shd w:val="clear" w:color="auto" w:fill="D1D2D4"/>
          </w:tcPr>
          <w:p>
            <w:pPr>
              <w:spacing w:after="0"/>
              <w:rPr>
                <w:sz w:val="16"/>
                <w:szCs w:val="16"/>
                <w:color w:val="auto"/>
              </w:rPr>
            </w:pPr>
          </w:p>
        </w:tc>
        <w:tc>
          <w:tcPr>
            <w:tcW w:w="60" w:type="dxa"/>
            <w:vAlign w:val="bottom"/>
            <w:tcBorders>
              <w:top w:val="single" w:sz="8" w:color="D1D2D4"/>
              <w:bottom w:val="single" w:sz="8" w:color="D1D2D4"/>
            </w:tcBorders>
            <w:shd w:val="clear" w:color="auto" w:fill="D1D2D4"/>
          </w:tcPr>
          <w:p>
            <w:pPr>
              <w:spacing w:after="0"/>
              <w:rPr>
                <w:sz w:val="16"/>
                <w:szCs w:val="16"/>
                <w:color w:val="auto"/>
              </w:rPr>
            </w:pPr>
          </w:p>
        </w:tc>
        <w:tc>
          <w:tcPr>
            <w:tcW w:w="40" w:type="dxa"/>
            <w:vAlign w:val="bottom"/>
            <w:tcBorders>
              <w:top w:val="single" w:sz="8" w:color="D1D2D4"/>
              <w:bottom w:val="single" w:sz="8" w:color="D1D2D4"/>
            </w:tcBorders>
            <w:gridSpan w:val="2"/>
            <w:shd w:val="clear" w:color="auto" w:fill="D1D2D4"/>
          </w:tcPr>
          <w:p>
            <w:pPr>
              <w:spacing w:after="0"/>
              <w:rPr>
                <w:sz w:val="16"/>
                <w:szCs w:val="16"/>
                <w:color w:val="auto"/>
              </w:rPr>
            </w:pPr>
          </w:p>
        </w:tc>
        <w:tc>
          <w:tcPr>
            <w:tcW w:w="40" w:type="dxa"/>
            <w:vAlign w:val="bottom"/>
            <w:tcBorders>
              <w:top w:val="single" w:sz="8" w:color="D1D2D4"/>
              <w:bottom w:val="single" w:sz="8" w:color="D1D2D4"/>
            </w:tcBorders>
            <w:shd w:val="clear" w:color="auto" w:fill="D1D2D4"/>
          </w:tcPr>
          <w:p>
            <w:pPr>
              <w:spacing w:after="0"/>
              <w:rPr>
                <w:sz w:val="16"/>
                <w:szCs w:val="16"/>
                <w:color w:val="auto"/>
              </w:rPr>
            </w:pPr>
          </w:p>
        </w:tc>
        <w:tc>
          <w:tcPr>
            <w:tcW w:w="1700" w:type="dxa"/>
            <w:vAlign w:val="bottom"/>
            <w:tcBorders>
              <w:top w:val="single" w:sz="8" w:color="D1D2D4"/>
              <w:bottom w:val="single" w:sz="8" w:color="D1D2D4"/>
            </w:tcBorders>
            <w:shd w:val="clear" w:color="auto" w:fill="D1D2D4"/>
          </w:tcPr>
          <w:p>
            <w:pPr>
              <w:spacing w:after="0"/>
              <w:rPr>
                <w:sz w:val="16"/>
                <w:szCs w:val="16"/>
                <w:color w:val="auto"/>
              </w:rPr>
            </w:pPr>
          </w:p>
        </w:tc>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1040" w:type="dxa"/>
            <w:vAlign w:val="bottom"/>
            <w:tcBorders>
              <w:top w:val="single" w:sz="8" w:color="D1D2D4"/>
              <w:bottom w:val="single" w:sz="8" w:color="D1D2D4"/>
            </w:tcBorders>
            <w:shd w:val="clear" w:color="auto" w:fill="D1D2D4"/>
          </w:tcPr>
          <w:p>
            <w:pPr>
              <w:spacing w:after="0"/>
              <w:rPr>
                <w:sz w:val="16"/>
                <w:szCs w:val="16"/>
                <w:color w:val="auto"/>
              </w:rPr>
            </w:pPr>
          </w:p>
        </w:tc>
        <w:tc>
          <w:tcPr>
            <w:tcW w:w="102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20" w:type="dxa"/>
            <w:vAlign w:val="bottom"/>
            <w:gridSpan w:val="16"/>
          </w:tcPr>
          <w:p>
            <w:pPr>
              <w:spacing w:after="0" w:line="189" w:lineRule="exact"/>
              <w:rPr>
                <w:sz w:val="20"/>
                <w:szCs w:val="20"/>
                <w:color w:val="auto"/>
              </w:rPr>
            </w:pPr>
            <w:r>
              <w:rPr>
                <w:rFonts w:ascii="Arial" w:cs="Arial" w:eastAsia="Arial" w:hAnsi="Arial"/>
                <w:sz w:val="18"/>
                <w:szCs w:val="18"/>
                <w:color w:val="auto"/>
              </w:rPr>
              <w:t>Term Loan Credit Agreement, dated as of November 3, 2022, by and</w:t>
            </w:r>
          </w:p>
        </w:tc>
        <w:tc>
          <w:tcPr>
            <w:tcW w:w="1700" w:type="dxa"/>
            <w:vAlign w:val="bottom"/>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5480" w:type="dxa"/>
            <w:vAlign w:val="bottom"/>
            <w:tcBorders>
              <w:top w:val="single" w:sz="8" w:color="auto"/>
            </w:tcBorders>
            <w:gridSpan w:val="15"/>
          </w:tcPr>
          <w:p>
            <w:pPr>
              <w:spacing w:after="0" w:line="156" w:lineRule="exact"/>
              <w:rPr>
                <w:sz w:val="20"/>
                <w:szCs w:val="20"/>
                <w:color w:val="auto"/>
              </w:rPr>
            </w:pPr>
            <w:r>
              <w:rPr>
                <w:rFonts w:ascii="Arial" w:cs="Arial" w:eastAsia="Arial" w:hAnsi="Arial"/>
                <w:sz w:val="18"/>
                <w:szCs w:val="18"/>
                <w:color w:val="auto"/>
              </w:rPr>
              <w:t>among Micron Technology, Inc., as borrower, Wells Fargo Bank,</w:t>
            </w:r>
          </w:p>
        </w:tc>
        <w:tc>
          <w:tcPr>
            <w:tcW w:w="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5080" w:type="dxa"/>
            <w:vAlign w:val="bottom"/>
            <w:tcBorders>
              <w:top w:val="single" w:sz="8" w:color="auto"/>
            </w:tcBorders>
            <w:gridSpan w:val="8"/>
          </w:tcPr>
          <w:p>
            <w:pPr>
              <w:spacing w:after="0" w:line="162" w:lineRule="exact"/>
              <w:rPr>
                <w:sz w:val="20"/>
                <w:szCs w:val="20"/>
                <w:color w:val="auto"/>
              </w:rPr>
            </w:pPr>
            <w:r>
              <w:rPr>
                <w:rFonts w:ascii="Arial" w:cs="Arial" w:eastAsia="Arial" w:hAnsi="Arial"/>
                <w:sz w:val="18"/>
                <w:szCs w:val="18"/>
                <w:color w:val="auto"/>
              </w:rPr>
              <w:t>National Association, as administrative agent, the other agents</w:t>
            </w:r>
          </w:p>
        </w:tc>
        <w:tc>
          <w:tcPr>
            <w:tcW w:w="440" w:type="dxa"/>
            <w:vAlign w:val="bottom"/>
            <w:gridSpan w:val="8"/>
          </w:tcPr>
          <w:p>
            <w:pPr>
              <w:spacing w:after="0" w:line="162" w:lineRule="exact"/>
              <w:rPr>
                <w:sz w:val="20"/>
                <w:szCs w:val="20"/>
                <w:color w:val="auto"/>
              </w:rPr>
            </w:pPr>
            <w:r>
              <w:rPr>
                <w:rFonts w:ascii="Arial" w:cs="Arial" w:eastAsia="Arial" w:hAnsi="Arial"/>
                <w:sz w:val="18"/>
                <w:szCs w:val="18"/>
                <w:color w:val="auto"/>
              </w:rPr>
              <w:t>party</w:t>
            </w:r>
          </w:p>
        </w:tc>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440" w:type="dxa"/>
            <w:vAlign w:val="bottom"/>
            <w:tcBorders>
              <w:top w:val="single" w:sz="8" w:color="auto"/>
            </w:tcBorders>
            <w:gridSpan w:val="13"/>
          </w:tcPr>
          <w:p>
            <w:pPr>
              <w:spacing w:after="0" w:line="156" w:lineRule="exact"/>
              <w:rPr>
                <w:sz w:val="20"/>
                <w:szCs w:val="20"/>
                <w:color w:val="auto"/>
              </w:rPr>
            </w:pPr>
            <w:r>
              <w:rPr>
                <w:rFonts w:ascii="Arial" w:cs="Arial" w:eastAsia="Arial" w:hAnsi="Arial"/>
                <w:sz w:val="18"/>
                <w:szCs w:val="18"/>
                <w:color w:val="auto"/>
              </w:rPr>
              <w:t>thereto, and each financial institution party from time to time thereto</w:t>
            </w:r>
          </w:p>
        </w:tc>
        <w:tc>
          <w:tcPr>
            <w:tcW w:w="80" w:type="dxa"/>
            <w:vAlign w:val="bottom"/>
            <w:gridSpan w:val="3"/>
          </w:tcPr>
          <w:p>
            <w:pPr>
              <w:spacing w:after="0"/>
              <w:rPr>
                <w:sz w:val="13"/>
                <w:szCs w:val="13"/>
                <w:color w:val="auto"/>
              </w:rPr>
            </w:pPr>
          </w:p>
        </w:tc>
        <w:tc>
          <w:tcPr>
            <w:tcW w:w="1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20" w:type="dxa"/>
            <w:vAlign w:val="bottom"/>
            <w:gridSpan w:val="16"/>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6"/>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40" w:type="dxa"/>
            <w:vAlign w:val="bottom"/>
            <w:tcBorders>
              <w:top w:val="single" w:sz="8" w:color="D1D2D4"/>
            </w:tcBorders>
            <w:gridSpan w:val="10"/>
          </w:tcPr>
          <w:p>
            <w:pPr>
              <w:spacing w:after="0"/>
              <w:rPr>
                <w:sz w:val="16"/>
                <w:szCs w:val="16"/>
                <w:color w:val="auto"/>
              </w:rPr>
            </w:pPr>
          </w:p>
        </w:tc>
        <w:tc>
          <w:tcPr>
            <w:tcW w:w="170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tcBorders>
              <w:top w:val="single" w:sz="8" w:color="D1D2D4"/>
            </w:tcBorders>
          </w:tcPr>
          <w:p>
            <w:pPr>
              <w:spacing w:after="0"/>
              <w:rPr>
                <w:sz w:val="16"/>
                <w:szCs w:val="16"/>
                <w:color w:val="auto"/>
              </w:rPr>
            </w:pPr>
          </w:p>
        </w:tc>
        <w:tc>
          <w:tcPr>
            <w:tcW w:w="1040" w:type="dxa"/>
            <w:vAlign w:val="bottom"/>
            <w:tcBorders>
              <w:top w:val="single" w:sz="8" w:color="D1D2D4"/>
            </w:tcBorders>
          </w:tcPr>
          <w:p>
            <w:pPr>
              <w:spacing w:after="0"/>
              <w:rPr>
                <w:sz w:val="16"/>
                <w:szCs w:val="16"/>
                <w:color w:val="auto"/>
              </w:rPr>
            </w:pPr>
          </w:p>
        </w:tc>
        <w:tc>
          <w:tcPr>
            <w:tcW w:w="10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20" w:type="dxa"/>
            <w:vAlign w:val="bottom"/>
            <w:gridSpan w:val="16"/>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70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0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40" w:type="dxa"/>
            <w:vAlign w:val="bottom"/>
            <w:tcBorders>
              <w:top w:val="single" w:sz="8" w:color="D1D2D4"/>
            </w:tcBorders>
            <w:gridSpan w:val="5"/>
          </w:tcPr>
          <w:p>
            <w:pPr>
              <w:spacing w:after="0"/>
              <w:rPr>
                <w:sz w:val="16"/>
                <w:szCs w:val="16"/>
                <w:color w:val="auto"/>
              </w:rPr>
            </w:pPr>
          </w:p>
        </w:tc>
        <w:tc>
          <w:tcPr>
            <w:tcW w:w="170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X</w:t>
            </w:r>
          </w:p>
        </w:tc>
        <w:tc>
          <w:tcPr>
            <w:tcW w:w="980" w:type="dxa"/>
            <w:vAlign w:val="bottom"/>
            <w:tcBorders>
              <w:top w:val="single" w:sz="8" w:color="D1D2D4"/>
            </w:tcBorders>
          </w:tcPr>
          <w:p>
            <w:pPr>
              <w:spacing w:after="0"/>
              <w:rPr>
                <w:sz w:val="16"/>
                <w:szCs w:val="16"/>
                <w:color w:val="auto"/>
              </w:rPr>
            </w:pPr>
          </w:p>
        </w:tc>
        <w:tc>
          <w:tcPr>
            <w:tcW w:w="1040" w:type="dxa"/>
            <w:vAlign w:val="bottom"/>
            <w:tcBorders>
              <w:top w:val="single" w:sz="8" w:color="D1D2D4"/>
            </w:tcBorders>
          </w:tcPr>
          <w:p>
            <w:pPr>
              <w:spacing w:after="0"/>
              <w:rPr>
                <w:sz w:val="16"/>
                <w:szCs w:val="16"/>
                <w:color w:val="auto"/>
              </w:rPr>
            </w:pPr>
          </w:p>
        </w:tc>
        <w:tc>
          <w:tcPr>
            <w:tcW w:w="102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101.INS</w:t>
            </w:r>
          </w:p>
        </w:tc>
        <w:tc>
          <w:tcPr>
            <w:tcW w:w="5520" w:type="dxa"/>
            <w:vAlign w:val="bottom"/>
            <w:gridSpan w:val="16"/>
            <w:shd w:val="clear" w:color="auto" w:fill="D1D2D4"/>
          </w:tcPr>
          <w:p>
            <w:pPr>
              <w:spacing w:after="0" w:line="183" w:lineRule="exact"/>
              <w:rPr>
                <w:sz w:val="20"/>
                <w:szCs w:val="20"/>
                <w:color w:val="auto"/>
              </w:rPr>
            </w:pPr>
            <w:r>
              <w:rPr>
                <w:rFonts w:ascii="Arial" w:cs="Arial" w:eastAsia="Arial" w:hAnsi="Arial"/>
                <w:sz w:val="18"/>
                <w:szCs w:val="18"/>
                <w:color w:val="auto"/>
              </w:rPr>
              <w:t>Inline XBRL Instance Document - the instance document does not</w:t>
            </w:r>
          </w:p>
        </w:tc>
        <w:tc>
          <w:tcPr>
            <w:tcW w:w="1700" w:type="dxa"/>
            <w:vAlign w:val="bottom"/>
            <w:shd w:val="clear" w:color="auto" w:fill="D1D2D4"/>
          </w:tcPr>
          <w:p>
            <w:pPr>
              <w:ind w:left="60"/>
              <w:spacing w:after="0" w:line="183" w:lineRule="exact"/>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980" w:type="dxa"/>
            <w:vAlign w:val="bottom"/>
            <w:shd w:val="clear" w:color="auto" w:fill="D1D2D4"/>
          </w:tcPr>
          <w:p>
            <w:pPr>
              <w:spacing w:after="0"/>
              <w:rPr>
                <w:sz w:val="15"/>
                <w:szCs w:val="15"/>
                <w:color w:val="auto"/>
              </w:rPr>
            </w:pPr>
          </w:p>
        </w:tc>
        <w:tc>
          <w:tcPr>
            <w:tcW w:w="5520" w:type="dxa"/>
            <w:vAlign w:val="bottom"/>
            <w:gridSpan w:val="16"/>
            <w:shd w:val="clear" w:color="auto" w:fill="D1D2D4"/>
          </w:tcPr>
          <w:p>
            <w:pPr>
              <w:spacing w:after="0" w:line="181" w:lineRule="exact"/>
              <w:rPr>
                <w:sz w:val="20"/>
                <w:szCs w:val="20"/>
                <w:color w:val="auto"/>
              </w:rPr>
            </w:pPr>
            <w:r>
              <w:rPr>
                <w:rFonts w:ascii="Arial" w:cs="Arial" w:eastAsia="Arial" w:hAnsi="Arial"/>
                <w:sz w:val="18"/>
                <w:szCs w:val="18"/>
                <w:color w:val="auto"/>
              </w:rPr>
              <w:t>appear in the Interactive Data File because its XBRL tags are</w:t>
            </w:r>
          </w:p>
        </w:tc>
        <w:tc>
          <w:tcPr>
            <w:tcW w:w="170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spacing w:after="0"/>
              <w:rPr>
                <w:sz w:val="19"/>
                <w:szCs w:val="19"/>
                <w:color w:val="auto"/>
              </w:rPr>
            </w:pPr>
          </w:p>
        </w:tc>
        <w:tc>
          <w:tcPr>
            <w:tcW w:w="5520" w:type="dxa"/>
            <w:vAlign w:val="bottom"/>
            <w:gridSpan w:val="16"/>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7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5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20" w:type="dxa"/>
            <w:vAlign w:val="bottom"/>
            <w:gridSpan w:val="16"/>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5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20" w:type="dxa"/>
            <w:vAlign w:val="bottom"/>
            <w:gridSpan w:val="16"/>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700" w:type="dxa"/>
            <w:vAlign w:val="bottom"/>
            <w:shd w:val="clear" w:color="auto" w:fill="D1D2D4"/>
          </w:tcPr>
          <w:p>
            <w:pPr>
              <w:ind w:left="60"/>
              <w:spacing w:after="0"/>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5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700" w:type="dxa"/>
            <w:vAlign w:val="bottom"/>
          </w:tcPr>
          <w:p>
            <w:pPr>
              <w:ind w:left="60"/>
              <w:spacing w:after="0"/>
              <w:rPr>
                <w:sz w:val="20"/>
                <w:szCs w:val="20"/>
                <w:color w:val="auto"/>
              </w:rPr>
            </w:pPr>
            <w:r>
              <w:rPr>
                <w:rFonts w:ascii="Arial" w:cs="Arial" w:eastAsia="Arial" w:hAnsi="Arial"/>
                <w:sz w:val="18"/>
                <w:szCs w:val="18"/>
                <w:color w:val="auto"/>
              </w:rPr>
              <w:t>X</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D1D2D4"/>
          </w:tcPr>
          <w:p>
            <w:pPr>
              <w:ind w:left="20"/>
              <w:spacing w:after="0" w:line="183" w:lineRule="exact"/>
              <w:rPr>
                <w:sz w:val="20"/>
                <w:szCs w:val="20"/>
                <w:color w:val="auto"/>
              </w:rPr>
            </w:pPr>
            <w:r>
              <w:rPr>
                <w:rFonts w:ascii="Arial" w:cs="Arial" w:eastAsia="Arial" w:hAnsi="Arial"/>
                <w:sz w:val="18"/>
                <w:szCs w:val="18"/>
                <w:color w:val="auto"/>
              </w:rPr>
              <w:t>104</w:t>
            </w:r>
          </w:p>
        </w:tc>
        <w:tc>
          <w:tcPr>
            <w:tcW w:w="5520" w:type="dxa"/>
            <w:vAlign w:val="bottom"/>
            <w:gridSpan w:val="16"/>
            <w:shd w:val="clear" w:color="auto" w:fill="D1D2D4"/>
          </w:tcPr>
          <w:p>
            <w:pPr>
              <w:spacing w:after="0" w:line="183" w:lineRule="exact"/>
              <w:rPr>
                <w:sz w:val="20"/>
                <w:szCs w:val="20"/>
                <w:color w:val="auto"/>
              </w:rPr>
            </w:pPr>
            <w:r>
              <w:rPr>
                <w:rFonts w:ascii="Arial" w:cs="Arial" w:eastAsia="Arial" w:hAnsi="Arial"/>
                <w:sz w:val="18"/>
                <w:szCs w:val="18"/>
                <w:color w:val="auto"/>
              </w:rPr>
              <w:t>Cover Page Interactive Data File (formatted as Inline XBRL and</w:t>
            </w:r>
          </w:p>
        </w:tc>
        <w:tc>
          <w:tcPr>
            <w:tcW w:w="1700" w:type="dxa"/>
            <w:vAlign w:val="bottom"/>
            <w:shd w:val="clear" w:color="auto" w:fill="D1D2D4"/>
          </w:tcPr>
          <w:p>
            <w:pPr>
              <w:ind w:left="60"/>
              <w:spacing w:after="0" w:line="183" w:lineRule="exact"/>
              <w:rPr>
                <w:sz w:val="20"/>
                <w:szCs w:val="20"/>
                <w:color w:val="auto"/>
              </w:rPr>
            </w:pPr>
            <w:r>
              <w:rPr>
                <w:rFonts w:ascii="Arial" w:cs="Arial" w:eastAsia="Arial" w:hAnsi="Arial"/>
                <w:sz w:val="18"/>
                <w:szCs w:val="18"/>
                <w:color w:val="auto"/>
              </w:rPr>
              <w:t>X</w:t>
            </w:r>
          </w:p>
        </w:tc>
        <w:tc>
          <w:tcPr>
            <w:tcW w:w="980" w:type="dxa"/>
            <w:vAlign w:val="bottom"/>
            <w:shd w:val="clear" w:color="auto" w:fill="D1D2D4"/>
          </w:tcPr>
          <w:p>
            <w:pPr>
              <w:spacing w:after="0"/>
              <w:rPr>
                <w:sz w:val="15"/>
                <w:szCs w:val="15"/>
                <w:color w:val="auto"/>
              </w:rPr>
            </w:pPr>
          </w:p>
        </w:tc>
        <w:tc>
          <w:tcPr>
            <w:tcW w:w="104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D1D2D4"/>
          </w:tcPr>
          <w:p>
            <w:pPr>
              <w:spacing w:after="0"/>
              <w:rPr>
                <w:sz w:val="20"/>
                <w:szCs w:val="20"/>
                <w:color w:val="auto"/>
              </w:rPr>
            </w:pPr>
          </w:p>
        </w:tc>
        <w:tc>
          <w:tcPr>
            <w:tcW w:w="5520" w:type="dxa"/>
            <w:vAlign w:val="bottom"/>
            <w:gridSpan w:val="16"/>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700" w:type="dxa"/>
            <w:vAlign w:val="bottom"/>
            <w:shd w:val="clear" w:color="auto" w:fill="D1D2D4"/>
          </w:tcPr>
          <w:p>
            <w:pPr>
              <w:spacing w:after="0"/>
              <w:rPr>
                <w:sz w:val="20"/>
                <w:szCs w:val="20"/>
                <w:color w:val="auto"/>
              </w:rPr>
            </w:pPr>
          </w:p>
        </w:tc>
        <w:tc>
          <w:tcPr>
            <w:tcW w:w="980" w:type="dxa"/>
            <w:vAlign w:val="bottom"/>
            <w:shd w:val="clear" w:color="auto" w:fill="D1D2D4"/>
          </w:tcPr>
          <w:p>
            <w:pPr>
              <w:spacing w:after="0"/>
              <w:rPr>
                <w:sz w:val="20"/>
                <w:szCs w:val="20"/>
                <w:color w:val="auto"/>
              </w:rPr>
            </w:pPr>
          </w:p>
        </w:tc>
        <w:tc>
          <w:tcPr>
            <w:tcW w:w="104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106680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80" w:val="left"/>
          <w:tab w:leader="none" w:pos="5120" w:val="left"/>
          <w:tab w:leader="none" w:pos="5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22,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17780</wp:posOffset>
            </wp:positionV>
            <wp:extent cx="35915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Mark Murphy</w:t>
      </w:r>
    </w:p>
    <w:p>
      <w:pPr>
        <w:spacing w:after="0" w:line="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Executive Vice President and Chief Financial Officer</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Financial Officer)</w:t>
      </w:r>
    </w:p>
    <w:p>
      <w:pPr>
        <w:spacing w:after="0" w:line="272"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16510</wp:posOffset>
            </wp:positionV>
            <wp:extent cx="35915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Scott Allen</w:t>
      </w:r>
    </w:p>
    <w:p>
      <w:pPr>
        <w:spacing w:after="0" w:line="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Corporate Vice President and Chief Accounting Officer</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58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2023 Q1 10-Q</w:t>
      </w:r>
    </w:p>
    <w:p>
      <w:pPr>
        <w:sectPr>
          <w:pgSz w:w="11900" w:h="16838" w:orient="portrait"/>
          <w:cols w:equalWidth="0" w:num="1">
            <w:col w:w="11240"/>
          </w:cols>
          <w:pgMar w:left="320" w:top="12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0"/>
          <w:szCs w:val="20"/>
          <w:color w:val="auto"/>
        </w:rPr>
        <w:t>Exhibit 10.1</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(Approved November 1, 2022)</w:t>
      </w:r>
    </w:p>
    <w:p>
      <w:pPr>
        <w:spacing w:after="0" w:line="223"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1.</w:t>
      </w:r>
    </w:p>
    <w:p>
      <w:pPr>
        <w:spacing w:after="0" w:line="33"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PURPOSE</w:t>
      </w:r>
    </w:p>
    <w:p>
      <w:pPr>
        <w:spacing w:after="0" w:line="238" w:lineRule="exact"/>
        <w:rPr>
          <w:sz w:val="20"/>
          <w:szCs w:val="20"/>
          <w:color w:val="auto"/>
        </w:rPr>
      </w:pPr>
    </w:p>
    <w:p>
      <w:pPr>
        <w:ind w:right="100" w:firstLine="648"/>
        <w:spacing w:after="0" w:line="252"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The purpose of the Micron Technology, Inc. Amended and Restated 2004 Equity Incentive Plan (the “Plan”) is to promote the success, and enhance the value, of Micron Technology, Inc. (the “Company”), by linking the personal interests of employees, officers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officers and consultants upon whose judgment, interest, and special effort the successful conduct of the Company’s operation is largely dependent. Accordingly, the Plan permits the grant of incentive awards from time to time to selected employees, officers and consultants of the Company and its Affiliates.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38" w:lineRule="exact"/>
        <w:rPr>
          <w:sz w:val="20"/>
          <w:szCs w:val="20"/>
          <w:color w:val="auto"/>
        </w:rPr>
      </w:pPr>
    </w:p>
    <w:p>
      <w:pPr>
        <w:ind w:right="120" w:firstLine="648"/>
        <w:spacing w:after="0" w:line="255"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i w:val="1"/>
          <w:iCs w:val="1"/>
          <w:color w:val="auto"/>
        </w:rPr>
        <w:t>DEFINITIONS.</w:t>
      </w:r>
      <w:r>
        <w:rPr>
          <w:rFonts w:ascii="Arial" w:cs="Arial" w:eastAsia="Arial" w:hAnsi="Arial"/>
          <w:sz w:val="20"/>
          <w:szCs w:val="20"/>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211" w:lineRule="exact"/>
        <w:rPr>
          <w:sz w:val="20"/>
          <w:szCs w:val="20"/>
          <w:color w:val="auto"/>
        </w:rPr>
      </w:pPr>
    </w:p>
    <w:p>
      <w:pPr>
        <w:ind w:right="600" w:firstLine="656"/>
        <w:spacing w:after="0" w:line="298" w:lineRule="auto"/>
        <w:tabs>
          <w:tab w:leader="none" w:pos="945" w:val="left"/>
        </w:tabs>
        <w:numPr>
          <w:ilvl w:val="0"/>
          <w:numId w:val="35"/>
        </w:numPr>
        <w:rPr>
          <w:rFonts w:ascii="Arial" w:cs="Arial" w:eastAsia="Arial" w:hAnsi="Arial"/>
          <w:sz w:val="19"/>
          <w:szCs w:val="19"/>
          <w:color w:val="auto"/>
        </w:rPr>
      </w:pPr>
      <w:r>
        <w:rPr>
          <w:rFonts w:ascii="Arial" w:cs="Arial" w:eastAsia="Arial" w:hAnsi="Arial"/>
          <w:sz w:val="19"/>
          <w:szCs w:val="19"/>
          <w:color w:val="auto"/>
        </w:rPr>
        <w:t>“Affiliate” means (i) any Subsidiary or Parent, or (ii) an entity that directly or through one or more intermediaries controls, is controlled by or is under common control with, the Company, as determined by the Committee.</w:t>
      </w:r>
    </w:p>
    <w:p>
      <w:pPr>
        <w:spacing w:after="0" w:line="172" w:lineRule="exact"/>
        <w:rPr>
          <w:rFonts w:ascii="Arial" w:cs="Arial" w:eastAsia="Arial" w:hAnsi="Arial"/>
          <w:sz w:val="19"/>
          <w:szCs w:val="19"/>
          <w:color w:val="auto"/>
        </w:rPr>
      </w:pPr>
    </w:p>
    <w:p>
      <w:pPr>
        <w:ind w:right="40" w:firstLine="656"/>
        <w:spacing w:after="0" w:line="245" w:lineRule="exact"/>
        <w:tabs>
          <w:tab w:leader="none" w:pos="945" w:val="left"/>
        </w:tabs>
        <w:numPr>
          <w:ilvl w:val="0"/>
          <w:numId w:val="35"/>
        </w:numPr>
        <w:rPr>
          <w:rFonts w:ascii="Arial" w:cs="Arial" w:eastAsia="Arial" w:hAnsi="Arial"/>
          <w:sz w:val="20"/>
          <w:szCs w:val="20"/>
          <w:color w:val="auto"/>
        </w:rPr>
      </w:pPr>
      <w:r>
        <w:rPr>
          <w:rFonts w:ascii="Arial" w:cs="Arial" w:eastAsia="Arial" w:hAnsi="Arial"/>
          <w:sz w:val="20"/>
          <w:szCs w:val="20"/>
          <w:color w:val="auto"/>
        </w:rPr>
        <w:t>“Award” means any Option, Stock Appreciation Right, Restricted Stock Award, Restricted Stock Unit Award, Deferred Stock Unit Award, Performance Share, Other Stock</w:t>
      </w:r>
      <w:r>
        <w:rPr>
          <w:rFonts w:ascii="MS PGothic" w:cs="MS PGothic" w:eastAsia="MS PGothic" w:hAnsi="MS PGothic"/>
          <w:sz w:val="20"/>
          <w:szCs w:val="20"/>
          <w:color w:val="auto"/>
        </w:rPr>
        <w:t>‑</w:t>
      </w:r>
      <w:r>
        <w:rPr>
          <w:rFonts w:ascii="Arial" w:cs="Arial" w:eastAsia="Arial" w:hAnsi="Arial"/>
          <w:sz w:val="20"/>
          <w:szCs w:val="20"/>
          <w:color w:val="auto"/>
        </w:rPr>
        <w:t>Based Award, or any other right or interest relating to Stock or cash, granted to a Participant under the Plan.</w:t>
      </w:r>
    </w:p>
    <w:p>
      <w:pPr>
        <w:spacing w:after="0" w:line="225" w:lineRule="exact"/>
        <w:rPr>
          <w:rFonts w:ascii="Arial" w:cs="Arial" w:eastAsia="Arial" w:hAnsi="Arial"/>
          <w:sz w:val="20"/>
          <w:szCs w:val="20"/>
          <w:color w:val="auto"/>
        </w:rPr>
      </w:pPr>
    </w:p>
    <w:p>
      <w:pPr>
        <w:ind w:right="80" w:firstLine="656"/>
        <w:spacing w:after="0" w:line="254" w:lineRule="auto"/>
        <w:tabs>
          <w:tab w:leader="none" w:pos="934" w:val="left"/>
        </w:tabs>
        <w:numPr>
          <w:ilvl w:val="0"/>
          <w:numId w:val="35"/>
        </w:numPr>
        <w:rPr>
          <w:rFonts w:ascii="Arial" w:cs="Arial" w:eastAsia="Arial" w:hAnsi="Arial"/>
          <w:sz w:val="20"/>
          <w:szCs w:val="20"/>
          <w:color w:val="auto"/>
        </w:rPr>
      </w:pPr>
      <w:r>
        <w:rPr>
          <w:rFonts w:ascii="Arial" w:cs="Arial" w:eastAsia="Arial" w:hAnsi="Arial"/>
          <w:sz w:val="20"/>
          <w:szCs w:val="20"/>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214" w:lineRule="exact"/>
        <w:rPr>
          <w:rFonts w:ascii="Arial" w:cs="Arial" w:eastAsia="Arial" w:hAnsi="Arial"/>
          <w:sz w:val="20"/>
          <w:szCs w:val="20"/>
          <w:color w:val="auto"/>
        </w:rPr>
      </w:pPr>
    </w:p>
    <w:p>
      <w:pPr>
        <w:ind w:left="960" w:hanging="304"/>
        <w:spacing w:after="0"/>
        <w:tabs>
          <w:tab w:leader="none" w:pos="9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“Board” means the Board of Directors of the Company.</w:t>
      </w:r>
    </w:p>
    <w:p>
      <w:pPr>
        <w:sectPr>
          <w:pgSz w:w="11900" w:h="16838" w:orient="portrait"/>
          <w:cols w:equalWidth="0" w:num="1">
            <w:col w:w="11240"/>
          </w:cols>
          <w:pgMar w:left="320" w:top="1414" w:right="339" w:bottom="1440" w:gutter="0" w:footer="0" w:header="0"/>
        </w:sectPr>
      </w:pPr>
    </w:p>
    <w:bookmarkStart w:id="59" w:name="page60"/>
    <w:bookmarkEnd w:id="59"/>
    <w:p>
      <w:pPr>
        <w:ind w:left="-656" w:firstLine="656"/>
        <w:spacing w:after="0" w:line="250" w:lineRule="auto"/>
        <w:tabs>
          <w:tab w:leader="none" w:pos="289" w:val="left"/>
        </w:tabs>
        <w:numPr>
          <w:ilvl w:val="0"/>
          <w:numId w:val="36"/>
        </w:numPr>
        <w:rPr>
          <w:rFonts w:ascii="Arial" w:cs="Arial" w:eastAsia="Arial" w:hAnsi="Arial"/>
          <w:sz w:val="20"/>
          <w:szCs w:val="20"/>
          <w:color w:val="auto"/>
        </w:rPr>
      </w:pPr>
      <w:r>
        <w:rPr>
          <w:rFonts w:ascii="Arial" w:cs="Arial" w:eastAsia="Arial" w:hAnsi="Arial"/>
          <w:sz w:val="20"/>
          <w:szCs w:val="20"/>
          <w:color w:val="auto"/>
        </w:rPr>
        <w:t>“Cause” as a reason for a Participant’s termination of employment shall have the meaning assigned such term in the employment, consulting, severance or similar agreement, if any, between such Participant and the Company or an Affiliate; provided, however, that if there is no such employment, consulting, severance or similar agreement in which such term is defined, and unless otherwise defined in the applicable Award Certificate, “Cause” shall mean any of the following acts by the Participant, as determined by the Committee: (i) the commission by the Participant of, or the Participant’s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 (ii) the Participant’s engaging in any other act of dishonesty, fraud, intentional misrepresentation, moral turpitude, illegality or harassment, whether or not such act was committed in connection with the business of the Company or any of its Affiliates; (iii) the willful and repeated failure by the Participant to follow the lawful directives of the Board or the Participant’s supervisor; (iv) any material violation of the Company’s written policies; (v) any intentional misconduct by the Participant in connection with the Company and any of its Affiliate’s business or relating to the Participant’s duties, or any willful violation of any laws, rules or regulations; or (vi) the Participant’s material breach of any employment, severance, non-competition, non-solicitation, confidential information, or restrictive covenant agreement, or similar agreement, with the Company or an Affiliate. The determination of the Committee as to the existence of “Cause” shall be conclusive on the Participant and the Company.</w:t>
      </w:r>
    </w:p>
    <w:p>
      <w:pPr>
        <w:spacing w:after="0" w:line="217" w:lineRule="exact"/>
        <w:rPr>
          <w:rFonts w:ascii="Arial" w:cs="Arial" w:eastAsia="Arial" w:hAnsi="Arial"/>
          <w:sz w:val="20"/>
          <w:szCs w:val="20"/>
          <w:color w:val="auto"/>
        </w:rPr>
      </w:pPr>
    </w:p>
    <w:p>
      <w:pPr>
        <w:ind w:left="244" w:hanging="244"/>
        <w:spacing w:after="0"/>
        <w:tabs>
          <w:tab w:leader="none" w:pos="2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“Change in Control” means and includes the occurrence of any one of the following events:</w:t>
      </w:r>
    </w:p>
    <w:p>
      <w:pPr>
        <w:spacing w:after="0" w:line="243" w:lineRule="exact"/>
        <w:rPr>
          <w:sz w:val="20"/>
          <w:szCs w:val="20"/>
          <w:color w:val="auto"/>
        </w:rPr>
      </w:pPr>
    </w:p>
    <w:p>
      <w:pPr>
        <w:ind w:left="-656" w:right="20" w:firstLine="656"/>
        <w:spacing w:after="0" w:line="252" w:lineRule="auto"/>
        <w:tabs>
          <w:tab w:leader="none" w:pos="223"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individuals who, on November 1, 2022, constitute the Board of Directors of the Company (the “Incumbent Directors”) cease for any reason to constitute at least a majority of such Board, provided that any person becoming a director after November 1, 2022 and whose election or nomination for election was approved by a vote of at least a majority of the Incumbent Directors then on the Board shall be an Incumbent Director;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214" w:lineRule="exact"/>
        <w:rPr>
          <w:rFonts w:ascii="Arial" w:cs="Arial" w:eastAsia="Arial" w:hAnsi="Arial"/>
          <w:sz w:val="20"/>
          <w:szCs w:val="20"/>
          <w:color w:val="auto"/>
        </w:rPr>
      </w:pPr>
    </w:p>
    <w:p>
      <w:pPr>
        <w:ind w:left="-656" w:right="100" w:firstLine="656"/>
        <w:spacing w:after="0" w:line="252" w:lineRule="auto"/>
        <w:tabs>
          <w:tab w:leader="none" w:pos="267"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20"/>
          <w:szCs w:val="20"/>
          <w:i w:val="1"/>
          <w:iCs w:val="1"/>
          <w:color w:val="auto"/>
        </w:rPr>
        <w:t>provided, however</w:t>
      </w:r>
      <w:r>
        <w:rPr>
          <w:rFonts w:ascii="Arial" w:cs="Arial" w:eastAsia="Arial" w:hAnsi="Arial"/>
          <w:sz w:val="20"/>
          <w:szCs w:val="20"/>
          <w:color w:val="auto"/>
        </w:rPr>
        <w:t>, that for purposes of this subsection (ii), the following acquisitions shall not constitute a Change in Control: (w) an acquisition directly from the Company, (x) an acquisition by the Company or a Subsidiary, (y) an acquisition by any employee benefit plan (or related trust) sponsored or maintained by the Company or any Subsidiary, or (z) an acquisition pursuant to a Non-Qualifying Transaction (as defined in subsection (iii) below); or</w:t>
      </w:r>
    </w:p>
    <w:p>
      <w:pPr>
        <w:sectPr>
          <w:pgSz w:w="11900" w:h="16838" w:orient="portrait"/>
          <w:cols w:equalWidth="0" w:num="1">
            <w:col w:w="10564"/>
          </w:cols>
          <w:pgMar w:left="976" w:top="1414" w:right="359" w:bottom="1440" w:gutter="0" w:footer="0" w:header="0"/>
        </w:sectPr>
      </w:pPr>
    </w:p>
    <w:bookmarkStart w:id="60" w:name="page61"/>
    <w:bookmarkEnd w:id="60"/>
    <w:p>
      <w:pPr>
        <w:ind w:left="-656" w:firstLine="656"/>
        <w:spacing w:after="0" w:line="263" w:lineRule="auto"/>
        <w:tabs>
          <w:tab w:leader="none" w:pos="311"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202" w:lineRule="exact"/>
        <w:rPr>
          <w:rFonts w:ascii="Arial" w:cs="Arial" w:eastAsia="Arial" w:hAnsi="Arial"/>
          <w:sz w:val="19"/>
          <w:szCs w:val="19"/>
          <w:color w:val="auto"/>
        </w:rPr>
      </w:pPr>
    </w:p>
    <w:p>
      <w:pPr>
        <w:ind w:left="324" w:hanging="324"/>
        <w:spacing w:after="0"/>
        <w:tabs>
          <w:tab w:leader="none" w:pos="324" w:val="left"/>
        </w:tabs>
        <w:numPr>
          <w:ilvl w:val="0"/>
          <w:numId w:val="38"/>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256" w:lineRule="exact"/>
        <w:rPr>
          <w:sz w:val="20"/>
          <w:szCs w:val="20"/>
          <w:color w:val="auto"/>
        </w:rPr>
      </w:pPr>
    </w:p>
    <w:p>
      <w:pPr>
        <w:ind w:left="-656" w:firstLine="656"/>
        <w:spacing w:after="0" w:line="259" w:lineRule="auto"/>
        <w:tabs>
          <w:tab w:leader="none" w:pos="289"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“Code” means the Internal Revenue Code of 1986, as amended from time to time.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95" w:lineRule="exact"/>
        <w:rPr>
          <w:rFonts w:ascii="Arial" w:cs="Arial" w:eastAsia="Arial" w:hAnsi="Arial"/>
          <w:sz w:val="20"/>
          <w:szCs w:val="20"/>
          <w:color w:val="auto"/>
        </w:rPr>
      </w:pPr>
    </w:p>
    <w:p>
      <w:pPr>
        <w:ind w:left="304" w:hanging="304"/>
        <w:spacing w:after="0"/>
        <w:tabs>
          <w:tab w:leader="none" w:pos="304"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“Committee” means the committee of the Board described in Article 4.</w:t>
      </w:r>
    </w:p>
    <w:p>
      <w:pPr>
        <w:spacing w:after="0" w:line="256" w:lineRule="exact"/>
        <w:rPr>
          <w:rFonts w:ascii="Arial" w:cs="Arial" w:eastAsia="Arial" w:hAnsi="Arial"/>
          <w:sz w:val="20"/>
          <w:szCs w:val="20"/>
          <w:color w:val="auto"/>
        </w:rPr>
      </w:pPr>
    </w:p>
    <w:p>
      <w:pPr>
        <w:ind w:left="224" w:hanging="224"/>
        <w:spacing w:after="0"/>
        <w:tabs>
          <w:tab w:leader="none" w:pos="224"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“Company” means Micron Technology, Inc., a Delaware corporation, or any successor corporation.</w:t>
      </w:r>
    </w:p>
    <w:p>
      <w:pPr>
        <w:spacing w:after="0" w:line="242" w:lineRule="exact"/>
        <w:rPr>
          <w:rFonts w:ascii="Arial" w:cs="Arial" w:eastAsia="Arial" w:hAnsi="Arial"/>
          <w:sz w:val="20"/>
          <w:szCs w:val="20"/>
          <w:color w:val="auto"/>
        </w:rPr>
      </w:pPr>
    </w:p>
    <w:p>
      <w:pPr>
        <w:ind w:left="-656" w:right="40" w:firstLine="656"/>
        <w:spacing w:after="0" w:line="254" w:lineRule="auto"/>
        <w:tabs>
          <w:tab w:leader="none" w:pos="223" w:val="left"/>
        </w:tabs>
        <w:numPr>
          <w:ilvl w:val="0"/>
          <w:numId w:val="39"/>
        </w:numPr>
        <w:rPr>
          <w:rFonts w:ascii="Arial" w:cs="Arial" w:eastAsia="Arial" w:hAnsi="Arial"/>
          <w:sz w:val="20"/>
          <w:szCs w:val="20"/>
          <w:color w:val="auto"/>
        </w:rPr>
      </w:pPr>
      <w:r>
        <w:rPr>
          <w:rFonts w:ascii="Arial" w:cs="Arial" w:eastAsia="Arial" w:hAnsi="Arial"/>
          <w:sz w:val="20"/>
          <w:szCs w:val="20"/>
          <w:color w:val="auto"/>
        </w:rPr>
        <w:t>“Continuous Status as a Participant” means the absence of any interruption or termination of service as an employee, officer or consultant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w:t>
      </w:r>
    </w:p>
    <w:p>
      <w:pPr>
        <w:sectPr>
          <w:pgSz w:w="11900" w:h="16838" w:orient="portrait"/>
          <w:cols w:equalWidth="0" w:num="1">
            <w:col w:w="10584"/>
          </w:cols>
          <w:pgMar w:left="976" w:top="1414" w:right="339" w:bottom="1440" w:gutter="0" w:footer="0" w:header="0"/>
        </w:sectPr>
      </w:pPr>
    </w:p>
    <w:bookmarkStart w:id="61" w:name="page62"/>
    <w:bookmarkEnd w:id="61"/>
    <w:p>
      <w:pPr>
        <w:ind w:right="220"/>
        <w:spacing w:after="0" w:line="277" w:lineRule="auto"/>
        <w:rPr>
          <w:sz w:val="20"/>
          <w:szCs w:val="20"/>
          <w:color w:val="auto"/>
        </w:rPr>
      </w:pPr>
      <w:r>
        <w:rPr>
          <w:rFonts w:ascii="Arial" w:cs="Arial" w:eastAsia="Arial" w:hAnsi="Arial"/>
          <w:sz w:val="19"/>
          <w:szCs w:val="19"/>
          <w:color w:val="auto"/>
        </w:rPr>
        <w:t>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200" w:lineRule="exact"/>
        <w:rPr>
          <w:sz w:val="20"/>
          <w:szCs w:val="20"/>
          <w:color w:val="auto"/>
        </w:rPr>
      </w:pPr>
    </w:p>
    <w:p>
      <w:pPr>
        <w:spacing w:after="0" w:line="222" w:lineRule="exact"/>
        <w:rPr>
          <w:sz w:val="20"/>
          <w:szCs w:val="20"/>
          <w:color w:val="auto"/>
        </w:rPr>
      </w:pPr>
    </w:p>
    <w:p>
      <w:pPr>
        <w:ind w:firstLine="656"/>
        <w:spacing w:after="0" w:line="259" w:lineRule="auto"/>
        <w:tabs>
          <w:tab w:leader="none" w:pos="934" w:val="left"/>
        </w:tabs>
        <w:numPr>
          <w:ilvl w:val="0"/>
          <w:numId w:val="40"/>
        </w:numPr>
        <w:rPr>
          <w:rFonts w:ascii="Arial" w:cs="Arial" w:eastAsia="Arial" w:hAnsi="Arial"/>
          <w:sz w:val="20"/>
          <w:szCs w:val="20"/>
          <w:color w:val="auto"/>
        </w:rPr>
      </w:pPr>
      <w:r>
        <w:rPr>
          <w:rFonts w:ascii="Arial" w:cs="Arial" w:eastAsia="Arial" w:hAnsi="Arial"/>
          <w:sz w:val="20"/>
          <w:szCs w:val="20"/>
          <w:color w:val="auto"/>
        </w:rPr>
        <w:t>“Disability” or “Disabled” means the applicable authorized party under the long-term disability plan (the “LTD Plan”) maintained by the Participant’s employer (either the Company or an Affiliate) has provided written notification that the Participant qualifies for disability benefits under the LTD Plan (a “Disability Notice”). If the Participant is not eligible for disability benefits under any applicable LTD Plan, then the Participant shall not qualify as Disabled under this Plan.</w:t>
      </w:r>
    </w:p>
    <w:p>
      <w:pPr>
        <w:spacing w:after="0" w:line="208" w:lineRule="exact"/>
        <w:rPr>
          <w:rFonts w:ascii="Arial" w:cs="Arial" w:eastAsia="Arial" w:hAnsi="Arial"/>
          <w:sz w:val="20"/>
          <w:szCs w:val="20"/>
          <w:color w:val="auto"/>
        </w:rPr>
      </w:pPr>
    </w:p>
    <w:p>
      <w:pPr>
        <w:ind w:left="880" w:hanging="224"/>
        <w:spacing w:after="0"/>
        <w:tabs>
          <w:tab w:leader="none" w:pos="8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“Deferred Stock Unit” means a right granted to a Participant under Article 11.</w:t>
      </w:r>
    </w:p>
    <w:p>
      <w:pPr>
        <w:spacing w:after="0" w:line="242" w:lineRule="exact"/>
        <w:rPr>
          <w:rFonts w:ascii="Arial" w:cs="Arial" w:eastAsia="Arial" w:hAnsi="Arial"/>
          <w:sz w:val="20"/>
          <w:szCs w:val="20"/>
          <w:color w:val="auto"/>
        </w:rPr>
      </w:pPr>
    </w:p>
    <w:p>
      <w:pPr>
        <w:ind w:left="1000" w:hanging="344"/>
        <w:spacing w:after="0"/>
        <w:tabs>
          <w:tab w:leader="none" w:pos="1000" w:val="left"/>
        </w:tabs>
        <w:numPr>
          <w:ilvl w:val="0"/>
          <w:numId w:val="40"/>
        </w:numPr>
        <w:rPr>
          <w:rFonts w:ascii="Arial" w:cs="Arial" w:eastAsia="Arial" w:hAnsi="Arial"/>
          <w:sz w:val="20"/>
          <w:szCs w:val="20"/>
          <w:color w:val="auto"/>
        </w:rPr>
      </w:pPr>
      <w:r>
        <w:rPr>
          <w:rFonts w:ascii="Arial" w:cs="Arial" w:eastAsia="Arial" w:hAnsi="Arial"/>
          <w:sz w:val="20"/>
          <w:szCs w:val="20"/>
          <w:color w:val="auto"/>
        </w:rPr>
        <w:t>“Dividend Equivalent” means a right granted with respect to an Award, as provided in Article 12.</w:t>
      </w:r>
    </w:p>
    <w:p>
      <w:pPr>
        <w:spacing w:after="0" w:line="256" w:lineRule="exact"/>
        <w:rPr>
          <w:rFonts w:ascii="Arial" w:cs="Arial" w:eastAsia="Arial" w:hAnsi="Arial"/>
          <w:sz w:val="20"/>
          <w:szCs w:val="20"/>
          <w:color w:val="auto"/>
        </w:rPr>
      </w:pPr>
    </w:p>
    <w:p>
      <w:pPr>
        <w:ind w:left="960" w:hanging="304"/>
        <w:spacing w:after="0"/>
        <w:tabs>
          <w:tab w:leader="none" w:pos="9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“Effective Date” has the meaning assigned such term in Section 3.1.</w:t>
      </w:r>
    </w:p>
    <w:p>
      <w:pPr>
        <w:spacing w:after="0" w:line="256" w:lineRule="exact"/>
        <w:rPr>
          <w:rFonts w:ascii="Arial" w:cs="Arial" w:eastAsia="Arial" w:hAnsi="Arial"/>
          <w:sz w:val="20"/>
          <w:szCs w:val="20"/>
          <w:color w:val="auto"/>
        </w:rPr>
      </w:pPr>
    </w:p>
    <w:p>
      <w:pPr>
        <w:ind w:left="960" w:hanging="304"/>
        <w:spacing w:after="0"/>
        <w:tabs>
          <w:tab w:leader="none" w:pos="9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“Eligible Participant” means an employee, officer or consultant of the Company or any Affiliate.</w:t>
      </w:r>
    </w:p>
    <w:p>
      <w:pPr>
        <w:spacing w:after="0" w:line="242" w:lineRule="exact"/>
        <w:rPr>
          <w:rFonts w:ascii="Arial" w:cs="Arial" w:eastAsia="Arial" w:hAnsi="Arial"/>
          <w:sz w:val="20"/>
          <w:szCs w:val="20"/>
          <w:color w:val="auto"/>
        </w:rPr>
      </w:pPr>
    </w:p>
    <w:p>
      <w:pPr>
        <w:ind w:right="120" w:firstLine="656"/>
        <w:spacing w:after="0" w:line="286" w:lineRule="auto"/>
        <w:tabs>
          <w:tab w:leader="none" w:pos="945" w:val="left"/>
        </w:tabs>
        <w:numPr>
          <w:ilvl w:val="0"/>
          <w:numId w:val="40"/>
        </w:numPr>
        <w:rPr>
          <w:rFonts w:ascii="Arial" w:cs="Arial" w:eastAsia="Arial" w:hAnsi="Arial"/>
          <w:sz w:val="20"/>
          <w:szCs w:val="20"/>
          <w:color w:val="auto"/>
        </w:rPr>
      </w:pPr>
      <w:r>
        <w:rPr>
          <w:rFonts w:ascii="Arial" w:cs="Arial" w:eastAsia="Arial" w:hAnsi="Arial"/>
          <w:sz w:val="20"/>
          <w:szCs w:val="20"/>
          <w:color w:val="auto"/>
        </w:rPr>
        <w:t>“Exchange” means any national securities exchange or national market system on which the Stock may from time to time be listed or traded.</w:t>
      </w:r>
    </w:p>
    <w:p>
      <w:pPr>
        <w:spacing w:after="0" w:line="167" w:lineRule="exact"/>
        <w:rPr>
          <w:rFonts w:ascii="Arial" w:cs="Arial" w:eastAsia="Arial" w:hAnsi="Arial"/>
          <w:sz w:val="20"/>
          <w:szCs w:val="20"/>
          <w:color w:val="auto"/>
        </w:rPr>
      </w:pPr>
    </w:p>
    <w:p>
      <w:pPr>
        <w:ind w:firstLine="656"/>
        <w:spacing w:after="0" w:line="252" w:lineRule="auto"/>
        <w:tabs>
          <w:tab w:leader="none" w:pos="945" w:val="left"/>
        </w:tabs>
        <w:numPr>
          <w:ilvl w:val="0"/>
          <w:numId w:val="40"/>
        </w:numPr>
        <w:rPr>
          <w:rFonts w:ascii="Arial" w:cs="Arial" w:eastAsia="Arial" w:hAnsi="Arial"/>
          <w:sz w:val="20"/>
          <w:szCs w:val="20"/>
          <w:color w:val="auto"/>
        </w:rPr>
      </w:pPr>
      <w:r>
        <w:rPr>
          <w:rFonts w:ascii="Arial" w:cs="Arial" w:eastAsia="Arial" w:hAnsi="Arial"/>
          <w:sz w:val="20"/>
          <w:szCs w:val="20"/>
          <w:color w:val="auto"/>
        </w:rPr>
        <w:t xml:space="preserve">“Fair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20"/>
          <w:szCs w:val="20"/>
          <w:i w:val="1"/>
          <w:iCs w:val="1"/>
          <w:color w:val="auto"/>
        </w:rPr>
        <w:t xml:space="preserve">Bloomberg L.P. </w:t>
      </w:r>
      <w:r>
        <w:rPr>
          <w:rFonts w:ascii="Arial" w:cs="Arial" w:eastAsia="Arial" w:hAnsi="Arial"/>
          <w:sz w:val="20"/>
          <w:szCs w:val="20"/>
          <w:color w:val="auto"/>
        </w:rPr>
        <w:t>or such other source as the Committee deems reliable; (ii) if the Stock is quoted on the over-the-counter market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20"/>
          <w:szCs w:val="20"/>
          <w:i w:val="1"/>
          <w:iCs w:val="1"/>
          <w:color w:val="auto"/>
        </w:rPr>
        <w:t>Bloomberg L.P.</w:t>
      </w:r>
      <w:r>
        <w:rPr>
          <w:rFonts w:ascii="Arial" w:cs="Arial" w:eastAsia="Arial" w:hAnsi="Arial"/>
          <w:sz w:val="20"/>
          <w:szCs w:val="20"/>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216" w:lineRule="exact"/>
        <w:rPr>
          <w:rFonts w:ascii="Arial" w:cs="Arial" w:eastAsia="Arial" w:hAnsi="Arial"/>
          <w:sz w:val="20"/>
          <w:szCs w:val="20"/>
          <w:color w:val="auto"/>
        </w:rPr>
      </w:pPr>
    </w:p>
    <w:p>
      <w:pPr>
        <w:ind w:right="120" w:firstLine="656"/>
        <w:spacing w:after="0" w:line="255" w:lineRule="auto"/>
        <w:tabs>
          <w:tab w:leader="none" w:pos="901" w:val="left"/>
        </w:tabs>
        <w:numPr>
          <w:ilvl w:val="0"/>
          <w:numId w:val="40"/>
        </w:numPr>
        <w:rPr>
          <w:rFonts w:ascii="Arial" w:cs="Arial" w:eastAsia="Arial" w:hAnsi="Arial"/>
          <w:sz w:val="20"/>
          <w:szCs w:val="20"/>
          <w:color w:val="auto"/>
        </w:rPr>
      </w:pPr>
      <w:r>
        <w:rPr>
          <w:rFonts w:ascii="Arial" w:cs="Arial" w:eastAsia="Arial" w:hAnsi="Arial"/>
          <w:sz w:val="20"/>
          <w:szCs w:val="20"/>
          <w:color w:val="auto"/>
        </w:rPr>
        <w:t>“Full-Value Award” means an Award other than in the form of an Option or SAR, and which is settled by the issuance of Stock (or at the discretion of the Committee, settled in cash valued by reference to Stock value).</w:t>
      </w:r>
    </w:p>
    <w:p>
      <w:pPr>
        <w:spacing w:after="0" w:line="1" w:lineRule="exact"/>
        <w:rPr>
          <w:rFonts w:ascii="Arial" w:cs="Arial" w:eastAsia="Arial" w:hAnsi="Arial"/>
          <w:sz w:val="20"/>
          <w:szCs w:val="20"/>
          <w:color w:val="auto"/>
        </w:rPr>
      </w:pPr>
    </w:p>
    <w:p>
      <w:pPr>
        <w:ind w:right="260" w:firstLine="656"/>
        <w:spacing w:after="0" w:line="246" w:lineRule="auto"/>
        <w:tabs>
          <w:tab w:leader="none" w:pos="934" w:val="left"/>
        </w:tabs>
        <w:numPr>
          <w:ilvl w:val="0"/>
          <w:numId w:val="40"/>
        </w:numPr>
        <w:rPr>
          <w:rFonts w:ascii="Arial" w:cs="Arial" w:eastAsia="Arial" w:hAnsi="Arial"/>
          <w:sz w:val="20"/>
          <w:szCs w:val="20"/>
          <w:color w:val="auto"/>
        </w:rPr>
      </w:pPr>
      <w:r>
        <w:rPr>
          <w:rFonts w:ascii="Arial" w:cs="Arial" w:eastAsia="Arial" w:hAnsi="Arial"/>
          <w:sz w:val="20"/>
          <w:szCs w:val="20"/>
          <w:color w:val="auto"/>
        </w:rPr>
        <w:t>“Good Reason” shall have the meaning, if any, given such term in the applicable Award Certificate. If not defined in the applicable Award Certificate, the term “Good Reason” as used herein shall not apply to a particular Award.</w:t>
      </w:r>
    </w:p>
    <w:p>
      <w:pPr>
        <w:spacing w:after="0" w:line="1" w:lineRule="exact"/>
        <w:rPr>
          <w:rFonts w:ascii="Arial" w:cs="Arial" w:eastAsia="Arial" w:hAnsi="Arial"/>
          <w:sz w:val="20"/>
          <w:szCs w:val="20"/>
          <w:color w:val="auto"/>
        </w:rPr>
      </w:pPr>
    </w:p>
    <w:p>
      <w:pPr>
        <w:ind w:right="80" w:firstLine="656"/>
        <w:spacing w:after="0" w:line="267" w:lineRule="auto"/>
        <w:tabs>
          <w:tab w:leader="none" w:pos="890" w:val="left"/>
        </w:tabs>
        <w:numPr>
          <w:ilvl w:val="0"/>
          <w:numId w:val="40"/>
        </w:numPr>
        <w:rPr>
          <w:rFonts w:ascii="Arial" w:cs="Arial" w:eastAsia="Arial" w:hAnsi="Arial"/>
          <w:sz w:val="20"/>
          <w:szCs w:val="20"/>
          <w:color w:val="auto"/>
        </w:rPr>
      </w:pPr>
      <w:r>
        <w:rPr>
          <w:rFonts w:ascii="Arial" w:cs="Arial" w:eastAsia="Arial" w:hAnsi="Arial"/>
          <w:sz w:val="20"/>
          <w:szCs w:val="20"/>
          <w:color w:val="auto"/>
        </w:rPr>
        <w:t>“Grant Date” of an Award means the first date on which all necessary corporate action has been taken to approve the grant of the Award as provided in the Plan, or such later date as</w:t>
      </w:r>
    </w:p>
    <w:p>
      <w:pPr>
        <w:sectPr>
          <w:pgSz w:w="11900" w:h="16838" w:orient="portrait"/>
          <w:cols w:equalWidth="0" w:num="1">
            <w:col w:w="11220"/>
          </w:cols>
          <w:pgMar w:left="320" w:top="1414" w:right="359" w:bottom="1440" w:gutter="0" w:footer="0" w:header="0"/>
        </w:sectPr>
      </w:pPr>
    </w:p>
    <w:bookmarkStart w:id="62" w:name="page63"/>
    <w:bookmarkEnd w:id="62"/>
    <w:p>
      <w:pPr>
        <w:ind w:right="340"/>
        <w:spacing w:after="0" w:line="286" w:lineRule="auto"/>
        <w:rPr>
          <w:sz w:val="20"/>
          <w:szCs w:val="20"/>
          <w:color w:val="auto"/>
        </w:rPr>
      </w:pPr>
      <w:r>
        <w:rPr>
          <w:rFonts w:ascii="Arial" w:cs="Arial" w:eastAsia="Arial" w:hAnsi="Arial"/>
          <w:sz w:val="20"/>
          <w:szCs w:val="20"/>
          <w:color w:val="auto"/>
        </w:rPr>
        <w:t>is determined and specified as part of that authorization process. Notice of the grant shall be provided to the grantee within a reasonable time after the Grant Date.</w:t>
      </w:r>
    </w:p>
    <w:p>
      <w:pPr>
        <w:spacing w:after="0" w:line="167" w:lineRule="exact"/>
        <w:rPr>
          <w:sz w:val="20"/>
          <w:szCs w:val="20"/>
          <w:color w:val="auto"/>
        </w:rPr>
      </w:pPr>
    </w:p>
    <w:p>
      <w:pPr>
        <w:ind w:right="1200" w:firstLine="656"/>
        <w:spacing w:after="0" w:line="286" w:lineRule="auto"/>
        <w:tabs>
          <w:tab w:leader="none" w:pos="945"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“Incentive Stock Option” means an Option that is intended to be an incentive stock option and meets the requirements of Code Section 422 or any successor provision thereto.</w:t>
      </w:r>
    </w:p>
    <w:p>
      <w:pPr>
        <w:spacing w:after="0" w:line="200" w:lineRule="exact"/>
        <w:rPr>
          <w:rFonts w:ascii="Arial" w:cs="Arial" w:eastAsia="Arial" w:hAnsi="Arial"/>
          <w:sz w:val="20"/>
          <w:szCs w:val="20"/>
          <w:color w:val="auto"/>
        </w:rPr>
      </w:pPr>
    </w:p>
    <w:p>
      <w:pPr>
        <w:spacing w:after="0" w:line="210" w:lineRule="exact"/>
        <w:rPr>
          <w:rFonts w:ascii="Arial" w:cs="Arial" w:eastAsia="Arial" w:hAnsi="Arial"/>
          <w:sz w:val="20"/>
          <w:szCs w:val="20"/>
          <w:color w:val="auto"/>
        </w:rPr>
      </w:pPr>
    </w:p>
    <w:p>
      <w:pPr>
        <w:ind w:right="260" w:firstLine="656"/>
        <w:spacing w:after="0" w:line="286" w:lineRule="auto"/>
        <w:tabs>
          <w:tab w:leader="none" w:pos="9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“Non-Employee Director” means a director of the Company who is not a common law employee of the Company or an Affiliate.</w:t>
      </w:r>
    </w:p>
    <w:p>
      <w:pPr>
        <w:spacing w:after="0" w:line="180" w:lineRule="exact"/>
        <w:rPr>
          <w:rFonts w:ascii="Arial" w:cs="Arial" w:eastAsia="Arial" w:hAnsi="Arial"/>
          <w:sz w:val="20"/>
          <w:szCs w:val="20"/>
          <w:color w:val="auto"/>
        </w:rPr>
      </w:pPr>
    </w:p>
    <w:p>
      <w:pPr>
        <w:ind w:left="980" w:hanging="324"/>
        <w:spacing w:after="0"/>
        <w:tabs>
          <w:tab w:leader="none" w:pos="9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“Nonstatutory Stock Option” means an Option that is not an Incentive Stock Option.</w:t>
      </w:r>
    </w:p>
    <w:p>
      <w:pPr>
        <w:spacing w:after="0" w:line="242" w:lineRule="exact"/>
        <w:rPr>
          <w:rFonts w:ascii="Arial" w:cs="Arial" w:eastAsia="Arial" w:hAnsi="Arial"/>
          <w:sz w:val="20"/>
          <w:szCs w:val="20"/>
          <w:color w:val="auto"/>
        </w:rPr>
      </w:pPr>
    </w:p>
    <w:p>
      <w:pPr>
        <w:ind w:right="560" w:firstLine="656"/>
        <w:spacing w:after="0" w:line="286" w:lineRule="auto"/>
        <w:tabs>
          <w:tab w:leader="none" w:pos="9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34" w:lineRule="exact"/>
        <w:rPr>
          <w:rFonts w:ascii="Arial" w:cs="Arial" w:eastAsia="Arial" w:hAnsi="Arial"/>
          <w:sz w:val="20"/>
          <w:szCs w:val="20"/>
          <w:color w:val="auto"/>
        </w:rPr>
      </w:pPr>
    </w:p>
    <w:p>
      <w:pPr>
        <w:ind w:right="440" w:firstLine="656"/>
        <w:spacing w:after="0" w:line="269" w:lineRule="exact"/>
        <w:tabs>
          <w:tab w:leader="none" w:pos="9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“Other Stock</w:t>
      </w:r>
      <w:r>
        <w:rPr>
          <w:rFonts w:ascii="MS PGothic" w:cs="MS PGothic" w:eastAsia="MS PGothic" w:hAnsi="MS PGothic"/>
          <w:sz w:val="20"/>
          <w:szCs w:val="20"/>
          <w:color w:val="auto"/>
        </w:rPr>
        <w:t>‑</w:t>
      </w:r>
      <w:r>
        <w:rPr>
          <w:rFonts w:ascii="Arial" w:cs="Arial" w:eastAsia="Arial" w:hAnsi="Arial"/>
          <w:sz w:val="20"/>
          <w:szCs w:val="20"/>
          <w:color w:val="auto"/>
        </w:rPr>
        <w:t>Based Award” means a right, granted to a Participant under Article 13 that relates to or is valued by reference to Stock or other Awards relating to Stock.</w:t>
      </w:r>
    </w:p>
    <w:p>
      <w:pPr>
        <w:spacing w:after="0" w:line="224" w:lineRule="exact"/>
        <w:rPr>
          <w:rFonts w:ascii="Arial" w:cs="Arial" w:eastAsia="Arial" w:hAnsi="Arial"/>
          <w:sz w:val="20"/>
          <w:szCs w:val="20"/>
          <w:color w:val="auto"/>
        </w:rPr>
      </w:pPr>
    </w:p>
    <w:p>
      <w:pPr>
        <w:ind w:right="20" w:firstLine="656"/>
        <w:spacing w:after="0" w:line="262" w:lineRule="auto"/>
        <w:tabs>
          <w:tab w:leader="none" w:pos="934" w:val="left"/>
        </w:tabs>
        <w:numPr>
          <w:ilvl w:val="0"/>
          <w:numId w:val="41"/>
        </w:numPr>
        <w:rPr>
          <w:rFonts w:ascii="Arial" w:cs="Arial" w:eastAsia="Arial" w:hAnsi="Arial"/>
          <w:sz w:val="20"/>
          <w:szCs w:val="20"/>
          <w:color w:val="auto"/>
        </w:rPr>
      </w:pPr>
      <w:r>
        <w:rPr>
          <w:rFonts w:ascii="Arial" w:cs="Arial" w:eastAsia="Arial" w:hAnsi="Arial"/>
          <w:sz w:val="20"/>
          <w:szCs w:val="20"/>
          <w:color w:val="auto"/>
        </w:rPr>
        <w:t>“Parent” means a corporation, limited liability company, partnership or other entity which owns or beneficially owns a majority of the outstanding voting stock or voting power of the Company. Notwithstanding the above, with respect to an Incentive Stock Option, Parent shall have the meaning set forth in Code Section 424(e).</w:t>
      </w:r>
    </w:p>
    <w:p>
      <w:pPr>
        <w:spacing w:after="0" w:line="192" w:lineRule="exact"/>
        <w:rPr>
          <w:sz w:val="20"/>
          <w:szCs w:val="20"/>
          <w:color w:val="auto"/>
        </w:rPr>
      </w:pPr>
    </w:p>
    <w:p>
      <w:pPr>
        <w:ind w:right="140" w:firstLine="656"/>
        <w:spacing w:after="0" w:line="259" w:lineRule="auto"/>
        <w:tabs>
          <w:tab w:leader="none" w:pos="10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“Participant” means a person who, as an employee, officer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208" w:lineRule="exact"/>
        <w:rPr>
          <w:rFonts w:ascii="Arial" w:cs="Arial" w:eastAsia="Arial" w:hAnsi="Arial"/>
          <w:sz w:val="20"/>
          <w:szCs w:val="20"/>
          <w:color w:val="auto"/>
        </w:rPr>
      </w:pPr>
    </w:p>
    <w:p>
      <w:pPr>
        <w:ind w:firstLine="656"/>
        <w:spacing w:after="0" w:line="262" w:lineRule="auto"/>
        <w:tabs>
          <w:tab w:leader="none" w:pos="10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91" w:lineRule="exact"/>
        <w:rPr>
          <w:rFonts w:ascii="Arial" w:cs="Arial" w:eastAsia="Arial" w:hAnsi="Arial"/>
          <w:sz w:val="20"/>
          <w:szCs w:val="20"/>
          <w:color w:val="auto"/>
        </w:rPr>
      </w:pPr>
    </w:p>
    <w:p>
      <w:pPr>
        <w:ind w:right="100" w:firstLine="656"/>
        <w:spacing w:after="0" w:line="286" w:lineRule="auto"/>
        <w:tabs>
          <w:tab w:leader="none" w:pos="1033" w:val="left"/>
        </w:tabs>
        <w:numPr>
          <w:ilvl w:val="0"/>
          <w:numId w:val="42"/>
        </w:numPr>
        <w:rPr>
          <w:rFonts w:ascii="Arial" w:cs="Arial" w:eastAsia="Arial" w:hAnsi="Arial"/>
          <w:sz w:val="20"/>
          <w:szCs w:val="20"/>
          <w:color w:val="auto"/>
        </w:rPr>
      </w:pPr>
      <w:r>
        <w:rPr>
          <w:rFonts w:ascii="Arial" w:cs="Arial" w:eastAsia="Arial" w:hAnsi="Arial"/>
          <w:sz w:val="20"/>
          <w:szCs w:val="20"/>
          <w:color w:val="auto"/>
        </w:rPr>
        <w:t>“Person” means any individual, entity or group, within the meaning of Section 3(a)(9) of the 1934 Act and as used in Section 13(d)(3) or 14(d)(2) of the 1934 Act.</w:t>
      </w:r>
    </w:p>
    <w:p>
      <w:pPr>
        <w:spacing w:after="0" w:line="180" w:lineRule="exact"/>
        <w:rPr>
          <w:rFonts w:ascii="Arial" w:cs="Arial" w:eastAsia="Arial" w:hAnsi="Arial"/>
          <w:sz w:val="20"/>
          <w:szCs w:val="20"/>
          <w:color w:val="auto"/>
        </w:rPr>
      </w:pPr>
    </w:p>
    <w:p>
      <w:pPr>
        <w:ind w:right="380" w:firstLine="656"/>
        <w:spacing w:after="0" w:line="271" w:lineRule="auto"/>
        <w:tabs>
          <w:tab w:leader="none" w:pos="10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“Plan” means the Micron Technology, Inc. Amended and Restated 2004 Equity Incentive Plan, as amended from time to time.</w:t>
      </w:r>
    </w:p>
    <w:p>
      <w:pPr>
        <w:spacing w:after="0" w:line="196" w:lineRule="exact"/>
        <w:rPr>
          <w:rFonts w:ascii="Arial" w:cs="Arial" w:eastAsia="Arial" w:hAnsi="Arial"/>
          <w:sz w:val="20"/>
          <w:szCs w:val="20"/>
          <w:color w:val="auto"/>
        </w:rPr>
      </w:pPr>
    </w:p>
    <w:p>
      <w:pPr>
        <w:ind w:right="100" w:firstLine="656"/>
        <w:spacing w:after="0" w:line="271" w:lineRule="auto"/>
        <w:tabs>
          <w:tab w:leader="none" w:pos="1055"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“Restricted Stock Award” means Stock granted to a Participant under Article 10 that is subject to certain restrictions and to risk of forfeiture.</w:t>
      </w:r>
    </w:p>
    <w:p>
      <w:pPr>
        <w:spacing w:after="0" w:line="196" w:lineRule="exact"/>
        <w:rPr>
          <w:rFonts w:ascii="Arial" w:cs="Arial" w:eastAsia="Arial" w:hAnsi="Arial"/>
          <w:sz w:val="20"/>
          <w:szCs w:val="20"/>
          <w:color w:val="auto"/>
        </w:rPr>
      </w:pPr>
    </w:p>
    <w:p>
      <w:pPr>
        <w:ind w:right="120" w:firstLine="656"/>
        <w:spacing w:after="0" w:line="262" w:lineRule="auto"/>
        <w:tabs>
          <w:tab w:leader="none" w:pos="941" w:val="left"/>
        </w:tabs>
        <w:numPr>
          <w:ilvl w:val="0"/>
          <w:numId w:val="42"/>
        </w:numPr>
        <w:rPr>
          <w:rFonts w:ascii="Arial" w:cs="Arial" w:eastAsia="Arial" w:hAnsi="Arial"/>
          <w:sz w:val="20"/>
          <w:szCs w:val="20"/>
          <w:color w:val="auto"/>
        </w:rPr>
      </w:pPr>
      <w:r>
        <w:rPr>
          <w:rFonts w:ascii="Arial" w:cs="Arial" w:eastAsia="Arial" w:hAnsi="Arial"/>
          <w:sz w:val="20"/>
          <w:szCs w:val="20"/>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ectPr>
          <w:pgSz w:w="11900" w:h="16838" w:orient="portrait"/>
          <w:cols w:equalWidth="0" w:num="1">
            <w:col w:w="11240"/>
          </w:cols>
          <w:pgMar w:left="320" w:top="1414" w:right="339" w:bottom="1440" w:gutter="0" w:footer="0" w:header="0"/>
        </w:sectPr>
      </w:pPr>
    </w:p>
    <w:bookmarkStart w:id="63" w:name="page64"/>
    <w:bookmarkEnd w:id="63"/>
    <w:p>
      <w:pPr>
        <w:ind w:right="40" w:firstLine="656"/>
        <w:spacing w:after="0" w:line="262" w:lineRule="auto"/>
        <w:tabs>
          <w:tab w:leader="none" w:pos="1055" w:val="left"/>
        </w:tabs>
        <w:numPr>
          <w:ilvl w:val="0"/>
          <w:numId w:val="43"/>
        </w:numPr>
        <w:rPr>
          <w:rFonts w:ascii="Arial" w:cs="Arial" w:eastAsia="Arial" w:hAnsi="Arial"/>
          <w:sz w:val="20"/>
          <w:szCs w:val="20"/>
          <w:color w:val="auto"/>
        </w:rPr>
      </w:pPr>
      <w:r>
        <w:rPr>
          <w:rFonts w:ascii="Arial" w:cs="Arial" w:eastAsia="Arial" w:hAnsi="Arial"/>
          <w:sz w:val="20"/>
          <w:szCs w:val="20"/>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205" w:lineRule="exact"/>
        <w:rPr>
          <w:rFonts w:ascii="Arial" w:cs="Arial" w:eastAsia="Arial" w:hAnsi="Arial"/>
          <w:sz w:val="20"/>
          <w:szCs w:val="20"/>
          <w:color w:val="auto"/>
        </w:rPr>
      </w:pPr>
    </w:p>
    <w:p>
      <w:pPr>
        <w:ind w:right="80" w:firstLine="656"/>
        <w:spacing w:after="0" w:line="271" w:lineRule="auto"/>
        <w:tabs>
          <w:tab w:leader="none" w:pos="1055" w:val="left"/>
        </w:tabs>
        <w:numPr>
          <w:ilvl w:val="0"/>
          <w:numId w:val="43"/>
        </w:numPr>
        <w:rPr>
          <w:rFonts w:ascii="Arial" w:cs="Arial" w:eastAsia="Arial" w:hAnsi="Arial"/>
          <w:sz w:val="20"/>
          <w:szCs w:val="20"/>
          <w:color w:val="auto"/>
        </w:rPr>
      </w:pPr>
      <w:r>
        <w:rPr>
          <w:rFonts w:ascii="Arial" w:cs="Arial" w:eastAsia="Arial" w:hAnsi="Arial"/>
          <w:sz w:val="20"/>
          <w:szCs w:val="20"/>
          <w:color w:val="auto"/>
        </w:rPr>
        <w:t>“Stock” means the $.10 par value common stock of the Company and such other securities of the Company as may be substituted for Stock pursuant to Article 15.</w:t>
      </w:r>
    </w:p>
    <w:p>
      <w:pPr>
        <w:spacing w:after="0" w:line="196" w:lineRule="exact"/>
        <w:rPr>
          <w:rFonts w:ascii="Arial" w:cs="Arial" w:eastAsia="Arial" w:hAnsi="Arial"/>
          <w:sz w:val="20"/>
          <w:szCs w:val="20"/>
          <w:color w:val="auto"/>
        </w:rPr>
      </w:pPr>
    </w:p>
    <w:p>
      <w:pPr>
        <w:jc w:val="both"/>
        <w:ind w:right="40" w:firstLine="656"/>
        <w:spacing w:after="0" w:line="262" w:lineRule="auto"/>
        <w:tabs>
          <w:tab w:leader="none" w:pos="9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“Stock Appreciation Right” or “SAR” means a right granted to a Participant under Article 8 to receive a payment equal to the difference between the Fair Market Value of a Share as of the date of exercise of the SAR over the base price of the SAR, all as determined pursuant to Article 8.</w:t>
      </w:r>
    </w:p>
    <w:p>
      <w:pPr>
        <w:spacing w:after="0" w:line="205" w:lineRule="exact"/>
        <w:rPr>
          <w:rFonts w:ascii="Arial" w:cs="Arial" w:eastAsia="Arial" w:hAnsi="Arial"/>
          <w:sz w:val="20"/>
          <w:szCs w:val="20"/>
          <w:color w:val="auto"/>
        </w:rPr>
      </w:pPr>
    </w:p>
    <w:p>
      <w:pPr>
        <w:ind w:right="100" w:firstLine="656"/>
        <w:spacing w:after="0" w:line="262" w:lineRule="auto"/>
        <w:tabs>
          <w:tab w:leader="none" w:pos="923" w:val="left"/>
        </w:tabs>
        <w:numPr>
          <w:ilvl w:val="0"/>
          <w:numId w:val="43"/>
        </w:numPr>
        <w:rPr>
          <w:rFonts w:ascii="Arial" w:cs="Arial" w:eastAsia="Arial" w:hAnsi="Arial"/>
          <w:sz w:val="20"/>
          <w:szCs w:val="20"/>
          <w:color w:val="auto"/>
        </w:rPr>
      </w:pPr>
      <w:r>
        <w:rPr>
          <w:rFonts w:ascii="Arial" w:cs="Arial" w:eastAsia="Arial" w:hAnsi="Arial"/>
          <w:sz w:val="20"/>
          <w:szCs w:val="20"/>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Code Section 424(f).</w:t>
      </w:r>
    </w:p>
    <w:p>
      <w:pPr>
        <w:spacing w:after="0" w:line="205" w:lineRule="exact"/>
        <w:rPr>
          <w:rFonts w:ascii="Arial" w:cs="Arial" w:eastAsia="Arial" w:hAnsi="Arial"/>
          <w:sz w:val="20"/>
          <w:szCs w:val="20"/>
          <w:color w:val="auto"/>
        </w:rPr>
      </w:pPr>
    </w:p>
    <w:p>
      <w:pPr>
        <w:ind w:left="1040" w:hanging="384"/>
        <w:spacing w:after="0"/>
        <w:tabs>
          <w:tab w:leader="none" w:pos="10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“1933 Act” means the Securities Act of 1933, as amended from time to time.</w:t>
      </w:r>
    </w:p>
    <w:p>
      <w:pPr>
        <w:spacing w:after="0" w:line="242" w:lineRule="exact"/>
        <w:rPr>
          <w:rFonts w:ascii="Arial" w:cs="Arial" w:eastAsia="Arial" w:hAnsi="Arial"/>
          <w:sz w:val="20"/>
          <w:szCs w:val="20"/>
          <w:color w:val="auto"/>
        </w:rPr>
      </w:pPr>
    </w:p>
    <w:p>
      <w:pPr>
        <w:ind w:left="940" w:hanging="284"/>
        <w:spacing w:after="0"/>
        <w:tabs>
          <w:tab w:leader="none" w:pos="9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“1934 Act” means the Securities Exchange Act of 1934, as amended from time to time.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EFFECTIVE TERM OF PLAN</w:t>
      </w:r>
    </w:p>
    <w:p>
      <w:pPr>
        <w:spacing w:after="0" w:line="238" w:lineRule="exact"/>
        <w:rPr>
          <w:sz w:val="20"/>
          <w:szCs w:val="20"/>
          <w:color w:val="auto"/>
        </w:rPr>
      </w:pPr>
    </w:p>
    <w:p>
      <w:pPr>
        <w:ind w:right="120" w:firstLine="648"/>
        <w:spacing w:after="0" w:line="262"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i w:val="1"/>
          <w:iCs w:val="1"/>
          <w:color w:val="auto"/>
        </w:rPr>
        <w:t>EFFECTIVE DATE.</w:t>
      </w:r>
      <w:r>
        <w:rPr>
          <w:rFonts w:ascii="Arial" w:cs="Arial" w:eastAsia="Arial" w:hAnsi="Arial"/>
          <w:sz w:val="20"/>
          <w:szCs w:val="20"/>
          <w:color w:val="auto"/>
        </w:rPr>
        <w:t xml:space="preserve"> The Plan originally was adopted by the Board effective as of November 18, 2004 (the “Effective Date”) and last was amended and restated effective as of January 23, 2013. This amended and restated version of the Plan is effective as of November 1, 2022.</w:t>
      </w:r>
    </w:p>
    <w:p>
      <w:pPr>
        <w:spacing w:after="0" w:line="205"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i w:val="1"/>
          <w:iCs w:val="1"/>
          <w:color w:val="auto"/>
        </w:rPr>
        <w:t>TERMINATION OF PLAN.</w:t>
      </w:r>
      <w:r>
        <w:rPr>
          <w:rFonts w:ascii="Arial" w:cs="Arial" w:eastAsia="Arial" w:hAnsi="Arial"/>
          <w:sz w:val="20"/>
          <w:szCs w:val="20"/>
          <w:color w:val="auto"/>
        </w:rPr>
        <w:t xml:space="preserve">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after November 1, 2032.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ADMINISTRATION</w:t>
      </w:r>
    </w:p>
    <w:p>
      <w:pPr>
        <w:spacing w:after="0" w:line="238" w:lineRule="exact"/>
        <w:rPr>
          <w:sz w:val="20"/>
          <w:szCs w:val="20"/>
          <w:color w:val="auto"/>
        </w:rPr>
      </w:pPr>
    </w:p>
    <w:p>
      <w:pPr>
        <w:ind w:right="60" w:firstLine="648"/>
        <w:spacing w:after="0" w:line="254"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i w:val="1"/>
          <w:iCs w:val="1"/>
          <w:color w:val="auto"/>
        </w:rPr>
        <w:t>COMMITTEE.</w:t>
      </w:r>
      <w:r>
        <w:rPr>
          <w:rFonts w:ascii="Arial" w:cs="Arial" w:eastAsia="Arial" w:hAnsi="Arial"/>
          <w:sz w:val="20"/>
          <w:szCs w:val="20"/>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that any such members of the Committee who do not so qualify shall abstain from participating in any decision to make or administer Awards that are made to Eligible Participants who at the time of consideration for</w:t>
      </w:r>
    </w:p>
    <w:p>
      <w:pPr>
        <w:sectPr>
          <w:pgSz w:w="11900" w:h="16838" w:orient="portrait"/>
          <w:cols w:equalWidth="0" w:num="1">
            <w:col w:w="11240"/>
          </w:cols>
          <w:pgMar w:left="320" w:top="1414" w:right="339" w:bottom="1440" w:gutter="0" w:footer="0" w:header="0"/>
        </w:sectPr>
      </w:pPr>
    </w:p>
    <w:bookmarkStart w:id="64" w:name="page65"/>
    <w:bookmarkEnd w:id="64"/>
    <w:p>
      <w:pPr>
        <w:spacing w:after="0" w:line="243" w:lineRule="exact"/>
        <w:rPr>
          <w:sz w:val="20"/>
          <w:szCs w:val="20"/>
          <w:color w:val="auto"/>
        </w:rPr>
      </w:pPr>
      <w:r>
        <w:rPr>
          <w:rFonts w:ascii="Arial" w:cs="Arial" w:eastAsia="Arial" w:hAnsi="Arial"/>
          <w:sz w:val="19"/>
          <w:szCs w:val="19"/>
          <w:color w:val="auto"/>
        </w:rPr>
        <w:t>such Award are persons subject to the short</w:t>
      </w:r>
      <w:r>
        <w:rPr>
          <w:rFonts w:ascii="MS PGothic" w:cs="MS PGothic" w:eastAsia="MS PGothic" w:hAnsi="MS PGothic"/>
          <w:sz w:val="19"/>
          <w:szCs w:val="19"/>
          <w:color w:val="auto"/>
        </w:rPr>
        <w:t>‑</w:t>
      </w:r>
      <w:r>
        <w:rPr>
          <w:rFonts w:ascii="Arial" w:cs="Arial" w:eastAsia="Arial" w:hAnsi="Arial"/>
          <w:sz w:val="19"/>
          <w:szCs w:val="19"/>
          <w:color w:val="auto"/>
        </w:rPr>
        <w:t>swing profit rules of Section 16 of the 1934 Act.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230" w:lineRule="exact"/>
        <w:rPr>
          <w:sz w:val="20"/>
          <w:szCs w:val="20"/>
          <w:color w:val="auto"/>
        </w:rPr>
      </w:pPr>
    </w:p>
    <w:p>
      <w:pPr>
        <w:ind w:right="60" w:firstLine="648"/>
        <w:spacing w:after="0" w:line="252"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i w:val="1"/>
          <w:iCs w:val="1"/>
          <w:color w:val="auto"/>
        </w:rPr>
        <w:t>ACTION AND INTERPRETATIONS BY THE COMMITTEE.</w:t>
      </w:r>
      <w:r>
        <w:rPr>
          <w:rFonts w:ascii="Arial" w:cs="Arial" w:eastAsia="Arial" w:hAnsi="Arial"/>
          <w:sz w:val="20"/>
          <w:szCs w:val="20"/>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203" w:lineRule="exact"/>
        <w:rPr>
          <w:sz w:val="20"/>
          <w:szCs w:val="20"/>
          <w:color w:val="auto"/>
        </w:rPr>
      </w:pPr>
    </w:p>
    <w:p>
      <w:pPr>
        <w:ind w:right="300" w:firstLine="648"/>
        <w:spacing w:after="0" w:line="286"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i w:val="1"/>
          <w:iCs w:val="1"/>
          <w:color w:val="auto"/>
        </w:rPr>
        <w:t>AUTHORITY OF COMMITTEE.</w:t>
      </w:r>
      <w:r>
        <w:rPr>
          <w:rFonts w:ascii="Arial" w:cs="Arial" w:eastAsia="Arial" w:hAnsi="Arial"/>
          <w:sz w:val="20"/>
          <w:szCs w:val="20"/>
          <w:color w:val="auto"/>
        </w:rPr>
        <w:t xml:space="preserve"> Except as provided below, the Committee has the exclusive power, authority and discretion to:</w:t>
      </w:r>
    </w:p>
    <w:p>
      <w:pPr>
        <w:spacing w:after="0" w:line="167" w:lineRule="exact"/>
        <w:rPr>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Grant Awards;</w:t>
      </w:r>
    </w:p>
    <w:p>
      <w:pPr>
        <w:spacing w:after="0" w:line="256"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56" w:lineRule="exact"/>
        <w:rPr>
          <w:rFonts w:ascii="Arial" w:cs="Arial" w:eastAsia="Arial" w:hAnsi="Arial"/>
          <w:sz w:val="20"/>
          <w:szCs w:val="20"/>
          <w:color w:val="auto"/>
        </w:rPr>
      </w:pPr>
    </w:p>
    <w:p>
      <w:pPr>
        <w:ind w:left="940" w:hanging="284"/>
        <w:spacing w:after="0"/>
        <w:tabs>
          <w:tab w:leader="none" w:pos="9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42" w:lineRule="exact"/>
        <w:rPr>
          <w:rFonts w:ascii="Arial" w:cs="Arial" w:eastAsia="Arial" w:hAnsi="Arial"/>
          <w:sz w:val="20"/>
          <w:szCs w:val="20"/>
          <w:color w:val="auto"/>
        </w:rPr>
      </w:pPr>
    </w:p>
    <w:p>
      <w:pPr>
        <w:ind w:left="960" w:hanging="304"/>
        <w:spacing w:after="0"/>
        <w:tabs>
          <w:tab w:leader="none" w:pos="9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Determine the number of Awards to be granted and the number of Shares or dollar amount to which an Award will</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relate;</w:t>
      </w:r>
    </w:p>
    <w:p>
      <w:pPr>
        <w:spacing w:after="0" w:line="225" w:lineRule="exact"/>
        <w:rPr>
          <w:sz w:val="20"/>
          <w:szCs w:val="20"/>
          <w:color w:val="auto"/>
        </w:rPr>
      </w:pPr>
    </w:p>
    <w:p>
      <w:pPr>
        <w:ind w:right="140" w:firstLine="656"/>
        <w:spacing w:after="0" w:line="259" w:lineRule="auto"/>
        <w:tabs>
          <w:tab w:leader="none" w:pos="945" w:val="left"/>
        </w:tabs>
        <w:numPr>
          <w:ilvl w:val="0"/>
          <w:numId w:val="45"/>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208" w:lineRule="exact"/>
        <w:rPr>
          <w:rFonts w:ascii="Arial" w:cs="Arial" w:eastAsia="Arial" w:hAnsi="Arial"/>
          <w:sz w:val="20"/>
          <w:szCs w:val="20"/>
          <w:color w:val="auto"/>
        </w:rPr>
      </w:pPr>
    </w:p>
    <w:p>
      <w:pPr>
        <w:ind w:right="180" w:firstLine="656"/>
        <w:spacing w:after="0" w:line="271" w:lineRule="auto"/>
        <w:tabs>
          <w:tab w:leader="none" w:pos="890" w:val="left"/>
        </w:tabs>
        <w:numPr>
          <w:ilvl w:val="0"/>
          <w:numId w:val="45"/>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ectPr>
          <w:pgSz w:w="11900" w:h="16838" w:orient="portrait"/>
          <w:cols w:equalWidth="0" w:num="1">
            <w:col w:w="11220"/>
          </w:cols>
          <w:pgMar w:left="320" w:top="1381" w:right="359" w:bottom="1440" w:gutter="0" w:footer="0" w:header="0"/>
        </w:sectPr>
      </w:pPr>
    </w:p>
    <w:bookmarkStart w:id="65" w:name="page66"/>
    <w:bookmarkEnd w:id="65"/>
    <w:p>
      <w:pPr>
        <w:spacing w:after="0" w:line="217" w:lineRule="exact"/>
        <w:rPr>
          <w:sz w:val="20"/>
          <w:szCs w:val="20"/>
          <w:color w:val="auto"/>
        </w:rPr>
      </w:pPr>
    </w:p>
    <w:p>
      <w:pPr>
        <w:ind w:right="140" w:firstLine="656"/>
        <w:spacing w:after="0" w:line="262" w:lineRule="auto"/>
        <w:tabs>
          <w:tab w:leader="none" w:pos="945"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205" w:lineRule="exact"/>
        <w:rPr>
          <w:rFonts w:ascii="Arial" w:cs="Arial" w:eastAsia="Arial" w:hAnsi="Arial"/>
          <w:sz w:val="20"/>
          <w:szCs w:val="20"/>
          <w:color w:val="auto"/>
        </w:rPr>
      </w:pPr>
    </w:p>
    <w:p>
      <w:pPr>
        <w:ind w:left="960" w:hanging="304"/>
        <w:spacing w:after="0"/>
        <w:tabs>
          <w:tab w:leader="none" w:pos="960" w:val="left"/>
        </w:tabs>
        <w:numPr>
          <w:ilvl w:val="0"/>
          <w:numId w:val="46"/>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42" w:lineRule="exact"/>
        <w:rPr>
          <w:rFonts w:ascii="Arial" w:cs="Arial" w:eastAsia="Arial" w:hAnsi="Arial"/>
          <w:sz w:val="20"/>
          <w:szCs w:val="20"/>
          <w:color w:val="auto"/>
        </w:rPr>
      </w:pPr>
    </w:p>
    <w:p>
      <w:pPr>
        <w:ind w:left="880" w:hanging="224"/>
        <w:spacing w:after="0"/>
        <w:tabs>
          <w:tab w:leader="none" w:pos="8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56" w:lineRule="exact"/>
        <w:rPr>
          <w:rFonts w:ascii="Arial" w:cs="Arial" w:eastAsia="Arial" w:hAnsi="Arial"/>
          <w:sz w:val="20"/>
          <w:szCs w:val="20"/>
          <w:color w:val="auto"/>
        </w:rPr>
      </w:pPr>
    </w:p>
    <w:p>
      <w:pPr>
        <w:ind w:right="200" w:firstLine="656"/>
        <w:spacing w:after="0" w:line="286" w:lineRule="auto"/>
        <w:tabs>
          <w:tab w:leader="none" w:pos="879" w:val="left"/>
        </w:tabs>
        <w:numPr>
          <w:ilvl w:val="0"/>
          <w:numId w:val="46"/>
        </w:numPr>
        <w:rPr>
          <w:rFonts w:ascii="Arial" w:cs="Arial" w:eastAsia="Arial" w:hAnsi="Arial"/>
          <w:sz w:val="20"/>
          <w:szCs w:val="20"/>
          <w:color w:val="auto"/>
        </w:rPr>
      </w:pPr>
      <w:r>
        <w:rPr>
          <w:rFonts w:ascii="Arial" w:cs="Arial" w:eastAsia="Arial" w:hAnsi="Arial"/>
          <w:sz w:val="20"/>
          <w:szCs w:val="20"/>
          <w:color w:val="auto"/>
        </w:rPr>
        <w:t>Establish, adopt or revise any rules, regulations, guidelines or procedures as it may deem necessary or advisable to administer the Plan;</w:t>
      </w:r>
    </w:p>
    <w:p>
      <w:pPr>
        <w:spacing w:after="0" w:line="167" w:lineRule="exact"/>
        <w:rPr>
          <w:rFonts w:ascii="Arial" w:cs="Arial" w:eastAsia="Arial" w:hAnsi="Arial"/>
          <w:sz w:val="20"/>
          <w:szCs w:val="20"/>
          <w:color w:val="auto"/>
        </w:rPr>
      </w:pPr>
    </w:p>
    <w:p>
      <w:pPr>
        <w:ind w:right="720" w:firstLine="656"/>
        <w:spacing w:after="0" w:line="286" w:lineRule="auto"/>
        <w:tabs>
          <w:tab w:leader="none" w:pos="934" w:val="left"/>
        </w:tabs>
        <w:numPr>
          <w:ilvl w:val="0"/>
          <w:numId w:val="46"/>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67" w:lineRule="exact"/>
        <w:rPr>
          <w:rFonts w:ascii="Arial" w:cs="Arial" w:eastAsia="Arial" w:hAnsi="Arial"/>
          <w:sz w:val="20"/>
          <w:szCs w:val="20"/>
          <w:color w:val="auto"/>
        </w:rPr>
      </w:pPr>
    </w:p>
    <w:p>
      <w:pPr>
        <w:ind w:left="880" w:hanging="224"/>
        <w:spacing w:after="0"/>
        <w:tabs>
          <w:tab w:leader="none" w:pos="8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56" w:lineRule="exact"/>
        <w:rPr>
          <w:rFonts w:ascii="Arial" w:cs="Arial" w:eastAsia="Arial" w:hAnsi="Arial"/>
          <w:sz w:val="20"/>
          <w:szCs w:val="20"/>
          <w:color w:val="auto"/>
        </w:rPr>
      </w:pPr>
    </w:p>
    <w:p>
      <w:pPr>
        <w:ind w:right="60" w:firstLine="656"/>
        <w:spacing w:after="0" w:line="259" w:lineRule="auto"/>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95"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Notwithstanding the above, the Board may, by resolution, expressly delegate to a special committee, consisting of one or more directors who may but need not be officers of the Company, the authority, within specified parameters as to the number and terms of Awards,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who are subject to Section 16(a) of the 1934 Act at the Grant Date. The acts of such delegates shall be treated hereunder as acts of the Board and such delegates shall report regularly to the Board and the Committee regarding the delegated duties and responsibilities and any Awards so granted.</w:t>
      </w:r>
    </w:p>
    <w:p>
      <w:pPr>
        <w:spacing w:after="0" w:line="215" w:lineRule="exact"/>
        <w:rPr>
          <w:sz w:val="20"/>
          <w:szCs w:val="20"/>
          <w:color w:val="auto"/>
        </w:rPr>
      </w:pPr>
    </w:p>
    <w:p>
      <w:pPr>
        <w:ind w:right="440" w:firstLine="648"/>
        <w:spacing w:after="0" w:line="286"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5.</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SUBJECT TO THE PLAN</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i w:val="1"/>
          <w:iCs w:val="1"/>
          <w:color w:val="auto"/>
        </w:rPr>
        <w:t>NUMBER OF SHARES.</w:t>
      </w:r>
      <w:r>
        <w:rPr>
          <w:rFonts w:ascii="Arial" w:cs="Arial" w:eastAsia="Arial" w:hAnsi="Arial"/>
          <w:sz w:val="20"/>
          <w:szCs w:val="20"/>
          <w:color w:val="auto"/>
        </w:rPr>
        <w:t xml:space="preserve"> Subject to adjustment as provided in Sections 5.2 and 15.1, the aggregate number of Shares reserved and available for issuance pursuant to Awards granted under the Plan shall be 106,000,000; provided, however, that each Share issued under the Plan pursuant to a Full-Value Award that is settled in Stock shall reduce the number of available Shares by two (2) shares. The maximum number of Shares that may be issued upon exercise of Incentive Stock Options granted under the Plan shall be 2,000,000.</w:t>
      </w:r>
    </w:p>
    <w:p>
      <w:pPr>
        <w:sectPr>
          <w:pgSz w:w="11900" w:h="16838" w:orient="portrait"/>
          <w:cols w:equalWidth="0" w:num="1">
            <w:col w:w="11220"/>
          </w:cols>
          <w:pgMar w:left="320" w:top="1440" w:right="359" w:bottom="1440" w:gutter="0" w:footer="0" w:header="0"/>
        </w:sectPr>
      </w:pPr>
    </w:p>
    <w:bookmarkStart w:id="66" w:name="page67"/>
    <w:bookmarkEnd w:id="66"/>
    <w:p>
      <w:pPr>
        <w:spacing w:after="0" w:line="217" w:lineRule="exact"/>
        <w:rPr>
          <w:sz w:val="20"/>
          <w:szCs w:val="20"/>
          <w:color w:val="auto"/>
        </w:rPr>
      </w:pPr>
    </w:p>
    <w:p>
      <w:pPr>
        <w:ind w:right="60" w:firstLine="648"/>
        <w:spacing w:after="0" w:line="286"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grant, but shall be added back to the Plan share reserve in accordance with this Section 5.2.</w:t>
      </w:r>
    </w:p>
    <w:p>
      <w:pPr>
        <w:spacing w:after="0" w:line="167" w:lineRule="exact"/>
        <w:rPr>
          <w:sz w:val="20"/>
          <w:szCs w:val="20"/>
          <w:color w:val="auto"/>
        </w:rPr>
      </w:pPr>
    </w:p>
    <w:p>
      <w:pPr>
        <w:ind w:right="20" w:firstLine="656"/>
        <w:spacing w:after="0" w:line="262" w:lineRule="auto"/>
        <w:tabs>
          <w:tab w:leader="none" w:pos="9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205" w:lineRule="exact"/>
        <w:rPr>
          <w:rFonts w:ascii="Arial" w:cs="Arial" w:eastAsia="Arial" w:hAnsi="Arial"/>
          <w:sz w:val="20"/>
          <w:szCs w:val="20"/>
          <w:color w:val="auto"/>
        </w:rPr>
      </w:pPr>
    </w:p>
    <w:p>
      <w:pPr>
        <w:ind w:right="440" w:firstLine="656"/>
        <w:spacing w:after="0" w:line="286" w:lineRule="auto"/>
        <w:tabs>
          <w:tab w:leader="none" w:pos="9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67" w:lineRule="exact"/>
        <w:rPr>
          <w:rFonts w:ascii="Arial" w:cs="Arial" w:eastAsia="Arial" w:hAnsi="Arial"/>
          <w:sz w:val="20"/>
          <w:szCs w:val="20"/>
          <w:color w:val="auto"/>
        </w:rPr>
      </w:pPr>
    </w:p>
    <w:p>
      <w:pPr>
        <w:ind w:right="720" w:firstLine="656"/>
        <w:spacing w:after="0" w:line="286" w:lineRule="auto"/>
        <w:tabs>
          <w:tab w:leader="none" w:pos="934" w:val="left"/>
        </w:tabs>
        <w:numPr>
          <w:ilvl w:val="0"/>
          <w:numId w:val="47"/>
        </w:numPr>
        <w:rPr>
          <w:rFonts w:ascii="Arial" w:cs="Arial" w:eastAsia="Arial" w:hAnsi="Arial"/>
          <w:sz w:val="20"/>
          <w:szCs w:val="20"/>
          <w:color w:val="auto"/>
        </w:rPr>
      </w:pPr>
      <w:r>
        <w:rPr>
          <w:rFonts w:ascii="Arial" w:cs="Arial" w:eastAsia="Arial" w:hAnsi="Arial"/>
          <w:sz w:val="20"/>
          <w:szCs w:val="20"/>
          <w:color w:val="auto"/>
        </w:rPr>
        <w:t>Substitute Awards granted pursuant to Section 14.13 of the Plan shall not count against the Shares otherwise available for issuance under the Plan under Section 5.1.</w:t>
      </w:r>
    </w:p>
    <w:p>
      <w:pPr>
        <w:spacing w:after="0" w:line="167" w:lineRule="exact"/>
        <w:rPr>
          <w:rFonts w:ascii="Arial" w:cs="Arial" w:eastAsia="Arial" w:hAnsi="Arial"/>
          <w:sz w:val="20"/>
          <w:szCs w:val="20"/>
          <w:color w:val="auto"/>
        </w:rPr>
      </w:pPr>
    </w:p>
    <w:p>
      <w:pPr>
        <w:jc w:val="both"/>
        <w:ind w:right="20" w:firstLine="656"/>
        <w:spacing w:after="0" w:line="259" w:lineRule="auto"/>
        <w:tabs>
          <w:tab w:leader="none" w:pos="9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209" w:lineRule="exact"/>
        <w:rPr>
          <w:sz w:val="20"/>
          <w:szCs w:val="20"/>
          <w:color w:val="auto"/>
        </w:rPr>
      </w:pPr>
    </w:p>
    <w:p>
      <w:pPr>
        <w:ind w:right="200" w:firstLine="648"/>
        <w:spacing w:after="0" w:line="271"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provided in Section 15.1), the maximum number of Shares with respect to one or more Options and/or SARs that may be</w:t>
      </w:r>
    </w:p>
    <w:p>
      <w:pPr>
        <w:spacing w:after="0"/>
        <w:rPr>
          <w:sz w:val="20"/>
          <w:szCs w:val="20"/>
          <w:color w:val="auto"/>
        </w:rPr>
      </w:pPr>
      <w:r>
        <w:rPr>
          <w:rFonts w:ascii="Arial" w:cs="Arial" w:eastAsia="Arial" w:hAnsi="Arial"/>
          <w:sz w:val="20"/>
          <w:szCs w:val="20"/>
          <w:color w:val="auto"/>
        </w:rPr>
        <w:t>granted during any one calendar year under the Plan to any one Participant shall be 5,000,000. The maximum aggregate grant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with respect to Awards of Restricted Stock, Restricted Stock Units, Deferred Stock Units, Performance Shares or other</w:t>
      </w:r>
    </w:p>
    <w:p>
      <w:pPr>
        <w:spacing w:after="0" w:line="230" w:lineRule="exact"/>
        <w:rPr>
          <w:sz w:val="20"/>
          <w:szCs w:val="20"/>
          <w:color w:val="auto"/>
        </w:rPr>
      </w:pPr>
      <w:r>
        <w:rPr>
          <w:rFonts w:ascii="Arial" w:cs="Arial" w:eastAsia="Arial" w:hAnsi="Arial"/>
          <w:sz w:val="20"/>
          <w:szCs w:val="20"/>
          <w:color w:val="auto"/>
        </w:rPr>
        <w:t>Stock</w:t>
      </w:r>
      <w:r>
        <w:rPr>
          <w:rFonts w:ascii="MS PGothic" w:cs="MS PGothic" w:eastAsia="MS PGothic" w:hAnsi="MS PGothic"/>
          <w:sz w:val="20"/>
          <w:szCs w:val="20"/>
          <w:color w:val="auto"/>
        </w:rPr>
        <w:t>‑</w:t>
      </w:r>
      <w:r>
        <w:rPr>
          <w:rFonts w:ascii="Arial" w:cs="Arial" w:eastAsia="Arial" w:hAnsi="Arial"/>
          <w:sz w:val="20"/>
          <w:szCs w:val="20"/>
          <w:color w:val="auto"/>
        </w:rPr>
        <w:t>Based Awards (other than Options or SARs) granted in any one calendar year to any one Participant shall be 5,000,000.</w:t>
      </w:r>
    </w:p>
    <w:p>
      <w:pPr>
        <w:spacing w:after="0" w:line="238"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i w:val="1"/>
          <w:iCs w:val="1"/>
          <w:color w:val="auto"/>
        </w:rPr>
        <w:t>MINIMUM VESTING REQUIREMENTS</w:t>
      </w:r>
      <w:r>
        <w:rPr>
          <w:rFonts w:ascii="Arial" w:cs="Arial" w:eastAsia="Arial" w:hAnsi="Arial"/>
          <w:sz w:val="20"/>
          <w:szCs w:val="20"/>
          <w:color w:val="auto"/>
        </w:rPr>
        <w:t>. Except in the case of substitute Awards granted pursuant to Section 14.13, Full-Value Awards granted under the Plan to an Eligible Participant shall either (i) be subject to a minimum vesting period of one year (which may include graduated vesting within such one-year period),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201"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ARTICLE 6.</w:t>
      </w:r>
    </w:p>
    <w:p>
      <w:pPr>
        <w:spacing w:after="0" w:line="33" w:lineRule="exact"/>
        <w:rPr>
          <w:sz w:val="20"/>
          <w:szCs w:val="20"/>
          <w:color w:val="auto"/>
        </w:rPr>
      </w:pPr>
    </w:p>
    <w:p>
      <w:pPr>
        <w:ind w:left="5060"/>
        <w:spacing w:after="0"/>
        <w:rPr>
          <w:sz w:val="20"/>
          <w:szCs w:val="20"/>
          <w:color w:val="auto"/>
        </w:rPr>
      </w:pPr>
      <w:r>
        <w:rPr>
          <w:rFonts w:ascii="Arial" w:cs="Arial" w:eastAsia="Arial" w:hAnsi="Arial"/>
          <w:sz w:val="20"/>
          <w:szCs w:val="20"/>
          <w:b w:val="1"/>
          <w:bCs w:val="1"/>
          <w:color w:val="auto"/>
        </w:rPr>
        <w:t>ELIGIBILITY</w:t>
      </w:r>
    </w:p>
    <w:p>
      <w:pPr>
        <w:sectPr>
          <w:pgSz w:w="11900" w:h="16838" w:orient="portrait"/>
          <w:cols w:equalWidth="0" w:num="1">
            <w:col w:w="11220"/>
          </w:cols>
          <w:pgMar w:left="320" w:top="1440" w:right="359" w:bottom="1440" w:gutter="0" w:footer="0" w:header="0"/>
        </w:sectPr>
      </w:pPr>
    </w:p>
    <w:bookmarkStart w:id="67" w:name="page68"/>
    <w:bookmarkEnd w:id="67"/>
    <w:p>
      <w:pPr>
        <w:spacing w:after="0" w:line="217" w:lineRule="exact"/>
        <w:rPr>
          <w:sz w:val="20"/>
          <w:szCs w:val="20"/>
          <w:color w:val="auto"/>
        </w:rPr>
      </w:pPr>
    </w:p>
    <w:p>
      <w:pPr>
        <w:ind w:right="20" w:firstLine="648"/>
        <w:spacing w:after="0" w:line="254"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i w:val="1"/>
          <w:iCs w:val="1"/>
          <w:color w:val="auto"/>
        </w:rPr>
        <w:t>GENERAL</w:t>
      </w:r>
      <w:r>
        <w:rPr>
          <w:rFonts w:ascii="Arial" w:cs="Arial" w:eastAsia="Arial" w:hAnsi="Arial"/>
          <w:sz w:val="20"/>
          <w:szCs w:val="20"/>
          <w:color w:val="auto"/>
        </w:rPr>
        <w:t>. Awards may be granted only to Eligible Participants; except that Incentive Stock Options may be granted to only to Eligible Participants who are employees of the Company or a Parent or Subsidiary as defined in Code Sections 424(e) and (f).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7.</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OPTIONS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The Committee is authorized to grant Options to Participants on the following terms and conditions:</w:t>
      </w:r>
    </w:p>
    <w:p>
      <w:pPr>
        <w:spacing w:after="0" w:line="256" w:lineRule="exact"/>
        <w:rPr>
          <w:sz w:val="20"/>
          <w:szCs w:val="20"/>
          <w:color w:val="auto"/>
        </w:rPr>
      </w:pPr>
    </w:p>
    <w:p>
      <w:pPr>
        <w:ind w:right="40" w:firstLine="656"/>
        <w:spacing w:after="0" w:line="262" w:lineRule="auto"/>
        <w:tabs>
          <w:tab w:leader="none" w:pos="9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(other than an Option issued as a substitute Award pursuant to Section 14.13) shall not be less than the Fair Market Value as of the Grant Date.</w:t>
      </w:r>
    </w:p>
    <w:p>
      <w:pPr>
        <w:spacing w:after="0" w:line="205" w:lineRule="exact"/>
        <w:rPr>
          <w:rFonts w:ascii="Arial" w:cs="Arial" w:eastAsia="Arial" w:hAnsi="Arial"/>
          <w:sz w:val="20"/>
          <w:szCs w:val="20"/>
          <w:color w:val="auto"/>
        </w:rPr>
      </w:pPr>
    </w:p>
    <w:p>
      <w:pPr>
        <w:ind w:firstLine="656"/>
        <w:spacing w:after="0" w:line="254" w:lineRule="auto"/>
        <w:tabs>
          <w:tab w:leader="none" w:pos="9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200" w:lineRule="exact"/>
        <w:rPr>
          <w:rFonts w:ascii="Arial" w:cs="Arial" w:eastAsia="Arial" w:hAnsi="Arial"/>
          <w:sz w:val="20"/>
          <w:szCs w:val="20"/>
          <w:color w:val="auto"/>
        </w:rPr>
      </w:pPr>
    </w:p>
    <w:p>
      <w:pPr>
        <w:ind w:right="160" w:firstLine="656"/>
        <w:spacing w:after="0" w:line="262" w:lineRule="auto"/>
        <w:tabs>
          <w:tab w:leader="none" w:pos="934" w:val="left"/>
        </w:tabs>
        <w:numPr>
          <w:ilvl w:val="0"/>
          <w:numId w:val="48"/>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5" w:lineRule="exact"/>
        <w:rPr>
          <w:rFonts w:ascii="Arial" w:cs="Arial" w:eastAsia="Arial" w:hAnsi="Arial"/>
          <w:sz w:val="20"/>
          <w:szCs w:val="20"/>
          <w:color w:val="auto"/>
        </w:rPr>
      </w:pPr>
    </w:p>
    <w:p>
      <w:pPr>
        <w:ind w:firstLine="656"/>
        <w:spacing w:after="0" w:line="251" w:lineRule="auto"/>
        <w:tabs>
          <w:tab w:leader="none" w:pos="9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219" w:lineRule="exact"/>
        <w:rPr>
          <w:rFonts w:ascii="Arial" w:cs="Arial" w:eastAsia="Arial" w:hAnsi="Arial"/>
          <w:sz w:val="20"/>
          <w:szCs w:val="20"/>
          <w:color w:val="auto"/>
        </w:rPr>
      </w:pPr>
    </w:p>
    <w:p>
      <w:pPr>
        <w:ind w:right="460" w:firstLine="656"/>
        <w:spacing w:after="0" w:line="286" w:lineRule="auto"/>
        <w:tabs>
          <w:tab w:leader="none" w:pos="945" w:val="left"/>
        </w:tabs>
        <w:numPr>
          <w:ilvl w:val="0"/>
          <w:numId w:val="48"/>
        </w:numPr>
        <w:rPr>
          <w:rFonts w:ascii="Arial" w:cs="Arial" w:eastAsia="Arial" w:hAnsi="Arial"/>
          <w:sz w:val="20"/>
          <w:szCs w:val="20"/>
          <w:color w:val="auto"/>
        </w:rPr>
      </w:pPr>
      <w:r>
        <w:rPr>
          <w:rFonts w:ascii="Arial" w:cs="Arial" w:eastAsia="Arial" w:hAnsi="Arial"/>
          <w:sz w:val="20"/>
          <w:szCs w:val="20"/>
          <w:color w:val="auto"/>
        </w:rPr>
        <w:t>EXERCISE TERM. No Option granted under the Plan shall be exercisable for more than eight (8) years from the Grant Date.</w:t>
      </w:r>
    </w:p>
    <w:p>
      <w:pPr>
        <w:spacing w:after="0" w:line="167" w:lineRule="exact"/>
        <w:rPr>
          <w:rFonts w:ascii="Arial" w:cs="Arial" w:eastAsia="Arial" w:hAnsi="Arial"/>
          <w:sz w:val="20"/>
          <w:szCs w:val="20"/>
          <w:color w:val="auto"/>
        </w:rPr>
      </w:pPr>
    </w:p>
    <w:p>
      <w:pPr>
        <w:ind w:right="320" w:firstLine="656"/>
        <w:spacing w:after="0" w:line="286" w:lineRule="auto"/>
        <w:tabs>
          <w:tab w:leader="none" w:pos="89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ectPr>
          <w:pgSz w:w="11900" w:h="16838" w:orient="portrait"/>
          <w:cols w:equalWidth="0" w:num="1">
            <w:col w:w="11220"/>
          </w:cols>
          <w:pgMar w:left="320" w:top="1440" w:right="359" w:bottom="1440" w:gutter="0" w:footer="0" w:header="0"/>
        </w:sectPr>
      </w:pPr>
    </w:p>
    <w:bookmarkStart w:id="68" w:name="page69"/>
    <w:bookmarkEnd w:id="68"/>
    <w:p>
      <w:pPr>
        <w:spacing w:after="0" w:line="21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 NO DIVIDEND EQUIVALENTS. No Option shall provide for Dividend Equivalents.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40" w:firstLine="648"/>
        <w:spacing w:after="0" w:line="262"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requirements of Code Section 422. If all of the requirements of Code Section 422 are not met, the Option shall automatically become a Nonstatutory Stock Option.</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8.</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APPRECIATION RIGHTS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Participants on the following terms and conditions:</w:t>
      </w:r>
    </w:p>
    <w:p>
      <w:pPr>
        <w:spacing w:after="0" w:line="238" w:lineRule="exact"/>
        <w:rPr>
          <w:sz w:val="20"/>
          <w:szCs w:val="20"/>
          <w:color w:val="auto"/>
        </w:rPr>
      </w:pPr>
    </w:p>
    <w:p>
      <w:pPr>
        <w:ind w:right="100" w:firstLine="656"/>
        <w:spacing w:after="0" w:line="298" w:lineRule="auto"/>
        <w:tabs>
          <w:tab w:leader="none" w:pos="945" w:val="left"/>
        </w:tabs>
        <w:numPr>
          <w:ilvl w:val="0"/>
          <w:numId w:val="49"/>
        </w:numPr>
        <w:rPr>
          <w:rFonts w:ascii="Arial" w:cs="Arial" w:eastAsia="Arial" w:hAnsi="Arial"/>
          <w:sz w:val="19"/>
          <w:szCs w:val="19"/>
          <w:color w:val="auto"/>
        </w:rPr>
      </w:pPr>
      <w:r>
        <w:rPr>
          <w:rFonts w:ascii="Arial" w:cs="Arial" w:eastAsia="Arial" w:hAnsi="Arial"/>
          <w:sz w:val="19"/>
          <w:szCs w:val="19"/>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73" w:lineRule="exact"/>
        <w:rPr>
          <w:sz w:val="20"/>
          <w:szCs w:val="20"/>
          <w:color w:val="auto"/>
        </w:rPr>
      </w:pPr>
    </w:p>
    <w:p>
      <w:pPr>
        <w:ind w:left="960" w:hanging="304"/>
        <w:spacing w:after="0"/>
        <w:tabs>
          <w:tab w:leader="none" w:pos="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56" w:lineRule="exact"/>
        <w:rPr>
          <w:rFonts w:ascii="Arial" w:cs="Arial" w:eastAsia="Arial" w:hAnsi="Arial"/>
          <w:sz w:val="20"/>
          <w:szCs w:val="20"/>
          <w:color w:val="auto"/>
        </w:rPr>
      </w:pPr>
    </w:p>
    <w:p>
      <w:pPr>
        <w:ind w:right="20" w:firstLine="656"/>
        <w:spacing w:after="0" w:line="271" w:lineRule="auto"/>
        <w:tabs>
          <w:tab w:leader="none" w:pos="945"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96" w:lineRule="exact"/>
        <w:rPr>
          <w:sz w:val="20"/>
          <w:szCs w:val="20"/>
          <w:color w:val="auto"/>
        </w:rPr>
      </w:pPr>
    </w:p>
    <w:p>
      <w:pPr>
        <w:ind w:firstLine="656"/>
        <w:spacing w:after="0" w:line="254" w:lineRule="auto"/>
        <w:tabs>
          <w:tab w:leader="none" w:pos="9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214" w:lineRule="exact"/>
        <w:rPr>
          <w:rFonts w:ascii="Arial" w:cs="Arial" w:eastAsia="Arial" w:hAnsi="Arial"/>
          <w:sz w:val="20"/>
          <w:szCs w:val="20"/>
          <w:color w:val="auto"/>
        </w:rPr>
      </w:pPr>
    </w:p>
    <w:p>
      <w:pPr>
        <w:jc w:val="both"/>
        <w:ind w:right="160" w:firstLine="656"/>
        <w:spacing w:after="0" w:line="262" w:lineRule="auto"/>
        <w:tabs>
          <w:tab w:leader="none" w:pos="934" w:val="left"/>
        </w:tabs>
        <w:numPr>
          <w:ilvl w:val="0"/>
          <w:numId w:val="51"/>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191" w:lineRule="exact"/>
        <w:rPr>
          <w:rFonts w:ascii="Arial" w:cs="Arial" w:eastAsia="Arial" w:hAnsi="Arial"/>
          <w:sz w:val="20"/>
          <w:szCs w:val="20"/>
          <w:color w:val="auto"/>
        </w:rPr>
      </w:pPr>
    </w:p>
    <w:p>
      <w:pPr>
        <w:ind w:right="460" w:firstLine="656"/>
        <w:spacing w:after="0" w:line="286" w:lineRule="auto"/>
        <w:tabs>
          <w:tab w:leader="none" w:pos="945"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80" w:lineRule="exact"/>
        <w:rPr>
          <w:rFonts w:ascii="Arial" w:cs="Arial" w:eastAsia="Arial" w:hAnsi="Arial"/>
          <w:sz w:val="20"/>
          <w:szCs w:val="20"/>
          <w:color w:val="auto"/>
        </w:rPr>
      </w:pPr>
    </w:p>
    <w:p>
      <w:pPr>
        <w:ind w:left="960" w:hanging="304"/>
        <w:spacing w:after="0"/>
        <w:tabs>
          <w:tab w:leader="none" w:pos="96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42" w:lineRule="exact"/>
        <w:rPr>
          <w:rFonts w:ascii="Arial" w:cs="Arial" w:eastAsia="Arial" w:hAnsi="Arial"/>
          <w:sz w:val="20"/>
          <w:szCs w:val="20"/>
          <w:color w:val="auto"/>
        </w:rPr>
      </w:pPr>
    </w:p>
    <w:p>
      <w:pPr>
        <w:jc w:val="both"/>
        <w:ind w:right="180" w:firstLine="656"/>
        <w:spacing w:after="0" w:line="259" w:lineRule="auto"/>
        <w:tabs>
          <w:tab w:leader="none" w:pos="890" w:val="left"/>
        </w:tabs>
        <w:numPr>
          <w:ilvl w:val="0"/>
          <w:numId w:val="51"/>
        </w:numPr>
        <w:rPr>
          <w:rFonts w:ascii="Arial" w:cs="Arial" w:eastAsia="Arial" w:hAnsi="Arial"/>
          <w:sz w:val="20"/>
          <w:szCs w:val="20"/>
          <w:color w:val="auto"/>
        </w:rPr>
      </w:pPr>
      <w:r>
        <w:rPr>
          <w:rFonts w:ascii="Arial" w:cs="Arial" w:eastAsia="Arial" w:hAnsi="Arial"/>
          <w:sz w:val="20"/>
          <w:szCs w:val="20"/>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ectPr>
          <w:pgSz w:w="11900" w:h="16838" w:orient="portrait"/>
          <w:cols w:equalWidth="0" w:num="1">
            <w:col w:w="11220"/>
          </w:cols>
          <w:pgMar w:left="320" w:top="1440" w:right="359"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20"/>
          <w:szCs w:val="20"/>
          <w:b w:val="1"/>
          <w:bCs w:val="1"/>
          <w:color w:val="auto"/>
        </w:rPr>
        <w:t>ARTICLE 9.</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PERFORMANCE SHARES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i w:val="1"/>
          <w:iCs w:val="1"/>
          <w:color w:val="auto"/>
        </w:rPr>
        <w:t>GRANT OF PERFORMANCE SHARES.</w:t>
      </w:r>
      <w:r>
        <w:rPr>
          <w:rFonts w:ascii="Arial" w:cs="Arial" w:eastAsia="Arial" w:hAnsi="Arial"/>
          <w:sz w:val="20"/>
          <w:szCs w:val="20"/>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i w:val="1"/>
          <w:iCs w:val="1"/>
          <w:color w:val="auto"/>
        </w:rPr>
        <w:t>PERFORMANCE GOALS.</w:t>
      </w:r>
      <w:r>
        <w:rPr>
          <w:rFonts w:ascii="Arial" w:cs="Arial" w:eastAsia="Arial" w:hAnsi="Arial"/>
          <w:sz w:val="20"/>
          <w:szCs w:val="20"/>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w:t>
      </w:r>
    </w:p>
    <w:p>
      <w:pPr>
        <w:spacing w:after="0" w:line="203" w:lineRule="exact"/>
        <w:rPr>
          <w:sz w:val="20"/>
          <w:szCs w:val="20"/>
          <w:color w:val="auto"/>
        </w:rPr>
      </w:pPr>
    </w:p>
    <w:p>
      <w:pPr>
        <w:ind w:right="200" w:firstLine="648"/>
        <w:spacing w:after="0" w:line="274"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color w:val="auto"/>
        </w:rPr>
        <w:t>RIGHT TO PAYMENT.</w:t>
      </w:r>
      <w:r>
        <w:rPr>
          <w:rFonts w:ascii="Arial" w:cs="Arial" w:eastAsia="Arial" w:hAnsi="Arial"/>
          <w:sz w:val="19"/>
          <w:szCs w:val="19"/>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10.</w:t>
      </w:r>
    </w:p>
    <w:p>
      <w:pPr>
        <w:spacing w:after="0" w:line="3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38"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i w:val="1"/>
          <w:iCs w:val="1"/>
          <w:color w:val="auto"/>
        </w:rPr>
        <w:t>GRANT OF RESTRICTED STOCK AND RESTRICTED STOCK UNITS.</w:t>
      </w:r>
      <w:r>
        <w:rPr>
          <w:rFonts w:ascii="Arial" w:cs="Arial" w:eastAsia="Arial" w:hAnsi="Arial"/>
          <w:sz w:val="20"/>
          <w:szCs w:val="20"/>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ectPr>
          <w:pgSz w:w="11900" w:h="16838" w:orient="portrait"/>
          <w:cols w:equalWidth="0" w:num="1">
            <w:col w:w="11160"/>
          </w:cols>
          <w:pgMar w:left="320" w:top="1412" w:right="419" w:bottom="1440" w:gutter="0" w:footer="0" w:header="0"/>
        </w:sectPr>
      </w:pPr>
    </w:p>
    <w:bookmarkStart w:id="70" w:name="page71"/>
    <w:bookmarkEnd w:id="70"/>
    <w:p>
      <w:pPr>
        <w:spacing w:after="0" w:line="217" w:lineRule="exact"/>
        <w:rPr>
          <w:sz w:val="20"/>
          <w:szCs w:val="20"/>
          <w:color w:val="auto"/>
        </w:rPr>
      </w:pPr>
    </w:p>
    <w:p>
      <w:pPr>
        <w:ind w:right="120" w:firstLine="648"/>
        <w:spacing w:after="0" w:line="252"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i w:val="1"/>
          <w:iCs w:val="1"/>
          <w:color w:val="auto"/>
        </w:rPr>
        <w:t>ISSUANCE AND RESTRICTIONS.</w:t>
      </w:r>
      <w:r>
        <w:rPr>
          <w:rFonts w:ascii="Arial" w:cs="Arial" w:eastAsia="Arial" w:hAnsi="Arial"/>
          <w:sz w:val="20"/>
          <w:szCs w:val="20"/>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shareholder with respect to the Restricted Stock, and the Participant shall have none of the rights of a shareholder with respect to Restricted Stock Units until such time as Shares of Stock are paid in settlement of the Restricted Stock Units.</w:t>
      </w:r>
    </w:p>
    <w:p>
      <w:pPr>
        <w:spacing w:after="0" w:line="203" w:lineRule="exact"/>
        <w:rPr>
          <w:sz w:val="20"/>
          <w:szCs w:val="20"/>
          <w:color w:val="auto"/>
        </w:rPr>
      </w:pPr>
    </w:p>
    <w:p>
      <w:pPr>
        <w:ind w:right="100" w:firstLine="648"/>
        <w:spacing w:after="0" w:line="254" w:lineRule="auto"/>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i w:val="1"/>
          <w:iCs w:val="1"/>
          <w:color w:val="auto"/>
        </w:rPr>
        <w:t>FORFEITURE.</w:t>
      </w:r>
      <w:r>
        <w:rPr>
          <w:rFonts w:ascii="Arial" w:cs="Arial" w:eastAsia="Arial" w:hAnsi="Arial"/>
          <w:sz w:val="20"/>
          <w:szCs w:val="20"/>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213" w:lineRule="exact"/>
        <w:rPr>
          <w:sz w:val="20"/>
          <w:szCs w:val="20"/>
          <w:color w:val="auto"/>
        </w:rPr>
      </w:pPr>
    </w:p>
    <w:p>
      <w:pPr>
        <w:ind w:right="160" w:firstLine="648"/>
        <w:spacing w:after="0" w:line="251" w:lineRule="auto"/>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i w:val="1"/>
          <w:iCs w:val="1"/>
          <w:color w:val="auto"/>
        </w:rPr>
        <w:t>DELIVERY OF RESTRICTED STOCK.</w:t>
      </w:r>
      <w:r>
        <w:rPr>
          <w:rFonts w:ascii="Arial" w:cs="Arial" w:eastAsia="Arial" w:hAnsi="Arial"/>
          <w:sz w:val="20"/>
          <w:szCs w:val="20"/>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217" w:lineRule="exact"/>
        <w:rPr>
          <w:sz w:val="20"/>
          <w:szCs w:val="20"/>
          <w:color w:val="auto"/>
        </w:rPr>
      </w:pPr>
    </w:p>
    <w:p>
      <w:pPr>
        <w:ind w:firstLine="648"/>
        <w:spacing w:after="0" w:line="265"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i w:val="1"/>
          <w:iCs w:val="1"/>
          <w:color w:val="auto"/>
        </w:rPr>
        <w:t>DIVIDENDS ON RESTRICTED STOCK</w:t>
      </w:r>
      <w:r>
        <w:rPr>
          <w:rFonts w:ascii="Arial" w:cs="Arial" w:eastAsia="Arial" w:hAnsi="Arial"/>
          <w:sz w:val="19"/>
          <w:szCs w:val="19"/>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w:t>
      </w:r>
    </w:p>
    <w:p>
      <w:pPr>
        <w:sectPr>
          <w:pgSz w:w="11900" w:h="16838" w:orient="portrait"/>
          <w:cols w:equalWidth="0" w:num="1">
            <w:col w:w="11220"/>
          </w:cols>
          <w:pgMar w:left="320" w:top="1440" w:right="359" w:bottom="1440" w:gutter="0" w:footer="0" w:header="0"/>
        </w:sectPr>
      </w:pPr>
    </w:p>
    <w:bookmarkStart w:id="71" w:name="page72"/>
    <w:bookmarkEnd w:id="71"/>
    <w:p>
      <w:pPr>
        <w:ind w:right="100"/>
        <w:spacing w:after="0" w:line="286" w:lineRule="auto"/>
        <w:rPr>
          <w:sz w:val="20"/>
          <w:szCs w:val="20"/>
          <w:color w:val="auto"/>
        </w:rPr>
      </w:pPr>
      <w:r>
        <w:rPr>
          <w:rFonts w:ascii="Arial" w:cs="Arial" w:eastAsia="Arial" w:hAnsi="Arial"/>
          <w:sz w:val="20"/>
          <w:szCs w:val="20"/>
          <w:color w:val="auto"/>
        </w:rPr>
        <w:t>with respect to Restricted Stock that is subject to performance-based vesting be paid or distributed until the performance-based vesting restrictions of such Restricted Stock lapse.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DEFERRED STOCK UNITS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20"/>
          <w:szCs w:val="20"/>
          <w:color w:val="auto"/>
        </w:rPr>
        <w:t xml:space="preserve">11.1. </w:t>
      </w:r>
      <w:r>
        <w:rPr>
          <w:rFonts w:ascii="Arial" w:cs="Arial" w:eastAsia="Arial" w:hAnsi="Arial"/>
          <w:sz w:val="20"/>
          <w:szCs w:val="20"/>
          <w:i w:val="1"/>
          <w:iCs w:val="1"/>
          <w:color w:val="auto"/>
        </w:rPr>
        <w:t>GRANT OF DEFERRED STOCK UNITS.</w:t>
      </w:r>
      <w:r>
        <w:rPr>
          <w:rFonts w:ascii="Arial" w:cs="Arial" w:eastAsia="Arial" w:hAnsi="Arial"/>
          <w:sz w:val="20"/>
          <w:szCs w:val="20"/>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EQUIVALENTS</w:t>
      </w:r>
    </w:p>
    <w:p>
      <w:pPr>
        <w:spacing w:after="0" w:line="225"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12.1. GRANT OF DIVIDEND EQUIVALENTS.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15th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13.</w:t>
      </w:r>
    </w:p>
    <w:p>
      <w:pPr>
        <w:spacing w:after="0" w:line="15" w:lineRule="exact"/>
        <w:rPr>
          <w:sz w:val="20"/>
          <w:szCs w:val="20"/>
          <w:color w:val="auto"/>
        </w:rPr>
      </w:pPr>
    </w:p>
    <w:p>
      <w:pPr>
        <w:jc w:val="center"/>
        <w:ind w:right="-19"/>
        <w:spacing w:after="0" w:line="230" w:lineRule="exact"/>
        <w:rPr>
          <w:sz w:val="20"/>
          <w:szCs w:val="20"/>
          <w:color w:val="auto"/>
        </w:rPr>
      </w:pPr>
      <w:r>
        <w:rPr>
          <w:rFonts w:ascii="Arial" w:cs="Arial" w:eastAsia="Arial" w:hAnsi="Arial"/>
          <w:sz w:val="20"/>
          <w:szCs w:val="20"/>
          <w:b w:val="1"/>
          <w:bCs w:val="1"/>
          <w:color w:val="auto"/>
        </w:rPr>
        <w:t>STOCK OR OTHER STOCK</w:t>
      </w:r>
      <w:r>
        <w:rPr>
          <w:rFonts w:ascii="MS PGothic" w:cs="MS PGothic" w:eastAsia="MS PGothic" w:hAnsi="MS PGothic"/>
          <w:sz w:val="20"/>
          <w:szCs w:val="20"/>
          <w:color w:val="auto"/>
        </w:rPr>
        <w:t>‑</w:t>
      </w:r>
      <w:r>
        <w:rPr>
          <w:rFonts w:ascii="Arial" w:cs="Arial" w:eastAsia="Arial" w:hAnsi="Arial"/>
          <w:sz w:val="20"/>
          <w:szCs w:val="20"/>
          <w:b w:val="1"/>
          <w:bCs w:val="1"/>
          <w:color w:val="auto"/>
        </w:rPr>
        <w:t>BASED AWARDS</w:t>
      </w:r>
    </w:p>
    <w:p>
      <w:pPr>
        <w:spacing w:after="0" w:line="210" w:lineRule="exact"/>
        <w:rPr>
          <w:sz w:val="20"/>
          <w:szCs w:val="20"/>
          <w:color w:val="auto"/>
        </w:rPr>
      </w:pPr>
    </w:p>
    <w:p>
      <w:pPr>
        <w:ind w:firstLine="648"/>
        <w:spacing w:after="0" w:line="248" w:lineRule="exact"/>
        <w:rPr>
          <w:sz w:val="20"/>
          <w:szCs w:val="20"/>
          <w:color w:val="auto"/>
        </w:rPr>
      </w:pPr>
      <w:r>
        <w:rPr>
          <w:rFonts w:ascii="Arial" w:cs="Arial" w:eastAsia="Arial" w:hAnsi="Arial"/>
          <w:sz w:val="20"/>
          <w:szCs w:val="20"/>
          <w:color w:val="auto"/>
        </w:rPr>
        <w:t xml:space="preserve">13.1. </w:t>
      </w:r>
      <w:r>
        <w:rPr>
          <w:rFonts w:ascii="Arial" w:cs="Arial" w:eastAsia="Arial" w:hAnsi="Arial"/>
          <w:sz w:val="20"/>
          <w:szCs w:val="20"/>
          <w:i w:val="1"/>
          <w:iCs w:val="1"/>
          <w:color w:val="auto"/>
        </w:rPr>
        <w:t>GRANT OF STOCK OR OTHER STOCK</w:t>
      </w:r>
      <w:r>
        <w:rPr>
          <w:rFonts w:ascii="MS PGothic" w:cs="MS PGothic" w:eastAsia="MS PGothic" w:hAnsi="MS PGothic"/>
          <w:sz w:val="20"/>
          <w:szCs w:val="20"/>
          <w:color w:val="auto"/>
        </w:rPr>
        <w:t>‑</w:t>
      </w:r>
      <w:r>
        <w:rPr>
          <w:rFonts w:ascii="Arial" w:cs="Arial" w:eastAsia="Arial" w:hAnsi="Arial"/>
          <w:sz w:val="20"/>
          <w:szCs w:val="20"/>
          <w:i w:val="1"/>
          <w:iCs w:val="1"/>
          <w:color w:val="auto"/>
        </w:rPr>
        <w:t>BASED AWARDS.</w:t>
      </w:r>
      <w:r>
        <w:rPr>
          <w:rFonts w:ascii="Arial" w:cs="Arial" w:eastAsia="Arial" w:hAnsi="Arial"/>
          <w:sz w:val="20"/>
          <w:szCs w:val="20"/>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w:t>
      </w:r>
    </w:p>
    <w:p>
      <w:pPr>
        <w:sectPr>
          <w:pgSz w:w="11900" w:h="16838" w:orient="portrait"/>
          <w:cols w:equalWidth="0" w:num="1">
            <w:col w:w="11240"/>
          </w:cols>
          <w:pgMar w:left="320" w:top="1414" w:right="339" w:bottom="1440" w:gutter="0" w:footer="0" w:header="0"/>
        </w:sectPr>
      </w:pPr>
    </w:p>
    <w:bookmarkStart w:id="72" w:name="page73"/>
    <w:bookmarkEnd w:id="72"/>
    <w:p>
      <w:pPr>
        <w:spacing w:after="0" w:line="262" w:lineRule="auto"/>
        <w:rPr>
          <w:sz w:val="20"/>
          <w:szCs w:val="20"/>
          <w:color w:val="auto"/>
        </w:rPr>
      </w:pPr>
      <w:r>
        <w:rPr>
          <w:rFonts w:ascii="Arial" w:cs="Arial" w:eastAsia="Arial" w:hAnsi="Arial"/>
          <w:sz w:val="20"/>
          <w:szCs w:val="20"/>
          <w:color w:val="auto"/>
        </w:rPr>
        <w:t>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AWARDS</w:t>
      </w:r>
    </w:p>
    <w:p>
      <w:pPr>
        <w:spacing w:after="0" w:line="205" w:lineRule="exact"/>
        <w:rPr>
          <w:sz w:val="20"/>
          <w:szCs w:val="20"/>
          <w:color w:val="auto"/>
        </w:rPr>
      </w:pPr>
    </w:p>
    <w:p>
      <w:pPr>
        <w:ind w:right="60" w:firstLine="648"/>
        <w:spacing w:after="0" w:line="253" w:lineRule="exact"/>
        <w:rPr>
          <w:sz w:val="20"/>
          <w:szCs w:val="20"/>
          <w:color w:val="auto"/>
        </w:rPr>
      </w:pPr>
      <w:r>
        <w:rPr>
          <w:rFonts w:ascii="Arial" w:cs="Arial" w:eastAsia="Arial" w:hAnsi="Arial"/>
          <w:sz w:val="20"/>
          <w:szCs w:val="20"/>
          <w:color w:val="auto"/>
        </w:rPr>
        <w:t xml:space="preserve">14.1. </w:t>
      </w:r>
      <w:r>
        <w:rPr>
          <w:rFonts w:ascii="Arial" w:cs="Arial" w:eastAsia="Arial" w:hAnsi="Arial"/>
          <w:sz w:val="20"/>
          <w:szCs w:val="20"/>
          <w:i w:val="1"/>
          <w:iCs w:val="1"/>
          <w:color w:val="auto"/>
        </w:rPr>
        <w:t>STAND</w:t>
      </w:r>
      <w:r>
        <w:rPr>
          <w:rFonts w:ascii="MS PGothic" w:cs="MS PGothic" w:eastAsia="MS PGothic" w:hAnsi="MS PGothic"/>
          <w:sz w:val="20"/>
          <w:szCs w:val="20"/>
          <w:color w:val="auto"/>
        </w:rPr>
        <w:t>‑</w:t>
      </w:r>
      <w:r>
        <w:rPr>
          <w:rFonts w:ascii="Arial" w:cs="Arial" w:eastAsia="Arial" w:hAnsi="Arial"/>
          <w:sz w:val="20"/>
          <w:szCs w:val="20"/>
          <w:i w:val="1"/>
          <w:iCs w:val="1"/>
          <w:color w:val="auto"/>
        </w:rPr>
        <w:t>ALONE AND TANDEM AWARDS.</w:t>
      </w:r>
      <w:r>
        <w:rPr>
          <w:rFonts w:ascii="Arial" w:cs="Arial" w:eastAsia="Arial" w:hAnsi="Arial"/>
          <w:sz w:val="20"/>
          <w:szCs w:val="20"/>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12" w:lineRule="exact"/>
        <w:rPr>
          <w:sz w:val="20"/>
          <w:szCs w:val="20"/>
          <w:color w:val="auto"/>
        </w:rPr>
      </w:pPr>
    </w:p>
    <w:p>
      <w:pPr>
        <w:ind w:right="80" w:firstLine="648"/>
        <w:spacing w:after="0" w:line="269"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eight years from its Grant Date.</w:t>
      </w:r>
    </w:p>
    <w:p>
      <w:pPr>
        <w:spacing w:after="0" w:line="185" w:lineRule="exact"/>
        <w:rPr>
          <w:sz w:val="20"/>
          <w:szCs w:val="20"/>
          <w:color w:val="auto"/>
        </w:rPr>
      </w:pPr>
    </w:p>
    <w:p>
      <w:pPr>
        <w:ind w:right="40" w:firstLine="648"/>
        <w:spacing w:after="0" w:line="254" w:lineRule="auto"/>
        <w:rPr>
          <w:sz w:val="20"/>
          <w:szCs w:val="20"/>
          <w:color w:val="auto"/>
        </w:rPr>
      </w:pPr>
      <w:r>
        <w:rPr>
          <w:rFonts w:ascii="Arial" w:cs="Arial" w:eastAsia="Arial" w:hAnsi="Arial"/>
          <w:sz w:val="20"/>
          <w:szCs w:val="20"/>
          <w:color w:val="auto"/>
        </w:rPr>
        <w:t xml:space="preserve">14.3. </w:t>
      </w:r>
      <w:r>
        <w:rPr>
          <w:rFonts w:ascii="Arial" w:cs="Arial" w:eastAsia="Arial" w:hAnsi="Arial"/>
          <w:sz w:val="20"/>
          <w:szCs w:val="20"/>
          <w:i w:val="1"/>
          <w:iCs w:val="1"/>
          <w:color w:val="auto"/>
        </w:rPr>
        <w:t>FORM OF PAYMENT FOR AWARDS.</w:t>
      </w:r>
      <w:r>
        <w:rPr>
          <w:rFonts w:ascii="Arial" w:cs="Arial" w:eastAsia="Arial" w:hAnsi="Arial"/>
          <w:sz w:val="20"/>
          <w:szCs w:val="20"/>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21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i w:val="1"/>
          <w:iCs w:val="1"/>
          <w:color w:val="auto"/>
        </w:rPr>
        <w:t>LIMITS ON TRANSFER.</w:t>
      </w:r>
      <w:r>
        <w:rPr>
          <w:rFonts w:ascii="Arial" w:cs="Arial" w:eastAsia="Arial" w:hAnsi="Arial"/>
          <w:sz w:val="19"/>
          <w:szCs w:val="19"/>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Code Section 414(p)</w:t>
      </w:r>
    </w:p>
    <w:p>
      <w:pPr>
        <w:spacing w:after="0" w:line="4" w:lineRule="exact"/>
        <w:rPr>
          <w:sz w:val="20"/>
          <w:szCs w:val="20"/>
          <w:color w:val="auto"/>
        </w:rPr>
      </w:pPr>
    </w:p>
    <w:p>
      <w:pPr>
        <w:ind w:right="420"/>
        <w:spacing w:after="0" w:line="249" w:lineRule="auto"/>
        <w:rPr>
          <w:sz w:val="20"/>
          <w:szCs w:val="20"/>
          <w:color w:val="auto"/>
        </w:rPr>
      </w:pPr>
      <w:r>
        <w:rPr>
          <w:rFonts w:ascii="Arial" w:cs="Arial" w:eastAsia="Arial" w:hAnsi="Arial"/>
          <w:sz w:val="20"/>
          <w:szCs w:val="20"/>
          <w:color w:val="auto"/>
        </w:rPr>
        <w:t>(1)(A)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220" w:lineRule="exact"/>
        <w:rPr>
          <w:sz w:val="20"/>
          <w:szCs w:val="20"/>
          <w:color w:val="auto"/>
        </w:rPr>
      </w:pPr>
    </w:p>
    <w:p>
      <w:pPr>
        <w:ind w:right="100" w:firstLine="648"/>
        <w:spacing w:after="0" w:line="251" w:lineRule="auto"/>
        <w:rPr>
          <w:sz w:val="20"/>
          <w:szCs w:val="20"/>
          <w:color w:val="auto"/>
        </w:rPr>
      </w:pPr>
      <w:r>
        <w:rPr>
          <w:rFonts w:ascii="Arial" w:cs="Arial" w:eastAsia="Arial" w:hAnsi="Arial"/>
          <w:sz w:val="20"/>
          <w:szCs w:val="20"/>
          <w:color w:val="auto"/>
        </w:rPr>
        <w:t xml:space="preserve">14.5. </w:t>
      </w:r>
      <w:r>
        <w:rPr>
          <w:rFonts w:ascii="Arial" w:cs="Arial" w:eastAsia="Arial" w:hAnsi="Arial"/>
          <w:sz w:val="20"/>
          <w:szCs w:val="20"/>
          <w:i w:val="1"/>
          <w:iCs w:val="1"/>
          <w:color w:val="auto"/>
        </w:rPr>
        <w:t>BENEFICIARIES.</w:t>
      </w:r>
      <w:r>
        <w:rPr>
          <w:rFonts w:ascii="Arial" w:cs="Arial" w:eastAsia="Arial" w:hAnsi="Arial"/>
          <w:sz w:val="20"/>
          <w:szCs w:val="20"/>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w:t>
      </w:r>
    </w:p>
    <w:p>
      <w:pPr>
        <w:sectPr>
          <w:pgSz w:w="11900" w:h="16838" w:orient="portrait"/>
          <w:cols w:equalWidth="0" w:num="1">
            <w:col w:w="11240"/>
          </w:cols>
          <w:pgMar w:left="320" w:top="1414" w:right="339" w:bottom="1440" w:gutter="0" w:footer="0" w:header="0"/>
        </w:sectPr>
      </w:pPr>
    </w:p>
    <w:bookmarkStart w:id="73" w:name="page74"/>
    <w:bookmarkEnd w:id="73"/>
    <w:p>
      <w:pPr>
        <w:ind w:right="80"/>
        <w:spacing w:after="0" w:line="286" w:lineRule="auto"/>
        <w:rPr>
          <w:sz w:val="20"/>
          <w:szCs w:val="20"/>
          <w:color w:val="auto"/>
        </w:rPr>
      </w:pPr>
      <w:r>
        <w:rPr>
          <w:rFonts w:ascii="Arial" w:cs="Arial" w:eastAsia="Arial" w:hAnsi="Arial"/>
          <w:sz w:val="20"/>
          <w:szCs w:val="20"/>
          <w:color w:val="auto"/>
        </w:rPr>
        <w:t>changed or revoked by a Participant, in the manner provided by the Company, at any time provided the change or revocation is filed with the Committee.</w:t>
      </w:r>
    </w:p>
    <w:p>
      <w:pPr>
        <w:spacing w:after="0" w:line="167" w:lineRule="exact"/>
        <w:rPr>
          <w:sz w:val="20"/>
          <w:szCs w:val="20"/>
          <w:color w:val="auto"/>
        </w:rPr>
      </w:pPr>
    </w:p>
    <w:p>
      <w:pPr>
        <w:ind w:right="260" w:firstLine="648"/>
        <w:spacing w:after="0" w:line="258" w:lineRule="auto"/>
        <w:rPr>
          <w:sz w:val="20"/>
          <w:szCs w:val="20"/>
          <w:color w:val="auto"/>
        </w:rPr>
      </w:pPr>
      <w:r>
        <w:rPr>
          <w:rFonts w:ascii="Arial" w:cs="Arial" w:eastAsia="Arial" w:hAnsi="Arial"/>
          <w:sz w:val="20"/>
          <w:szCs w:val="20"/>
          <w:color w:val="auto"/>
        </w:rPr>
        <w:t xml:space="preserve">14.6. </w:t>
      </w:r>
      <w:r>
        <w:rPr>
          <w:rFonts w:ascii="Arial" w:cs="Arial" w:eastAsia="Arial" w:hAnsi="Arial"/>
          <w:sz w:val="20"/>
          <w:szCs w:val="20"/>
          <w:i w:val="1"/>
          <w:iCs w:val="1"/>
          <w:color w:val="auto"/>
        </w:rPr>
        <w:t>STOCK TRADING RESTRICTIONS.</w:t>
      </w:r>
      <w:r>
        <w:rPr>
          <w:rFonts w:ascii="Arial" w:cs="Arial" w:eastAsia="Arial" w:hAnsi="Arial"/>
          <w:sz w:val="20"/>
          <w:szCs w:val="20"/>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95" w:lineRule="exact"/>
        <w:rPr>
          <w:sz w:val="20"/>
          <w:szCs w:val="20"/>
          <w:color w:val="auto"/>
        </w:rPr>
      </w:pPr>
    </w:p>
    <w:p>
      <w:pPr>
        <w:ind w:right="100" w:firstLine="648"/>
        <w:spacing w:after="0" w:line="262" w:lineRule="auto"/>
        <w:rPr>
          <w:sz w:val="20"/>
          <w:szCs w:val="20"/>
          <w:color w:val="auto"/>
        </w:rPr>
      </w:pPr>
      <w:r>
        <w:rPr>
          <w:rFonts w:ascii="Arial" w:cs="Arial" w:eastAsia="Arial" w:hAnsi="Arial"/>
          <w:sz w:val="20"/>
          <w:szCs w:val="20"/>
          <w:color w:val="auto"/>
        </w:rPr>
        <w:t xml:space="preserve">14.7. </w:t>
      </w:r>
      <w:r>
        <w:rPr>
          <w:rFonts w:ascii="Arial" w:cs="Arial" w:eastAsia="Arial" w:hAnsi="Arial"/>
          <w:sz w:val="20"/>
          <w:szCs w:val="20"/>
          <w:i w:val="1"/>
          <w:iCs w:val="1"/>
          <w:color w:val="auto"/>
        </w:rPr>
        <w:t>EFFECT OF A CHANGE IN CONTROL</w:t>
      </w:r>
      <w:r>
        <w:rPr>
          <w:rFonts w:ascii="Arial" w:cs="Arial" w:eastAsia="Arial" w:hAnsi="Arial"/>
          <w:sz w:val="20"/>
          <w:szCs w:val="20"/>
          <w:color w:val="auto"/>
        </w:rPr>
        <w:t>. The provisions of this Section 14.7 shall apply in the case of a Change in Control, unless otherwise provided in the Award Certificate or any special Plan document or separate agreement with a Participant governing an Award.</w:t>
      </w:r>
    </w:p>
    <w:p>
      <w:pPr>
        <w:spacing w:after="0" w:line="205" w:lineRule="exact"/>
        <w:rPr>
          <w:sz w:val="20"/>
          <w:szCs w:val="20"/>
          <w:color w:val="auto"/>
        </w:rPr>
      </w:pPr>
    </w:p>
    <w:p>
      <w:pPr>
        <w:ind w:right="20" w:firstLine="656"/>
        <w:spacing w:after="0" w:line="259" w:lineRule="auto"/>
        <w:tabs>
          <w:tab w:leader="none" w:pos="945" w:val="left"/>
        </w:tabs>
        <w:numPr>
          <w:ilvl w:val="0"/>
          <w:numId w:val="52"/>
        </w:numPr>
        <w:rPr>
          <w:rFonts w:ascii="Arial" w:cs="Arial" w:eastAsia="Arial" w:hAnsi="Arial"/>
          <w:sz w:val="20"/>
          <w:szCs w:val="20"/>
          <w:color w:val="auto"/>
        </w:rPr>
      </w:pPr>
      <w:r>
        <w:rPr>
          <w:rFonts w:ascii="Arial" w:cs="Arial" w:eastAsia="Arial" w:hAnsi="Arial"/>
          <w:sz w:val="20"/>
          <w:szCs w:val="20"/>
          <w:color w:val="auto"/>
        </w:rPr>
        <w:t>AWARDS ASSUMED OR SUBSTITUTED BY SURVIVING CORPORATION. With respect to Awards assumed by the Surviving Corporation or otherwise equitably converted or substituted in connection with a Change in Control: if within one year after the effective date of the Change in Control, a Participant’s employment is terminated without Cause or the Participant resigns for Good Reason, then:</w:t>
      </w:r>
    </w:p>
    <w:p>
      <w:pPr>
        <w:spacing w:after="0" w:line="195" w:lineRule="exact"/>
        <w:rPr>
          <w:sz w:val="20"/>
          <w:szCs w:val="20"/>
          <w:color w:val="auto"/>
        </w:rPr>
      </w:pPr>
    </w:p>
    <w:p>
      <w:pPr>
        <w:ind w:right="160" w:firstLine="656"/>
        <w:spacing w:after="0" w:line="313" w:lineRule="auto"/>
        <w:tabs>
          <w:tab w:leader="none" w:pos="879" w:val="left"/>
        </w:tabs>
        <w:numPr>
          <w:ilvl w:val="0"/>
          <w:numId w:val="53"/>
        </w:numPr>
        <w:rPr>
          <w:rFonts w:ascii="Arial" w:cs="Arial" w:eastAsia="Arial" w:hAnsi="Arial"/>
          <w:sz w:val="19"/>
          <w:szCs w:val="19"/>
          <w:color w:val="auto"/>
        </w:rPr>
      </w:pPr>
      <w:r>
        <w:rPr>
          <w:rFonts w:ascii="Arial" w:cs="Arial" w:eastAsia="Arial" w:hAnsi="Arial"/>
          <w:sz w:val="19"/>
          <w:szCs w:val="19"/>
          <w:color w:val="auto"/>
        </w:rPr>
        <w:t>each of that Participant’s outstanding Options, SARs, and other Awards in the nature of rights that may be exercised that are subject to time-based vesting requirements shall become vested and fully exercisable as of the date of termination;</w:t>
      </w:r>
    </w:p>
    <w:p>
      <w:pPr>
        <w:spacing w:after="0" w:line="159" w:lineRule="exact"/>
        <w:rPr>
          <w:rFonts w:ascii="Arial" w:cs="Arial" w:eastAsia="Arial" w:hAnsi="Arial"/>
          <w:sz w:val="19"/>
          <w:szCs w:val="19"/>
          <w:color w:val="auto"/>
        </w:rPr>
      </w:pPr>
    </w:p>
    <w:p>
      <w:pPr>
        <w:ind w:right="340" w:firstLine="656"/>
        <w:spacing w:after="0" w:line="271" w:lineRule="auto"/>
        <w:tabs>
          <w:tab w:leader="none" w:pos="923" w:val="left"/>
        </w:tabs>
        <w:numPr>
          <w:ilvl w:val="0"/>
          <w:numId w:val="53"/>
        </w:numPr>
        <w:rPr>
          <w:rFonts w:ascii="Arial" w:cs="Arial" w:eastAsia="Arial" w:hAnsi="Arial"/>
          <w:sz w:val="20"/>
          <w:szCs w:val="20"/>
          <w:color w:val="auto"/>
        </w:rPr>
      </w:pPr>
      <w:r>
        <w:rPr>
          <w:rFonts w:ascii="Arial" w:cs="Arial" w:eastAsia="Arial" w:hAnsi="Arial"/>
          <w:sz w:val="20"/>
          <w:szCs w:val="20"/>
          <w:color w:val="auto"/>
        </w:rPr>
        <w:t>each of that Participant’s outstanding Awards other than Options and SARs that are subject to time-based vesting restrictions shall become vested and such restrictions shall lapse as of the date of termination; and</w:t>
      </w:r>
    </w:p>
    <w:p>
      <w:pPr>
        <w:spacing w:after="0" w:line="196" w:lineRule="exact"/>
        <w:rPr>
          <w:rFonts w:ascii="Arial" w:cs="Arial" w:eastAsia="Arial" w:hAnsi="Arial"/>
          <w:sz w:val="20"/>
          <w:szCs w:val="20"/>
          <w:color w:val="auto"/>
        </w:rPr>
      </w:pPr>
    </w:p>
    <w:p>
      <w:pPr>
        <w:ind w:right="160" w:firstLine="656"/>
        <w:spacing w:after="0" w:line="271" w:lineRule="auto"/>
        <w:tabs>
          <w:tab w:leader="none" w:pos="967"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payout level under each of that Participant’s outstanding Awards that are subject to performance-based vesting requirements shall be deemed to have been earned as of the date of termination based upon an assumed achievement of all relevant performance goals at the “target” level, and there shall be a pro rata payout to such Participant within thirty (30) days following the date of termination of employment (unless a later date is required by Section 17.3 hereof), based upon the length of time within the performance period that has elapsed prior to the date of termination of employment.</w:t>
      </w:r>
    </w:p>
    <w:p>
      <w:pPr>
        <w:spacing w:after="0" w:line="197" w:lineRule="exact"/>
        <w:rPr>
          <w:sz w:val="20"/>
          <w:szCs w:val="20"/>
          <w:color w:val="auto"/>
        </w:rPr>
      </w:pPr>
    </w:p>
    <w:p>
      <w:pPr>
        <w:ind w:right="260" w:firstLine="648"/>
        <w:spacing w:after="0" w:line="262" w:lineRule="auto"/>
        <w:rPr>
          <w:sz w:val="20"/>
          <w:szCs w:val="20"/>
          <w:color w:val="auto"/>
        </w:rPr>
      </w:pPr>
      <w:r>
        <w:rPr>
          <w:rFonts w:ascii="Arial" w:cs="Arial" w:eastAsia="Arial" w:hAnsi="Arial"/>
          <w:sz w:val="20"/>
          <w:szCs w:val="20"/>
          <w:color w:val="auto"/>
        </w:rPr>
        <w:t>With regard to each Award, a Participant shall not be considered to have resigned for Good Reason unless the Award Certificate includes such provision. To the extent that this provision causes Incentive Stock Options to exceed the dollar limitation set forth in Code Section 422(d), the excess Options shall be deemed to be Nonstatutory Stock Options.</w:t>
      </w:r>
    </w:p>
    <w:p>
      <w:pPr>
        <w:spacing w:after="0" w:line="192" w:lineRule="exact"/>
        <w:rPr>
          <w:sz w:val="20"/>
          <w:szCs w:val="20"/>
          <w:color w:val="auto"/>
        </w:rPr>
      </w:pPr>
    </w:p>
    <w:p>
      <w:pPr>
        <w:ind w:right="60" w:firstLine="656"/>
        <w:spacing w:after="0" w:line="269" w:lineRule="auto"/>
        <w:tabs>
          <w:tab w:leader="none" w:pos="945" w:val="left"/>
        </w:tabs>
        <w:numPr>
          <w:ilvl w:val="0"/>
          <w:numId w:val="54"/>
        </w:numPr>
        <w:rPr>
          <w:rFonts w:ascii="Arial" w:cs="Arial" w:eastAsia="Arial" w:hAnsi="Arial"/>
          <w:sz w:val="20"/>
          <w:szCs w:val="20"/>
          <w:color w:val="auto"/>
        </w:rPr>
      </w:pPr>
      <w:r>
        <w:rPr>
          <w:rFonts w:ascii="Arial" w:cs="Arial" w:eastAsia="Arial" w:hAnsi="Arial"/>
          <w:sz w:val="20"/>
          <w:szCs w:val="20"/>
          <w:color w:val="auto"/>
        </w:rPr>
        <w:t>AWARDS NOT ASSUMED OR SUBSTITUTED BY SURVIVING CORPORATION. Upon the occurrence of a Change in Control, and except with respect to any Awards assumed by the Surviving Corporation or otherwise equitably converted or substituted in connection with the Change in Control in a manner approved by the Committee or the Board:</w:t>
      </w:r>
    </w:p>
    <w:p>
      <w:pPr>
        <w:spacing w:after="0" w:line="185" w:lineRule="exact"/>
        <w:rPr>
          <w:sz w:val="20"/>
          <w:szCs w:val="20"/>
          <w:color w:val="auto"/>
        </w:rPr>
      </w:pPr>
    </w:p>
    <w:p>
      <w:pPr>
        <w:ind w:firstLine="656"/>
        <w:spacing w:after="0" w:line="286" w:lineRule="auto"/>
        <w:tabs>
          <w:tab w:leader="none" w:pos="879" w:val="left"/>
        </w:tabs>
        <w:numPr>
          <w:ilvl w:val="0"/>
          <w:numId w:val="55"/>
        </w:numPr>
        <w:rPr>
          <w:rFonts w:ascii="Arial" w:cs="Arial" w:eastAsia="Arial" w:hAnsi="Arial"/>
          <w:sz w:val="20"/>
          <w:szCs w:val="20"/>
          <w:color w:val="auto"/>
        </w:rPr>
      </w:pPr>
      <w:r>
        <w:rPr>
          <w:rFonts w:ascii="Arial" w:cs="Arial" w:eastAsia="Arial" w:hAnsi="Arial"/>
          <w:sz w:val="20"/>
          <w:szCs w:val="20"/>
          <w:color w:val="auto"/>
        </w:rPr>
        <w:t>all outstanding Options, SARs, and other Awards in the nature of rights that may be exercised that are subject to time-based vesting requirements shall become vested and fully exercisable as of the effective date of the Change in Control;</w:t>
      </w:r>
    </w:p>
    <w:p>
      <w:pPr>
        <w:sectPr>
          <w:pgSz w:w="11900" w:h="16838" w:orient="portrait"/>
          <w:cols w:equalWidth="0" w:num="1">
            <w:col w:w="11200"/>
          </w:cols>
          <w:pgMar w:left="320" w:top="1414" w:right="379" w:bottom="1440" w:gutter="0" w:footer="0" w:header="0"/>
        </w:sectPr>
      </w:pPr>
    </w:p>
    <w:bookmarkStart w:id="74" w:name="page75"/>
    <w:bookmarkEnd w:id="74"/>
    <w:p>
      <w:pPr>
        <w:spacing w:after="0" w:line="217" w:lineRule="exact"/>
        <w:rPr>
          <w:sz w:val="20"/>
          <w:szCs w:val="20"/>
          <w:color w:val="auto"/>
        </w:rPr>
      </w:pPr>
    </w:p>
    <w:p>
      <w:pPr>
        <w:ind w:right="100" w:firstLine="656"/>
        <w:spacing w:after="0" w:line="286" w:lineRule="auto"/>
        <w:tabs>
          <w:tab w:leader="none" w:pos="923" w:val="left"/>
        </w:tabs>
        <w:numPr>
          <w:ilvl w:val="0"/>
          <w:numId w:val="56"/>
        </w:numPr>
        <w:rPr>
          <w:rFonts w:ascii="Arial" w:cs="Arial" w:eastAsia="Arial" w:hAnsi="Arial"/>
          <w:sz w:val="20"/>
          <w:szCs w:val="20"/>
          <w:color w:val="auto"/>
        </w:rPr>
      </w:pPr>
      <w:r>
        <w:rPr>
          <w:rFonts w:ascii="Arial" w:cs="Arial" w:eastAsia="Arial" w:hAnsi="Arial"/>
          <w:sz w:val="20"/>
          <w:szCs w:val="20"/>
          <w:color w:val="auto"/>
        </w:rPr>
        <w:t>all outstanding Awards other than Options and SARs that are subject to time-based vesting restrictions shall become vested and such restrictions shall lapse as of the effective date of the Change in Control, and</w:t>
      </w:r>
    </w:p>
    <w:p>
      <w:pPr>
        <w:spacing w:after="0" w:line="167" w:lineRule="exact"/>
        <w:rPr>
          <w:rFonts w:ascii="Arial" w:cs="Arial" w:eastAsia="Arial" w:hAnsi="Arial"/>
          <w:sz w:val="20"/>
          <w:szCs w:val="20"/>
          <w:color w:val="auto"/>
        </w:rPr>
      </w:pPr>
    </w:p>
    <w:p>
      <w:pPr>
        <w:ind w:right="40" w:firstLine="656"/>
        <w:spacing w:after="0" w:line="258" w:lineRule="auto"/>
        <w:tabs>
          <w:tab w:leader="none" w:pos="96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payout level under all outstanding Awards that are subject to performance-based vesting requirements shall be deemed to have been earned as of the effective date of the Change in Control based upon an assumed achievement of all relevant performance goals at the “target” level, and there shall be a pro rata payout to Participants within thirty (30) days following the Change in Control (unless a later date is required by Section 17.3 hereof), based upon the length of time within the performance period that has elapsed prior to the Change in Control.</w:t>
      </w:r>
    </w:p>
    <w:p>
      <w:pPr>
        <w:spacing w:after="0" w:line="195" w:lineRule="exact"/>
        <w:rPr>
          <w:sz w:val="20"/>
          <w:szCs w:val="20"/>
          <w:color w:val="auto"/>
        </w:rPr>
      </w:pPr>
    </w:p>
    <w:p>
      <w:pPr>
        <w:ind w:right="180" w:firstLine="648"/>
        <w:spacing w:after="0" w:line="286" w:lineRule="auto"/>
        <w:rPr>
          <w:sz w:val="20"/>
          <w:szCs w:val="20"/>
          <w:color w:val="auto"/>
        </w:rPr>
      </w:pPr>
      <w:r>
        <w:rPr>
          <w:rFonts w:ascii="Arial" w:cs="Arial" w:eastAsia="Arial" w:hAnsi="Arial"/>
          <w:sz w:val="20"/>
          <w:szCs w:val="20"/>
          <w:color w:val="auto"/>
        </w:rPr>
        <w:t>To the extent that this provision causes Incentive Stock Options to exceed the dollar limitation set forth in Code Section 422(d), the excess Options shall be deemed to be Nonstatutory Stock Options.</w:t>
      </w:r>
    </w:p>
    <w:p>
      <w:pPr>
        <w:spacing w:after="0" w:line="167" w:lineRule="exact"/>
        <w:rPr>
          <w:sz w:val="20"/>
          <w:szCs w:val="20"/>
          <w:color w:val="auto"/>
        </w:rPr>
      </w:pPr>
    </w:p>
    <w:p>
      <w:pPr>
        <w:ind w:right="360" w:firstLine="648"/>
        <w:spacing w:after="0" w:line="269" w:lineRule="auto"/>
        <w:rPr>
          <w:sz w:val="20"/>
          <w:szCs w:val="20"/>
          <w:color w:val="auto"/>
        </w:rPr>
      </w:pPr>
      <w:r>
        <w:rPr>
          <w:rFonts w:ascii="Arial" w:cs="Arial" w:eastAsia="Arial" w:hAnsi="Arial"/>
          <w:sz w:val="20"/>
          <w:szCs w:val="20"/>
          <w:color w:val="auto"/>
        </w:rPr>
        <w:t xml:space="preserve">14.8. </w:t>
      </w:r>
      <w:r>
        <w:rPr>
          <w:rFonts w:ascii="Arial" w:cs="Arial" w:eastAsia="Arial" w:hAnsi="Arial"/>
          <w:sz w:val="20"/>
          <w:szCs w:val="20"/>
          <w:i w:val="1"/>
          <w:iCs w:val="1"/>
          <w:color w:val="auto"/>
        </w:rPr>
        <w:t>ACCELERATION UPON DEATH OR DISABILITY.</w:t>
      </w:r>
      <w:r>
        <w:rPr>
          <w:rFonts w:ascii="Arial" w:cs="Arial" w:eastAsia="Arial" w:hAnsi="Arial"/>
          <w:sz w:val="20"/>
          <w:szCs w:val="20"/>
          <w:color w:val="auto"/>
        </w:rPr>
        <w:t xml:space="preserve"> Except as otherwise provided in the Award Certificate or any special Plan document governing an Award, upon the termination of a Participant’s Continuous Status as a Participant by reason of his or her death or Disability:</w:t>
      </w:r>
    </w:p>
    <w:p>
      <w:pPr>
        <w:spacing w:after="0" w:line="185" w:lineRule="exact"/>
        <w:rPr>
          <w:sz w:val="20"/>
          <w:szCs w:val="20"/>
          <w:color w:val="auto"/>
        </w:rPr>
      </w:pPr>
    </w:p>
    <w:p>
      <w:pPr>
        <w:ind w:right="180" w:firstLine="656"/>
        <w:spacing w:after="0" w:line="254" w:lineRule="auto"/>
        <w:tabs>
          <w:tab w:leader="none" w:pos="879"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of such Participant’s outstanding Options, SARs, and other Awards in the nature of rights that may be exercised that are solely subject to time-based vesting requirements shall become vested and fully exercisable as of the date of termination of Continuous Status as a Participant, and shall thereafter remain exercisable for a period of twelve (12) months or until the earlier expiration of the original term of the Option, SAR or other Award; provided, however, the to the extent that an Incentive Stock Option is exercised more than three (3) months after a Participant’s Continuous Status as a Participant terminates by reason of his or her Disability, the Option shall be deemed to be a Nonstatutory Stock Option,</w:t>
      </w:r>
    </w:p>
    <w:p>
      <w:pPr>
        <w:spacing w:after="0" w:line="213" w:lineRule="exact"/>
        <w:rPr>
          <w:rFonts w:ascii="Arial" w:cs="Arial" w:eastAsia="Arial" w:hAnsi="Arial"/>
          <w:sz w:val="20"/>
          <w:szCs w:val="20"/>
          <w:color w:val="auto"/>
        </w:rPr>
      </w:pPr>
    </w:p>
    <w:p>
      <w:pPr>
        <w:ind w:right="120" w:firstLine="656"/>
        <w:spacing w:after="0" w:line="271" w:lineRule="auto"/>
        <w:tabs>
          <w:tab w:leader="none" w:pos="923" w:val="left"/>
        </w:tabs>
        <w:numPr>
          <w:ilvl w:val="0"/>
          <w:numId w:val="57"/>
        </w:numPr>
        <w:rPr>
          <w:rFonts w:ascii="Arial" w:cs="Arial" w:eastAsia="Arial" w:hAnsi="Arial"/>
          <w:sz w:val="20"/>
          <w:szCs w:val="20"/>
          <w:color w:val="auto"/>
        </w:rPr>
      </w:pPr>
      <w:r>
        <w:rPr>
          <w:rFonts w:ascii="Arial" w:cs="Arial" w:eastAsia="Arial" w:hAnsi="Arial"/>
          <w:sz w:val="20"/>
          <w:szCs w:val="20"/>
          <w:color w:val="auto"/>
        </w:rPr>
        <w:t>all time-based vesting restrictions on the Participant’s outstanding Awards shall lapse as of the date of termination of Continuous Status as a Participant, and</w:t>
      </w:r>
    </w:p>
    <w:p>
      <w:pPr>
        <w:spacing w:after="0" w:line="196" w:lineRule="exact"/>
        <w:rPr>
          <w:rFonts w:ascii="Arial" w:cs="Arial" w:eastAsia="Arial" w:hAnsi="Arial"/>
          <w:sz w:val="20"/>
          <w:szCs w:val="20"/>
          <w:color w:val="auto"/>
        </w:rPr>
      </w:pPr>
    </w:p>
    <w:p>
      <w:pPr>
        <w:ind w:firstLine="656"/>
        <w:spacing w:after="0" w:line="254" w:lineRule="auto"/>
        <w:tabs>
          <w:tab w:leader="none" w:pos="967"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target payout opportunities attainable under all of such Participant’s outstanding performance-based Awards shall be deemed to have been fully earned as of the date of termination of Continuous Status as a Participant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of Continuous Status as a Participant.</w:t>
      </w:r>
    </w:p>
    <w:p>
      <w:pPr>
        <w:spacing w:after="0" w:line="200" w:lineRule="exact"/>
        <w:rPr>
          <w:sz w:val="20"/>
          <w:szCs w:val="20"/>
          <w:color w:val="auto"/>
        </w:rPr>
      </w:pPr>
    </w:p>
    <w:p>
      <w:pPr>
        <w:ind w:right="100" w:firstLine="648"/>
        <w:spacing w:after="0" w:line="258" w:lineRule="auto"/>
        <w:rPr>
          <w:sz w:val="20"/>
          <w:szCs w:val="20"/>
          <w:color w:val="auto"/>
        </w:rPr>
      </w:pPr>
      <w:r>
        <w:rPr>
          <w:rFonts w:ascii="Arial" w:cs="Arial" w:eastAsia="Arial" w:hAnsi="Arial"/>
          <w:sz w:val="20"/>
          <w:szCs w:val="20"/>
          <w:color w:val="auto"/>
        </w:rPr>
        <w:t>Except as otherwise provided in this Section 14.8, any Awards shall thereafter continue or lapse in accordance with the other provisions of the Plan and the Awards Certificate. Notwithstanding the foregoing, in the case of a Participant’s termination of Continuous Status as a Participant by reason of Disability, this Section 14.8 shall apply to such Participant only if the designated person in the Participant’s employer’s Human Resources Department has received a copy of the Disability Notice before processing the Participant’s termination. To the extent that</w:t>
      </w:r>
    </w:p>
    <w:p>
      <w:pPr>
        <w:sectPr>
          <w:pgSz w:w="11900" w:h="16838" w:orient="portrait"/>
          <w:cols w:equalWidth="0" w:num="1">
            <w:col w:w="11220"/>
          </w:cols>
          <w:pgMar w:left="320" w:top="1440" w:right="359" w:bottom="1440" w:gutter="0" w:footer="0" w:header="0"/>
        </w:sectPr>
      </w:pPr>
    </w:p>
    <w:bookmarkStart w:id="75" w:name="page76"/>
    <w:bookmarkEnd w:id="75"/>
    <w:p>
      <w:pPr>
        <w:spacing w:after="0" w:line="286" w:lineRule="auto"/>
        <w:rPr>
          <w:sz w:val="20"/>
          <w:szCs w:val="20"/>
          <w:color w:val="auto"/>
        </w:rPr>
      </w:pPr>
      <w:r>
        <w:rPr>
          <w:rFonts w:ascii="Arial" w:cs="Arial" w:eastAsia="Arial" w:hAnsi="Arial"/>
          <w:sz w:val="20"/>
          <w:szCs w:val="20"/>
          <w:color w:val="auto"/>
        </w:rPr>
        <w:t>this provision causes Incentive Stock Options to exceed the dollar limitation set forth in Code Section 422(d), the excess Options shall be deemed to be a Nonstatutory Stock Options.</w:t>
      </w:r>
    </w:p>
    <w:p>
      <w:pPr>
        <w:spacing w:after="0" w:line="167" w:lineRule="exact"/>
        <w:rPr>
          <w:sz w:val="20"/>
          <w:szCs w:val="20"/>
          <w:color w:val="auto"/>
        </w:rPr>
      </w:pPr>
    </w:p>
    <w:p>
      <w:pPr>
        <w:ind w:right="160" w:firstLine="648"/>
        <w:spacing w:after="0" w:line="240" w:lineRule="exact"/>
        <w:rPr>
          <w:sz w:val="20"/>
          <w:szCs w:val="20"/>
          <w:color w:val="auto"/>
        </w:rPr>
      </w:pPr>
      <w:r>
        <w:rPr>
          <w:rFonts w:ascii="Arial" w:cs="Arial" w:eastAsia="Arial" w:hAnsi="Arial"/>
          <w:sz w:val="20"/>
          <w:szCs w:val="20"/>
          <w:color w:val="auto"/>
        </w:rPr>
        <w:t xml:space="preserve">14.9. </w:t>
      </w:r>
      <w:r>
        <w:rPr>
          <w:rFonts w:ascii="Arial" w:cs="Arial" w:eastAsia="Arial" w:hAnsi="Arial"/>
          <w:sz w:val="20"/>
          <w:szCs w:val="20"/>
          <w:i w:val="1"/>
          <w:iCs w:val="1"/>
          <w:color w:val="auto"/>
        </w:rPr>
        <w:t>ACCELERATION FOR ANY OTHER REASON.</w:t>
      </w:r>
      <w:r>
        <w:rPr>
          <w:rFonts w:ascii="Arial" w:cs="Arial" w:eastAsia="Arial" w:hAnsi="Arial"/>
          <w:sz w:val="20"/>
          <w:szCs w:val="20"/>
          <w:color w:val="auto"/>
        </w:rPr>
        <w:t xml:space="preserve"> Regardless of whether an event has occurred as described in Section 14.7 or 14.8 above, and subject to Section 5.5 as to Full-Value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20"/>
          <w:szCs w:val="20"/>
          <w:color w:val="auto"/>
        </w:rPr>
        <w:t>‑</w:t>
      </w:r>
      <w:r>
        <w:rPr>
          <w:rFonts w:ascii="Arial" w:cs="Arial" w:eastAsia="Arial" w:hAnsi="Arial"/>
          <w:sz w:val="20"/>
          <w:szCs w:val="20"/>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230"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14.10. </w:t>
      </w:r>
      <w:r>
        <w:rPr>
          <w:rFonts w:ascii="Arial" w:cs="Arial" w:eastAsia="Arial" w:hAnsi="Arial"/>
          <w:sz w:val="20"/>
          <w:szCs w:val="20"/>
          <w:i w:val="1"/>
          <w:iCs w:val="1"/>
          <w:color w:val="auto"/>
        </w:rPr>
        <w:t>EFFECT OF ACCELERATION.</w:t>
      </w:r>
      <w:r>
        <w:rPr>
          <w:rFonts w:ascii="Arial" w:cs="Arial" w:eastAsia="Arial" w:hAnsi="Arial"/>
          <w:sz w:val="20"/>
          <w:szCs w:val="20"/>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200" w:lineRule="exact"/>
        <w:rPr>
          <w:sz w:val="20"/>
          <w:szCs w:val="20"/>
          <w:color w:val="auto"/>
        </w:rPr>
      </w:pPr>
    </w:p>
    <w:p>
      <w:pPr>
        <w:spacing w:after="0" w:line="266"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auto"/>
        </w:rPr>
        <w:t xml:space="preserve">14.11. </w:t>
      </w:r>
      <w:r>
        <w:rPr>
          <w:rFonts w:ascii="Arial" w:cs="Arial" w:eastAsia="Arial" w:hAnsi="Arial"/>
          <w:sz w:val="20"/>
          <w:szCs w:val="20"/>
          <w:i w:val="1"/>
          <w:iCs w:val="1"/>
          <w:color w:val="auto"/>
        </w:rPr>
        <w:t>TERMINATION OF EMPLOYMENT.</w:t>
      </w:r>
      <w:r>
        <w:rPr>
          <w:rFonts w:ascii="Arial" w:cs="Arial" w:eastAsia="Arial" w:hAnsi="Arial"/>
          <w:sz w:val="20"/>
          <w:szCs w:val="20"/>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Code Sections 424(e) and 424(f), the Options held by such Participant shall be deemed to be Nonstatutory Stock Options.</w:t>
      </w:r>
    </w:p>
    <w:p>
      <w:pPr>
        <w:spacing w:after="0" w:line="200" w:lineRule="exact"/>
        <w:rPr>
          <w:sz w:val="20"/>
          <w:szCs w:val="20"/>
          <w:color w:val="auto"/>
        </w:rPr>
      </w:pPr>
    </w:p>
    <w:p>
      <w:pPr>
        <w:spacing w:after="0" w:line="246" w:lineRule="exact"/>
        <w:rPr>
          <w:sz w:val="20"/>
          <w:szCs w:val="20"/>
          <w:color w:val="auto"/>
        </w:rPr>
      </w:pPr>
    </w:p>
    <w:p>
      <w:pPr>
        <w:ind w:right="80" w:firstLine="648"/>
        <w:spacing w:after="0" w:line="258" w:lineRule="auto"/>
        <w:rPr>
          <w:sz w:val="20"/>
          <w:szCs w:val="20"/>
          <w:color w:val="auto"/>
        </w:rPr>
      </w:pPr>
      <w:r>
        <w:rPr>
          <w:rFonts w:ascii="Arial" w:cs="Arial" w:eastAsia="Arial" w:hAnsi="Arial"/>
          <w:sz w:val="20"/>
          <w:szCs w:val="20"/>
          <w:color w:val="auto"/>
        </w:rPr>
        <w:t xml:space="preserve">14.12. </w:t>
      </w:r>
      <w:r>
        <w:rPr>
          <w:rFonts w:ascii="Arial" w:cs="Arial" w:eastAsia="Arial" w:hAnsi="Arial"/>
          <w:sz w:val="20"/>
          <w:szCs w:val="20"/>
          <w:i w:val="1"/>
          <w:iCs w:val="1"/>
          <w:color w:val="auto"/>
        </w:rPr>
        <w:t>FORFEITURE EVENTS.</w:t>
      </w:r>
      <w:r>
        <w:rPr>
          <w:rFonts w:ascii="Arial" w:cs="Arial" w:eastAsia="Arial" w:hAnsi="Arial"/>
          <w:sz w:val="20"/>
          <w:szCs w:val="20"/>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w:t>
      </w:r>
    </w:p>
    <w:p>
      <w:pPr>
        <w:sectPr>
          <w:pgSz w:w="11900" w:h="16838" w:orient="portrait"/>
          <w:cols w:equalWidth="0" w:num="1">
            <w:col w:w="11240"/>
          </w:cols>
          <w:pgMar w:left="320" w:top="1414" w:right="339" w:bottom="1440" w:gutter="0" w:footer="0" w:header="0"/>
        </w:sectPr>
      </w:pPr>
    </w:p>
    <w:bookmarkStart w:id="76" w:name="page77"/>
    <w:bookmarkEnd w:id="76"/>
    <w:p>
      <w:pPr>
        <w:spacing w:after="0" w:line="254" w:lineRule="auto"/>
        <w:rPr>
          <w:sz w:val="20"/>
          <w:szCs w:val="20"/>
          <w:color w:val="auto"/>
        </w:rPr>
      </w:pPr>
      <w:r>
        <w:rPr>
          <w:rFonts w:ascii="Arial" w:cs="Arial" w:eastAsia="Arial" w:hAnsi="Arial"/>
          <w:sz w:val="20"/>
          <w:szCs w:val="20"/>
          <w:color w:val="auto"/>
        </w:rPr>
        <w:t>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14.35.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w:t>
      </w:r>
    </w:p>
    <w:p>
      <w:pPr>
        <w:spacing w:after="0" w:line="18"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stock</w:t>
      </w:r>
      <w:r>
        <w:rPr>
          <w:rFonts w:ascii="MS PGothic" w:cs="MS PGothic" w:eastAsia="MS PGothic" w:hAnsi="MS PGothic"/>
          <w:sz w:val="19"/>
          <w:szCs w:val="19"/>
          <w:color w:val="auto"/>
        </w:rPr>
        <w:t>‑</w:t>
      </w:r>
      <w:r>
        <w:rPr>
          <w:rFonts w:ascii="Arial" w:cs="Arial" w:eastAsia="Arial" w:hAnsi="Arial"/>
          <w:sz w:val="19"/>
          <w:szCs w:val="19"/>
          <w:color w:val="auto"/>
        </w:rPr>
        <w:t>based awards held by employees of another entity who become employees of the Company or an Affiliate as a result of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merger or consolidation of the former employing entity with the Company or an Affiliate or the acquisition by the Company or an</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Affiliate of property or stock of the former employing corporation. The Committee may direct that the substitute awards be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granted on such terms and conditions as the Committee considers appropriate in the circumstances.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15.</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CHANGES IN CAPITAL STRUCTURE</w:t>
      </w:r>
    </w:p>
    <w:p>
      <w:pPr>
        <w:spacing w:after="0" w:line="238" w:lineRule="exact"/>
        <w:rPr>
          <w:sz w:val="20"/>
          <w:szCs w:val="20"/>
          <w:color w:val="auto"/>
        </w:rPr>
      </w:pPr>
    </w:p>
    <w:p>
      <w:pPr>
        <w:ind w:firstLine="648"/>
        <w:spacing w:after="0" w:line="262" w:lineRule="auto"/>
        <w:rPr>
          <w:sz w:val="20"/>
          <w:szCs w:val="20"/>
          <w:color w:val="auto"/>
        </w:rPr>
      </w:pPr>
      <w:r>
        <w:rPr>
          <w:rFonts w:ascii="Arial" w:cs="Arial" w:eastAsia="Arial" w:hAnsi="Arial"/>
          <w:sz w:val="19"/>
          <w:szCs w:val="19"/>
          <w:color w:val="auto"/>
        </w:rPr>
        <w:t xml:space="preserve">15.1. </w:t>
      </w:r>
      <w:r>
        <w:rPr>
          <w:rFonts w:ascii="Arial" w:cs="Arial" w:eastAsia="Arial" w:hAnsi="Arial"/>
          <w:sz w:val="19"/>
          <w:szCs w:val="19"/>
          <w:i w:val="1"/>
          <w:iCs w:val="1"/>
          <w:color w:val="auto"/>
        </w:rPr>
        <w:t>MANDATORY ADJUSTMENTS.</w:t>
      </w:r>
      <w:r>
        <w:rPr>
          <w:rFonts w:ascii="Arial" w:cs="Arial" w:eastAsia="Arial" w:hAnsi="Arial"/>
          <w:sz w:val="19"/>
          <w:szCs w:val="19"/>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9" w:lineRule="exact"/>
        <w:rPr>
          <w:sz w:val="20"/>
          <w:szCs w:val="20"/>
          <w:color w:val="auto"/>
        </w:rPr>
      </w:pPr>
    </w:p>
    <w:p>
      <w:pPr>
        <w:ind w:firstLine="8"/>
        <w:spacing w:after="0" w:line="250" w:lineRule="auto"/>
        <w:tabs>
          <w:tab w:leader="none" w:pos="28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205" w:lineRule="exact"/>
        <w:rPr>
          <w:sz w:val="20"/>
          <w:szCs w:val="20"/>
          <w:color w:val="auto"/>
        </w:rPr>
      </w:pPr>
    </w:p>
    <w:p>
      <w:pPr>
        <w:ind w:right="140" w:firstLine="648"/>
        <w:spacing w:after="0" w:line="254" w:lineRule="auto"/>
        <w:rPr>
          <w:sz w:val="20"/>
          <w:szCs w:val="20"/>
          <w:color w:val="auto"/>
        </w:rPr>
      </w:pPr>
      <w:r>
        <w:rPr>
          <w:rFonts w:ascii="Arial" w:cs="Arial" w:eastAsia="Arial" w:hAnsi="Arial"/>
          <w:sz w:val="20"/>
          <w:szCs w:val="20"/>
          <w:color w:val="auto"/>
        </w:rPr>
        <w:t xml:space="preserve">15.2. </w:t>
      </w:r>
      <w:r>
        <w:rPr>
          <w:rFonts w:ascii="Arial" w:cs="Arial" w:eastAsia="Arial" w:hAnsi="Arial"/>
          <w:sz w:val="20"/>
          <w:szCs w:val="20"/>
          <w:i w:val="1"/>
          <w:iCs w:val="1"/>
          <w:color w:val="auto"/>
        </w:rPr>
        <w:t>DISCRETIONARY ADJUSTMENTS.</w:t>
      </w:r>
      <w:r>
        <w:rPr>
          <w:rFonts w:ascii="Arial" w:cs="Arial" w:eastAsia="Arial" w:hAnsi="Arial"/>
          <w:sz w:val="20"/>
          <w:szCs w:val="20"/>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w:t>
      </w:r>
    </w:p>
    <w:p>
      <w:pPr>
        <w:sectPr>
          <w:pgSz w:w="11900" w:h="16838" w:orient="portrait"/>
          <w:cols w:equalWidth="0" w:num="1">
            <w:col w:w="11240"/>
          </w:cols>
          <w:pgMar w:left="320" w:top="1414" w:right="339" w:bottom="1440" w:gutter="0" w:footer="0" w:header="0"/>
        </w:sectPr>
      </w:pPr>
    </w:p>
    <w:bookmarkStart w:id="77" w:name="page78"/>
    <w:bookmarkEnd w:id="77"/>
    <w:p>
      <w:pPr>
        <w:ind w:right="120"/>
        <w:spacing w:after="0" w:line="254" w:lineRule="auto"/>
        <w:rPr>
          <w:sz w:val="20"/>
          <w:szCs w:val="20"/>
          <w:color w:val="auto"/>
        </w:rPr>
      </w:pPr>
      <w:r>
        <w:rPr>
          <w:rFonts w:ascii="Arial" w:cs="Arial" w:eastAsia="Arial" w:hAnsi="Arial"/>
          <w:sz w:val="20"/>
          <w:szCs w:val="20"/>
          <w:color w:val="auto"/>
        </w:rPr>
        <w:t>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or (vi) any combination of the foregoing. The Committee’s determination need not be uniform and may be different for different Participants whether or not such Participants are similarly situated.</w:t>
      </w:r>
    </w:p>
    <w:p>
      <w:pPr>
        <w:spacing w:after="0" w:line="214" w:lineRule="exact"/>
        <w:rPr>
          <w:sz w:val="20"/>
          <w:szCs w:val="20"/>
          <w:color w:val="auto"/>
        </w:rPr>
      </w:pPr>
    </w:p>
    <w:p>
      <w:pPr>
        <w:jc w:val="both"/>
        <w:ind w:right="440" w:firstLine="648"/>
        <w:spacing w:after="0" w:line="262"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16.</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38" w:lineRule="exact"/>
        <w:rPr>
          <w:sz w:val="20"/>
          <w:szCs w:val="20"/>
          <w:color w:val="auto"/>
        </w:rPr>
      </w:pPr>
    </w:p>
    <w:p>
      <w:pPr>
        <w:ind w:firstLine="648"/>
        <w:spacing w:after="0" w:line="263" w:lineRule="auto"/>
        <w:rPr>
          <w:sz w:val="20"/>
          <w:szCs w:val="20"/>
          <w:color w:val="auto"/>
        </w:rPr>
      </w:pPr>
      <w:r>
        <w:rPr>
          <w:rFonts w:ascii="Arial" w:cs="Arial" w:eastAsia="Arial" w:hAnsi="Arial"/>
          <w:sz w:val="19"/>
          <w:szCs w:val="19"/>
          <w:color w:val="auto"/>
        </w:rPr>
        <w:t xml:space="preserve">16.1. </w:t>
      </w:r>
      <w:r>
        <w:rPr>
          <w:rFonts w:ascii="Arial" w:cs="Arial" w:eastAsia="Arial" w:hAnsi="Arial"/>
          <w:sz w:val="19"/>
          <w:szCs w:val="19"/>
          <w:i w:val="1"/>
          <w:iCs w:val="1"/>
          <w:color w:val="auto"/>
        </w:rPr>
        <w:t>AMENDMENT, MODIFICATION AND TERMINATION.</w:t>
      </w:r>
      <w:r>
        <w:rPr>
          <w:rFonts w:ascii="Arial" w:cs="Arial" w:eastAsia="Arial" w:hAnsi="Arial"/>
          <w:sz w:val="19"/>
          <w:szCs w:val="19"/>
          <w:color w:val="auto"/>
        </w:rPr>
        <w:t xml:space="preserve"> The Board or the Committee may, at any time and from time to time, amend, modify or terminate the Plan without shareholder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shareholder approval under applicable laws, policies or regulations or the applicable listing or other requirements of an Exchange, then such amendment shall be subject to shareholder approval; and provided, further, that the Board or Committee may condition any other amendment or modification on the approval of shareholders of the Company for any reason, including by reason of such approval being necessary or deemed advisable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202" w:lineRule="exact"/>
        <w:rPr>
          <w:sz w:val="20"/>
          <w:szCs w:val="20"/>
          <w:color w:val="auto"/>
        </w:rPr>
      </w:pPr>
    </w:p>
    <w:p>
      <w:pPr>
        <w:ind w:right="480" w:firstLine="648"/>
        <w:spacing w:after="0" w:line="286"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81" w:lineRule="exact"/>
        <w:rPr>
          <w:sz w:val="20"/>
          <w:szCs w:val="20"/>
          <w:color w:val="auto"/>
        </w:rPr>
      </w:pPr>
    </w:p>
    <w:p>
      <w:pPr>
        <w:ind w:right="220" w:firstLine="656"/>
        <w:spacing w:after="0" w:line="255" w:lineRule="auto"/>
        <w:tabs>
          <w:tab w:leader="none" w:pos="945" w:val="left"/>
        </w:tabs>
        <w:numPr>
          <w:ilvl w:val="0"/>
          <w:numId w:val="59"/>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w:t>
      </w:r>
    </w:p>
    <w:p>
      <w:pPr>
        <w:sectPr>
          <w:pgSz w:w="11900" w:h="16838" w:orient="portrait"/>
          <w:cols w:equalWidth="0" w:num="1">
            <w:col w:w="11240"/>
          </w:cols>
          <w:pgMar w:left="320" w:top="1414" w:right="339" w:bottom="1440" w:gutter="0" w:footer="0" w:header="0"/>
        </w:sectPr>
      </w:pPr>
    </w:p>
    <w:bookmarkStart w:id="78" w:name="page79"/>
    <w:bookmarkEnd w:id="78"/>
    <w:p>
      <w:pPr>
        <w:spacing w:after="0"/>
        <w:rPr>
          <w:sz w:val="20"/>
          <w:szCs w:val="20"/>
          <w:color w:val="auto"/>
        </w:rPr>
      </w:pPr>
      <w:r>
        <w:rPr>
          <w:rFonts w:ascii="Arial" w:cs="Arial" w:eastAsia="Arial" w:hAnsi="Arial"/>
          <w:sz w:val="20"/>
          <w:szCs w:val="20"/>
          <w:color w:val="auto"/>
        </w:rPr>
        <w:t>Fair Market Value as of the date of such amendment or termination over the exercise or base price of such Award);</w:t>
      </w:r>
    </w:p>
    <w:p>
      <w:pPr>
        <w:spacing w:after="0" w:line="256" w:lineRule="exact"/>
        <w:rPr>
          <w:sz w:val="20"/>
          <w:szCs w:val="20"/>
          <w:color w:val="auto"/>
        </w:rPr>
      </w:pPr>
    </w:p>
    <w:p>
      <w:pPr>
        <w:ind w:right="480" w:firstLine="656"/>
        <w:spacing w:after="0" w:line="271" w:lineRule="auto"/>
        <w:tabs>
          <w:tab w:leader="none" w:pos="945"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original term of an Option or Stock Appreciation Right may not be extended without the prior approval of the shareholders of the Company;</w:t>
      </w:r>
    </w:p>
    <w:p>
      <w:pPr>
        <w:spacing w:after="0" w:line="196" w:lineRule="exact"/>
        <w:rPr>
          <w:rFonts w:ascii="Arial" w:cs="Arial" w:eastAsia="Arial" w:hAnsi="Arial"/>
          <w:sz w:val="20"/>
          <w:szCs w:val="20"/>
          <w:color w:val="auto"/>
        </w:rPr>
      </w:pPr>
    </w:p>
    <w:p>
      <w:pPr>
        <w:ind w:right="80" w:firstLine="656"/>
        <w:spacing w:after="0" w:line="254" w:lineRule="auto"/>
        <w:tabs>
          <w:tab w:leader="none" w:pos="934" w:val="left"/>
        </w:tabs>
        <w:numPr>
          <w:ilvl w:val="0"/>
          <w:numId w:val="60"/>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200" w:lineRule="exact"/>
        <w:rPr>
          <w:rFonts w:ascii="Arial" w:cs="Arial" w:eastAsia="Arial" w:hAnsi="Arial"/>
          <w:sz w:val="20"/>
          <w:szCs w:val="20"/>
          <w:color w:val="auto"/>
        </w:rPr>
      </w:pPr>
    </w:p>
    <w:p>
      <w:pPr>
        <w:jc w:val="both"/>
        <w:ind w:firstLine="656"/>
        <w:spacing w:after="0" w:line="254" w:lineRule="auto"/>
        <w:tabs>
          <w:tab w:leader="none" w:pos="945"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14" w:lineRule="exact"/>
        <w:rPr>
          <w:sz w:val="20"/>
          <w:szCs w:val="20"/>
          <w:color w:val="auto"/>
        </w:rPr>
      </w:pPr>
    </w:p>
    <w:p>
      <w:pPr>
        <w:ind w:right="100" w:firstLine="648"/>
        <w:spacing w:after="0" w:line="254"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Code Section 409A),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38" w:lineRule="exact"/>
        <w:rPr>
          <w:sz w:val="20"/>
          <w:szCs w:val="20"/>
          <w:color w:val="auto"/>
        </w:rPr>
      </w:pPr>
    </w:p>
    <w:p>
      <w:pPr>
        <w:ind w:right="160" w:firstLine="648"/>
        <w:spacing w:after="0" w:line="254"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i w:val="1"/>
          <w:iCs w:val="1"/>
          <w:color w:val="auto"/>
        </w:rPr>
        <w:t>NO RIGHTS TO AWARDS; NON-UNIFORM DETERMINATIONS.</w:t>
      </w:r>
      <w:r>
        <w:rPr>
          <w:rFonts w:ascii="Arial" w:cs="Arial" w:eastAsia="Arial" w:hAnsi="Arial"/>
          <w:sz w:val="20"/>
          <w:szCs w:val="20"/>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214" w:lineRule="exact"/>
        <w:rPr>
          <w:sz w:val="20"/>
          <w:szCs w:val="20"/>
          <w:color w:val="auto"/>
        </w:rPr>
      </w:pPr>
    </w:p>
    <w:p>
      <w:pPr>
        <w:ind w:right="380" w:firstLine="648"/>
        <w:spacing w:after="0" w:line="271"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SHAREHOLDER RIGHTS.</w:t>
      </w:r>
      <w:r>
        <w:rPr>
          <w:rFonts w:ascii="Arial" w:cs="Arial" w:eastAsia="Arial" w:hAnsi="Arial"/>
          <w:sz w:val="20"/>
          <w:szCs w:val="20"/>
          <w:color w:val="auto"/>
        </w:rPr>
        <w:t xml:space="preserve"> No Award gives a Participant any of the rights of a shareholder of the Company unless and until Shares are in fact issued to such person in connection with such Award.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17.3. </w:t>
      </w:r>
      <w:r>
        <w:rPr>
          <w:rFonts w:ascii="Arial" w:cs="Arial" w:eastAsia="Arial" w:hAnsi="Arial"/>
          <w:sz w:val="20"/>
          <w:szCs w:val="20"/>
          <w:i w:val="1"/>
          <w:iCs w:val="1"/>
          <w:color w:val="auto"/>
        </w:rPr>
        <w:t>SPECIAL PROVISIONS RELATED TO CODE SECTION 409A</w:t>
      </w:r>
      <w:r>
        <w:rPr>
          <w:rFonts w:ascii="Arial" w:cs="Arial" w:eastAsia="Arial" w:hAnsi="Arial"/>
          <w:sz w:val="20"/>
          <w:szCs w:val="20"/>
          <w:color w:val="auto"/>
        </w:rPr>
        <w:t>.</w:t>
      </w:r>
    </w:p>
    <w:p>
      <w:pPr>
        <w:sectPr>
          <w:pgSz w:w="11900" w:h="16838" w:orient="portrait"/>
          <w:cols w:equalWidth="0" w:num="1">
            <w:col w:w="11240"/>
          </w:cols>
          <w:pgMar w:left="320" w:top="1414" w:right="339" w:bottom="1440" w:gutter="0" w:footer="0" w:header="0"/>
        </w:sectPr>
      </w:pPr>
    </w:p>
    <w:bookmarkStart w:id="79" w:name="page80"/>
    <w:bookmarkEnd w:id="79"/>
    <w:p>
      <w:pPr>
        <w:ind w:firstLine="656"/>
        <w:spacing w:after="0" w:line="254" w:lineRule="auto"/>
        <w:tabs>
          <w:tab w:leader="none" w:pos="945" w:val="left"/>
        </w:tabs>
        <w:numPr>
          <w:ilvl w:val="0"/>
          <w:numId w:val="61"/>
        </w:numPr>
        <w:rPr>
          <w:rFonts w:ascii="Arial" w:cs="Arial" w:eastAsia="Arial" w:hAnsi="Arial"/>
          <w:sz w:val="20"/>
          <w:szCs w:val="20"/>
          <w:color w:val="auto"/>
        </w:rPr>
      </w:pPr>
      <w:r>
        <w:rPr>
          <w:rFonts w:ascii="Arial" w:cs="Arial" w:eastAsia="Arial" w:hAnsi="Arial"/>
          <w:sz w:val="20"/>
          <w:szCs w:val="20"/>
          <w:color w:val="auto"/>
        </w:rPr>
        <w:t>It is intended that the payments and benefits provided under the Plan and any Award shall either be exempt from the application of, or comply with, the requirements of Code Section 409A.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213" w:lineRule="exact"/>
        <w:rPr>
          <w:rFonts w:ascii="Arial" w:cs="Arial" w:eastAsia="Arial" w:hAnsi="Arial"/>
          <w:sz w:val="20"/>
          <w:szCs w:val="20"/>
          <w:color w:val="auto"/>
        </w:rPr>
      </w:pPr>
    </w:p>
    <w:p>
      <w:pPr>
        <w:ind w:right="100" w:firstLine="656"/>
        <w:spacing w:after="0" w:line="250" w:lineRule="auto"/>
        <w:tabs>
          <w:tab w:leader="none" w:pos="945" w:val="left"/>
        </w:tabs>
        <w:numPr>
          <w:ilvl w:val="0"/>
          <w:numId w:val="61"/>
        </w:numPr>
        <w:rPr>
          <w:rFonts w:ascii="Arial" w:cs="Arial" w:eastAsia="Arial" w:hAnsi="Arial"/>
          <w:sz w:val="20"/>
          <w:szCs w:val="20"/>
          <w:color w:val="auto"/>
        </w:rPr>
      </w:pPr>
      <w:r>
        <w:rPr>
          <w:rFonts w:ascii="Arial" w:cs="Arial" w:eastAsia="Arial" w:hAnsi="Arial"/>
          <w:sz w:val="20"/>
          <w:szCs w:val="20"/>
          <w:color w:val="auto"/>
        </w:rPr>
        <w:t>Notwithstanding anything in the Plan or in any Award Certificate to the contrary, to the extent that any amount or benefit that would constitute non-exempt “deferred compensation” for purposes of Code Section 409A (“Non-Exempt Deferred Compensation”)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Code Section 409A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206" w:lineRule="exact"/>
        <w:rPr>
          <w:rFonts w:ascii="Arial" w:cs="Arial" w:eastAsia="Arial" w:hAnsi="Arial"/>
          <w:sz w:val="20"/>
          <w:szCs w:val="20"/>
          <w:color w:val="auto"/>
        </w:rPr>
      </w:pPr>
    </w:p>
    <w:p>
      <w:pPr>
        <w:ind w:right="400" w:firstLine="656"/>
        <w:spacing w:after="0" w:line="259" w:lineRule="auto"/>
        <w:tabs>
          <w:tab w:leader="none" w:pos="934"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208" w:lineRule="exact"/>
        <w:rPr>
          <w:rFonts w:ascii="Arial" w:cs="Arial" w:eastAsia="Arial" w:hAnsi="Arial"/>
          <w:sz w:val="20"/>
          <w:szCs w:val="20"/>
          <w:color w:val="auto"/>
        </w:rPr>
      </w:pPr>
    </w:p>
    <w:p>
      <w:pPr>
        <w:ind w:right="160" w:firstLine="656"/>
        <w:spacing w:after="0" w:line="264" w:lineRule="auto"/>
        <w:tabs>
          <w:tab w:leader="none" w:pos="945" w:val="left"/>
        </w:tabs>
        <w:numPr>
          <w:ilvl w:val="0"/>
          <w:numId w:val="61"/>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1.409A-3(j)(4)(ii) (domestic relations order), (j)(4)(iii) (conflicts of interest), or (j)(4)(vi) (payment of employment taxes):</w:t>
      </w:r>
    </w:p>
    <w:p>
      <w:pPr>
        <w:spacing w:after="0" w:line="238" w:lineRule="exact"/>
        <w:rPr>
          <w:sz w:val="20"/>
          <w:szCs w:val="20"/>
          <w:color w:val="auto"/>
        </w:rPr>
      </w:pPr>
    </w:p>
    <w:p>
      <w:pPr>
        <w:ind w:right="20" w:firstLine="656"/>
        <w:spacing w:after="0" w:line="262" w:lineRule="auto"/>
        <w:tabs>
          <w:tab w:leader="none" w:pos="879"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91" w:lineRule="exact"/>
        <w:rPr>
          <w:rFonts w:ascii="Arial" w:cs="Arial" w:eastAsia="Arial" w:hAnsi="Arial"/>
          <w:sz w:val="20"/>
          <w:szCs w:val="20"/>
          <w:color w:val="auto"/>
        </w:rPr>
      </w:pPr>
    </w:p>
    <w:p>
      <w:pPr>
        <w:ind w:right="220" w:firstLine="656"/>
        <w:spacing w:after="0" w:line="269" w:lineRule="auto"/>
        <w:tabs>
          <w:tab w:leader="none" w:pos="923" w:val="left"/>
        </w:tabs>
        <w:numPr>
          <w:ilvl w:val="0"/>
          <w:numId w:val="62"/>
        </w:numPr>
        <w:rPr>
          <w:rFonts w:ascii="Arial" w:cs="Arial" w:eastAsia="Arial" w:hAnsi="Arial"/>
          <w:sz w:val="20"/>
          <w:szCs w:val="20"/>
          <w:color w:val="auto"/>
        </w:rPr>
      </w:pPr>
      <w:r>
        <w:rPr>
          <w:rFonts w:ascii="Arial" w:cs="Arial" w:eastAsia="Arial" w:hAnsi="Arial"/>
          <w:sz w:val="20"/>
          <w:szCs w:val="20"/>
          <w:color w:val="auto"/>
        </w:rPr>
        <w:t>if the payment or distribution is payable over time, the amount of such Non-Exempt Deferred Compensation that would otherwise be payable during the six-month period immediately following the Participant’s separation from service will be accumulated and the</w:t>
      </w:r>
    </w:p>
    <w:p>
      <w:pPr>
        <w:sectPr>
          <w:pgSz w:w="11900" w:h="16838" w:orient="portrait"/>
          <w:cols w:equalWidth="0" w:num="1">
            <w:col w:w="11240"/>
          </w:cols>
          <w:pgMar w:left="320" w:top="1414" w:right="339" w:bottom="1440" w:gutter="0" w:footer="0" w:header="0"/>
        </w:sectPr>
      </w:pPr>
    </w:p>
    <w:bookmarkStart w:id="80" w:name="page81"/>
    <w:bookmarkEnd w:id="80"/>
    <w:p>
      <w:pPr>
        <w:ind w:right="580"/>
        <w:spacing w:after="0" w:line="259" w:lineRule="auto"/>
        <w:rPr>
          <w:sz w:val="20"/>
          <w:szCs w:val="20"/>
          <w:color w:val="auto"/>
        </w:rPr>
      </w:pPr>
      <w:r>
        <w:rPr>
          <w:rFonts w:ascii="Arial" w:cs="Arial" w:eastAsia="Arial" w:hAnsi="Arial"/>
          <w:sz w:val="20"/>
          <w:szCs w:val="20"/>
          <w:color w:val="auto"/>
        </w:rPr>
        <w:t>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95" w:lineRule="exact"/>
        <w:rPr>
          <w:sz w:val="20"/>
          <w:szCs w:val="20"/>
          <w:color w:val="auto"/>
        </w:rPr>
      </w:pPr>
    </w:p>
    <w:p>
      <w:pPr>
        <w:ind w:right="260" w:firstLine="648"/>
        <w:spacing w:after="0" w:line="258" w:lineRule="auto"/>
        <w:rPr>
          <w:sz w:val="20"/>
          <w:szCs w:val="20"/>
          <w:color w:val="auto"/>
        </w:rPr>
      </w:pPr>
      <w:r>
        <w:rPr>
          <w:rFonts w:ascii="Arial" w:cs="Arial" w:eastAsia="Arial" w:hAnsi="Arial"/>
          <w:sz w:val="20"/>
          <w:szCs w:val="20"/>
          <w:color w:val="auto"/>
        </w:rPr>
        <w:t>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5" w:lineRule="exact"/>
        <w:rPr>
          <w:sz w:val="20"/>
          <w:szCs w:val="20"/>
          <w:color w:val="auto"/>
        </w:rPr>
      </w:pPr>
    </w:p>
    <w:p>
      <w:pPr>
        <w:ind w:right="60" w:firstLine="656"/>
        <w:spacing w:after="0" w:line="259" w:lineRule="auto"/>
        <w:tabs>
          <w:tab w:leader="none" w:pos="945" w:val="left"/>
        </w:tabs>
        <w:numPr>
          <w:ilvl w:val="0"/>
          <w:numId w:val="63"/>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208" w:lineRule="exact"/>
        <w:rPr>
          <w:rFonts w:ascii="Arial" w:cs="Arial" w:eastAsia="Arial" w:hAnsi="Arial"/>
          <w:sz w:val="20"/>
          <w:szCs w:val="20"/>
          <w:color w:val="auto"/>
        </w:rPr>
      </w:pPr>
    </w:p>
    <w:p>
      <w:pPr>
        <w:ind w:right="260" w:firstLine="656"/>
        <w:spacing w:after="0" w:line="262" w:lineRule="auto"/>
        <w:tabs>
          <w:tab w:leader="none" w:pos="89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205" w:lineRule="exact"/>
        <w:rPr>
          <w:rFonts w:ascii="Arial" w:cs="Arial" w:eastAsia="Arial" w:hAnsi="Arial"/>
          <w:sz w:val="20"/>
          <w:szCs w:val="20"/>
          <w:color w:val="auto"/>
        </w:rPr>
      </w:pPr>
    </w:p>
    <w:p>
      <w:pPr>
        <w:ind w:firstLine="656"/>
        <w:spacing w:after="0" w:line="250" w:lineRule="auto"/>
        <w:tabs>
          <w:tab w:leader="none" w:pos="945" w:val="left"/>
        </w:tabs>
        <w:numPr>
          <w:ilvl w:val="0"/>
          <w:numId w:val="63"/>
        </w:numPr>
        <w:rPr>
          <w:rFonts w:ascii="Arial" w:cs="Arial" w:eastAsia="Arial" w:hAnsi="Arial"/>
          <w:sz w:val="20"/>
          <w:szCs w:val="20"/>
          <w:color w:val="auto"/>
        </w:rPr>
      </w:pPr>
      <w:r>
        <w:rPr>
          <w:rFonts w:ascii="Arial" w:cs="Arial" w:eastAsia="Arial" w:hAnsi="Arial"/>
          <w:sz w:val="20"/>
          <w:szCs w:val="20"/>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Code Section 409A,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210" w:lineRule="exact"/>
        <w:rPr>
          <w:sz w:val="20"/>
          <w:szCs w:val="20"/>
          <w:color w:val="auto"/>
        </w:rPr>
      </w:pPr>
    </w:p>
    <w:p>
      <w:pPr>
        <w:ind w:right="20" w:firstLine="648"/>
        <w:spacing w:after="0" w:line="254"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i w:val="1"/>
          <w:iCs w:val="1"/>
          <w:color w:val="auto"/>
        </w:rPr>
        <w:t>WITHHOLDING.</w:t>
      </w:r>
      <w:r>
        <w:rPr>
          <w:rFonts w:ascii="Arial" w:cs="Arial" w:eastAsia="Arial" w:hAnsi="Arial"/>
          <w:sz w:val="20"/>
          <w:szCs w:val="20"/>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(or, if permitted by the Committee, up to an amount calculated using applicable maximum individual tax rates) required to be withheld for tax purposes, all in accordance with such procedures as</w:t>
      </w:r>
    </w:p>
    <w:p>
      <w:pPr>
        <w:sectPr>
          <w:pgSz w:w="11900" w:h="16838" w:orient="portrait"/>
          <w:cols w:equalWidth="0" w:num="1">
            <w:col w:w="11240"/>
          </w:cols>
          <w:pgMar w:left="320" w:top="1414" w:right="339" w:bottom="1440" w:gutter="0" w:footer="0" w:header="0"/>
        </w:sectPr>
      </w:pPr>
    </w:p>
    <w:bookmarkStart w:id="81" w:name="page82"/>
    <w:bookmarkEnd w:id="81"/>
    <w:p>
      <w:pPr>
        <w:ind w:right="420"/>
        <w:spacing w:after="0" w:line="286" w:lineRule="auto"/>
        <w:rPr>
          <w:sz w:val="20"/>
          <w:szCs w:val="20"/>
          <w:color w:val="auto"/>
        </w:rPr>
      </w:pPr>
      <w:r>
        <w:rPr>
          <w:rFonts w:ascii="Arial" w:cs="Arial" w:eastAsia="Arial" w:hAnsi="Arial"/>
          <w:sz w:val="20"/>
          <w:szCs w:val="20"/>
          <w:color w:val="auto"/>
        </w:rPr>
        <w:t>the Committee establishes. All such elections shall be subject to any restrictions or limitations that the Committee, in its sole discretion, deems appropriate.</w:t>
      </w:r>
    </w:p>
    <w:p>
      <w:pPr>
        <w:spacing w:after="0" w:line="167" w:lineRule="exact"/>
        <w:rPr>
          <w:sz w:val="20"/>
          <w:szCs w:val="20"/>
          <w:color w:val="auto"/>
        </w:rPr>
      </w:pPr>
    </w:p>
    <w:p>
      <w:pPr>
        <w:ind w:right="60" w:firstLine="648"/>
        <w:spacing w:after="0" w:line="252" w:lineRule="auto"/>
        <w:rPr>
          <w:sz w:val="20"/>
          <w:szCs w:val="20"/>
          <w:color w:val="auto"/>
        </w:rPr>
      </w:pPr>
      <w:r>
        <w:rPr>
          <w:rFonts w:ascii="Arial" w:cs="Arial" w:eastAsia="Arial" w:hAnsi="Arial"/>
          <w:sz w:val="20"/>
          <w:szCs w:val="20"/>
          <w:color w:val="auto"/>
        </w:rPr>
        <w:t xml:space="preserve">17.5. </w:t>
      </w:r>
      <w:r>
        <w:rPr>
          <w:rFonts w:ascii="Arial" w:cs="Arial" w:eastAsia="Arial" w:hAnsi="Arial"/>
          <w:sz w:val="20"/>
          <w:szCs w:val="20"/>
          <w:i w:val="1"/>
          <w:iCs w:val="1"/>
          <w:color w:val="auto"/>
        </w:rPr>
        <w:t>NO RIGHT TO CONTINUED SERVICE.</w:t>
      </w:r>
      <w:r>
        <w:rPr>
          <w:rFonts w:ascii="Arial" w:cs="Arial" w:eastAsia="Arial" w:hAnsi="Arial"/>
          <w:sz w:val="20"/>
          <w:szCs w:val="20"/>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or consultant at any time, nor confer upon any Participant any right to continue as an employee, officer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any of its Affiliates.</w:t>
      </w:r>
    </w:p>
    <w:p>
      <w:pPr>
        <w:spacing w:after="0" w:line="215" w:lineRule="exact"/>
        <w:rPr>
          <w:sz w:val="20"/>
          <w:szCs w:val="20"/>
          <w:color w:val="auto"/>
        </w:rPr>
      </w:pPr>
    </w:p>
    <w:p>
      <w:pPr>
        <w:ind w:right="120" w:firstLine="648"/>
        <w:spacing w:after="0" w:line="259"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5" w:lineRule="exact"/>
        <w:rPr>
          <w:sz w:val="20"/>
          <w:szCs w:val="20"/>
          <w:color w:val="auto"/>
        </w:rPr>
      </w:pPr>
    </w:p>
    <w:p>
      <w:pPr>
        <w:ind w:right="180" w:firstLine="648"/>
        <w:spacing w:after="0" w:line="269"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17.8. </w:t>
      </w:r>
      <w:r>
        <w:rPr>
          <w:rFonts w:ascii="Arial" w:cs="Arial" w:eastAsia="Arial" w:hAnsi="Arial"/>
          <w:sz w:val="20"/>
          <w:szCs w:val="20"/>
          <w:i w:val="1"/>
          <w:iCs w:val="1"/>
          <w:color w:val="auto"/>
        </w:rPr>
        <w:t>EXPENSES.</w:t>
      </w:r>
      <w:r>
        <w:rPr>
          <w:rFonts w:ascii="Arial" w:cs="Arial" w:eastAsia="Arial" w:hAnsi="Arial"/>
          <w:sz w:val="20"/>
          <w:szCs w:val="20"/>
          <w:color w:val="auto"/>
        </w:rPr>
        <w:t xml:space="preserve"> The expenses of administering the Plan shall be borne by the Company and its Affiliates.</w:t>
      </w:r>
    </w:p>
    <w:p>
      <w:pPr>
        <w:spacing w:after="0" w:line="256" w:lineRule="exact"/>
        <w:rPr>
          <w:sz w:val="20"/>
          <w:szCs w:val="20"/>
          <w:color w:val="auto"/>
        </w:rPr>
      </w:pPr>
    </w:p>
    <w:p>
      <w:pPr>
        <w:ind w:right="440" w:firstLine="648"/>
        <w:spacing w:after="0" w:line="271"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96" w:lineRule="exact"/>
        <w:rPr>
          <w:sz w:val="20"/>
          <w:szCs w:val="20"/>
          <w:color w:val="auto"/>
        </w:rPr>
      </w:pPr>
    </w:p>
    <w:p>
      <w:pPr>
        <w:ind w:right="80" w:firstLine="648"/>
        <w:spacing w:after="0" w:line="271"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96"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20"/>
          <w:szCs w:val="20"/>
          <w:i w:val="1"/>
          <w:iCs w:val="1"/>
          <w:color w:val="auto"/>
        </w:rPr>
        <w:t>FRACTIONAL SHARES.</w:t>
      </w:r>
      <w:r>
        <w:rPr>
          <w:rFonts w:ascii="Arial" w:cs="Arial" w:eastAsia="Arial" w:hAnsi="Arial"/>
          <w:sz w:val="20"/>
          <w:szCs w:val="20"/>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17.12. </w:t>
      </w:r>
      <w:r>
        <w:rPr>
          <w:rFonts w:ascii="Arial" w:cs="Arial" w:eastAsia="Arial" w:hAnsi="Arial"/>
          <w:sz w:val="20"/>
          <w:szCs w:val="20"/>
          <w:i w:val="1"/>
          <w:iCs w:val="1"/>
          <w:color w:val="auto"/>
        </w:rPr>
        <w:t>GOVERNMENT AND OTHER REGULATIONS.</w:t>
      </w:r>
    </w:p>
    <w:p>
      <w:pPr>
        <w:spacing w:after="0" w:line="243" w:lineRule="exact"/>
        <w:rPr>
          <w:sz w:val="20"/>
          <w:szCs w:val="20"/>
          <w:color w:val="auto"/>
        </w:rPr>
      </w:pPr>
    </w:p>
    <w:p>
      <w:pPr>
        <w:ind w:right="20" w:firstLine="656"/>
        <w:spacing w:after="0" w:line="254" w:lineRule="auto"/>
        <w:tabs>
          <w:tab w:leader="none" w:pos="945"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ectPr>
          <w:pgSz w:w="11900" w:h="16838" w:orient="portrait"/>
          <w:cols w:equalWidth="0" w:num="1">
            <w:col w:w="11240"/>
          </w:cols>
          <w:pgMar w:left="320" w:top="1414" w:right="339" w:bottom="1440" w:gutter="0" w:footer="0" w:header="0"/>
        </w:sectPr>
      </w:pPr>
    </w:p>
    <w:bookmarkStart w:id="82" w:name="page83"/>
    <w:bookmarkEnd w:id="82"/>
    <w:p>
      <w:pPr>
        <w:spacing w:after="0" w:line="217" w:lineRule="exact"/>
        <w:rPr>
          <w:sz w:val="20"/>
          <w:szCs w:val="20"/>
          <w:color w:val="auto"/>
        </w:rPr>
      </w:pPr>
    </w:p>
    <w:p>
      <w:pPr>
        <w:ind w:firstLine="656"/>
        <w:spacing w:after="0" w:line="251" w:lineRule="auto"/>
        <w:tabs>
          <w:tab w:leader="none" w:pos="945" w:val="left"/>
        </w:tabs>
        <w:numPr>
          <w:ilvl w:val="0"/>
          <w:numId w:val="65"/>
        </w:numPr>
        <w:rPr>
          <w:rFonts w:ascii="Arial" w:cs="Arial" w:eastAsia="Arial" w:hAnsi="Arial"/>
          <w:sz w:val="20"/>
          <w:szCs w:val="20"/>
          <w:color w:val="auto"/>
        </w:rPr>
      </w:pPr>
      <w:r>
        <w:rPr>
          <w:rFonts w:ascii="Arial" w:cs="Arial" w:eastAsia="Arial" w:hAnsi="Arial"/>
          <w:sz w:val="20"/>
          <w:szCs w:val="20"/>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205" w:lineRule="exact"/>
        <w:rPr>
          <w:sz w:val="20"/>
          <w:szCs w:val="20"/>
          <w:color w:val="auto"/>
        </w:rPr>
      </w:pPr>
    </w:p>
    <w:p>
      <w:pPr>
        <w:jc w:val="both"/>
        <w:ind w:right="620" w:firstLine="648"/>
        <w:spacing w:after="0" w:line="262"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 (but without regard to its conflict of laws provisions).</w:t>
      </w:r>
    </w:p>
    <w:p>
      <w:pPr>
        <w:spacing w:after="0" w:line="205" w:lineRule="exact"/>
        <w:rPr>
          <w:sz w:val="20"/>
          <w:szCs w:val="20"/>
          <w:color w:val="auto"/>
        </w:rPr>
      </w:pPr>
    </w:p>
    <w:p>
      <w:pPr>
        <w:ind w:right="240" w:firstLine="648"/>
        <w:spacing w:after="0" w:line="313"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i w:val="1"/>
          <w:iCs w:val="1"/>
          <w:color w:val="auto"/>
        </w:rPr>
        <w:t>ADDITIONAL PROVISIONS.</w:t>
      </w:r>
      <w:r>
        <w:rPr>
          <w:rFonts w:ascii="Arial" w:cs="Arial" w:eastAsia="Arial" w:hAnsi="Arial"/>
          <w:sz w:val="19"/>
          <w:szCs w:val="19"/>
          <w:color w:val="auto"/>
        </w:rPr>
        <w:t xml:space="preserve"> Each Award Certificate may contain such other terms and conditions as the Committee may determine; provided that such other terms and conditions are not inconsistent with the provisions of the Plan.</w:t>
      </w:r>
    </w:p>
    <w:p>
      <w:pPr>
        <w:spacing w:after="0" w:line="146"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 xml:space="preserve">17.15. </w:t>
      </w:r>
      <w:r>
        <w:rPr>
          <w:rFonts w:ascii="Arial" w:cs="Arial" w:eastAsia="Arial" w:hAnsi="Arial"/>
          <w:sz w:val="20"/>
          <w:szCs w:val="20"/>
          <w:i w:val="1"/>
          <w:iCs w:val="1"/>
          <w:color w:val="auto"/>
        </w:rPr>
        <w:t>NO LIMITATIONS ON RIGHTS OF COMPANY.</w:t>
      </w:r>
      <w:r>
        <w:rPr>
          <w:rFonts w:ascii="Arial" w:cs="Arial" w:eastAsia="Arial" w:hAnsi="Arial"/>
          <w:sz w:val="20"/>
          <w:szCs w:val="20"/>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15" w:lineRule="exact"/>
        <w:rPr>
          <w:sz w:val="20"/>
          <w:szCs w:val="20"/>
          <w:color w:val="auto"/>
        </w:rPr>
      </w:pPr>
    </w:p>
    <w:p>
      <w:pPr>
        <w:ind w:firstLine="648"/>
        <w:spacing w:after="0" w:line="252" w:lineRule="auto"/>
        <w:rPr>
          <w:sz w:val="20"/>
          <w:szCs w:val="20"/>
          <w:color w:val="auto"/>
        </w:rPr>
      </w:pPr>
      <w:r>
        <w:rPr>
          <w:rFonts w:ascii="Arial" w:cs="Arial" w:eastAsia="Arial" w:hAnsi="Arial"/>
          <w:sz w:val="20"/>
          <w:szCs w:val="20"/>
          <w:color w:val="auto"/>
        </w:rPr>
        <w:t xml:space="preserve">17.16. </w:t>
      </w:r>
      <w:r>
        <w:rPr>
          <w:rFonts w:ascii="Arial" w:cs="Arial" w:eastAsia="Arial" w:hAnsi="Arial"/>
          <w:sz w:val="20"/>
          <w:szCs w:val="20"/>
          <w:i w:val="1"/>
          <w:iCs w:val="1"/>
          <w:color w:val="auto"/>
        </w:rPr>
        <w:t>INDEMNIFICATION.</w:t>
      </w:r>
      <w:r>
        <w:rPr>
          <w:rFonts w:ascii="Arial" w:cs="Arial" w:eastAsia="Arial" w:hAnsi="Arial"/>
          <w:sz w:val="20"/>
          <w:szCs w:val="20"/>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w:t>
      </w:r>
    </w:p>
    <w:p>
      <w:pPr>
        <w:sectPr>
          <w:pgSz w:w="11900" w:h="16838" w:orient="portrait"/>
          <w:cols w:equalWidth="0" w:num="1">
            <w:col w:w="11200"/>
          </w:cols>
          <w:pgMar w:left="320" w:top="1440" w:right="379" w:bottom="1440" w:gutter="0" w:footer="0" w:header="0"/>
        </w:sectPr>
      </w:pPr>
    </w:p>
    <w:bookmarkStart w:id="83" w:name="page84"/>
    <w:bookmarkEnd w:id="83"/>
    <w:p>
      <w:pPr>
        <w:jc w:val="both"/>
        <w:ind w:right="60"/>
        <w:spacing w:after="0" w:line="262" w:lineRule="auto"/>
        <w:rPr>
          <w:sz w:val="20"/>
          <w:szCs w:val="20"/>
          <w:color w:val="auto"/>
        </w:rPr>
      </w:pPr>
      <w:r>
        <w:rPr>
          <w:rFonts w:ascii="Arial" w:cs="Arial" w:eastAsia="Arial" w:hAnsi="Arial"/>
          <w:sz w:val="20"/>
          <w:szCs w:val="20"/>
          <w:color w:val="auto"/>
        </w:rPr>
        <w:t>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ectPr>
          <w:pgSz w:w="11900" w:h="16838" w:orient="portrait"/>
          <w:cols w:equalWidth="0" w:num="1">
            <w:col w:w="11060"/>
          </w:cols>
          <w:pgMar w:left="320" w:top="1414" w:right="519" w:bottom="1440" w:gutter="0" w:footer="0" w:header="0"/>
        </w:sectPr>
      </w:pPr>
    </w:p>
    <w:bookmarkStart w:id="84" w:name="page85"/>
    <w:bookmarkEnd w:id="84"/>
    <w:p>
      <w:pPr>
        <w:spacing w:after="0" w:line="202" w:lineRule="exact"/>
        <w:rPr>
          <w:sz w:val="20"/>
          <w:szCs w:val="20"/>
          <w:color w:val="auto"/>
        </w:rPr>
      </w:pPr>
    </w:p>
    <w:p>
      <w:pPr>
        <w:ind w:left="10140"/>
        <w:spacing w:after="0"/>
        <w:rPr>
          <w:sz w:val="20"/>
          <w:szCs w:val="20"/>
          <w:color w:val="auto"/>
        </w:rPr>
      </w:pPr>
      <w:r>
        <w:rPr>
          <w:rFonts w:ascii="Arial" w:cs="Arial" w:eastAsia="Arial" w:hAnsi="Arial"/>
          <w:sz w:val="19"/>
          <w:szCs w:val="19"/>
          <w:b w:val="1"/>
          <w:bCs w:val="1"/>
          <w:color w:val="auto"/>
        </w:rPr>
        <w:t>Exhibit 10.2</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AGREEMENT</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FORM OF TERMS AND CONDITIONS</w:t>
      </w:r>
    </w:p>
    <w:p>
      <w:pPr>
        <w:spacing w:after="0" w:line="238" w:lineRule="exact"/>
        <w:rPr>
          <w:sz w:val="20"/>
          <w:szCs w:val="20"/>
          <w:color w:val="auto"/>
        </w:rPr>
      </w:pPr>
    </w:p>
    <w:p>
      <w:pPr>
        <w:jc w:val="both"/>
        <w:ind w:left="20" w:hanging="6"/>
        <w:spacing w:after="0" w:line="254" w:lineRule="auto"/>
        <w:tabs>
          <w:tab w:leader="none" w:pos="267"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Grant of Shares</w:t>
      </w:r>
      <w:r>
        <w:rPr>
          <w:rFonts w:ascii="Arial" w:cs="Arial" w:eastAsia="Arial" w:hAnsi="Arial"/>
          <w:sz w:val="20"/>
          <w:szCs w:val="20"/>
          <w:color w:val="auto"/>
        </w:rPr>
        <w:t>. The Company hereby grants to the Grantee named in the notice of award (“Grantee”), subject to the restrictions and the other terms and conditions set forth in the Micron Technology, Inc. Amended and Restated 2004 Equity Incentive Plan (the “Plan”) and in this award agreement (this “Agreement”), the number of shares indicated in the notice of award of the Company’s $0.10 par value common stock (the “Shares”). Capitalized terms used herein and not otherwise defined shall have the meanings assigned to such terms in the Plan.</w:t>
      </w:r>
    </w:p>
    <w:p>
      <w:pPr>
        <w:spacing w:after="0" w:line="214" w:lineRule="exact"/>
        <w:rPr>
          <w:rFonts w:ascii="Arial" w:cs="Arial" w:eastAsia="Arial" w:hAnsi="Arial"/>
          <w:sz w:val="20"/>
          <w:szCs w:val="20"/>
          <w:color w:val="auto"/>
        </w:rPr>
      </w:pPr>
    </w:p>
    <w:p>
      <w:pPr>
        <w:jc w:val="both"/>
        <w:ind w:left="20" w:hanging="6"/>
        <w:spacing w:after="0" w:line="251" w:lineRule="auto"/>
        <w:tabs>
          <w:tab w:leader="none" w:pos="2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General Acknowledgements</w:t>
      </w:r>
      <w:r>
        <w:rPr>
          <w:rFonts w:ascii="Arial" w:cs="Arial" w:eastAsia="Arial" w:hAnsi="Arial"/>
          <w:sz w:val="20"/>
          <w:szCs w:val="20"/>
          <w:color w:val="auto"/>
        </w:rPr>
        <w:t>. By accepting the Shares, Grantee hereby acknowledges that he or she has reviewed the terms and conditions of this Agreement and the Plan, and is familiar with the provisions thereof. Grantee hereby accepts the Shares subject to all the terms and conditions of this Agreement and the Plan. Grantee acknowledges that a Prospectus relating to the Plan was made available for review. Grantee hereby agrees to accept as binding, conclusive and final all decisions or interpretations of the Committee upon any questions arising under the Plan. Grantee acknowledges that the grant and acceptance of the Shares do not constitute an employment agreement and do not assure continuous employment with the Company or any of its Affiliates.</w:t>
      </w:r>
    </w:p>
    <w:p>
      <w:pPr>
        <w:spacing w:after="0" w:line="219" w:lineRule="exact"/>
        <w:rPr>
          <w:rFonts w:ascii="Arial" w:cs="Arial" w:eastAsia="Arial" w:hAnsi="Arial"/>
          <w:sz w:val="20"/>
          <w:szCs w:val="20"/>
          <w:color w:val="auto"/>
        </w:rPr>
      </w:pPr>
    </w:p>
    <w:p>
      <w:pPr>
        <w:jc w:val="both"/>
        <w:ind w:left="20" w:hanging="6"/>
        <w:spacing w:after="0" w:line="252" w:lineRule="auto"/>
        <w:tabs>
          <w:tab w:leader="none" w:pos="253"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 assigned, pledged, hypothecated or otherwise encumbered. If Grantee’s Continuous Status as a Participant terminates for any reason other than as set forth in paragraph (b) or paragraph (d) of Section 4 hereof, then Grantee shall forfeit all of Grantee’s right, title and interest in and to the Restricted Shares as of the date of termination of such service or employment, and such Restricted Shares shall revert to the Company. The restrictions imposed under this Section shall apply to all shares of the Company’s Stock with respect to the Restricted Shares or other securities issued in connection with any merger, reorganization, consolidation, recapitalization, stock dividend or other change in corporate structure affecting the Stock of the Company.</w:t>
      </w:r>
    </w:p>
    <w:p>
      <w:pPr>
        <w:spacing w:after="0" w:line="216" w:lineRule="exact"/>
        <w:rPr>
          <w:rFonts w:ascii="Arial" w:cs="Arial" w:eastAsia="Arial" w:hAnsi="Arial"/>
          <w:sz w:val="20"/>
          <w:szCs w:val="20"/>
          <w:color w:val="auto"/>
        </w:rPr>
      </w:pPr>
    </w:p>
    <w:p>
      <w:pPr>
        <w:ind w:left="20" w:right="20" w:hanging="6"/>
        <w:spacing w:after="0" w:line="286" w:lineRule="auto"/>
        <w:tabs>
          <w:tab w:leader="none" w:pos="240"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Expiration and Termination of Restrictions</w:t>
      </w:r>
      <w:r>
        <w:rPr>
          <w:rFonts w:ascii="Arial" w:cs="Arial" w:eastAsia="Arial" w:hAnsi="Arial"/>
          <w:sz w:val="20"/>
          <w:szCs w:val="20"/>
          <w:color w:val="auto"/>
        </w:rPr>
        <w:t>. The restrictions imposed under Section 3 will expire on the earliest to occur of the following (the period prior to such expiration being referred to herein as the “Restricted Period”):</w:t>
      </w:r>
    </w:p>
    <w:p>
      <w:pPr>
        <w:spacing w:after="0" w:line="180" w:lineRule="exact"/>
        <w:rPr>
          <w:rFonts w:ascii="Arial" w:cs="Arial" w:eastAsia="Arial" w:hAnsi="Arial"/>
          <w:sz w:val="20"/>
          <w:szCs w:val="20"/>
          <w:color w:val="auto"/>
        </w:rPr>
      </w:pPr>
    </w:p>
    <w:p>
      <w:pPr>
        <w:ind w:left="1300" w:hanging="644"/>
        <w:spacing w:after="0" w:line="271" w:lineRule="auto"/>
        <w:tabs>
          <w:tab w:leader="none" w:pos="1219" w:val="left"/>
        </w:tabs>
        <w:numPr>
          <w:ilvl w:val="1"/>
          <w:numId w:val="66"/>
        </w:numPr>
        <w:rPr>
          <w:rFonts w:ascii="Arial" w:cs="Arial" w:eastAsia="Arial" w:hAnsi="Arial"/>
          <w:sz w:val="20"/>
          <w:szCs w:val="20"/>
          <w:color w:val="auto"/>
        </w:rPr>
      </w:pPr>
      <w:r>
        <w:rPr>
          <w:rFonts w:ascii="Arial" w:cs="Arial" w:eastAsia="Arial" w:hAnsi="Arial"/>
          <w:sz w:val="20"/>
          <w:szCs w:val="20"/>
          <w:color w:val="auto"/>
        </w:rPr>
        <w:t>On the respective vesting dates specified in the notice of award as to the number of Shares specified therein; provided Grantee remains in Continuous Status as a Participant on each vesting date specified therein;</w:t>
      </w:r>
    </w:p>
    <w:p>
      <w:pPr>
        <w:spacing w:after="0" w:line="196" w:lineRule="exact"/>
        <w:rPr>
          <w:rFonts w:ascii="Arial" w:cs="Arial" w:eastAsia="Arial" w:hAnsi="Arial"/>
          <w:sz w:val="20"/>
          <w:szCs w:val="20"/>
          <w:color w:val="auto"/>
        </w:rPr>
      </w:pPr>
    </w:p>
    <w:p>
      <w:pPr>
        <w:ind w:left="1300" w:hanging="644"/>
        <w:spacing w:after="0" w:line="286" w:lineRule="auto"/>
        <w:tabs>
          <w:tab w:leader="none" w:pos="1196" w:val="left"/>
        </w:tabs>
        <w:numPr>
          <w:ilvl w:val="1"/>
          <w:numId w:val="66"/>
        </w:numPr>
        <w:rPr>
          <w:rFonts w:ascii="Arial" w:cs="Arial" w:eastAsia="Arial" w:hAnsi="Arial"/>
          <w:sz w:val="20"/>
          <w:szCs w:val="20"/>
          <w:color w:val="auto"/>
        </w:rPr>
      </w:pPr>
      <w:r>
        <w:rPr>
          <w:rFonts w:ascii="Arial" w:cs="Arial" w:eastAsia="Arial" w:hAnsi="Arial"/>
          <w:sz w:val="20"/>
          <w:szCs w:val="20"/>
          <w:color w:val="auto"/>
        </w:rPr>
        <w:t>as to all of the Shares, upon termination of Grantee’s Continuous Status as a Participant by reason of death or Disability; or</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ind w:left="1286" w:right="20" w:hanging="644"/>
        <w:spacing w:after="0" w:line="286" w:lineRule="auto"/>
        <w:tabs>
          <w:tab w:leader="none" w:pos="1101" w:val="left"/>
        </w:tabs>
        <w:numPr>
          <w:ilvl w:val="0"/>
          <w:numId w:val="67"/>
        </w:numPr>
        <w:rPr>
          <w:rFonts w:ascii="Arial" w:cs="Arial" w:eastAsia="Arial" w:hAnsi="Arial"/>
          <w:sz w:val="20"/>
          <w:szCs w:val="20"/>
          <w:color w:val="auto"/>
        </w:rPr>
      </w:pPr>
      <w:r>
        <w:rPr>
          <w:rFonts w:ascii="Arial" w:cs="Arial" w:eastAsia="Arial" w:hAnsi="Arial"/>
          <w:sz w:val="20"/>
          <w:szCs w:val="20"/>
          <w:color w:val="auto"/>
        </w:rPr>
        <w:t>as to all of the Shares, upon the occurrence of a Change in Control, if the Shares are not assumed by the surviving entity or otherwise equitably converted or substituted in connection with a Change in Control; or</w:t>
      </w:r>
    </w:p>
    <w:p>
      <w:pPr>
        <w:spacing w:after="0" w:line="180" w:lineRule="exact"/>
        <w:rPr>
          <w:rFonts w:ascii="Arial" w:cs="Arial" w:eastAsia="Arial" w:hAnsi="Arial"/>
          <w:sz w:val="20"/>
          <w:szCs w:val="20"/>
          <w:color w:val="auto"/>
        </w:rPr>
      </w:pPr>
    </w:p>
    <w:p>
      <w:pPr>
        <w:jc w:val="both"/>
        <w:ind w:left="1286" w:hanging="644"/>
        <w:spacing w:after="0" w:line="255" w:lineRule="auto"/>
        <w:tabs>
          <w:tab w:leader="none" w:pos="1219" w:val="left"/>
        </w:tabs>
        <w:numPr>
          <w:ilvl w:val="0"/>
          <w:numId w:val="67"/>
        </w:numPr>
        <w:rPr>
          <w:rFonts w:ascii="Arial" w:cs="Arial" w:eastAsia="Arial" w:hAnsi="Arial"/>
          <w:sz w:val="20"/>
          <w:szCs w:val="20"/>
          <w:color w:val="auto"/>
        </w:rPr>
      </w:pPr>
      <w:r>
        <w:rPr>
          <w:rFonts w:ascii="Arial" w:cs="Arial" w:eastAsia="Arial" w:hAnsi="Arial"/>
          <w:sz w:val="20"/>
          <w:szCs w:val="20"/>
          <w:color w:val="auto"/>
        </w:rPr>
        <w:t>as to all of the Shares, if the Shares are assumed by the surviving entity or otherwise equitably converted or substituted in connection with a Change in Control, upon the termination of Grantee’s employment by the Company without Cause [or Grantee’s resignation for “Good Reason” (as defined below)] within one year after the effective date of the Change in Control.</w:t>
      </w:r>
    </w:p>
    <w:p>
      <w:pPr>
        <w:spacing w:after="0" w:line="211" w:lineRule="exact"/>
        <w:rPr>
          <w:sz w:val="20"/>
          <w:szCs w:val="20"/>
          <w:color w:val="auto"/>
        </w:rPr>
      </w:pPr>
    </w:p>
    <w:p>
      <w:pPr>
        <w:jc w:val="both"/>
        <w:ind w:left="6"/>
        <w:spacing w:after="0" w:line="255" w:lineRule="auto"/>
        <w:rPr>
          <w:sz w:val="20"/>
          <w:szCs w:val="20"/>
          <w:color w:val="auto"/>
        </w:rPr>
      </w:pPr>
      <w:r>
        <w:rPr>
          <w:rFonts w:ascii="Arial" w:cs="Arial" w:eastAsia="Arial" w:hAnsi="Arial"/>
          <w:sz w:val="20"/>
          <w:szCs w:val="20"/>
          <w:color w:val="auto"/>
        </w:rPr>
        <w:t>[For purposes of this Agreement, “Good Reason” shall mean any of the following, without Grantee’s consent: (i) a material diminution in Grantee’s Base Salary (other than an across-the-board reduction in base salary that affects all peer employees);</w:t>
      </w:r>
    </w:p>
    <w:p>
      <w:pPr>
        <w:spacing w:after="0" w:line="2" w:lineRule="exact"/>
        <w:rPr>
          <w:sz w:val="20"/>
          <w:szCs w:val="20"/>
          <w:color w:val="auto"/>
        </w:rPr>
      </w:pPr>
    </w:p>
    <w:p>
      <w:pPr>
        <w:jc w:val="both"/>
        <w:ind w:left="6" w:hanging="6"/>
        <w:spacing w:after="0" w:line="249" w:lineRule="auto"/>
        <w:tabs>
          <w:tab w:leader="none" w:pos="293" w:val="left"/>
        </w:tabs>
        <w:numPr>
          <w:ilvl w:val="0"/>
          <w:numId w:val="68"/>
        </w:numPr>
        <w:rPr>
          <w:rFonts w:ascii="Arial" w:cs="Arial" w:eastAsia="Arial" w:hAnsi="Arial"/>
          <w:sz w:val="20"/>
          <w:szCs w:val="20"/>
          <w:color w:val="auto"/>
        </w:rPr>
      </w:pPr>
      <w:r>
        <w:rPr>
          <w:rFonts w:ascii="Arial" w:cs="Arial" w:eastAsia="Arial" w:hAnsi="Arial"/>
          <w:sz w:val="20"/>
          <w:szCs w:val="20"/>
          <w:color w:val="auto"/>
        </w:rPr>
        <w:t>a material diminution in Grantee’s authority, duties, or responsibilities; or (iii) the relocation of Grantee’s principal office to a location that is more than twenty-five (25) miles from the location of Grantee’s principal office on the effective date of the Change in Control; provided, however, that Good Reason shall not include (A) any relocation of Grantee’s principal office which is proposed or initiated by Grantee; or (B) any relocation that results in Grantee’s principal place office being closer to Grantee’s then-current principal residence. A termination by Grantee shall not constitute termination for Good Reason unless Grantee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Grantee within thirty (30) days following its receipt of such Good Reason Notice. Grantee’s date of termination for Good Reason must occur within a period of three hundred and sixty five (365) days after the initial occurrence of an event of Good Reason.]</w:t>
      </w:r>
    </w:p>
    <w:p>
      <w:pPr>
        <w:spacing w:after="0" w:line="219" w:lineRule="exact"/>
        <w:rPr>
          <w:sz w:val="20"/>
          <w:szCs w:val="20"/>
          <w:color w:val="auto"/>
        </w:rPr>
      </w:pPr>
    </w:p>
    <w:p>
      <w:pPr>
        <w:jc w:val="both"/>
        <w:ind w:left="6" w:hanging="6"/>
        <w:spacing w:after="0" w:line="251" w:lineRule="auto"/>
        <w:tabs>
          <w:tab w:leader="none" w:pos="252"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 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6"/>
          </w:cols>
          <w:pgMar w:left="334" w:top="1440" w:right="339" w:bottom="1440" w:gutter="0" w:footer="0" w:header="0"/>
        </w:sectPr>
      </w:pPr>
    </w:p>
    <w:bookmarkStart w:id="86" w:name="page87"/>
    <w:bookmarkEnd w:id="86"/>
    <w:p>
      <w:pPr>
        <w:spacing w:after="0" w:line="190" w:lineRule="exact"/>
        <w:rPr>
          <w:sz w:val="20"/>
          <w:szCs w:val="20"/>
          <w:color w:val="auto"/>
        </w:rPr>
      </w:pPr>
    </w:p>
    <w:p>
      <w:pPr>
        <w:jc w:val="both"/>
        <w:ind w:left="6" w:hanging="6"/>
        <w:spacing w:after="0" w:line="250" w:lineRule="auto"/>
        <w:tabs>
          <w:tab w:leader="none" w:pos="252"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Grantee, as beneficial owner of the Shares, shall have full voting rights with respect to the Shares during and after the Restricted Period.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3 as the Restricted Shares to which they relate. Accrued dividends deferred and held pursuant to the foregoing provision shall be paid by the Company to Grantee promptly upon the expiration of the Restricted Period (and in any event within thirty (30) days of the date of such expiration). If Grantee forfeits any rights he may have under this Agreement in accordance with Section 3, Grantee shall no longer have any rights as a shareholder with respect to the Restricted Shares or any interest therein and Grantee shall no longer be entitled to receive dividends on such stock.</w:t>
      </w:r>
    </w:p>
    <w:p>
      <w:pPr>
        <w:spacing w:after="0" w:line="223" w:lineRule="exact"/>
        <w:rPr>
          <w:rFonts w:ascii="Arial" w:cs="Arial" w:eastAsia="Arial" w:hAnsi="Arial"/>
          <w:sz w:val="20"/>
          <w:szCs w:val="20"/>
          <w:color w:val="auto"/>
        </w:rPr>
      </w:pPr>
    </w:p>
    <w:p>
      <w:pPr>
        <w:jc w:val="both"/>
        <w:ind w:left="6" w:hanging="6"/>
        <w:spacing w:after="0" w:line="254" w:lineRule="auto"/>
        <w:tabs>
          <w:tab w:leader="none" w:pos="239"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With respect to a grantee who is employed by the Company or an Affiliate, nothing in this Agreement shall interfere with or limit in any way the right of the Company or any Affiliate to terminate such grantee’s employment at any time, nor confer upon any such grantee any right to continue in the employ of the Company or any Affiliate.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Shares as a result of that termination or from the loss or diminution in value of such rights. The grant of the Shares does not give Grantee any right to participate in any future grants of share incentive awards.</w:t>
      </w:r>
    </w:p>
    <w:p>
      <w:pPr>
        <w:spacing w:after="0" w:line="213" w:lineRule="exact"/>
        <w:rPr>
          <w:rFonts w:ascii="Arial" w:cs="Arial" w:eastAsia="Arial" w:hAnsi="Arial"/>
          <w:sz w:val="20"/>
          <w:szCs w:val="20"/>
          <w:color w:val="auto"/>
        </w:rPr>
      </w:pPr>
    </w:p>
    <w:p>
      <w:pPr>
        <w:jc w:val="both"/>
        <w:ind w:left="6" w:hanging="6"/>
        <w:spacing w:after="0" w:line="267" w:lineRule="auto"/>
        <w:tabs>
          <w:tab w:leader="none" w:pos="239"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Payment of Taxes</w:t>
      </w:r>
      <w:r>
        <w:rPr>
          <w:rFonts w:ascii="Arial" w:cs="Arial" w:eastAsia="Arial" w:hAnsi="Arial"/>
          <w:sz w:val="19"/>
          <w:szCs w:val="19"/>
          <w:color w:val="auto"/>
        </w:rPr>
        <w:t>. Upon issuance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Committee may permit Grantee to surrender to the Company a number of Shares from this Award as necessary to pay the minimum applicable withholding tax obligation.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w:t>
      </w:r>
    </w:p>
    <w:p>
      <w:pPr>
        <w:spacing w:after="0" w:line="201" w:lineRule="exact"/>
        <w:rPr>
          <w:rFonts w:ascii="Arial" w:cs="Arial" w:eastAsia="Arial" w:hAnsi="Arial"/>
          <w:sz w:val="19"/>
          <w:szCs w:val="19"/>
          <w:color w:val="auto"/>
        </w:rPr>
      </w:pPr>
    </w:p>
    <w:p>
      <w:pPr>
        <w:jc w:val="both"/>
        <w:ind w:left="6" w:hanging="6"/>
        <w:spacing w:after="0" w:line="254" w:lineRule="auto"/>
        <w:tabs>
          <w:tab w:leader="none" w:pos="225" w:val="left"/>
        </w:tabs>
        <w:numPr>
          <w:ilvl w:val="0"/>
          <w:numId w:val="70"/>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the Award and this Agreement without approval of the Grantee; provided, however, that such amendment, modification or termination shall not, without the Grantee’s consent, reduce or diminish the value of this Award determined as if it had been fully vested on the date of such amendment or termination. Notwithstanding anything herein to the contrary, the Company is authorized, without Grantee’s consent, to amend or interpret this Award and this Agreement certificate to the extent necessary, if any, to comply with Section 409A of the Code and Treasury regulations and guidance with respect to such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26"/>
          </w:cols>
          <w:pgMar w:left="334" w:top="1440" w:right="339" w:bottom="1440" w:gutter="0" w:footer="0" w:header="0"/>
        </w:sectPr>
      </w:pPr>
    </w:p>
    <w:bookmarkStart w:id="87" w:name="page88"/>
    <w:bookmarkEnd w:id="87"/>
    <w:p>
      <w:pPr>
        <w:spacing w:after="0" w:line="190" w:lineRule="exact"/>
        <w:rPr>
          <w:sz w:val="20"/>
          <w:szCs w:val="20"/>
          <w:color w:val="auto"/>
        </w:rPr>
      </w:pPr>
    </w:p>
    <w:p>
      <w:pPr>
        <w:jc w:val="both"/>
        <w:ind w:left="6" w:hanging="6"/>
        <w:spacing w:after="0" w:line="282" w:lineRule="auto"/>
        <w:tabs>
          <w:tab w:leader="none" w:pos="33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Plan Controls</w:t>
      </w:r>
      <w:r>
        <w:rPr>
          <w:rFonts w:ascii="Arial" w:cs="Arial" w:eastAsia="Arial" w:hAnsi="Arial"/>
          <w:sz w:val="19"/>
          <w:szCs w:val="19"/>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88" w:lineRule="exact"/>
        <w:rPr>
          <w:rFonts w:ascii="Arial" w:cs="Arial" w:eastAsia="Arial" w:hAnsi="Arial"/>
          <w:sz w:val="19"/>
          <w:szCs w:val="19"/>
          <w:color w:val="auto"/>
        </w:rPr>
      </w:pPr>
    </w:p>
    <w:p>
      <w:pPr>
        <w:ind w:left="6" w:hanging="6"/>
        <w:spacing w:after="0" w:line="286" w:lineRule="auto"/>
        <w:tabs>
          <w:tab w:leader="none" w:pos="33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180" w:lineRule="exact"/>
        <w:rPr>
          <w:rFonts w:ascii="Arial" w:cs="Arial" w:eastAsia="Arial" w:hAnsi="Arial"/>
          <w:sz w:val="20"/>
          <w:szCs w:val="20"/>
          <w:color w:val="auto"/>
        </w:rPr>
      </w:pPr>
    </w:p>
    <w:p>
      <w:pPr>
        <w:jc w:val="both"/>
        <w:ind w:left="6" w:hanging="6"/>
        <w:spacing w:after="0" w:line="262" w:lineRule="auto"/>
        <w:tabs>
          <w:tab w:leader="none" w:pos="38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deemed to be invalid, illegal or unenforceable, the other provisions of this Agreement will be construed and enforced as if the invalid, illegal or unenforceable provision had never been included.</w:t>
      </w:r>
    </w:p>
    <w:p>
      <w:pPr>
        <w:spacing w:after="0" w:line="205" w:lineRule="exact"/>
        <w:rPr>
          <w:rFonts w:ascii="Arial" w:cs="Arial" w:eastAsia="Arial" w:hAnsi="Arial"/>
          <w:sz w:val="20"/>
          <w:szCs w:val="20"/>
          <w:color w:val="auto"/>
        </w:rPr>
      </w:pPr>
    </w:p>
    <w:p>
      <w:pPr>
        <w:jc w:val="both"/>
        <w:ind w:left="6" w:hanging="6"/>
        <w:spacing w:after="0" w:line="271" w:lineRule="auto"/>
        <w:tabs>
          <w:tab w:leader="none" w:pos="335"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the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97" w:lineRule="exact"/>
        <w:rPr>
          <w:rFonts w:ascii="Arial" w:cs="Arial" w:eastAsia="Arial" w:hAnsi="Arial"/>
          <w:sz w:val="19"/>
          <w:szCs w:val="19"/>
          <w:color w:val="auto"/>
        </w:rPr>
      </w:pPr>
    </w:p>
    <w:p>
      <w:pPr>
        <w:jc w:val="both"/>
        <w:ind w:left="6" w:hanging="6"/>
        <w:spacing w:after="0" w:line="254" w:lineRule="auto"/>
        <w:tabs>
          <w:tab w:leader="none" w:pos="389"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Grantee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Grantee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6"/>
          </w:cols>
          <w:pgMar w:left="334" w:top="1440" w:right="339" w:bottom="1440" w:gutter="0" w:footer="0" w:header="0"/>
        </w:sectPr>
      </w:pPr>
    </w:p>
    <w:bookmarkStart w:id="88" w:name="page89"/>
    <w:bookmarkEnd w:id="8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OPTION AGREEMENT</w:t>
      </w:r>
    </w:p>
    <w:p>
      <w:pPr>
        <w:ind w:left="20"/>
        <w:spacing w:after="0"/>
        <w:rPr>
          <w:sz w:val="20"/>
          <w:szCs w:val="20"/>
          <w:color w:val="auto"/>
        </w:rPr>
      </w:pPr>
      <w:r>
        <w:rPr>
          <w:rFonts w:ascii="Arial" w:cs="Arial" w:eastAsia="Arial" w:hAnsi="Arial"/>
          <w:sz w:val="20"/>
          <w:szCs w:val="20"/>
          <w:b w:val="1"/>
          <w:bCs w:val="1"/>
          <w:color w:val="auto"/>
        </w:rPr>
        <w:t>FORM OF TERMS AND CONDITIONS</w:t>
      </w:r>
    </w:p>
    <w:p>
      <w:pPr>
        <w:spacing w:after="0" w:line="238" w:lineRule="exact"/>
        <w:rPr>
          <w:sz w:val="20"/>
          <w:szCs w:val="20"/>
          <w:color w:val="auto"/>
        </w:rPr>
      </w:pPr>
    </w:p>
    <w:p>
      <w:pPr>
        <w:jc w:val="both"/>
        <w:ind w:left="20" w:hanging="6"/>
        <w:spacing w:after="0" w:line="254" w:lineRule="auto"/>
        <w:tabs>
          <w:tab w:leader="none" w:pos="28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Micron Technology, Inc. (the “Company”) hereby grants to the Optionee named in the notice of grant (“Optionee”), under the Micron Technology, Inc. Amended and Restated 2004 Equity Incentive Plan (the “Plan”), stock options to purchase from the Company (the “Options”), on the terms and on conditions set forth in this agreement (this “Agreement”), the number of shares indicated in the notice of grant of the Company’s $0.10 par value common stock, at the exercise price per share set forth in the notice of grant. Capitalized terms used herein and not otherwise defined shall have the meanings assigned to such terms in the Plan.</w:t>
      </w:r>
    </w:p>
    <w:p>
      <w:pPr>
        <w:spacing w:after="0" w:line="213" w:lineRule="exact"/>
        <w:rPr>
          <w:rFonts w:ascii="Arial" w:cs="Arial" w:eastAsia="Arial" w:hAnsi="Arial"/>
          <w:sz w:val="20"/>
          <w:szCs w:val="20"/>
          <w:color w:val="auto"/>
        </w:rPr>
      </w:pPr>
    </w:p>
    <w:p>
      <w:pPr>
        <w:jc w:val="both"/>
        <w:ind w:left="20" w:hanging="6"/>
        <w:spacing w:after="0" w:line="254" w:lineRule="auto"/>
        <w:tabs>
          <w:tab w:leader="none" w:pos="267"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General Acknowledgements</w:t>
      </w:r>
      <w:r>
        <w:rPr>
          <w:rFonts w:ascii="Arial" w:cs="Arial" w:eastAsia="Arial" w:hAnsi="Arial"/>
          <w:sz w:val="20"/>
          <w:szCs w:val="20"/>
          <w:color w:val="auto"/>
        </w:rPr>
        <w:t>. By accepting the Options, Optionee hereby acknowledges that he or she has reviewed the terms and conditions of this Agreement and the Plan, and is familiar with the provisions thereof. Optionee hereby accepts the Options subject to all the terms and conditions of this Agreement and the Plan. Optionee acknowledges that a Prospectus relating to the Plan was made available for review. Optionee hereby agrees to accept as binding, conclusive and final all decisions or interpretations of the Committee upon any questions arising under the Plan. Optionee acknowledges that the grant and acceptance of the Options do not constitute an employment agreement and do not assure continuous employment with the Company or any of its Affiliates.</w:t>
      </w:r>
    </w:p>
    <w:p>
      <w:pPr>
        <w:spacing w:after="0" w:line="213" w:lineRule="exact"/>
        <w:rPr>
          <w:rFonts w:ascii="Arial" w:cs="Arial" w:eastAsia="Arial" w:hAnsi="Arial"/>
          <w:sz w:val="20"/>
          <w:szCs w:val="20"/>
          <w:color w:val="auto"/>
        </w:rPr>
      </w:pPr>
    </w:p>
    <w:p>
      <w:pPr>
        <w:jc w:val="both"/>
        <w:ind w:left="20" w:hanging="6"/>
        <w:spacing w:after="0" w:line="263" w:lineRule="auto"/>
        <w:tabs>
          <w:tab w:leader="none" w:pos="24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Vesting of Options</w:t>
      </w:r>
      <w:r>
        <w:rPr>
          <w:rFonts w:ascii="Arial" w:cs="Arial" w:eastAsia="Arial" w:hAnsi="Arial"/>
          <w:sz w:val="19"/>
          <w:szCs w:val="19"/>
          <w:color w:val="auto"/>
        </w:rPr>
        <w:t>. The Option shall vest (become exercisable) in accordance with the schedule shown in the notice of grant, provided Optionee remains in Continuous Status as a Participant on each vesting date specified therein. Notwithstanding the foregoing vesting schedule, all Options shall become fully vested and exercisable (i) upon termination of Optionee’s Continuous Status as a Participant by reason of his or her death or Disability, (ii) upon a Change in Control, unless the Options are assumed by the surviving entity or otherwise equitably converted or substituted in connection with the Change in Control; or (iii) if the Options are assumed by the surviving entity or otherwise equitably converted or substituted in connection with a Change in Control, upon the termination of Optionee’s employment by the Company without Cause [or Optionee’s resignation for “Good Reason” (as defined below)] within one year after the effective date of the Change in Control. [For purposes of this Agreement, “Good Reason” shall mean any of the following, without Optionee’s consent: (i) a material diminution in Optionee’s Base Salary (other than an across-the-board reduction in base salary that affects all peer employees); (ii) a material diminution in Optionee’s authority, duties, or responsibilities; or (iii) the relocation of Optionee’s principal office to a location that is more than twenty-five (25) miles from the location of Optionee’s principal office on the effective date of the Change in Control; provided, however, that Good Reason shall not include (A) any relocation of Optionee’s principal office which is proposed or initiated by Optionee; or (B) any relocation that results in Optionee’s principal place office being closer to Optionee’s then-current principal residence. A termination by Optionee shall not constitute termination for Good Reason unless Optionee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Optionee within thirty (30) days following its receipt of such Good Reason Notice. Optionee’s date of termination for Good Reason must occur within a period of three hundred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and sixty five (365) days after the initial occurrence of an event of Good Reason.]</w:t>
      </w:r>
    </w:p>
    <w:p>
      <w:pPr>
        <w:spacing w:after="0" w:line="256" w:lineRule="exact"/>
        <w:rPr>
          <w:sz w:val="20"/>
          <w:szCs w:val="20"/>
          <w:color w:val="auto"/>
        </w:rPr>
      </w:pPr>
    </w:p>
    <w:p>
      <w:pPr>
        <w:ind w:left="226" w:hanging="226"/>
        <w:spacing w:after="0"/>
        <w:tabs>
          <w:tab w:leader="none" w:pos="226"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Term of Options and Limitations on Right to Exercise</w:t>
      </w:r>
      <w:r>
        <w:rPr>
          <w:rFonts w:ascii="Arial" w:cs="Arial" w:eastAsia="Arial" w:hAnsi="Arial"/>
          <w:sz w:val="20"/>
          <w:szCs w:val="20"/>
          <w:color w:val="auto"/>
        </w:rPr>
        <w:t>. The term of the Options will be for a period of eight years, expiring at</w:t>
      </w:r>
    </w:p>
    <w:p>
      <w:pPr>
        <w:spacing w:after="0" w:line="31" w:lineRule="exact"/>
        <w:rPr>
          <w:rFonts w:ascii="Arial" w:cs="Arial" w:eastAsia="Arial" w:hAnsi="Arial"/>
          <w:sz w:val="20"/>
          <w:szCs w:val="20"/>
          <w:color w:val="auto"/>
        </w:rPr>
      </w:pPr>
    </w:p>
    <w:p>
      <w:pPr>
        <w:ind w:left="6" w:right="20"/>
        <w:spacing w:after="0" w:line="253" w:lineRule="auto"/>
        <w:rPr>
          <w:rFonts w:ascii="Arial" w:cs="Arial" w:eastAsia="Arial" w:hAnsi="Arial"/>
          <w:sz w:val="20"/>
          <w:szCs w:val="20"/>
          <w:color w:val="auto"/>
        </w:rPr>
      </w:pPr>
      <w:r>
        <w:rPr>
          <w:rFonts w:ascii="Arial" w:cs="Arial" w:eastAsia="Arial" w:hAnsi="Arial"/>
          <w:sz w:val="20"/>
          <w:szCs w:val="20"/>
          <w:color w:val="auto"/>
        </w:rPr>
        <w:t>5:00 p.m., Mountain Time, on the eighth anniversary of the Grant Date (the “Expiration Date”). To the extent not previously exercised, the Options will lapse prior to the Expiration Date upon the earliest to occur of the following circumstances:</w:t>
      </w:r>
    </w:p>
    <w:p>
      <w:pPr>
        <w:spacing w:after="0" w:line="212" w:lineRule="exact"/>
        <w:rPr>
          <w:rFonts w:ascii="Arial" w:cs="Arial" w:eastAsia="Arial" w:hAnsi="Arial"/>
          <w:sz w:val="20"/>
          <w:szCs w:val="20"/>
          <w:color w:val="auto"/>
        </w:rPr>
      </w:pPr>
    </w:p>
    <w:p>
      <w:pPr>
        <w:ind w:left="1286" w:hanging="644"/>
        <w:spacing w:after="0" w:line="286" w:lineRule="auto"/>
        <w:tabs>
          <w:tab w:leader="none" w:pos="1191" w:val="left"/>
        </w:tabs>
        <w:numPr>
          <w:ilvl w:val="1"/>
          <w:numId w:val="73"/>
        </w:numPr>
        <w:rPr>
          <w:rFonts w:ascii="Arial" w:cs="Arial" w:eastAsia="Arial" w:hAnsi="Arial"/>
          <w:sz w:val="20"/>
          <w:szCs w:val="20"/>
          <w:color w:val="auto"/>
        </w:rPr>
      </w:pPr>
      <w:r>
        <w:rPr>
          <w:rFonts w:ascii="Arial" w:cs="Arial" w:eastAsia="Arial" w:hAnsi="Arial"/>
          <w:sz w:val="20"/>
          <w:szCs w:val="20"/>
          <w:color w:val="auto"/>
        </w:rPr>
        <w:t>Thirty days after the termination of Optionee’s Continuous Status as a Participant for any reason other than by reason of Optionee’s death or Disability.</w:t>
      </w:r>
    </w:p>
    <w:p>
      <w:pPr>
        <w:spacing w:after="0" w:line="180" w:lineRule="exact"/>
        <w:rPr>
          <w:rFonts w:ascii="Arial" w:cs="Arial" w:eastAsia="Arial" w:hAnsi="Arial"/>
          <w:sz w:val="20"/>
          <w:szCs w:val="20"/>
          <w:color w:val="auto"/>
        </w:rPr>
      </w:pPr>
    </w:p>
    <w:p>
      <w:pPr>
        <w:ind w:left="1106" w:hanging="464"/>
        <w:spacing w:after="0"/>
        <w:tabs>
          <w:tab w:leader="none" w:pos="1106" w:val="left"/>
        </w:tabs>
        <w:numPr>
          <w:ilvl w:val="1"/>
          <w:numId w:val="73"/>
        </w:numPr>
        <w:rPr>
          <w:rFonts w:ascii="Arial" w:cs="Arial" w:eastAsia="Arial" w:hAnsi="Arial"/>
          <w:sz w:val="20"/>
          <w:szCs w:val="20"/>
          <w:color w:val="auto"/>
        </w:rPr>
      </w:pPr>
      <w:r>
        <w:rPr>
          <w:rFonts w:ascii="Arial" w:cs="Arial" w:eastAsia="Arial" w:hAnsi="Arial"/>
          <w:sz w:val="20"/>
          <w:szCs w:val="20"/>
          <w:color w:val="auto"/>
        </w:rPr>
        <w:t>Twelve months after termination of Optionee’s Continuous Status as Participant by reason of Disability.</w:t>
      </w:r>
    </w:p>
    <w:p>
      <w:pPr>
        <w:spacing w:after="0" w:line="242" w:lineRule="exact"/>
        <w:rPr>
          <w:rFonts w:ascii="Arial" w:cs="Arial" w:eastAsia="Arial" w:hAnsi="Arial"/>
          <w:sz w:val="20"/>
          <w:szCs w:val="20"/>
          <w:color w:val="auto"/>
        </w:rPr>
      </w:pPr>
    </w:p>
    <w:p>
      <w:pPr>
        <w:jc w:val="right"/>
        <w:ind w:left="1286" w:right="20" w:hanging="644"/>
        <w:spacing w:after="0" w:line="276" w:lineRule="auto"/>
        <w:tabs>
          <w:tab w:leader="none" w:pos="1175" w:val="left"/>
        </w:tabs>
        <w:numPr>
          <w:ilvl w:val="1"/>
          <w:numId w:val="73"/>
        </w:numPr>
        <w:rPr>
          <w:rFonts w:ascii="Arial" w:cs="Arial" w:eastAsia="Arial" w:hAnsi="Arial"/>
          <w:sz w:val="19"/>
          <w:szCs w:val="19"/>
          <w:color w:val="auto"/>
        </w:rPr>
      </w:pPr>
      <w:r>
        <w:rPr>
          <w:rFonts w:ascii="Arial" w:cs="Arial" w:eastAsia="Arial" w:hAnsi="Arial"/>
          <w:sz w:val="19"/>
          <w:szCs w:val="19"/>
          <w:color w:val="auto"/>
        </w:rPr>
        <w:t>Twelve months after the date of Optionee’s death, if Optionee dies while in Continuous Status as a Participant. Upon Optionee’s death, the Options may be exercised by Optionee’s beneficiary designated pursuant to the Plan.</w:t>
      </w:r>
    </w:p>
    <w:p>
      <w:pPr>
        <w:spacing w:after="0" w:line="1" w:lineRule="exact"/>
        <w:rPr>
          <w:sz w:val="20"/>
          <w:szCs w:val="20"/>
          <w:color w:val="auto"/>
        </w:rPr>
      </w:pPr>
    </w:p>
    <w:p>
      <w:pPr>
        <w:jc w:val="both"/>
        <w:ind w:left="6"/>
        <w:spacing w:after="0" w:line="253" w:lineRule="auto"/>
        <w:rPr>
          <w:sz w:val="20"/>
          <w:szCs w:val="20"/>
          <w:color w:val="auto"/>
        </w:rPr>
      </w:pPr>
      <w:r>
        <w:rPr>
          <w:rFonts w:ascii="Arial" w:cs="Arial" w:eastAsia="Arial" w:hAnsi="Arial"/>
          <w:sz w:val="20"/>
          <w:szCs w:val="20"/>
          <w:color w:val="auto"/>
        </w:rPr>
        <w:t>The Committee may, prior to the lapse of the Options under the circumstances described in paragraphs (a), (b) or (c) above, extend the time to exercise the Options as determined by the Committee in writing. If Optionee or his or her beneficiary exercises an Option after termination of service, the Options may be exercised only with respect to the Shares that were otherwise vested on Optionee’s termination of service.</w:t>
      </w:r>
    </w:p>
    <w:p>
      <w:pPr>
        <w:spacing w:after="0" w:line="200" w:lineRule="exact"/>
        <w:rPr>
          <w:sz w:val="20"/>
          <w:szCs w:val="20"/>
          <w:color w:val="auto"/>
        </w:rPr>
      </w:pPr>
    </w:p>
    <w:p>
      <w:pPr>
        <w:jc w:val="both"/>
        <w:ind w:left="6" w:hanging="6"/>
        <w:spacing w:after="0" w:line="251" w:lineRule="auto"/>
        <w:tabs>
          <w:tab w:leader="none" w:pos="252"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in the discretion of the Company, Shares previously acquired by the purchaser, or (c) any combination thereof, for the number of Shares specified in such written notice. The value of surrendered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207" w:lineRule="exact"/>
        <w:rPr>
          <w:rFonts w:ascii="Arial" w:cs="Arial" w:eastAsia="Arial" w:hAnsi="Arial"/>
          <w:sz w:val="20"/>
          <w:szCs w:val="20"/>
          <w:color w:val="auto"/>
        </w:rPr>
      </w:pPr>
    </w:p>
    <w:p>
      <w:pPr>
        <w:jc w:val="both"/>
        <w:ind w:left="6" w:hanging="6"/>
        <w:spacing w:after="0" w:line="254" w:lineRule="auto"/>
        <w:tabs>
          <w:tab w:leader="none" w:pos="225"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Beneficiary Designation</w:t>
      </w:r>
      <w:r>
        <w:rPr>
          <w:rFonts w:ascii="Arial" w:cs="Arial" w:eastAsia="Arial" w:hAnsi="Arial"/>
          <w:sz w:val="20"/>
          <w:szCs w:val="20"/>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26"/>
          </w:cols>
          <w:pgMar w:left="334" w:top="1440" w:right="339" w:bottom="1440" w:gutter="0" w:footer="0" w:header="0"/>
        </w:sectPr>
      </w:pPr>
    </w:p>
    <w:bookmarkStart w:id="90" w:name="page91"/>
    <w:bookmarkEnd w:id="90"/>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changed or revoked by Optionee at any time.</w:t>
      </w:r>
    </w:p>
    <w:p>
      <w:pPr>
        <w:spacing w:after="0" w:line="256" w:lineRule="exact"/>
        <w:rPr>
          <w:sz w:val="20"/>
          <w:szCs w:val="20"/>
          <w:color w:val="auto"/>
        </w:rPr>
      </w:pPr>
    </w:p>
    <w:p>
      <w:pPr>
        <w:jc w:val="both"/>
        <w:ind w:left="6" w:hanging="6"/>
        <w:spacing w:after="0" w:line="254" w:lineRule="auto"/>
        <w:tabs>
          <w:tab w:leader="none" w:pos="22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w:t>
      </w:r>
    </w:p>
    <w:p>
      <w:pPr>
        <w:spacing w:after="0" w:line="213" w:lineRule="exact"/>
        <w:rPr>
          <w:rFonts w:ascii="Arial" w:cs="Arial" w:eastAsia="Arial" w:hAnsi="Arial"/>
          <w:sz w:val="20"/>
          <w:szCs w:val="20"/>
          <w:color w:val="auto"/>
        </w:rPr>
      </w:pPr>
    </w:p>
    <w:p>
      <w:pPr>
        <w:jc w:val="both"/>
        <w:ind w:left="6" w:hanging="6"/>
        <w:spacing w:after="0" w:line="252" w:lineRule="auto"/>
        <w:tabs>
          <w:tab w:leader="none" w:pos="23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The Options do not confer to Optionee or Optionee’s beneficiary designated pursuant to Section 6 any rights of a shareholder of the Company unless and until Shares are in fact issued to such person in connection with the exercise of the Options. Nothing in this Agreement shall interfere with or limit in any way the right of the Company or any Affiliate to terminate Optionee’s service at any time, nor confer upon Optionee any right to continue in the service of the Company or any Affiliate. Optionee waives all and any rights to any compensation or damages for the termination of Optionee’s office or employment with the Company or an Affiliate for any reason (including unlawful termination of employment) insofar as those rights arise from Optionee ceasing to have rights in relation to the Units as a result of that termination or from the loss or diminution in value of such rights. The grant of the Options does not give Optionee any right to participate in any future grants of share incentive awards.</w:t>
      </w:r>
    </w:p>
    <w:p>
      <w:pPr>
        <w:spacing w:after="0" w:line="202" w:lineRule="exact"/>
        <w:rPr>
          <w:rFonts w:ascii="Arial" w:cs="Arial" w:eastAsia="Arial" w:hAnsi="Arial"/>
          <w:sz w:val="20"/>
          <w:szCs w:val="20"/>
          <w:color w:val="auto"/>
        </w:rPr>
      </w:pPr>
    </w:p>
    <w:p>
      <w:pPr>
        <w:ind w:left="6" w:hanging="6"/>
        <w:spacing w:after="0" w:line="286" w:lineRule="auto"/>
        <w:tabs>
          <w:tab w:leader="none" w:pos="225"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Stock Reserve</w:t>
      </w:r>
      <w:r>
        <w:rPr>
          <w:rFonts w:ascii="Arial" w:cs="Arial" w:eastAsia="Arial" w:hAnsi="Arial"/>
          <w:sz w:val="20"/>
          <w:szCs w:val="20"/>
          <w:color w:val="auto"/>
        </w:rPr>
        <w:t>. The Company shall at all times during the term of this Agreement reserve and keep available such number of Shares as will be sufficient to satisfy the requirements of this Agreement.</w:t>
      </w:r>
    </w:p>
    <w:p>
      <w:pPr>
        <w:spacing w:after="0" w:line="180" w:lineRule="exact"/>
        <w:rPr>
          <w:rFonts w:ascii="Arial" w:cs="Arial" w:eastAsia="Arial" w:hAnsi="Arial"/>
          <w:sz w:val="20"/>
          <w:szCs w:val="20"/>
          <w:color w:val="auto"/>
        </w:rPr>
      </w:pPr>
    </w:p>
    <w:p>
      <w:pPr>
        <w:jc w:val="both"/>
        <w:ind w:left="6" w:hanging="6"/>
        <w:spacing w:after="0" w:line="254" w:lineRule="auto"/>
        <w:tabs>
          <w:tab w:leader="none" w:pos="362"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and Pledge</w:t>
      </w:r>
      <w:r>
        <w:rPr>
          <w:rFonts w:ascii="Arial" w:cs="Arial" w:eastAsia="Arial" w:hAnsi="Arial"/>
          <w:sz w:val="20"/>
          <w:szCs w:val="20"/>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 that the Committee may (but need not) permit other transfers. The Options may be exercised during the lifetime of Optionee only by Optionee or any permitted transferee.</w:t>
      </w:r>
    </w:p>
    <w:p>
      <w:pPr>
        <w:spacing w:after="0" w:line="199" w:lineRule="exact"/>
        <w:rPr>
          <w:rFonts w:ascii="Arial" w:cs="Arial" w:eastAsia="Arial" w:hAnsi="Arial"/>
          <w:sz w:val="20"/>
          <w:szCs w:val="20"/>
          <w:color w:val="auto"/>
        </w:rPr>
      </w:pPr>
    </w:p>
    <w:p>
      <w:pPr>
        <w:jc w:val="both"/>
        <w:ind w:left="6" w:hanging="6"/>
        <w:spacing w:after="0" w:line="258" w:lineRule="auto"/>
        <w:tabs>
          <w:tab w:leader="none" w:pos="321"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Restrictions on Issuance of Shares</w:t>
      </w:r>
      <w:r>
        <w:rPr>
          <w:rFonts w:ascii="Arial" w:cs="Arial" w:eastAsia="Arial" w:hAnsi="Arial"/>
          <w:sz w:val="20"/>
          <w:szCs w:val="20"/>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208" w:lineRule="exact"/>
        <w:rPr>
          <w:rFonts w:ascii="Arial" w:cs="Arial" w:eastAsia="Arial" w:hAnsi="Arial"/>
          <w:sz w:val="20"/>
          <w:szCs w:val="20"/>
          <w:color w:val="auto"/>
        </w:rPr>
      </w:pPr>
    </w:p>
    <w:p>
      <w:pPr>
        <w:jc w:val="both"/>
        <w:ind w:left="6" w:hanging="6"/>
        <w:spacing w:after="0" w:line="262" w:lineRule="auto"/>
        <w:tabs>
          <w:tab w:leader="none" w:pos="34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this Agreement without approval of the Optionee; provided, however, that such amendment, modification or termination shall not, without the Optionee's consent, reduce or diminish the value of this award determined as if it had been fully vested and exercised on the date of such amendment or termination (with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6"/>
          </w:cols>
          <w:pgMar w:left="334" w:top="1440" w:right="339" w:bottom="1440" w:gutter="0" w:footer="0" w:header="0"/>
        </w:sectPr>
      </w:pPr>
    </w:p>
    <w:bookmarkStart w:id="91" w:name="page92"/>
    <w:bookmarkEnd w:id="91"/>
    <w:p>
      <w:pPr>
        <w:spacing w:after="0" w:line="190" w:lineRule="exact"/>
        <w:rPr>
          <w:sz w:val="20"/>
          <w:szCs w:val="20"/>
          <w:color w:val="auto"/>
        </w:rPr>
      </w:pPr>
    </w:p>
    <w:p>
      <w:pPr>
        <w:jc w:val="both"/>
        <w:ind w:left="6"/>
        <w:spacing w:after="0" w:line="259" w:lineRule="auto"/>
        <w:rPr>
          <w:sz w:val="20"/>
          <w:szCs w:val="20"/>
          <w:color w:val="auto"/>
        </w:rPr>
      </w:pPr>
      <w:r>
        <w:rPr>
          <w:rFonts w:ascii="Arial" w:cs="Arial" w:eastAsia="Arial" w:hAnsi="Arial"/>
          <w:sz w:val="20"/>
          <w:szCs w:val="20"/>
          <w:color w:val="auto"/>
        </w:rPr>
        <w:t>the per-share value being calculated as the excess, if any, of the Fair Market Value over the exercise price of the Options). Notwithstanding anything herein to the contrary, the Company is authorized, without Optionee’s consent, to amend or interpret this Agreement to the extent necessary, if any, to comply with Section 409A of the Code and Treasury regulations and guidance with respect to such law.</w:t>
      </w:r>
    </w:p>
    <w:p>
      <w:pPr>
        <w:spacing w:after="0" w:line="209" w:lineRule="exact"/>
        <w:rPr>
          <w:sz w:val="20"/>
          <w:szCs w:val="20"/>
          <w:color w:val="auto"/>
        </w:rPr>
      </w:pPr>
    </w:p>
    <w:p>
      <w:pPr>
        <w:jc w:val="both"/>
        <w:ind w:left="6" w:hanging="6"/>
        <w:spacing w:after="0" w:line="255" w:lineRule="auto"/>
        <w:tabs>
          <w:tab w:leader="none" w:pos="335"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Plan Controls</w:t>
      </w:r>
      <w:r>
        <w:rPr>
          <w:rFonts w:ascii="Arial" w:cs="Arial" w:eastAsia="Arial" w:hAnsi="Arial"/>
          <w:sz w:val="20"/>
          <w:szCs w:val="20"/>
          <w:color w:val="auto"/>
        </w:rPr>
        <w:t>. The terms and conditions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210" w:lineRule="exact"/>
        <w:rPr>
          <w:rFonts w:ascii="Arial" w:cs="Arial" w:eastAsia="Arial" w:hAnsi="Arial"/>
          <w:sz w:val="20"/>
          <w:szCs w:val="20"/>
          <w:color w:val="auto"/>
        </w:rPr>
      </w:pPr>
    </w:p>
    <w:p>
      <w:pPr>
        <w:ind w:left="6" w:hanging="6"/>
        <w:spacing w:after="0" w:line="286" w:lineRule="auto"/>
        <w:tabs>
          <w:tab w:leader="none" w:pos="34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180" w:lineRule="exact"/>
        <w:rPr>
          <w:rFonts w:ascii="Arial" w:cs="Arial" w:eastAsia="Arial" w:hAnsi="Arial"/>
          <w:sz w:val="20"/>
          <w:szCs w:val="20"/>
          <w:color w:val="auto"/>
        </w:rPr>
      </w:pPr>
    </w:p>
    <w:p>
      <w:pPr>
        <w:jc w:val="both"/>
        <w:ind w:left="6" w:hanging="6"/>
        <w:spacing w:after="0" w:line="262" w:lineRule="auto"/>
        <w:tabs>
          <w:tab w:leader="none" w:pos="34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205" w:lineRule="exact"/>
        <w:rPr>
          <w:rFonts w:ascii="Arial" w:cs="Arial" w:eastAsia="Arial" w:hAnsi="Arial"/>
          <w:sz w:val="20"/>
          <w:szCs w:val="20"/>
          <w:color w:val="auto"/>
        </w:rPr>
      </w:pPr>
    </w:p>
    <w:p>
      <w:pPr>
        <w:jc w:val="both"/>
        <w:ind w:left="6" w:hanging="6"/>
        <w:spacing w:after="0" w:line="271" w:lineRule="auto"/>
        <w:tabs>
          <w:tab w:leader="none" w:pos="349" w:val="left"/>
        </w:tabs>
        <w:numPr>
          <w:ilvl w:val="0"/>
          <w:numId w:val="7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83707-0006, Attn: Corporate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197" w:lineRule="exact"/>
        <w:rPr>
          <w:rFonts w:ascii="Arial" w:cs="Arial" w:eastAsia="Arial" w:hAnsi="Arial"/>
          <w:sz w:val="19"/>
          <w:szCs w:val="19"/>
          <w:color w:val="auto"/>
        </w:rPr>
      </w:pPr>
    </w:p>
    <w:p>
      <w:pPr>
        <w:jc w:val="both"/>
        <w:ind w:left="6" w:hanging="6"/>
        <w:spacing w:after="0" w:line="258" w:lineRule="auto"/>
        <w:tabs>
          <w:tab w:leader="none" w:pos="376"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Optionee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Optionee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6"/>
          </w:cols>
          <w:pgMar w:left="334" w:top="1440" w:right="339" w:bottom="1440" w:gutter="0" w:footer="0" w:header="0"/>
        </w:sectPr>
      </w:pPr>
    </w:p>
    <w:bookmarkStart w:id="92" w:name="page93"/>
    <w:bookmarkEnd w:id="92"/>
    <w:p>
      <w:pPr>
        <w:spacing w:after="0" w:line="188" w:lineRule="exact"/>
        <w:rPr>
          <w:sz w:val="20"/>
          <w:szCs w:val="20"/>
          <w:color w:val="auto"/>
        </w:rPr>
      </w:pPr>
    </w:p>
    <w:p>
      <w:pPr>
        <w:ind w:left="6" w:right="5540"/>
        <w:spacing w:after="0" w:line="276" w:lineRule="auto"/>
        <w:rPr>
          <w:sz w:val="20"/>
          <w:szCs w:val="20"/>
          <w:color w:val="auto"/>
        </w:rPr>
      </w:pPr>
      <w:r>
        <w:rPr>
          <w:rFonts w:ascii="Arial" w:cs="Arial" w:eastAsia="Arial" w:hAnsi="Arial"/>
          <w:sz w:val="20"/>
          <w:szCs w:val="20"/>
          <w:b w:val="1"/>
          <w:bCs w:val="1"/>
          <w:color w:val="auto"/>
        </w:rPr>
        <w:t>AMENDED AND RESTATED 2004 EQUITY INCENTIVE PLAN PERFORMANCE-BASED RESTRICTED STOCK AGREEMENT FORM OF TERMS AND CONDITIONS</w:t>
      </w:r>
    </w:p>
    <w:p>
      <w:pPr>
        <w:spacing w:after="0" w:line="167" w:lineRule="exact"/>
        <w:rPr>
          <w:sz w:val="20"/>
          <w:szCs w:val="20"/>
          <w:color w:val="auto"/>
        </w:rPr>
      </w:pPr>
    </w:p>
    <w:p>
      <w:pPr>
        <w:jc w:val="both"/>
        <w:ind w:left="6" w:hanging="6"/>
        <w:spacing w:after="0" w:line="258" w:lineRule="auto"/>
        <w:tabs>
          <w:tab w:leader="none" w:pos="25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Grant of Shares</w:t>
      </w:r>
      <w:r>
        <w:rPr>
          <w:rFonts w:ascii="Arial" w:cs="Arial" w:eastAsia="Arial" w:hAnsi="Arial"/>
          <w:sz w:val="20"/>
          <w:szCs w:val="20"/>
          <w:color w:val="auto"/>
        </w:rPr>
        <w:t>. The Company hereby grants to the Grantee named in the notice of award (“Grantee”), subject to the restrictions and the other terms and conditions set forth in the Micron Technology, Inc. Amended and Restated 2004 Equity Incentive Plan (the “Plan”) and in this award agreement (this “Agreement”), the target number of shares indicated in the notice of award of the Company’s $0.10 par value common stock (the “Shares”). Capitalized terms used herein and not otherwise defined shall have the meanings assigned to such terms in the Plan.</w:t>
      </w:r>
    </w:p>
    <w:p>
      <w:pPr>
        <w:spacing w:after="0" w:line="208" w:lineRule="exact"/>
        <w:rPr>
          <w:rFonts w:ascii="Arial" w:cs="Arial" w:eastAsia="Arial" w:hAnsi="Arial"/>
          <w:sz w:val="20"/>
          <w:szCs w:val="20"/>
          <w:color w:val="auto"/>
        </w:rPr>
      </w:pPr>
    </w:p>
    <w:p>
      <w:pPr>
        <w:jc w:val="both"/>
        <w:ind w:left="6" w:hanging="6"/>
        <w:spacing w:after="0" w:line="251" w:lineRule="auto"/>
        <w:tabs>
          <w:tab w:leader="none" w:pos="225"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General Acknowledgements</w:t>
      </w:r>
      <w:r>
        <w:rPr>
          <w:rFonts w:ascii="Arial" w:cs="Arial" w:eastAsia="Arial" w:hAnsi="Arial"/>
          <w:sz w:val="20"/>
          <w:szCs w:val="20"/>
          <w:color w:val="auto"/>
        </w:rPr>
        <w:t>. By accepting the Shares, Grantee hereby acknowledges that he or she has reviewed the terms and conditions of this Agreement and the Plan, and is familiar with the provisions thereof. Grantee hereby accepts the Shares subject to all the terms and conditions of this Agreement and the Plan. Grantee acknowledges that a Prospectus relating to the Plan was made available for review. Grantee hereby agrees to accept as binding, conclusive and final all decisions or interpretations of the Committee upon any questions arising under the Plan. Grantee acknowledges that the grant and acceptance of the Shares do not constitute an employment agreement and do not assure continuous employment with the Company or any of its Affiliates.</w:t>
      </w:r>
    </w:p>
    <w:p>
      <w:pPr>
        <w:spacing w:after="0" w:line="219" w:lineRule="exact"/>
        <w:rPr>
          <w:rFonts w:ascii="Arial" w:cs="Arial" w:eastAsia="Arial" w:hAnsi="Arial"/>
          <w:sz w:val="20"/>
          <w:szCs w:val="20"/>
          <w:color w:val="auto"/>
        </w:rPr>
      </w:pPr>
    </w:p>
    <w:p>
      <w:pPr>
        <w:jc w:val="both"/>
        <w:ind w:left="6" w:hanging="6"/>
        <w:spacing w:after="0" w:line="252" w:lineRule="auto"/>
        <w:tabs>
          <w:tab w:leader="none" w:pos="23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Restrictions</w:t>
      </w:r>
      <w:r>
        <w:rPr>
          <w:rFonts w:ascii="Arial" w:cs="Arial" w:eastAsia="Arial" w:hAnsi="Arial"/>
          <w:sz w:val="20"/>
          <w:szCs w:val="20"/>
          <w:color w:val="auto"/>
        </w:rPr>
        <w:t>. The Shares are subject to each of the following restrictions. “Restricted Shares” mean those Shares that are subject to the restrictions imposed hereunder and such restrictions have not then expired or terminated. Restricted Shares may not be sold, transferred, exchanged, assigned, pledged, hypothecated or otherwise encumbered. If Grantee’s Continuous Status as a Participant terminates for any reason other than as set forth in paragraph (b) or paragraph (d) of Section 3 hereof, then Grantee shall forfeit all of Grantee’s right, title and interest in and to the Restricted Shares as of the date of termination of such service or employment, and such Restricted Shares shall revert to the Company. The restrictions imposed under this Section shall apply to all shares of the Company’s Stock with respect to the Restricted Shares or other securities issued in connection with any merger, reorganization, consolidation, recapitalization, stock dividend or other change in corporate structure affecting the Stock of the Company.</w:t>
      </w:r>
    </w:p>
    <w:p>
      <w:pPr>
        <w:spacing w:after="0" w:line="216" w:lineRule="exact"/>
        <w:rPr>
          <w:rFonts w:ascii="Arial" w:cs="Arial" w:eastAsia="Arial" w:hAnsi="Arial"/>
          <w:sz w:val="20"/>
          <w:szCs w:val="20"/>
          <w:color w:val="auto"/>
        </w:rPr>
      </w:pPr>
    </w:p>
    <w:p>
      <w:pPr>
        <w:jc w:val="both"/>
        <w:ind w:left="6" w:hanging="6"/>
        <w:spacing w:after="0" w:line="262" w:lineRule="auto"/>
        <w:tabs>
          <w:tab w:leader="none" w:pos="26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Expiration and Termination of Restrictions</w:t>
      </w:r>
      <w:r>
        <w:rPr>
          <w:rFonts w:ascii="Arial" w:cs="Arial" w:eastAsia="Arial" w:hAnsi="Arial"/>
          <w:sz w:val="20"/>
          <w:szCs w:val="20"/>
          <w:color w:val="auto"/>
        </w:rPr>
        <w:t>. The restrictions imposed under Section 3 will expire, in whole or in part as indicated below, on the earliest to occur of the following (the period prior to such expiration being referred to herein as the “Restricted Period”):</w:t>
      </w:r>
    </w:p>
    <w:p>
      <w:pPr>
        <w:spacing w:after="0" w:line="205" w:lineRule="exact"/>
        <w:rPr>
          <w:rFonts w:ascii="Arial" w:cs="Arial" w:eastAsia="Arial" w:hAnsi="Arial"/>
          <w:sz w:val="20"/>
          <w:szCs w:val="20"/>
          <w:color w:val="auto"/>
        </w:rPr>
      </w:pPr>
    </w:p>
    <w:p>
      <w:pPr>
        <w:ind w:left="946" w:hanging="304"/>
        <w:spacing w:after="0"/>
        <w:tabs>
          <w:tab w:leader="none" w:pos="946" w:val="left"/>
        </w:tabs>
        <w:numPr>
          <w:ilvl w:val="1"/>
          <w:numId w:val="77"/>
        </w:numPr>
        <w:rPr>
          <w:rFonts w:ascii="Arial" w:cs="Arial" w:eastAsia="Arial" w:hAnsi="Arial"/>
          <w:sz w:val="20"/>
          <w:szCs w:val="20"/>
          <w:color w:val="auto"/>
        </w:rPr>
      </w:pPr>
      <w:r>
        <w:rPr>
          <w:rFonts w:ascii="Arial" w:cs="Arial" w:eastAsia="Arial" w:hAnsi="Arial"/>
          <w:sz w:val="20"/>
          <w:szCs w:val="20"/>
          <w:color w:val="auto"/>
        </w:rPr>
        <w:t>as to the following number of Shares, upon achievement of the performance goal:</w:t>
      </w:r>
    </w:p>
    <w:p>
      <w:pPr>
        <w:spacing w:after="0" w:line="285" w:lineRule="exact"/>
        <w:rPr>
          <w:sz w:val="20"/>
          <w:szCs w:val="20"/>
          <w:color w:val="auto"/>
        </w:rPr>
      </w:pPr>
    </w:p>
    <w:tbl>
      <w:tblPr>
        <w:tblLayout w:type="fixed"/>
        <w:tblInd w:w="836" w:type="dxa"/>
        <w:tblCellMar>
          <w:top w:w="0" w:type="dxa"/>
          <w:left w:w="0" w:type="dxa"/>
          <w:bottom w:w="0" w:type="dxa"/>
          <w:right w:w="0" w:type="dxa"/>
        </w:tblCellMar>
      </w:tblPr>
      <w:tr>
        <w:trPr>
          <w:trHeight w:val="280"/>
        </w:trPr>
        <w:tc>
          <w:tcPr>
            <w:tcW w:w="4800" w:type="dxa"/>
            <w:vAlign w:val="bottom"/>
            <w:tcBorders>
              <w:top w:val="single" w:sz="8" w:color="auto"/>
              <w:left w:val="single" w:sz="8" w:color="auto"/>
              <w:right w:val="single" w:sz="8" w:color="auto"/>
            </w:tcBorders>
          </w:tcPr>
          <w:p>
            <w:pPr>
              <w:ind w:left="1460"/>
              <w:spacing w:after="0"/>
              <w:rPr>
                <w:sz w:val="20"/>
                <w:szCs w:val="20"/>
                <w:color w:val="auto"/>
              </w:rPr>
            </w:pPr>
            <w:r>
              <w:rPr>
                <w:rFonts w:ascii="Arial" w:cs="Arial" w:eastAsia="Arial" w:hAnsi="Arial"/>
                <w:sz w:val="20"/>
                <w:szCs w:val="20"/>
                <w:color w:val="auto"/>
              </w:rPr>
              <w:t>% of Shares Vesting*</w:t>
            </w:r>
          </w:p>
        </w:tc>
        <w:tc>
          <w:tcPr>
            <w:tcW w:w="4800" w:type="dxa"/>
            <w:vAlign w:val="bottom"/>
            <w:tcBorders>
              <w:top w:val="single" w:sz="8" w:color="auto"/>
              <w:right w:val="single" w:sz="8" w:color="auto"/>
            </w:tcBorders>
          </w:tcPr>
          <w:p>
            <w:pPr>
              <w:ind w:left="1120"/>
              <w:spacing w:after="0"/>
              <w:rPr>
                <w:sz w:val="20"/>
                <w:szCs w:val="20"/>
                <w:color w:val="auto"/>
              </w:rPr>
            </w:pPr>
            <w:r>
              <w:rPr>
                <w:rFonts w:ascii="Arial" w:cs="Arial" w:eastAsia="Arial" w:hAnsi="Arial"/>
                <w:sz w:val="20"/>
                <w:szCs w:val="20"/>
                <w:color w:val="auto"/>
              </w:rPr>
              <w:t>Achievement of Performance</w:t>
            </w:r>
          </w:p>
        </w:tc>
      </w:tr>
      <w:tr>
        <w:trPr>
          <w:trHeight w:val="30"/>
        </w:trPr>
        <w:tc>
          <w:tcPr>
            <w:tcW w:w="4800" w:type="dxa"/>
            <w:vAlign w:val="bottom"/>
            <w:tcBorders>
              <w:left w:val="single" w:sz="8" w:color="auto"/>
              <w:bottom w:val="single" w:sz="8" w:color="auto"/>
              <w:right w:val="single" w:sz="8" w:color="auto"/>
            </w:tcBorders>
          </w:tcPr>
          <w:p>
            <w:pPr>
              <w:spacing w:after="0"/>
              <w:rPr>
                <w:sz w:val="2"/>
                <w:szCs w:val="2"/>
                <w:color w:val="auto"/>
              </w:rPr>
            </w:pPr>
          </w:p>
        </w:tc>
        <w:tc>
          <w:tcPr>
            <w:tcW w:w="4800" w:type="dxa"/>
            <w:vAlign w:val="bottom"/>
            <w:tcBorders>
              <w:bottom w:val="single" w:sz="8" w:color="auto"/>
              <w:right w:val="single" w:sz="8" w:color="auto"/>
            </w:tcBorders>
          </w:tcPr>
          <w:p>
            <w:pPr>
              <w:spacing w:after="0"/>
              <w:rPr>
                <w:sz w:val="2"/>
                <w:szCs w:val="2"/>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bl>
    <w:p>
      <w:pPr>
        <w:spacing w:after="0" w:line="73" w:lineRule="exact"/>
        <w:rPr>
          <w:sz w:val="20"/>
          <w:szCs w:val="20"/>
          <w:color w:val="auto"/>
        </w:rPr>
      </w:pPr>
    </w:p>
    <w:p>
      <w:pPr>
        <w:ind w:left="6"/>
        <w:spacing w:after="0"/>
        <w:rPr>
          <w:sz w:val="20"/>
          <w:szCs w:val="20"/>
          <w:color w:val="auto"/>
        </w:rPr>
      </w:pPr>
      <w:r>
        <w:rPr>
          <w:rFonts w:ascii="Arial" w:cs="Arial" w:eastAsia="Arial" w:hAnsi="Arial"/>
          <w:sz w:val="20"/>
          <w:szCs w:val="20"/>
          <w:color w:val="auto"/>
        </w:rPr>
        <w:t>*Vesting between performance levels will be determined based on straight line interpolation.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6"/>
          </w:cols>
          <w:pgMar w:left="334" w:top="1440" w:right="339" w:bottom="1440" w:gutter="0" w:footer="0" w:header="0"/>
        </w:sectPr>
      </w:pPr>
    </w:p>
    <w:bookmarkStart w:id="93" w:name="page94"/>
    <w:bookmarkEnd w:id="93"/>
    <w:p>
      <w:pPr>
        <w:spacing w:after="0" w:line="190" w:lineRule="exact"/>
        <w:rPr>
          <w:sz w:val="20"/>
          <w:szCs w:val="20"/>
          <w:color w:val="auto"/>
        </w:rPr>
      </w:pPr>
    </w:p>
    <w:p>
      <w:pPr>
        <w:jc w:val="both"/>
        <w:ind w:left="6"/>
        <w:spacing w:after="0" w:line="259" w:lineRule="auto"/>
        <w:rPr>
          <w:sz w:val="20"/>
          <w:szCs w:val="20"/>
          <w:color w:val="auto"/>
        </w:rPr>
      </w:pPr>
      <w:r>
        <w:rPr>
          <w:rFonts w:ascii="Arial" w:cs="Arial" w:eastAsia="Arial" w:hAnsi="Arial"/>
          <w:sz w:val="20"/>
          <w:szCs w:val="20"/>
          <w:color w:val="auto"/>
        </w:rPr>
        <w:t>[Insert definition of Performance Period]. The restrictions will expire, as to the applicable number of Shares based upon the level of achievement of the performance goal, on the date of the certification of the level of achievement of the performance goal and approval of the expiration of the restrictions as to the applicable number of Shares, provided that Grantee remains in Continuous Status as a Participant on the date of certification.</w:t>
      </w:r>
    </w:p>
    <w:p>
      <w:pPr>
        <w:spacing w:after="0" w:line="209" w:lineRule="exact"/>
        <w:rPr>
          <w:sz w:val="20"/>
          <w:szCs w:val="20"/>
          <w:color w:val="auto"/>
        </w:rPr>
      </w:pPr>
    </w:p>
    <w:p>
      <w:pPr>
        <w:ind w:left="1286" w:hanging="644"/>
        <w:spacing w:after="0" w:line="254" w:lineRule="auto"/>
        <w:tabs>
          <w:tab w:leader="none" w:pos="1128"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Grantee’s Continuous Status as a Participant is terminated during the Performance Period by reason of death or Disability, the number of Shares for which the restrictions shall expire shall be determined by multiplying (i) the number of Shares for which restrictions would have expired if the performance target in this Section 4 were fully satisfied, less any Shares for which restrictions had previously expired, by (ii) a fraction, the numerator of which is the number of days in the Performance Period preceding the date of the termination due to death or Disability and the denominator of which is [days in performance period.]</w:t>
      </w:r>
    </w:p>
    <w:p>
      <w:pPr>
        <w:spacing w:after="0" w:line="213" w:lineRule="exact"/>
        <w:rPr>
          <w:rFonts w:ascii="Arial" w:cs="Arial" w:eastAsia="Arial" w:hAnsi="Arial"/>
          <w:sz w:val="20"/>
          <w:szCs w:val="20"/>
          <w:color w:val="auto"/>
        </w:rPr>
      </w:pPr>
    </w:p>
    <w:p>
      <w:pPr>
        <w:ind w:left="1286" w:hanging="644"/>
        <w:spacing w:after="0" w:line="252" w:lineRule="auto"/>
        <w:tabs>
          <w:tab w:leader="none" w:pos="1103"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 Change in Control occurs during the Performance Period and while Grantee remains in Continuous Status as a Participant and the Shares are not assumed by the surviving entity or otherwise equitably converted or substituted in connection with the Change in Control, then the number of Shares for which the restrictions shall expire shall be determined by multiplying (i) the number of Shares for which Restrictions would have expired if the performance goals in this Section 4 were fully satisfied, by (ii) a fraction, the numerator of which is the number of days in the Performance Period preceding the date of the Change in Control and the denominator of which is [days in performance period] and there shall be a pro rata payout to Grantee within thirty (30) days following the Change in Control.</w:t>
      </w:r>
    </w:p>
    <w:p>
      <w:pPr>
        <w:spacing w:after="0" w:line="214" w:lineRule="exact"/>
        <w:rPr>
          <w:rFonts w:ascii="Arial" w:cs="Arial" w:eastAsia="Arial" w:hAnsi="Arial"/>
          <w:sz w:val="20"/>
          <w:szCs w:val="20"/>
          <w:color w:val="auto"/>
        </w:rPr>
      </w:pPr>
    </w:p>
    <w:p>
      <w:pPr>
        <w:ind w:left="1286" w:hanging="644"/>
        <w:spacing w:after="0" w:line="250" w:lineRule="auto"/>
        <w:tabs>
          <w:tab w:leader="none" w:pos="1114" w:val="left"/>
        </w:tabs>
        <w:numPr>
          <w:ilvl w:val="0"/>
          <w:numId w:val="78"/>
        </w:numPr>
        <w:rPr>
          <w:rFonts w:ascii="Arial" w:cs="Arial" w:eastAsia="Arial" w:hAnsi="Arial"/>
          <w:sz w:val="20"/>
          <w:szCs w:val="20"/>
          <w:color w:val="auto"/>
        </w:rPr>
      </w:pPr>
      <w:r>
        <w:rPr>
          <w:rFonts w:ascii="Arial" w:cs="Arial" w:eastAsia="Arial" w:hAnsi="Arial"/>
          <w:sz w:val="20"/>
          <w:szCs w:val="20"/>
          <w:color w:val="auto"/>
        </w:rPr>
        <w:t>If a Change in Control occurs during the Performance Period and while Grantee remains in Continuous Status as a Participant and the Shares are assumed by the surviving entity or otherwise equitably converted or substituted in connection with the Change in Control, then, if within one year after the effective date of the Change in Control Grantee’s employment is terminated without Cause [or Grantee resigns for Good Reason (as defined below)], the number of Shares for which the restrictions shall expire shall be determined by multiplying (i) the number of Shares for which Restrictions would have expired if the performance goals in this Section 4 were fully satisfied, by (ii) a fraction, the numerator of which is the number of days in the Performance Period preceding the date of Grantee’s termination of employment and the denominator of which is [days in performance period] and there shall be a pro rata payout to Grantee within thirty (30) days following the date of his or her termination of employment.</w:t>
      </w:r>
    </w:p>
    <w:p>
      <w:pPr>
        <w:spacing w:after="0" w:line="223" w:lineRule="exact"/>
        <w:rPr>
          <w:sz w:val="20"/>
          <w:szCs w:val="20"/>
          <w:color w:val="auto"/>
        </w:rPr>
      </w:pPr>
    </w:p>
    <w:p>
      <w:pPr>
        <w:jc w:val="both"/>
        <w:ind w:left="6"/>
        <w:spacing w:after="0" w:line="255" w:lineRule="auto"/>
        <w:rPr>
          <w:sz w:val="20"/>
          <w:szCs w:val="20"/>
          <w:color w:val="auto"/>
        </w:rPr>
      </w:pPr>
      <w:r>
        <w:rPr>
          <w:rFonts w:ascii="Arial" w:cs="Arial" w:eastAsia="Arial" w:hAnsi="Arial"/>
          <w:sz w:val="20"/>
          <w:szCs w:val="20"/>
          <w:color w:val="auto"/>
        </w:rPr>
        <w:t>[For purposes of this Agreement, “Good Reason” shall mean any of the following, without Grantee’s consent: (i) a material diminution in Grantee’s Base Salary (other than an across-the-board reduction in base salary that affects all peer employees);</w:t>
      </w:r>
    </w:p>
    <w:p>
      <w:pPr>
        <w:spacing w:after="0" w:line="2" w:lineRule="exact"/>
        <w:rPr>
          <w:sz w:val="20"/>
          <w:szCs w:val="20"/>
          <w:color w:val="auto"/>
        </w:rPr>
      </w:pPr>
    </w:p>
    <w:p>
      <w:pPr>
        <w:jc w:val="both"/>
        <w:ind w:left="6" w:hanging="6"/>
        <w:spacing w:after="0" w:line="253" w:lineRule="auto"/>
        <w:tabs>
          <w:tab w:leader="none" w:pos="293"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material diminution in Grantee’s authority, duties, or responsibilities; or (iii) the relocation of Grantee’s principal office to a location that is more than twenty-five (25) miles from the location of Grantee’s principal office on the effective date of the Change in Control; provided, however, that Good Reason shall not include (A) any relocation of Grantee’s principal office which is proposed or initiated by Grantee; or (B) any relocation that results in Grantee’s principal place office being closer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26"/>
          </w:cols>
          <w:pgMar w:left="334" w:top="1440" w:right="339" w:bottom="1440" w:gutter="0" w:footer="0" w:header="0"/>
        </w:sectPr>
      </w:pPr>
    </w:p>
    <w:bookmarkStart w:id="94" w:name="page95"/>
    <w:bookmarkEnd w:id="94"/>
    <w:p>
      <w:pPr>
        <w:spacing w:after="0" w:line="190" w:lineRule="exact"/>
        <w:rPr>
          <w:sz w:val="20"/>
          <w:szCs w:val="20"/>
          <w:color w:val="auto"/>
        </w:rPr>
      </w:pPr>
    </w:p>
    <w:p>
      <w:pPr>
        <w:jc w:val="both"/>
        <w:ind w:left="6"/>
        <w:spacing w:after="0" w:line="250" w:lineRule="auto"/>
        <w:rPr>
          <w:sz w:val="20"/>
          <w:szCs w:val="20"/>
          <w:color w:val="auto"/>
        </w:rPr>
      </w:pPr>
      <w:r>
        <w:rPr>
          <w:rFonts w:ascii="Arial" w:cs="Arial" w:eastAsia="Arial" w:hAnsi="Arial"/>
          <w:sz w:val="20"/>
          <w:szCs w:val="20"/>
          <w:color w:val="auto"/>
        </w:rPr>
        <w:t>Grantee’s then-current principal residence. A termination by Grantee shall not constitute termination for Good Reason unless Grantee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Grantee within thirty (30) days following its receipt of such Good Reason Notice. Grantee’s date of termination for Good Reason must occur within a period of three hundred and sixty five (365) days after the initial occurrence of an event of Good Reason.]</w:t>
      </w:r>
    </w:p>
    <w:p>
      <w:pPr>
        <w:spacing w:after="0" w:line="2" w:lineRule="exact"/>
        <w:rPr>
          <w:sz w:val="20"/>
          <w:szCs w:val="20"/>
          <w:color w:val="auto"/>
        </w:rPr>
      </w:pPr>
    </w:p>
    <w:p>
      <w:pPr>
        <w:jc w:val="both"/>
        <w:ind w:left="6"/>
        <w:spacing w:after="0" w:line="267" w:lineRule="auto"/>
        <w:rPr>
          <w:sz w:val="20"/>
          <w:szCs w:val="20"/>
          <w:color w:val="auto"/>
        </w:rPr>
      </w:pPr>
      <w:r>
        <w:rPr>
          <w:rFonts w:ascii="Arial" w:cs="Arial" w:eastAsia="Arial" w:hAnsi="Arial"/>
          <w:sz w:val="20"/>
          <w:szCs w:val="20"/>
          <w:color w:val="auto"/>
        </w:rPr>
        <w:t>Grantee shall forfeit all of Grantee’s right, title and interest in and to any of the Restricted Shares for which the restrictions shall not have lapsed as of the end of the Performance Period and such Restricted Shares shall revert to the Company.</w:t>
      </w:r>
    </w:p>
    <w:p>
      <w:pPr>
        <w:spacing w:after="0" w:line="199" w:lineRule="exact"/>
        <w:rPr>
          <w:sz w:val="20"/>
          <w:szCs w:val="20"/>
          <w:color w:val="auto"/>
        </w:rPr>
      </w:pPr>
    </w:p>
    <w:p>
      <w:pPr>
        <w:jc w:val="both"/>
        <w:ind w:left="6" w:hanging="6"/>
        <w:spacing w:after="0" w:line="250" w:lineRule="auto"/>
        <w:tabs>
          <w:tab w:leader="none" w:pos="2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Delivery of Shares</w:t>
      </w:r>
      <w:r>
        <w:rPr>
          <w:rFonts w:ascii="Arial" w:cs="Arial" w:eastAsia="Arial" w:hAnsi="Arial"/>
          <w:sz w:val="20"/>
          <w:szCs w:val="20"/>
          <w:color w:val="auto"/>
        </w:rPr>
        <w:t>. The Shares will be registered in the name of Grantee as of the Grant Date and will be held by the Company during the Restricted Period in certificated or uncertificated form. If a certificate for Restricted Shares is issued during the Restricted Period with respect to such Shares, such certificate shall be registered in the name of Grantee and shall bear a legend in substantially the following form: “This certificate and the shares of stock represented hereby are subject to the terms and conditions (including forfeiture and restrictions against transfer) contained in a Restricted Stock Agreement between the registered owner of the shares represented hereby and Micron Technology, Inc. Release from such terms and conditions shall be made only in accordance with the provisions of such Agreement, copies of which are on file in the offices of Micron Technology, Inc.” Stock certificates for the Shares, without the above legend, shall be delivered to Grantee or Grantee’s designee upon request of Grantee after the expiration of the Restricted Period, but delivery may be postponed for such period as may be required for the Company with reasonable diligence to comply if deemed advisable by the Company, with registration requirements under the Securities Act of 1933, listing requirements under the rules of any stock exchange, and requirements under any other law or regulation applicable to the issuance or transfer of the Shares.</w:t>
      </w:r>
    </w:p>
    <w:p>
      <w:pPr>
        <w:spacing w:after="0" w:line="216" w:lineRule="exact"/>
        <w:rPr>
          <w:rFonts w:ascii="Arial" w:cs="Arial" w:eastAsia="Arial" w:hAnsi="Arial"/>
          <w:sz w:val="20"/>
          <w:szCs w:val="20"/>
          <w:color w:val="auto"/>
        </w:rPr>
      </w:pPr>
    </w:p>
    <w:p>
      <w:pPr>
        <w:jc w:val="both"/>
        <w:ind w:left="6" w:hanging="6"/>
        <w:spacing w:after="0" w:line="252" w:lineRule="auto"/>
        <w:tabs>
          <w:tab w:leader="none" w:pos="252"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Voting and Dividend Rights</w:t>
      </w:r>
      <w:r>
        <w:rPr>
          <w:rFonts w:ascii="Arial" w:cs="Arial" w:eastAsia="Arial" w:hAnsi="Arial"/>
          <w:sz w:val="20"/>
          <w:szCs w:val="20"/>
          <w:color w:val="auto"/>
        </w:rPr>
        <w:t>. Grantee, as beneficial owner of the Shares, shall have full voting rights with respect to the Shares during and after the Restricted Period. Grantee shall accrue cash and non-cash dividends, if any, paid with respect to the Restricted Shares, but the payment of such dividends shall be deferred and held (without interest) by the Company for the account of Grantee until the expiration of the Restricted Period. During the Restricted Period, such dividends shall be subject to the same vesting restrictions imposed under Section 3 as the Restricted Shares to which they relate. Accrued dividends deferred and held pursuant to the foregoing provision shall be paid by the Company to Grantee promptly upon the expiration of the Restricted Period (and in any event within thirty (30) days of the date of such expiration). If Grantee forfeits any rights he may have under this Agreement in accordance with Section 3, Grantee shall no longer have any rights as a shareholder with respect to the Restricted Shares or any interest therein and Grantee shall no longer be entitled to receive dividends on such stock.</w:t>
      </w:r>
    </w:p>
    <w:p>
      <w:pPr>
        <w:spacing w:after="0" w:line="217" w:lineRule="exact"/>
        <w:rPr>
          <w:rFonts w:ascii="Arial" w:cs="Arial" w:eastAsia="Arial" w:hAnsi="Arial"/>
          <w:sz w:val="20"/>
          <w:szCs w:val="20"/>
          <w:color w:val="auto"/>
        </w:rPr>
      </w:pPr>
    </w:p>
    <w:p>
      <w:pPr>
        <w:jc w:val="both"/>
        <w:ind w:left="6" w:hanging="6"/>
        <w:spacing w:after="0" w:line="255" w:lineRule="auto"/>
        <w:tabs>
          <w:tab w:leader="none" w:pos="239" w:val="left"/>
        </w:tabs>
        <w:numPr>
          <w:ilvl w:val="0"/>
          <w:numId w:val="80"/>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With respect to a grantee who is employed by the Company or an Affiliate, nothing in this Agreement shall interfere with or limit in any way the right of the Company or any Affiliate to terminate such grantee’s employment at any time, nor confer upon any such grantee any right to continue in the employ of the Company or any Affiliate. Grantee waives all and any rights to any compensation or damages for the termination of Grantee's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26"/>
          </w:cols>
          <w:pgMar w:left="334" w:top="1440" w:right="339" w:bottom="1440" w:gutter="0" w:footer="0" w:header="0"/>
        </w:sectPr>
      </w:pPr>
    </w:p>
    <w:bookmarkStart w:id="95" w:name="page96"/>
    <w:bookmarkEnd w:id="95"/>
    <w:p>
      <w:pPr>
        <w:spacing w:after="0" w:line="190" w:lineRule="exact"/>
        <w:rPr>
          <w:sz w:val="20"/>
          <w:szCs w:val="20"/>
          <w:color w:val="auto"/>
        </w:rPr>
      </w:pPr>
    </w:p>
    <w:p>
      <w:pPr>
        <w:jc w:val="both"/>
        <w:ind w:left="6"/>
        <w:spacing w:after="0" w:line="259" w:lineRule="auto"/>
        <w:rPr>
          <w:sz w:val="20"/>
          <w:szCs w:val="20"/>
          <w:color w:val="auto"/>
        </w:rPr>
      </w:pPr>
      <w:r>
        <w:rPr>
          <w:rFonts w:ascii="Arial" w:cs="Arial" w:eastAsia="Arial" w:hAnsi="Arial"/>
          <w:sz w:val="20"/>
          <w:szCs w:val="20"/>
          <w:color w:val="auto"/>
        </w:rPr>
        <w:t>office or employment with the Company or an Affiliate for any reason (including unlawful termination of employment) insofar as those rights arise from Grantee ceasing to have rights in relation to the Shares as a result of that termination or from the loss or diminution in value of such rights. The grant of the Shares does not give Grantee any right to participate in any future grants of share incentive awards.</w:t>
      </w:r>
    </w:p>
    <w:p>
      <w:pPr>
        <w:spacing w:after="0" w:line="209" w:lineRule="exact"/>
        <w:rPr>
          <w:sz w:val="20"/>
          <w:szCs w:val="20"/>
          <w:color w:val="auto"/>
        </w:rPr>
      </w:pPr>
    </w:p>
    <w:p>
      <w:pPr>
        <w:jc w:val="both"/>
        <w:ind w:left="6" w:hanging="6"/>
        <w:spacing w:after="0" w:line="267" w:lineRule="auto"/>
        <w:tabs>
          <w:tab w:leader="none" w:pos="23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Payment of Taxes</w:t>
      </w:r>
      <w:r>
        <w:rPr>
          <w:rFonts w:ascii="Arial" w:cs="Arial" w:eastAsia="Arial" w:hAnsi="Arial"/>
          <w:sz w:val="19"/>
          <w:szCs w:val="19"/>
          <w:color w:val="auto"/>
        </w:rPr>
        <w:t>. Upon issuance of the Shares hereunder, Grantee may make an election to be taxed upon such award under Section 83(b) of the Code. Grantee will, no later than the date as of which any amount related to the Shares first becomes includable in Grantee’s gross income for federal income tax purposes, pay to the Company, or make other arrangements satisfactory to the Committee regarding payment of, any federal, state and local taxes of any kind required by law to be withheld with respect to such amount. The Committee may permit Grantee to surrender to the Company a number of Shares from this Award as necessary to pay the minimum applicable withholding tax obligation. The obligations of the Company under this Agreement will be conditional on such payment or arrangements, and the Company, and, where applicable, its Affiliates will, to the extent permitted by law, have the right to deduct any such taxes from any payment of any kind otherwise due to Grantee.</w:t>
      </w:r>
    </w:p>
    <w:p>
      <w:pPr>
        <w:spacing w:after="0" w:line="201" w:lineRule="exact"/>
        <w:rPr>
          <w:rFonts w:ascii="Arial" w:cs="Arial" w:eastAsia="Arial" w:hAnsi="Arial"/>
          <w:sz w:val="19"/>
          <w:szCs w:val="19"/>
          <w:color w:val="auto"/>
        </w:rPr>
      </w:pPr>
    </w:p>
    <w:p>
      <w:pPr>
        <w:jc w:val="both"/>
        <w:ind w:left="6" w:hanging="6"/>
        <w:spacing w:after="0" w:line="254" w:lineRule="auto"/>
        <w:tabs>
          <w:tab w:leader="none" w:pos="225"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the Award and this Agreement without approval of the Grantee; provided, however, that such amendment, modification or termination shall not, without the Grantee’s consent, reduce or diminish the value of this Award determined as if it had been fully vested on the date of such amendment or termination. Notwithstanding anything herein to the contrary, the Company is authorized, without Grantee’s consent, to amend or interpret this Award and this Agreement certificate to the extent necessary, if any, to comply with Section 409A of the Code and Treasury regulations and guidance with respect to such law.</w:t>
      </w:r>
    </w:p>
    <w:p>
      <w:pPr>
        <w:spacing w:after="0" w:line="213" w:lineRule="exact"/>
        <w:rPr>
          <w:rFonts w:ascii="Arial" w:cs="Arial" w:eastAsia="Arial" w:hAnsi="Arial"/>
          <w:sz w:val="20"/>
          <w:szCs w:val="20"/>
          <w:color w:val="auto"/>
        </w:rPr>
      </w:pPr>
    </w:p>
    <w:p>
      <w:pPr>
        <w:jc w:val="both"/>
        <w:ind w:left="6" w:hanging="6"/>
        <w:spacing w:after="0" w:line="282" w:lineRule="auto"/>
        <w:tabs>
          <w:tab w:leader="none" w:pos="335"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Plan Controls</w:t>
      </w:r>
      <w:r>
        <w:rPr>
          <w:rFonts w:ascii="Arial" w:cs="Arial" w:eastAsia="Arial" w:hAnsi="Arial"/>
          <w:sz w:val="19"/>
          <w:szCs w:val="19"/>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88" w:lineRule="exact"/>
        <w:rPr>
          <w:rFonts w:ascii="Arial" w:cs="Arial" w:eastAsia="Arial" w:hAnsi="Arial"/>
          <w:sz w:val="19"/>
          <w:szCs w:val="19"/>
          <w:color w:val="auto"/>
        </w:rPr>
      </w:pPr>
    </w:p>
    <w:p>
      <w:pPr>
        <w:ind w:left="6" w:hanging="6"/>
        <w:spacing w:after="0" w:line="271" w:lineRule="auto"/>
        <w:tabs>
          <w:tab w:leader="none" w:pos="334"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196" w:lineRule="exact"/>
        <w:rPr>
          <w:rFonts w:ascii="Arial" w:cs="Arial" w:eastAsia="Arial" w:hAnsi="Arial"/>
          <w:sz w:val="20"/>
          <w:szCs w:val="20"/>
          <w:color w:val="auto"/>
        </w:rPr>
      </w:pPr>
    </w:p>
    <w:p>
      <w:pPr>
        <w:jc w:val="both"/>
        <w:ind w:left="6" w:hanging="6"/>
        <w:spacing w:after="0" w:line="262" w:lineRule="auto"/>
        <w:tabs>
          <w:tab w:leader="none" w:pos="38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deemed to be invalid, illegal or unenforceable, the other provisions of this Agreement will be construed and enforced as if the invalid, illegal or unenforceable provision had never been included.</w:t>
      </w:r>
    </w:p>
    <w:p>
      <w:pPr>
        <w:spacing w:after="0" w:line="205" w:lineRule="exact"/>
        <w:rPr>
          <w:rFonts w:ascii="Arial" w:cs="Arial" w:eastAsia="Arial" w:hAnsi="Arial"/>
          <w:sz w:val="20"/>
          <w:szCs w:val="20"/>
          <w:color w:val="auto"/>
        </w:rPr>
      </w:pPr>
    </w:p>
    <w:p>
      <w:pPr>
        <w:jc w:val="both"/>
        <w:ind w:left="6" w:hanging="6"/>
        <w:spacing w:after="0" w:line="274" w:lineRule="auto"/>
        <w:tabs>
          <w:tab w:leader="none" w:pos="349"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97" w:lineRule="exact"/>
        <w:rPr>
          <w:rFonts w:ascii="Arial" w:cs="Arial" w:eastAsia="Arial" w:hAnsi="Arial"/>
          <w:sz w:val="19"/>
          <w:szCs w:val="19"/>
          <w:color w:val="auto"/>
        </w:rPr>
      </w:pPr>
    </w:p>
    <w:p>
      <w:pPr>
        <w:ind w:left="6" w:hanging="6"/>
        <w:spacing w:after="0" w:line="271" w:lineRule="auto"/>
        <w:tabs>
          <w:tab w:leader="none" w:pos="389"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Grantee gives explicit consent to the Company and other persons who administer the Plan to process and use all personal data relevant to</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6"/>
          </w:cols>
          <w:pgMar w:left="334" w:top="1440" w:right="339" w:bottom="1440" w:gutter="0" w:footer="0" w:header="0"/>
        </w:sectPr>
      </w:pPr>
    </w:p>
    <w:bookmarkStart w:id="96" w:name="page97"/>
    <w:bookmarkEnd w:id="96"/>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Plan administration, including without limitation his or her name, address, Social Security Number or other applicable tax identification number, and bank and brokerage account details, and to the transfer of any such personal data outside the country in which Grantee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440" w:right="339" w:bottom="1440" w:gutter="0" w:footer="0" w:header="0"/>
        </w:sectPr>
      </w:pPr>
    </w:p>
    <w:bookmarkStart w:id="97" w:name="page98"/>
    <w:bookmarkEnd w:id="97"/>
    <w:p>
      <w:pPr>
        <w:spacing w:after="0" w:line="188"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3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PERFORMANCE UNIT AGREEMENT</w:t>
      </w:r>
    </w:p>
    <w:p>
      <w:pPr>
        <w:spacing w:after="0" w:line="13"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FORM OF TERMS AND CONDITIONS</w:t>
      </w:r>
    </w:p>
    <w:p>
      <w:pPr>
        <w:spacing w:after="0" w:line="225" w:lineRule="exact"/>
        <w:rPr>
          <w:sz w:val="20"/>
          <w:szCs w:val="20"/>
          <w:color w:val="auto"/>
        </w:rPr>
      </w:pPr>
    </w:p>
    <w:p>
      <w:pPr>
        <w:jc w:val="both"/>
        <w:ind w:left="6" w:hanging="6"/>
        <w:spacing w:after="0" w:line="258" w:lineRule="auto"/>
        <w:tabs>
          <w:tab w:leader="none" w:pos="26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Grant of Units</w:t>
      </w:r>
      <w:r>
        <w:rPr>
          <w:rFonts w:ascii="Arial" w:cs="Arial" w:eastAsia="Arial" w:hAnsi="Arial"/>
          <w:sz w:val="20"/>
          <w:szCs w:val="20"/>
          <w:color w:val="auto"/>
        </w:rPr>
        <w:t>. The Company hereby grants to the Grantee named in the notice of award (“Grantee”), subject to the restrictions and the other terms and conditions set forth in the Micron Technology, Inc. Amended and Restated 2004 Equity Incentive Plan (the “Plan”) and in this award agreement (this “Agreement”), the target number of performance units indicated in the notice of award (the “Performance Units”) representing the right to earn, on a one-for-one basis, shares of Micron Technology, Inc. (the “Company”) $0.10 par value common stock (“Shares”).</w:t>
      </w:r>
    </w:p>
    <w:p>
      <w:pPr>
        <w:spacing w:after="0" w:line="208" w:lineRule="exact"/>
        <w:rPr>
          <w:rFonts w:ascii="Arial" w:cs="Arial" w:eastAsia="Arial" w:hAnsi="Arial"/>
          <w:sz w:val="20"/>
          <w:szCs w:val="20"/>
          <w:color w:val="auto"/>
        </w:rPr>
      </w:pPr>
    </w:p>
    <w:p>
      <w:pPr>
        <w:jc w:val="both"/>
        <w:ind w:left="6" w:hanging="6"/>
        <w:spacing w:after="0" w:line="251" w:lineRule="auto"/>
        <w:tabs>
          <w:tab w:leader="none" w:pos="27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General Acknowledgements</w:t>
      </w:r>
      <w:r>
        <w:rPr>
          <w:rFonts w:ascii="Arial" w:cs="Arial" w:eastAsia="Arial" w:hAnsi="Arial"/>
          <w:sz w:val="20"/>
          <w:szCs w:val="20"/>
          <w:color w:val="auto"/>
        </w:rPr>
        <w:t>. By accepting the Performance Units, Grantee hereby acknowledges that he or she has reviewed the terms and conditions of this Agreement and the Plan, and is familiar with the provisions thereof. Grantee hereby accepts the Performance Units subject to all the terms and conditions of this Agreement and the Plan. Grantee acknowledges that a Prospectus relating to the Plan was made available for review. Grantee hereby agrees to accept as binding, conclusive and final all decisions or interpretations of the Committee upon any questions arising under the Plan. Grantee acknowledges that the grant and acceptance of the Performance Units do not constitute an employment agreement and do not assure continuous employment with the Company or any of its Affiliates.</w:t>
      </w:r>
    </w:p>
    <w:p>
      <w:pPr>
        <w:spacing w:after="0" w:line="219" w:lineRule="exact"/>
        <w:rPr>
          <w:rFonts w:ascii="Arial" w:cs="Arial" w:eastAsia="Arial" w:hAnsi="Arial"/>
          <w:sz w:val="20"/>
          <w:szCs w:val="20"/>
          <w:color w:val="auto"/>
        </w:rPr>
      </w:pPr>
    </w:p>
    <w:p>
      <w:pPr>
        <w:ind w:left="6" w:hanging="6"/>
        <w:spacing w:after="0" w:line="286" w:lineRule="auto"/>
        <w:tabs>
          <w:tab w:leader="none" w:pos="22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and not otherwise defined shall have the meanings assigned to such terms in the Plan. In addition, for purposes of this Agreement:</w:t>
      </w:r>
    </w:p>
    <w:p>
      <w:pPr>
        <w:spacing w:after="0" w:line="180" w:lineRule="exact"/>
        <w:rPr>
          <w:rFonts w:ascii="Arial" w:cs="Arial" w:eastAsia="Arial" w:hAnsi="Arial"/>
          <w:sz w:val="20"/>
          <w:szCs w:val="20"/>
          <w:color w:val="auto"/>
        </w:rPr>
      </w:pPr>
    </w:p>
    <w:p>
      <w:pPr>
        <w:ind w:left="1106" w:hanging="464"/>
        <w:spacing w:after="0"/>
        <w:tabs>
          <w:tab w:leader="none" w:pos="1106" w:val="left"/>
        </w:tabs>
        <w:numPr>
          <w:ilvl w:val="1"/>
          <w:numId w:val="82"/>
        </w:numPr>
        <w:rPr>
          <w:rFonts w:ascii="Arial" w:cs="Arial" w:eastAsia="Arial" w:hAnsi="Arial"/>
          <w:sz w:val="20"/>
          <w:szCs w:val="20"/>
          <w:color w:val="auto"/>
        </w:rPr>
      </w:pPr>
      <w:r>
        <w:rPr>
          <w:rFonts w:ascii="Arial" w:cs="Arial" w:eastAsia="Arial" w:hAnsi="Arial"/>
          <w:sz w:val="20"/>
          <w:szCs w:val="20"/>
          <w:color w:val="auto"/>
        </w:rPr>
        <w:t>Confirmed Performance Units is defined in Exhibit A.</w:t>
      </w:r>
    </w:p>
    <w:p>
      <w:pPr>
        <w:spacing w:after="0" w:line="256" w:lineRule="exact"/>
        <w:rPr>
          <w:rFonts w:ascii="Arial" w:cs="Arial" w:eastAsia="Arial" w:hAnsi="Arial"/>
          <w:sz w:val="20"/>
          <w:szCs w:val="20"/>
          <w:color w:val="auto"/>
        </w:rPr>
      </w:pPr>
    </w:p>
    <w:p>
      <w:pPr>
        <w:ind w:left="1106" w:hanging="464"/>
        <w:spacing w:after="0"/>
        <w:tabs>
          <w:tab w:leader="none" w:pos="1106" w:val="left"/>
        </w:tabs>
        <w:numPr>
          <w:ilvl w:val="1"/>
          <w:numId w:val="82"/>
        </w:numPr>
        <w:rPr>
          <w:rFonts w:ascii="Arial" w:cs="Arial" w:eastAsia="Arial" w:hAnsi="Arial"/>
          <w:sz w:val="20"/>
          <w:szCs w:val="20"/>
          <w:color w:val="auto"/>
        </w:rPr>
      </w:pPr>
      <w:r>
        <w:rPr>
          <w:rFonts w:ascii="Arial" w:cs="Arial" w:eastAsia="Arial" w:hAnsi="Arial"/>
          <w:sz w:val="20"/>
          <w:szCs w:val="20"/>
          <w:color w:val="auto"/>
        </w:rPr>
        <w:t>Conversion Date is defined in Exhibit A.</w:t>
      </w:r>
    </w:p>
    <w:p>
      <w:pPr>
        <w:spacing w:after="0" w:line="242" w:lineRule="exact"/>
        <w:rPr>
          <w:rFonts w:ascii="Arial" w:cs="Arial" w:eastAsia="Arial" w:hAnsi="Arial"/>
          <w:sz w:val="20"/>
          <w:szCs w:val="20"/>
          <w:color w:val="auto"/>
        </w:rPr>
      </w:pPr>
    </w:p>
    <w:p>
      <w:pPr>
        <w:ind w:left="1086" w:hanging="444"/>
        <w:spacing w:after="0"/>
        <w:tabs>
          <w:tab w:leader="none" w:pos="1086" w:val="left"/>
        </w:tabs>
        <w:numPr>
          <w:ilvl w:val="1"/>
          <w:numId w:val="82"/>
        </w:numPr>
        <w:rPr>
          <w:rFonts w:ascii="Arial" w:cs="Arial" w:eastAsia="Arial" w:hAnsi="Arial"/>
          <w:sz w:val="20"/>
          <w:szCs w:val="20"/>
          <w:color w:val="auto"/>
        </w:rPr>
      </w:pPr>
      <w:r>
        <w:rPr>
          <w:rFonts w:ascii="Arial" w:cs="Arial" w:eastAsia="Arial" w:hAnsi="Arial"/>
          <w:sz w:val="20"/>
          <w:szCs w:val="20"/>
          <w:color w:val="auto"/>
        </w:rPr>
        <w:t>Final Payout Factor is defined in Exhibit A.</w:t>
      </w:r>
    </w:p>
    <w:p>
      <w:pPr>
        <w:spacing w:after="0" w:line="256" w:lineRule="exact"/>
        <w:rPr>
          <w:rFonts w:ascii="Arial" w:cs="Arial" w:eastAsia="Arial" w:hAnsi="Arial"/>
          <w:sz w:val="20"/>
          <w:szCs w:val="20"/>
          <w:color w:val="auto"/>
        </w:rPr>
      </w:pPr>
    </w:p>
    <w:p>
      <w:pPr>
        <w:ind w:left="1106" w:hanging="464"/>
        <w:spacing w:after="0"/>
        <w:tabs>
          <w:tab w:leader="none" w:pos="1106" w:val="left"/>
        </w:tabs>
        <w:numPr>
          <w:ilvl w:val="1"/>
          <w:numId w:val="82"/>
        </w:numPr>
        <w:rPr>
          <w:rFonts w:ascii="Arial" w:cs="Arial" w:eastAsia="Arial" w:hAnsi="Arial"/>
          <w:sz w:val="20"/>
          <w:szCs w:val="20"/>
          <w:color w:val="auto"/>
        </w:rPr>
      </w:pPr>
      <w:r>
        <w:rPr>
          <w:rFonts w:ascii="Arial" w:cs="Arial" w:eastAsia="Arial" w:hAnsi="Arial"/>
          <w:sz w:val="20"/>
          <w:szCs w:val="20"/>
          <w:color w:val="auto"/>
        </w:rPr>
        <w:t>Performance Period means [______________].</w:t>
      </w:r>
    </w:p>
    <w:p>
      <w:pPr>
        <w:spacing w:after="0" w:line="256" w:lineRule="exact"/>
        <w:rPr>
          <w:rFonts w:ascii="Arial" w:cs="Arial" w:eastAsia="Arial" w:hAnsi="Arial"/>
          <w:sz w:val="20"/>
          <w:szCs w:val="20"/>
          <w:color w:val="auto"/>
        </w:rPr>
      </w:pPr>
    </w:p>
    <w:p>
      <w:pPr>
        <w:ind w:left="1286" w:right="20" w:hanging="644"/>
        <w:spacing w:after="0" w:line="286" w:lineRule="auto"/>
        <w:tabs>
          <w:tab w:leader="none" w:pos="1201" w:val="left"/>
        </w:tabs>
        <w:numPr>
          <w:ilvl w:val="1"/>
          <w:numId w:val="82"/>
        </w:numPr>
        <w:rPr>
          <w:rFonts w:ascii="Arial" w:cs="Arial" w:eastAsia="Arial" w:hAnsi="Arial"/>
          <w:sz w:val="20"/>
          <w:szCs w:val="20"/>
          <w:color w:val="auto"/>
        </w:rPr>
      </w:pPr>
      <w:r>
        <w:rPr>
          <w:rFonts w:ascii="Arial" w:cs="Arial" w:eastAsia="Arial" w:hAnsi="Arial"/>
          <w:sz w:val="20"/>
          <w:szCs w:val="20"/>
          <w:color w:val="auto"/>
        </w:rPr>
        <w:t>Target Award means the number of performance units granted pursuant to this Agreement, as indicated in the notice of award.</w:t>
      </w:r>
    </w:p>
    <w:p>
      <w:pPr>
        <w:spacing w:after="0" w:line="180" w:lineRule="exact"/>
        <w:rPr>
          <w:rFonts w:ascii="Arial" w:cs="Arial" w:eastAsia="Arial" w:hAnsi="Arial"/>
          <w:sz w:val="20"/>
          <w:szCs w:val="20"/>
          <w:color w:val="auto"/>
        </w:rPr>
      </w:pPr>
    </w:p>
    <w:p>
      <w:pPr>
        <w:ind w:left="1046" w:hanging="404"/>
        <w:spacing w:after="0"/>
        <w:tabs>
          <w:tab w:leader="none" w:pos="1046" w:val="left"/>
        </w:tabs>
        <w:numPr>
          <w:ilvl w:val="1"/>
          <w:numId w:val="82"/>
        </w:numPr>
        <w:rPr>
          <w:rFonts w:ascii="Arial" w:cs="Arial" w:eastAsia="Arial" w:hAnsi="Arial"/>
          <w:sz w:val="20"/>
          <w:szCs w:val="20"/>
          <w:color w:val="auto"/>
        </w:rPr>
      </w:pPr>
      <w:r>
        <w:rPr>
          <w:rFonts w:ascii="Arial" w:cs="Arial" w:eastAsia="Arial" w:hAnsi="Arial"/>
          <w:sz w:val="20"/>
          <w:szCs w:val="20"/>
          <w:color w:val="auto"/>
        </w:rPr>
        <w:t>[Insert Performance Metric and definition]</w:t>
      </w:r>
    </w:p>
    <w:p>
      <w:pPr>
        <w:spacing w:after="0" w:line="256" w:lineRule="exact"/>
        <w:rPr>
          <w:rFonts w:ascii="Arial" w:cs="Arial" w:eastAsia="Arial" w:hAnsi="Arial"/>
          <w:sz w:val="20"/>
          <w:szCs w:val="20"/>
          <w:color w:val="auto"/>
        </w:rPr>
      </w:pPr>
    </w:p>
    <w:p>
      <w:pPr>
        <w:jc w:val="both"/>
        <w:ind w:left="6" w:hanging="6"/>
        <w:spacing w:after="0" w:line="255" w:lineRule="auto"/>
        <w:tabs>
          <w:tab w:leader="none" w:pos="26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Performance Units</w:t>
      </w:r>
      <w:r>
        <w:rPr>
          <w:rFonts w:ascii="Arial" w:cs="Arial" w:eastAsia="Arial" w:hAnsi="Arial"/>
          <w:sz w:val="20"/>
          <w:szCs w:val="20"/>
          <w:color w:val="auto"/>
        </w:rPr>
        <w:t>. The Performance Units have been credited to a bookkeeping account on behalf of Grantee. The Performance Units will be earned in whole, in part, or not at all, as provided on Exhibit A attached hereto. Any Performance Units that fail to vest in accordance with the terms of this Agreement will be forfeited and reconveyed to the Company without further consideration or any act or action by Grantee.</w:t>
      </w:r>
    </w:p>
    <w:p>
      <w:pPr>
        <w:spacing w:after="0" w:line="210" w:lineRule="exact"/>
        <w:rPr>
          <w:rFonts w:ascii="Arial" w:cs="Arial" w:eastAsia="Arial" w:hAnsi="Arial"/>
          <w:sz w:val="20"/>
          <w:szCs w:val="20"/>
          <w:color w:val="auto"/>
        </w:rPr>
      </w:pPr>
    </w:p>
    <w:p>
      <w:pPr>
        <w:jc w:val="both"/>
        <w:ind w:left="6" w:hanging="6"/>
        <w:spacing w:after="0" w:line="258" w:lineRule="auto"/>
        <w:tabs>
          <w:tab w:leader="none" w:pos="239"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Conversion to Shares</w:t>
      </w:r>
      <w:r>
        <w:rPr>
          <w:rFonts w:ascii="Arial" w:cs="Arial" w:eastAsia="Arial" w:hAnsi="Arial"/>
          <w:sz w:val="20"/>
          <w:szCs w:val="20"/>
          <w:color w:val="auto"/>
        </w:rPr>
        <w:t>. Except as otherwise provided herein, the Confirmed Performance Units will be converted to actual unrestricted Shares (one Share per Confirmed Performance Unit) on the Conversion Date, provided that Grantee has remained in Continuous Status as a Participant through the Conversion Date. These shares will be registered on the books of the Company in Grantee’s name as of the Conversion Date and stock certificates for the Shares shall be delivered to Grantee or Grantee’s designee upon request of Grantee.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6"/>
          </w:cols>
          <w:pgMar w:left="334" w:top="1440" w:right="339" w:bottom="1440" w:gutter="0" w:footer="0" w:header="0"/>
        </w:sectPr>
      </w:pPr>
    </w:p>
    <w:bookmarkStart w:id="98" w:name="page99"/>
    <w:bookmarkEnd w:id="98"/>
    <w:p>
      <w:pPr>
        <w:spacing w:after="0" w:line="190" w:lineRule="exact"/>
        <w:rPr>
          <w:sz w:val="20"/>
          <w:szCs w:val="20"/>
          <w:color w:val="auto"/>
        </w:rPr>
      </w:pPr>
    </w:p>
    <w:p>
      <w:pPr>
        <w:jc w:val="both"/>
        <w:ind w:left="6"/>
        <w:spacing w:after="0" w:line="252" w:lineRule="auto"/>
        <w:rPr>
          <w:sz w:val="20"/>
          <w:szCs w:val="20"/>
          <w:color w:val="auto"/>
        </w:rPr>
      </w:pPr>
      <w:r>
        <w:rPr>
          <w:rFonts w:ascii="Arial" w:cs="Arial" w:eastAsia="Arial" w:hAnsi="Arial"/>
          <w:sz w:val="20"/>
          <w:szCs w:val="20"/>
          <w:color w:val="auto"/>
        </w:rPr>
        <w:t>the foregoing, if Grantee’s Continuous Status as a Participant is terminated during the Performance Period by reason of death or Disability, then (A) the number of Performance Units earned shall be determined by multiplying (i) the Target Award, by (ii) a fraction, the numerator of which is the number of days in the Performance Period preceding the date of the termination due to death or Disability and the denominator of which is [insert number of days in Performance Period], and (B) any such earned Performance Units shall convert to Shares on the date of Grantee’s termination of Continuous Status as a Participant. If Grantee’s Continuous Status as a Participant is terminated during the Performance Period for any reason other than death or Disability, and except as otherwise provided in Section 6(b) hereof, then Grantee’s Performance Units will be forfeited and reconveyed to the Company without further consideration or any act or action by Grantee.</w:t>
      </w:r>
    </w:p>
    <w:p>
      <w:pPr>
        <w:spacing w:after="0" w:line="215" w:lineRule="exact"/>
        <w:rPr>
          <w:sz w:val="20"/>
          <w:szCs w:val="20"/>
          <w:color w:val="auto"/>
        </w:rPr>
      </w:pPr>
    </w:p>
    <w:p>
      <w:pPr>
        <w:ind w:left="226" w:hanging="226"/>
        <w:spacing w:after="0"/>
        <w:tabs>
          <w:tab w:leader="none" w:pos="226"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ind w:left="1286" w:hanging="644"/>
        <w:spacing w:after="0" w:line="254" w:lineRule="auto"/>
        <w:tabs>
          <w:tab w:leader="none" w:pos="1114" w:val="left"/>
        </w:tabs>
        <w:numPr>
          <w:ilvl w:val="1"/>
          <w:numId w:val="83"/>
        </w:numPr>
        <w:rPr>
          <w:rFonts w:ascii="Arial" w:cs="Arial" w:eastAsia="Arial" w:hAnsi="Arial"/>
          <w:sz w:val="20"/>
          <w:szCs w:val="20"/>
          <w:color w:val="auto"/>
        </w:rPr>
      </w:pPr>
      <w:r>
        <w:rPr>
          <w:rFonts w:ascii="Arial" w:cs="Arial" w:eastAsia="Arial" w:hAnsi="Arial"/>
          <w:sz w:val="20"/>
          <w:szCs w:val="20"/>
          <w:color w:val="auto"/>
        </w:rPr>
        <w:t>If a Change in Control occurs during the Performance Period and while Grantee remains in Continuous Status as a Participant and the Performance Units are not assumed by the surviving entity or otherwise equitably converted or substituted in connection with the Change in Control, then the number of Performance Units earned shall be determined by multiplying (i) the Target Award, by (ii) a fraction, the numerator of which is the number of days in the Performance Period preceding the effective date of the Change in Control and the denominator of which is [insert number of days in Performance Period] and there shall be a pro rata payout to Grantee within thirty (30) days following the Change in Control.</w:t>
      </w:r>
    </w:p>
    <w:p>
      <w:pPr>
        <w:spacing w:after="0" w:line="199" w:lineRule="exact"/>
        <w:rPr>
          <w:rFonts w:ascii="Arial" w:cs="Arial" w:eastAsia="Arial" w:hAnsi="Arial"/>
          <w:sz w:val="20"/>
          <w:szCs w:val="20"/>
          <w:color w:val="auto"/>
        </w:rPr>
      </w:pPr>
    </w:p>
    <w:p>
      <w:pPr>
        <w:ind w:left="1286" w:hanging="644"/>
        <w:spacing w:after="0" w:line="252" w:lineRule="auto"/>
        <w:tabs>
          <w:tab w:leader="none" w:pos="1114" w:val="left"/>
        </w:tabs>
        <w:numPr>
          <w:ilvl w:val="1"/>
          <w:numId w:val="83"/>
        </w:numPr>
        <w:rPr>
          <w:rFonts w:ascii="Arial" w:cs="Arial" w:eastAsia="Arial" w:hAnsi="Arial"/>
          <w:sz w:val="20"/>
          <w:szCs w:val="20"/>
          <w:color w:val="auto"/>
        </w:rPr>
      </w:pPr>
      <w:r>
        <w:rPr>
          <w:rFonts w:ascii="Arial" w:cs="Arial" w:eastAsia="Arial" w:hAnsi="Arial"/>
          <w:sz w:val="20"/>
          <w:szCs w:val="20"/>
          <w:color w:val="auto"/>
        </w:rPr>
        <w:t>If a Change in Control occurs during the Performance Period and while Grantee remains in Continuous Status as a Participant and the Performance Units are assumed by the surviving entity or otherwise equitably converted or substituted in connection with the Change in Control, then, if within one year after the effective date of the Change in Control Grantee’s employment is terminated without Cause [or Grantee resigns for Good Reason (as defined below)], the number of Performance Units earned shall be determined by multiplying (i) the Target Award, by (ii) a fraction, the numerator of which is the number of days in the Performance Period preceding the effective date of the Grantee’s termination of employment and the denominator of which is [insert number of days in Performance Period] and there shall be a pro rata payout to Grantee within thirty (30) days following his or her date of termination.</w:t>
      </w:r>
    </w:p>
    <w:p>
      <w:pPr>
        <w:spacing w:after="0" w:line="216" w:lineRule="exact"/>
        <w:rPr>
          <w:sz w:val="20"/>
          <w:szCs w:val="20"/>
          <w:color w:val="auto"/>
        </w:rPr>
      </w:pPr>
    </w:p>
    <w:p>
      <w:pPr>
        <w:jc w:val="both"/>
        <w:ind w:left="6"/>
        <w:spacing w:after="0" w:line="255" w:lineRule="auto"/>
        <w:rPr>
          <w:sz w:val="20"/>
          <w:szCs w:val="20"/>
          <w:color w:val="auto"/>
        </w:rPr>
      </w:pPr>
      <w:r>
        <w:rPr>
          <w:rFonts w:ascii="Arial" w:cs="Arial" w:eastAsia="Arial" w:hAnsi="Arial"/>
          <w:sz w:val="20"/>
          <w:szCs w:val="20"/>
          <w:color w:val="auto"/>
        </w:rPr>
        <w:t>[For purposes of this Agreement, “Good Reason” shall mean any of the following, without Grantee’s consent: (i) a material diminution in Grantee’s Base Salary (other than an across-the-board reduction in base salary that affects all peer employees);</w:t>
      </w:r>
    </w:p>
    <w:p>
      <w:pPr>
        <w:spacing w:after="0" w:line="2" w:lineRule="exact"/>
        <w:rPr>
          <w:sz w:val="20"/>
          <w:szCs w:val="20"/>
          <w:color w:val="auto"/>
        </w:rPr>
      </w:pPr>
    </w:p>
    <w:p>
      <w:pPr>
        <w:jc w:val="both"/>
        <w:ind w:left="6" w:hanging="6"/>
        <w:spacing w:after="0" w:line="251" w:lineRule="auto"/>
        <w:tabs>
          <w:tab w:leader="none" w:pos="293" w:val="left"/>
        </w:tabs>
        <w:numPr>
          <w:ilvl w:val="0"/>
          <w:numId w:val="84"/>
        </w:numPr>
        <w:rPr>
          <w:rFonts w:ascii="Arial" w:cs="Arial" w:eastAsia="Arial" w:hAnsi="Arial"/>
          <w:sz w:val="20"/>
          <w:szCs w:val="20"/>
          <w:color w:val="auto"/>
        </w:rPr>
      </w:pPr>
      <w:r>
        <w:rPr>
          <w:rFonts w:ascii="Arial" w:cs="Arial" w:eastAsia="Arial" w:hAnsi="Arial"/>
          <w:sz w:val="20"/>
          <w:szCs w:val="20"/>
          <w:color w:val="auto"/>
        </w:rPr>
        <w:t>a material diminution in Grantee’s authority, duties, or responsibilities; or (iii) the relocation of Grantee’s principal office to a location that is more than twenty-five (25) miles from the location of Grantee’s principal office on the effective date of the Change in Control; provided, however, that Good Reason shall not include (A) any relocation of Grantee’s principal office which is proposed or initiated by Grantee; or (B) any relocation that results in Grantee’s principal place office being closer to Grantee’s then-current principal residence. A termination by Grantee shall not constitute termination for Good Reason unless Grantee shall first have delivered to the Company written notice setting forth with specificity the occurrence deemed to give rise to a right to terminate for Good Reason (which notice must be given no later than ninety (90) days after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26"/>
          </w:cols>
          <w:pgMar w:left="334" w:top="1440" w:right="339" w:bottom="1440" w:gutter="0" w:footer="0" w:header="0"/>
        </w:sectPr>
      </w:pPr>
    </w:p>
    <w:bookmarkStart w:id="99" w:name="page100"/>
    <w:bookmarkEnd w:id="99"/>
    <w:p>
      <w:pPr>
        <w:spacing w:after="0" w:line="190" w:lineRule="exact"/>
        <w:rPr>
          <w:sz w:val="20"/>
          <w:szCs w:val="20"/>
          <w:color w:val="auto"/>
        </w:rPr>
      </w:pPr>
    </w:p>
    <w:p>
      <w:pPr>
        <w:jc w:val="both"/>
        <w:ind w:left="6"/>
        <w:spacing w:after="0" w:line="259" w:lineRule="auto"/>
        <w:rPr>
          <w:sz w:val="20"/>
          <w:szCs w:val="20"/>
          <w:color w:val="auto"/>
        </w:rPr>
      </w:pPr>
      <w:r>
        <w:rPr>
          <w:rFonts w:ascii="Arial" w:cs="Arial" w:eastAsia="Arial" w:hAnsi="Arial"/>
          <w:sz w:val="20"/>
          <w:szCs w:val="20"/>
          <w:color w:val="auto"/>
        </w:rPr>
        <w:t>occurrence of such event) (the “Good Reason Notice”), and the Company has not taken action to correct, rescind or otherwise substantially reverse the occurrence supporting termination for Good Reason as identified by Grantee within thirty (30) days following its receipt of such Good Reason Notice. Grantee’s date of termination for Good Reason must occur within a period of three hundred and sixty five (365) days after the initial occurrence of an event of Good Reason.]</w:t>
      </w:r>
    </w:p>
    <w:p>
      <w:pPr>
        <w:spacing w:after="0" w:line="209" w:lineRule="exact"/>
        <w:rPr>
          <w:sz w:val="20"/>
          <w:szCs w:val="20"/>
          <w:color w:val="auto"/>
        </w:rPr>
      </w:pPr>
    </w:p>
    <w:p>
      <w:pPr>
        <w:jc w:val="both"/>
        <w:ind w:left="6" w:hanging="6"/>
        <w:spacing w:after="0" w:line="255" w:lineRule="auto"/>
        <w:tabs>
          <w:tab w:leader="none" w:pos="22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and Pledge</w:t>
      </w:r>
      <w:r>
        <w:rPr>
          <w:rFonts w:ascii="Arial" w:cs="Arial" w:eastAsia="Arial" w:hAnsi="Arial"/>
          <w:sz w:val="20"/>
          <w:szCs w:val="20"/>
          <w:color w:val="auto"/>
        </w:rPr>
        <w:t>. No right or interest of Grantee in the Performance Units may be pledged, encumbered, or hypothecated or be made subject to any lien, obligation, or liability of Grantee to any other party other than the Company. The Performance Units may not be sold, assigned, transferred or otherwise disposed of by Grantee other than by will or the laws of descent and distribution.</w:t>
      </w:r>
    </w:p>
    <w:p>
      <w:pPr>
        <w:spacing w:after="0" w:line="210" w:lineRule="exact"/>
        <w:rPr>
          <w:rFonts w:ascii="Arial" w:cs="Arial" w:eastAsia="Arial" w:hAnsi="Arial"/>
          <w:sz w:val="20"/>
          <w:szCs w:val="20"/>
          <w:color w:val="auto"/>
        </w:rPr>
      </w:pPr>
    </w:p>
    <w:p>
      <w:pPr>
        <w:jc w:val="both"/>
        <w:ind w:left="6" w:hanging="6"/>
        <w:spacing w:after="0" w:line="254" w:lineRule="auto"/>
        <w:tabs>
          <w:tab w:leader="none" w:pos="22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Restrictions on Issuance of Shares</w:t>
      </w:r>
      <w:r>
        <w:rPr>
          <w:rFonts w:ascii="Arial" w:cs="Arial" w:eastAsia="Arial" w:hAnsi="Arial"/>
          <w:sz w:val="20"/>
          <w:szCs w:val="20"/>
          <w:color w:val="auto"/>
        </w:rPr>
        <w:t>. If at any time the Committee shall determine, in its discretion, that registration, listing or qualification of the Shares underlying the Performance Units upon any securities exchange or similar self-regulatory organization or under any foreign, federal, or local law or practice, or the consent or approval of any governmental regulatory body, is necessary or desirable as a condition to the settlement of the Performance Units, stock units will not be converted to Shares in whole or in part unless and until such registration, listing, qualification, consent or approval shall have been effected or obtained free of any conditions not acceptable to the Committee.</w:t>
      </w:r>
    </w:p>
    <w:p>
      <w:pPr>
        <w:spacing w:after="0" w:line="213" w:lineRule="exact"/>
        <w:rPr>
          <w:rFonts w:ascii="Arial" w:cs="Arial" w:eastAsia="Arial" w:hAnsi="Arial"/>
          <w:sz w:val="20"/>
          <w:szCs w:val="20"/>
          <w:color w:val="auto"/>
        </w:rPr>
      </w:pPr>
    </w:p>
    <w:p>
      <w:pPr>
        <w:jc w:val="both"/>
        <w:ind w:left="6" w:hanging="6"/>
        <w:spacing w:after="0" w:line="252" w:lineRule="auto"/>
        <w:tabs>
          <w:tab w:leader="none" w:pos="239"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The Performance Units do not confer to Grantee or Grantee’s beneficiary, executors or administrators any rights of a shareholder of the Company unless and until Shares are in fact issued to such person in connection with the units. Nothing in this Agreement shall interfere with or limit in any way the right of the Company to terminate Grantee’s employment at any time, nor confer upon Grantee any right to continue in employment of the Company. Grantee waives all and any rights to any compensation or damages for the termination of Grantee's office or employment with the Company or an Affiliate for any reason (including unlawful termination of employment) insofar as those rights arise from Grantee ceasing to have rights in relation to the Units as a result of that termination or from the loss or diminution in value of such rights. The grant of the Performance Units does not give Grantee any right to participate in any future grants of share incentive awards.</w:t>
      </w:r>
    </w:p>
    <w:p>
      <w:pPr>
        <w:spacing w:after="0" w:line="214" w:lineRule="exact"/>
        <w:rPr>
          <w:rFonts w:ascii="Arial" w:cs="Arial" w:eastAsia="Arial" w:hAnsi="Arial"/>
          <w:sz w:val="20"/>
          <w:szCs w:val="20"/>
          <w:color w:val="auto"/>
        </w:rPr>
      </w:pPr>
    </w:p>
    <w:p>
      <w:pPr>
        <w:jc w:val="both"/>
        <w:ind w:left="6" w:hanging="6"/>
        <w:spacing w:after="0" w:line="254" w:lineRule="auto"/>
        <w:tabs>
          <w:tab w:leader="none" w:pos="335"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Dividend Rights</w:t>
      </w:r>
      <w:r>
        <w:rPr>
          <w:rFonts w:ascii="Arial" w:cs="Arial" w:eastAsia="Arial" w:hAnsi="Arial"/>
          <w:sz w:val="20"/>
          <w:szCs w:val="20"/>
          <w:color w:val="auto"/>
        </w:rPr>
        <w:t>. If any dividends or other distributions are paid with respect to the Shares while the Performance Units are outstanding, the dollar amount or fair market value of such dividends or distributions with respect to the number of Shares then underlying the Performance Units shall be credited to a bookkeeping account and held (without interest) by the Company for the account of Grantee until the Conversion Date. Such amounts shall be subject to the same vesting and forfeiture provisions as the Performance Units to which they relate. Accrued dividends held pursuant to the foregoing provision shall be paid by the Company to Grantee on the Conversion Date, provided Grantee is then still employed by the Company.</w:t>
      </w:r>
    </w:p>
    <w:p>
      <w:pPr>
        <w:spacing w:after="0" w:line="213" w:lineRule="exact"/>
        <w:rPr>
          <w:rFonts w:ascii="Arial" w:cs="Arial" w:eastAsia="Arial" w:hAnsi="Arial"/>
          <w:sz w:val="20"/>
          <w:szCs w:val="20"/>
          <w:color w:val="auto"/>
        </w:rPr>
      </w:pPr>
    </w:p>
    <w:p>
      <w:pPr>
        <w:jc w:val="both"/>
        <w:ind w:left="6" w:hanging="6"/>
        <w:spacing w:after="0" w:line="254" w:lineRule="auto"/>
        <w:tabs>
          <w:tab w:leader="none" w:pos="34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Payment of Taxes</w:t>
      </w:r>
      <w:r>
        <w:rPr>
          <w:rFonts w:ascii="Arial" w:cs="Arial" w:eastAsia="Arial" w:hAnsi="Arial"/>
          <w:sz w:val="20"/>
          <w:szCs w:val="20"/>
          <w:color w:val="auto"/>
        </w:rPr>
        <w:t>. The Company employing Grantee has the authority and the right to deduct or withhold, or require Grantee to remit to the employer, an amount sufficient to satisfy federal, state, and local taxes (including Grantee’s FICA obligation) required by law to be withheld with respect to any taxable event arising as a result of the vesting or settlement of the Performance Units. The withholding requirement may be satisfied, in whole or in part, by withholding Shares upon the settlement of the Performance Units having a Fair Market Value on the date of withholding equal to the minimum amount (and not any greater amount)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6"/>
          </w:cols>
          <w:pgMar w:left="334" w:top="1440" w:right="339" w:bottom="1440" w:gutter="0" w:footer="0" w:header="0"/>
        </w:sectPr>
      </w:pPr>
    </w:p>
    <w:bookmarkStart w:id="100" w:name="page101"/>
    <w:bookmarkEnd w:id="100"/>
    <w:p>
      <w:pPr>
        <w:spacing w:after="0" w:line="190" w:lineRule="exact"/>
        <w:rPr>
          <w:sz w:val="20"/>
          <w:szCs w:val="20"/>
          <w:color w:val="auto"/>
        </w:rPr>
      </w:pPr>
    </w:p>
    <w:p>
      <w:pPr>
        <w:jc w:val="both"/>
        <w:ind w:left="6"/>
        <w:spacing w:after="0" w:line="262" w:lineRule="auto"/>
        <w:rPr>
          <w:sz w:val="20"/>
          <w:szCs w:val="20"/>
          <w:color w:val="auto"/>
        </w:rPr>
      </w:pPr>
      <w:r>
        <w:rPr>
          <w:rFonts w:ascii="Arial" w:cs="Arial" w:eastAsia="Arial" w:hAnsi="Arial"/>
          <w:sz w:val="20"/>
          <w:szCs w:val="20"/>
          <w:color w:val="auto"/>
        </w:rPr>
        <w:t>be withheld for tax purposes. The obligations of the Company under this Agreement will be conditional on such payment or arrangements, and the Company will, to the extent permitted by law, have the right to deduct any such taxes from any payment of any kind otherwise due to Grantee.</w:t>
      </w:r>
    </w:p>
    <w:p>
      <w:pPr>
        <w:spacing w:after="0" w:line="205" w:lineRule="exact"/>
        <w:rPr>
          <w:sz w:val="20"/>
          <w:szCs w:val="20"/>
          <w:color w:val="auto"/>
        </w:rPr>
      </w:pPr>
    </w:p>
    <w:p>
      <w:pPr>
        <w:jc w:val="both"/>
        <w:ind w:left="6" w:hanging="6"/>
        <w:spacing w:after="0" w:line="262" w:lineRule="auto"/>
        <w:tabs>
          <w:tab w:leader="none" w:pos="376"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this Agreement without approval of Grantee; provided, however, that such amendment, modification or termination shall not, without Grantee’s consent, reduce or diminish the value of this award determined as if it had been fully vested on the date of such amendment or termination.</w:t>
      </w:r>
    </w:p>
    <w:p>
      <w:pPr>
        <w:spacing w:after="0" w:line="205" w:lineRule="exact"/>
        <w:rPr>
          <w:rFonts w:ascii="Arial" w:cs="Arial" w:eastAsia="Arial" w:hAnsi="Arial"/>
          <w:sz w:val="20"/>
          <w:szCs w:val="20"/>
          <w:color w:val="auto"/>
        </w:rPr>
      </w:pPr>
    </w:p>
    <w:p>
      <w:pPr>
        <w:jc w:val="both"/>
        <w:ind w:left="6" w:hanging="6"/>
        <w:spacing w:after="0" w:line="282" w:lineRule="auto"/>
        <w:tabs>
          <w:tab w:leader="none" w:pos="33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Plan Controls</w:t>
      </w:r>
      <w:r>
        <w:rPr>
          <w:rFonts w:ascii="Arial" w:cs="Arial" w:eastAsia="Arial" w:hAnsi="Arial"/>
          <w:sz w:val="19"/>
          <w:szCs w:val="19"/>
          <w:color w:val="auto"/>
        </w:rPr>
        <w:t>. The terms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188" w:lineRule="exact"/>
        <w:rPr>
          <w:rFonts w:ascii="Arial" w:cs="Arial" w:eastAsia="Arial" w:hAnsi="Arial"/>
          <w:sz w:val="19"/>
          <w:szCs w:val="19"/>
          <w:color w:val="auto"/>
        </w:rPr>
      </w:pPr>
    </w:p>
    <w:p>
      <w:pPr>
        <w:jc w:val="both"/>
        <w:ind w:left="6" w:hanging="6"/>
        <w:spacing w:after="0" w:line="262" w:lineRule="auto"/>
        <w:tabs>
          <w:tab w:leader="none" w:pos="38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deemed to be invalid, illegal or unenforceable, the other provisions of this Agreement will be construed and enforced as if the invalid, illegal or unenforceable provision had never been included.</w:t>
      </w:r>
    </w:p>
    <w:p>
      <w:pPr>
        <w:spacing w:after="0" w:line="205" w:lineRule="exact"/>
        <w:rPr>
          <w:rFonts w:ascii="Arial" w:cs="Arial" w:eastAsia="Arial" w:hAnsi="Arial"/>
          <w:sz w:val="20"/>
          <w:szCs w:val="20"/>
          <w:color w:val="auto"/>
        </w:rPr>
      </w:pPr>
    </w:p>
    <w:p>
      <w:pPr>
        <w:jc w:val="both"/>
        <w:ind w:left="6" w:hanging="6"/>
        <w:spacing w:after="0" w:line="274" w:lineRule="auto"/>
        <w:tabs>
          <w:tab w:leader="none" w:pos="349"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Grantee. Notices to Grantee will be directed to the address of Grantee then currently on file with the Company, or at any other address given by Grantee in a written notice to the Company.</w:t>
      </w:r>
    </w:p>
    <w:p>
      <w:pPr>
        <w:spacing w:after="0" w:line="197" w:lineRule="exact"/>
        <w:rPr>
          <w:rFonts w:ascii="Arial" w:cs="Arial" w:eastAsia="Arial" w:hAnsi="Arial"/>
          <w:sz w:val="19"/>
          <w:szCs w:val="19"/>
          <w:color w:val="auto"/>
        </w:rPr>
      </w:pPr>
    </w:p>
    <w:p>
      <w:pPr>
        <w:jc w:val="both"/>
        <w:ind w:left="6" w:hanging="6"/>
        <w:spacing w:after="0" w:line="254" w:lineRule="auto"/>
        <w:tabs>
          <w:tab w:leader="none" w:pos="389"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Grantee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Grantee works or is employed, including to the United States.</w:t>
      </w:r>
    </w:p>
    <w:p>
      <w:pPr>
        <w:spacing w:after="0" w:line="214" w:lineRule="exact"/>
        <w:rPr>
          <w:sz w:val="20"/>
          <w:szCs w:val="20"/>
          <w:color w:val="auto"/>
        </w:rPr>
      </w:pPr>
    </w:p>
    <w:p>
      <w:pPr>
        <w:jc w:val="center"/>
        <w:ind w:right="-5"/>
        <w:spacing w:after="0"/>
        <w:rPr>
          <w:sz w:val="20"/>
          <w:szCs w:val="20"/>
          <w:color w:val="auto"/>
        </w:rPr>
      </w:pPr>
      <w:r>
        <w:rPr>
          <w:rFonts w:ascii="Arial" w:cs="Arial" w:eastAsia="Arial" w:hAnsi="Arial"/>
          <w:sz w:val="20"/>
          <w:szCs w:val="20"/>
          <w:u w:val="single" w:color="auto"/>
          <w:color w:val="auto"/>
        </w:rPr>
        <w:t>Exhibit A</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Performance Units</w:t>
      </w:r>
    </w:p>
    <w:p>
      <w:pPr>
        <w:spacing w:after="0" w:line="258" w:lineRule="exact"/>
        <w:rPr>
          <w:sz w:val="20"/>
          <w:szCs w:val="20"/>
          <w:color w:val="auto"/>
        </w:rPr>
      </w:pPr>
    </w:p>
    <w:p>
      <w:pPr>
        <w:ind w:left="6"/>
        <w:spacing w:after="0"/>
        <w:rPr>
          <w:sz w:val="20"/>
          <w:szCs w:val="20"/>
          <w:color w:val="auto"/>
        </w:rPr>
      </w:pPr>
      <w:r>
        <w:rPr>
          <w:rFonts w:ascii="Arial" w:cs="Arial" w:eastAsia="Arial" w:hAnsi="Arial"/>
          <w:sz w:val="20"/>
          <w:szCs w:val="20"/>
          <w:color w:val="auto"/>
        </w:rPr>
        <w:t>The Performance Units will be earned, in whole or in part, based on (i) Grantee’s remaining in Continuous Status as a</w:t>
      </w:r>
    </w:p>
    <w:p>
      <w:pPr>
        <w:spacing w:after="0" w:line="18" w:lineRule="exact"/>
        <w:rPr>
          <w:sz w:val="20"/>
          <w:szCs w:val="20"/>
          <w:color w:val="auto"/>
        </w:rPr>
      </w:pPr>
    </w:p>
    <w:p>
      <w:pPr>
        <w:ind w:left="6"/>
        <w:spacing w:after="0"/>
        <w:rPr>
          <w:sz w:val="20"/>
          <w:szCs w:val="20"/>
          <w:color w:val="auto"/>
        </w:rPr>
      </w:pPr>
      <w:r>
        <w:rPr>
          <w:rFonts w:ascii="Arial" w:cs="Arial" w:eastAsia="Arial" w:hAnsi="Arial"/>
          <w:sz w:val="20"/>
          <w:szCs w:val="20"/>
          <w:color w:val="auto"/>
        </w:rPr>
        <w:t>Participant, and (ii) [the achievement of the performance metric] over the Performance Period,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26"/>
          </w:cols>
          <w:pgMar w:left="334" w:top="1440" w:right="339" w:bottom="1440" w:gutter="0" w:footer="0" w:header="0"/>
        </w:sectPr>
      </w:pPr>
    </w:p>
    <w:bookmarkStart w:id="101" w:name="page102"/>
    <w:bookmarkEnd w:id="101"/>
    <w:p>
      <w:pPr>
        <w:spacing w:after="0" w:line="219" w:lineRule="exact"/>
        <w:rPr>
          <w:sz w:val="20"/>
          <w:szCs w:val="20"/>
          <w:color w:val="auto"/>
        </w:rPr>
      </w:pPr>
    </w:p>
    <w:tbl>
      <w:tblPr>
        <w:tblLayout w:type="fixed"/>
        <w:tblInd w:w="830" w:type="dxa"/>
        <w:tblCellMar>
          <w:top w:w="0" w:type="dxa"/>
          <w:left w:w="0" w:type="dxa"/>
          <w:bottom w:w="0" w:type="dxa"/>
          <w:right w:w="0" w:type="dxa"/>
        </w:tblCellMar>
      </w:tblPr>
      <w:tr>
        <w:trPr>
          <w:trHeight w:val="290"/>
        </w:trPr>
        <w:tc>
          <w:tcPr>
            <w:tcW w:w="4800" w:type="dxa"/>
            <w:vAlign w:val="bottom"/>
            <w:tcBorders>
              <w:top w:val="single" w:sz="8" w:color="auto"/>
              <w:left w:val="single" w:sz="8" w:color="auto"/>
              <w:right w:val="single" w:sz="8" w:color="auto"/>
            </w:tcBorders>
          </w:tcPr>
          <w:p>
            <w:pPr>
              <w:ind w:left="1400"/>
              <w:spacing w:after="0"/>
              <w:rPr>
                <w:sz w:val="20"/>
                <w:szCs w:val="20"/>
                <w:color w:val="auto"/>
              </w:rPr>
            </w:pPr>
            <w:r>
              <w:rPr>
                <w:rFonts w:ascii="Arial" w:cs="Arial" w:eastAsia="Arial" w:hAnsi="Arial"/>
                <w:sz w:val="20"/>
                <w:szCs w:val="20"/>
                <w:b w:val="1"/>
                <w:bCs w:val="1"/>
                <w:i w:val="1"/>
                <w:iCs w:val="1"/>
                <w:color w:val="auto"/>
              </w:rPr>
              <w:t>[Performance Metric]</w:t>
            </w:r>
          </w:p>
        </w:tc>
        <w:tc>
          <w:tcPr>
            <w:tcW w:w="480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20"/>
                <w:szCs w:val="20"/>
                <w:b w:val="1"/>
                <w:bCs w:val="1"/>
                <w:color w:val="auto"/>
              </w:rPr>
              <w:t>Payout Factor: % of Target Award Earned(1)</w:t>
            </w:r>
          </w:p>
        </w:tc>
      </w:tr>
      <w:tr>
        <w:trPr>
          <w:trHeight w:val="20"/>
        </w:trPr>
        <w:tc>
          <w:tcPr>
            <w:tcW w:w="48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80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r>
        <w:trPr>
          <w:trHeight w:val="250"/>
        </w:trPr>
        <w:tc>
          <w:tcPr>
            <w:tcW w:w="4800" w:type="dxa"/>
            <w:vAlign w:val="bottom"/>
            <w:tcBorders>
              <w:left w:val="single" w:sz="8" w:color="auto"/>
              <w:bottom w:val="single" w:sz="8" w:color="auto"/>
              <w:right w:val="single" w:sz="8" w:color="auto"/>
            </w:tcBorders>
          </w:tcPr>
          <w:p>
            <w:pPr>
              <w:spacing w:after="0"/>
              <w:rPr>
                <w:sz w:val="21"/>
                <w:szCs w:val="21"/>
                <w:color w:val="auto"/>
              </w:rPr>
            </w:pPr>
          </w:p>
        </w:tc>
        <w:tc>
          <w:tcPr>
            <w:tcW w:w="4800" w:type="dxa"/>
            <w:vAlign w:val="bottom"/>
            <w:tcBorders>
              <w:bottom w:val="single" w:sz="8" w:color="auto"/>
              <w:right w:val="single" w:sz="8" w:color="auto"/>
            </w:tcBorders>
          </w:tcPr>
          <w:p>
            <w:pPr>
              <w:spacing w:after="0"/>
              <w:rPr>
                <w:sz w:val="21"/>
                <w:szCs w:val="2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(1) Payouts between performance levels will be determined based on straight line interpolation.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u w:val="single" w:color="auto"/>
          <w:color w:val="auto"/>
        </w:rPr>
        <w:t>Determination of Payout</w:t>
      </w:r>
      <w:r>
        <w:rPr>
          <w:rFonts w:ascii="Arial" w:cs="Arial" w:eastAsia="Arial" w:hAnsi="Arial"/>
          <w:sz w:val="20"/>
          <w:szCs w:val="20"/>
          <w:color w:val="auto"/>
        </w:rPr>
        <w:t>. No later than 60 days after the end of the Performance Period (the “Confirmation Date”), the Committee shall determine and certify (i) [the results of the performance metric], and (ii) the resulting payout factor as set forth above (the “Final Payout Factor”). The Target Award shall be multiplied by the Final Payout Factor to determine the number of Performance Units earned and vested (“Confirmed Performance Units”).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u w:val="single" w:color="auto"/>
          <w:color w:val="auto"/>
        </w:rPr>
        <w:t>Payout Timing (Conversion to Shares)</w:t>
      </w:r>
      <w:r>
        <w:rPr>
          <w:rFonts w:ascii="Arial" w:cs="Arial" w:eastAsia="Arial" w:hAnsi="Arial"/>
          <w:sz w:val="20"/>
          <w:szCs w:val="20"/>
          <w:color w:val="auto"/>
        </w:rPr>
        <w:t>. The Confirmed Performance Units shall automatically convert to Shares on the Confirmation Date (the “Conversion Date”); provided that Grantee has remained in Continuous Status as a Participant through the Conversion Date.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40" w:top="1440" w:right="339" w:bottom="1440" w:gutter="0" w:footer="0" w:header="0"/>
        </w:sectPr>
      </w:pPr>
    </w:p>
    <w:bookmarkStart w:id="102" w:name="page103"/>
    <w:bookmarkEnd w:id="102"/>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2004 EQUITY INCENTIVE PLAN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RESTRICTED STOCK UNIT AGREEMENT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NOTICE OF RESTRICTED STOCK UNIT GRANT</w:t>
      </w:r>
    </w:p>
    <w:p>
      <w:pPr>
        <w:spacing w:after="0" w:line="2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Unless otherwise defined herein, the terms defined in the Micron Technology, Inc. Amended and Restated 2004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will have the same defined meanings in this Restricted Stock Unit Agreement which includes the Notice of Restricted Stock Unit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xml:space="preserve">”),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(collectively, the “</w:t>
      </w:r>
      <w:r>
        <w:rPr>
          <w:rFonts w:ascii="Arial" w:cs="Arial" w:eastAsia="Arial" w:hAnsi="Arial"/>
          <w:sz w:val="19"/>
          <w:szCs w:val="19"/>
          <w:u w:val="single" w:color="auto"/>
          <w:color w:val="auto"/>
        </w:rPr>
        <w:t>Award Agreement</w:t>
      </w:r>
      <w:r>
        <w:rPr>
          <w:rFonts w:ascii="Arial" w:cs="Arial" w:eastAsia="Arial" w:hAnsi="Arial"/>
          <w:sz w:val="19"/>
          <w:szCs w:val="19"/>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The undersigned Participant has been granted the right to receive a Restricted Stock Unit Award, subject to the terms and conditions of the Plan and this Award Agreement,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Grant Number: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 ______________________________</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Vesting Commencement Date: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Number of Shares Subject to</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Restricted Stock Units: ______________________________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4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Subject to any acceleration provisions contained in the Plan or set forth below, the Restricted Stock Units will be scheduled to vest in accordance with the following schedule: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Vesting Schedule</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Participant’s Continuous Status as a Participant ends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0"/>
          <w:szCs w:val="20"/>
          <w:color w:val="auto"/>
        </w:rPr>
        <w:t>By Participant electronically accepting this Agreement or manually signing this Agreement (in either case, as and in the manner specified by the Company), Participant and the Company agree that (1) this Restricted Stock Unit Award is granted under and governed by the terms and conditions of the Plan and this Award Agreement, which constitutes an Award Certificate for purposes of the Plan, (2) Participant acknowledges that Participant has received a copy of the Plan and the prospectus for the Plan (and/or that Participant has electronic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 OF RESTRICTED STOCK UNIT GRANT</w:t>
      </w:r>
    </w:p>
    <w:p>
      <w:pPr>
        <w:spacing w:after="0" w:line="245" w:lineRule="exact"/>
        <w:rPr>
          <w:sz w:val="20"/>
          <w:szCs w:val="20"/>
          <w:color w:val="auto"/>
        </w:rPr>
      </w:pPr>
    </w:p>
    <w:p>
      <w:pPr>
        <w:jc w:val="both"/>
        <w:ind w:firstLine="656"/>
        <w:spacing w:after="0" w:line="258" w:lineRule="auto"/>
        <w:tabs>
          <w:tab w:leader="none" w:pos="128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individual (“</w:t>
      </w:r>
      <w:r>
        <w:rPr>
          <w:rFonts w:ascii="Arial" w:cs="Arial" w:eastAsia="Arial" w:hAnsi="Arial"/>
          <w:sz w:val="20"/>
          <w:szCs w:val="20"/>
          <w:u w:val="single" w:color="auto"/>
          <w:color w:val="auto"/>
        </w:rPr>
        <w:t>Participant</w:t>
      </w:r>
      <w:r>
        <w:rPr>
          <w:rFonts w:ascii="Arial" w:cs="Arial" w:eastAsia="Arial" w:hAnsi="Arial"/>
          <w:sz w:val="20"/>
          <w:szCs w:val="20"/>
          <w:color w:val="auto"/>
        </w:rPr>
        <w:t>”) named in the Notice of Restricted Stock Unit Grant of this Award Agreement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94" w:lineRule="exact"/>
        <w:rPr>
          <w:rFonts w:ascii="Arial" w:cs="Arial" w:eastAsia="Arial" w:hAnsi="Arial"/>
          <w:sz w:val="20"/>
          <w:szCs w:val="20"/>
          <w:color w:val="auto"/>
        </w:rPr>
      </w:pPr>
    </w:p>
    <w:p>
      <w:pPr>
        <w:jc w:val="both"/>
        <w:ind w:firstLine="656"/>
        <w:spacing w:after="0" w:line="258" w:lineRule="auto"/>
        <w:tabs>
          <w:tab w:leader="none" w:pos="128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94" w:lineRule="exact"/>
        <w:rPr>
          <w:rFonts w:ascii="Arial" w:cs="Arial" w:eastAsia="Arial" w:hAnsi="Arial"/>
          <w:sz w:val="20"/>
          <w:szCs w:val="20"/>
          <w:color w:val="auto"/>
        </w:rPr>
      </w:pPr>
    </w:p>
    <w:p>
      <w:pPr>
        <w:jc w:val="both"/>
        <w:ind w:firstLine="656"/>
        <w:spacing w:after="0" w:line="262" w:lineRule="auto"/>
        <w:tabs>
          <w:tab w:leader="none" w:pos="1285"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and subject to Section 5, the Restricted Stock Units awarded by this Award Agreement will vest in accordance with the vesting provisions set forth in the Notice of Grant, subject to Participant remaining in Continuous Status as a Participant through the applicable vesting date.</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51" w:lineRule="auto"/>
        <w:tabs>
          <w:tab w:leader="none" w:pos="1943"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thirty (30) 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217" w:lineRule="exact"/>
        <w:rPr>
          <w:rFonts w:ascii="Arial" w:cs="Arial" w:eastAsia="Arial" w:hAnsi="Arial"/>
          <w:sz w:val="20"/>
          <w:szCs w:val="20"/>
          <w:color w:val="auto"/>
        </w:rPr>
      </w:pPr>
    </w:p>
    <w:p>
      <w:pPr>
        <w:ind w:left="1960" w:hanging="656"/>
        <w:spacing w:after="0"/>
        <w:tabs>
          <w:tab w:leader="none" w:pos="1960"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2"/>
        <w:spacing w:after="0" w:line="262" w:lineRule="auto"/>
        <w:tabs>
          <w:tab w:leader="none" w:pos="2579"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Participant’s Continuous Status as a Participant ends on account of Participant’s death or Participant becoming Disabled, any Restricted Stock Units that both were unexpired and unvested as of the date of cessation of Continuous Status as a Participant, will vest on such date.</w:t>
      </w:r>
    </w:p>
    <w:p>
      <w:pPr>
        <w:spacing w:after="0" w:line="191" w:lineRule="exact"/>
        <w:rPr>
          <w:rFonts w:ascii="Arial" w:cs="Arial" w:eastAsia="Arial" w:hAnsi="Arial"/>
          <w:sz w:val="20"/>
          <w:szCs w:val="20"/>
          <w:color w:val="auto"/>
        </w:rPr>
      </w:pPr>
    </w:p>
    <w:p>
      <w:pPr>
        <w:jc w:val="both"/>
        <w:ind w:firstLine="1952"/>
        <w:spacing w:after="0" w:line="254" w:lineRule="auto"/>
        <w:tabs>
          <w:tab w:leader="none" w:pos="2582" w:val="left"/>
        </w:tabs>
        <w:numPr>
          <w:ilvl w:val="2"/>
          <w:numId w:val="87"/>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before Participant’s Continuous Status as a Participant ends,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15" w:lineRule="exact"/>
        <w:rPr>
          <w:sz w:val="20"/>
          <w:szCs w:val="20"/>
          <w:color w:val="auto"/>
        </w:rPr>
      </w:pPr>
    </w:p>
    <w:p>
      <w:pPr>
        <w:jc w:val="both"/>
        <w:ind w:firstLine="1952"/>
        <w:spacing w:after="0" w:line="252" w:lineRule="auto"/>
        <w:tabs>
          <w:tab w:leader="none" w:pos="2585"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Termination following a Change in Control.</w:t>
      </w:r>
      <w:r>
        <w:rPr>
          <w:rFonts w:ascii="Arial" w:cs="Arial" w:eastAsia="Arial" w:hAnsi="Arial"/>
          <w:sz w:val="20"/>
          <w:szCs w:val="20"/>
          <w:color w:val="auto"/>
        </w:rPr>
        <w:t xml:space="preserve"> If (A) a Change in Control occurs before Participant’s Continuous Status as a Participant ends, (B) as determined by the Committee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214" w:lineRule="exact"/>
        <w:rPr>
          <w:rFonts w:ascii="Arial" w:cs="Arial" w:eastAsia="Arial" w:hAnsi="Arial"/>
          <w:sz w:val="20"/>
          <w:szCs w:val="20"/>
          <w:color w:val="auto"/>
        </w:rPr>
      </w:pPr>
    </w:p>
    <w:p>
      <w:pPr>
        <w:jc w:val="both"/>
        <w:ind w:firstLine="1952"/>
        <w:spacing w:after="0" w:line="251" w:lineRule="auto"/>
        <w:tabs>
          <w:tab w:leader="none" w:pos="2583"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Discretionary Acceleration</w:t>
      </w:r>
      <w:r>
        <w:rPr>
          <w:rFonts w:ascii="Arial" w:cs="Arial" w:eastAsia="Arial" w:hAnsi="Arial"/>
          <w:sz w:val="20"/>
          <w:szCs w:val="20"/>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Arial" w:cs="Arial" w:eastAsia="Arial" w:hAnsi="Arial"/>
          <w:sz w:val="20"/>
          <w:szCs w:val="20"/>
          <w:u w:val="single" w:color="auto"/>
          <w:color w:val="auto"/>
        </w:rPr>
        <w:t>Section 409A</w:t>
      </w:r>
      <w:r>
        <w:rPr>
          <w:rFonts w:ascii="Arial" w:cs="Arial" w:eastAsia="Arial" w:hAnsi="Arial"/>
          <w:sz w:val="20"/>
          <w:szCs w:val="20"/>
          <w:color w:val="auto"/>
        </w:rPr>
        <w:t>”). The prior sentence may be superseded in a future agreement or amendment to this Award Agreement only by direct and specific reference to such sentence.</w:t>
      </w:r>
    </w:p>
    <w:p>
      <w:pPr>
        <w:spacing w:after="0" w:line="219"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Arial" w:cs="Arial" w:eastAsia="Arial" w:hAnsi="Arial"/>
          <w:sz w:val="20"/>
          <w:szCs w:val="20"/>
          <w:u w:val="single" w:color="auto"/>
          <w:color w:val="auto"/>
        </w:rPr>
        <w:t>Service Provider</w:t>
      </w:r>
      <w:r>
        <w:rPr>
          <w:rFonts w:ascii="Arial" w:cs="Arial" w:eastAsia="Arial" w:hAnsi="Arial"/>
          <w:sz w:val="20"/>
          <w:szCs w:val="20"/>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0" w:lineRule="exact"/>
        <w:rPr>
          <w:sz w:val="20"/>
          <w:szCs w:val="20"/>
          <w:color w:val="auto"/>
        </w:rPr>
      </w:pPr>
    </w:p>
    <w:p>
      <w:pPr>
        <w:jc w:val="both"/>
        <w:ind w:firstLine="1304"/>
        <w:spacing w:after="0" w:line="252" w:lineRule="auto"/>
        <w:tabs>
          <w:tab w:leader="none" w:pos="1932" w:val="left"/>
        </w:tabs>
        <w:numPr>
          <w:ilvl w:val="1"/>
          <w:numId w:val="89"/>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14" w:lineRule="exact"/>
        <w:rPr>
          <w:rFonts w:ascii="Arial" w:cs="Arial" w:eastAsia="Arial" w:hAnsi="Arial"/>
          <w:sz w:val="20"/>
          <w:szCs w:val="20"/>
          <w:color w:val="auto"/>
        </w:rPr>
      </w:pPr>
    </w:p>
    <w:p>
      <w:pPr>
        <w:jc w:val="both"/>
        <w:ind w:firstLine="656"/>
        <w:spacing w:after="0" w:line="251" w:lineRule="auto"/>
        <w:tabs>
          <w:tab w:leader="none" w:pos="128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Forfeiture Upon Cessation of Continuous Status as a Participant</w:t>
      </w:r>
      <w:r>
        <w:rPr>
          <w:rFonts w:ascii="Arial" w:cs="Arial" w:eastAsia="Arial" w:hAnsi="Arial"/>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Restricted Stock Units awarded by this Award Agreement will be forfeited at no cost to the Company and Participant will have no further rights thereunder. The date of forfeiture will be the date of cessation of Continuous Status as a Participant.</w:t>
      </w:r>
    </w:p>
    <w:p>
      <w:pPr>
        <w:spacing w:after="0" w:line="219"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214"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rFonts w:ascii="Arial" w:cs="Arial" w:eastAsia="Arial" w:hAnsi="Arial"/>
          <w:sz w:val="20"/>
          <w:szCs w:val="20"/>
          <w:color w:val="auto"/>
        </w:rPr>
      </w:pPr>
    </w:p>
    <w:p>
      <w:pPr>
        <w:ind w:left="1300" w:hanging="644"/>
        <w:spacing w:after="0"/>
        <w:tabs>
          <w:tab w:leader="none" w:pos="130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90"/>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Participant acknowledges that, regardless of any action taken by the Company or, if different, Participant’s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or any Parent or Subsidiary to which Participant is providing services (together, the “</w:t>
      </w:r>
      <w:r>
        <w:rPr>
          <w:rFonts w:ascii="Arial" w:cs="Arial" w:eastAsia="Arial" w:hAnsi="Arial"/>
          <w:sz w:val="20"/>
          <w:szCs w:val="20"/>
          <w:u w:val="single" w:color="auto"/>
          <w:color w:val="auto"/>
        </w:rPr>
        <w:t>Service Recipients</w:t>
      </w:r>
      <w:r>
        <w:rPr>
          <w:rFonts w:ascii="Arial" w:cs="Arial" w:eastAsia="Arial" w:hAnsi="Arial"/>
          <w:sz w:val="20"/>
          <w:szCs w:val="20"/>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17" w:lineRule="exact"/>
        <w:rPr>
          <w:sz w:val="20"/>
          <w:szCs w:val="20"/>
          <w:color w:val="auto"/>
        </w:rPr>
      </w:pPr>
    </w:p>
    <w:p>
      <w:pPr>
        <w:jc w:val="both"/>
        <w:ind w:firstLine="1304"/>
        <w:spacing w:after="0" w:line="251" w:lineRule="auto"/>
        <w:tabs>
          <w:tab w:leader="none" w:pos="1943"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Tax Withholding and Default Method of Tax Withholding</w:t>
      </w:r>
      <w:r>
        <w:rPr>
          <w:rFonts w:ascii="Arial" w:cs="Arial" w:eastAsia="Arial" w:hAnsi="Arial"/>
          <w:sz w:val="20"/>
          <w:szCs w:val="20"/>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Arial" w:cs="Arial" w:eastAsia="Arial" w:hAnsi="Arial"/>
          <w:sz w:val="20"/>
          <w:szCs w:val="20"/>
          <w:u w:val="single" w:color="auto"/>
          <w:color w:val="auto"/>
        </w:rPr>
        <w:t>Tax Withholding Obligation</w:t>
      </w:r>
      <w:r>
        <w:rPr>
          <w:rFonts w:ascii="Arial" w:cs="Arial" w:eastAsia="Arial" w:hAnsi="Arial"/>
          <w:sz w:val="20"/>
          <w:szCs w:val="20"/>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219"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by the Committee, if such greater amount would not result in adverse financial accounting consequences), or (v) such other means as the Committee deems appropriate.</w:t>
      </w:r>
    </w:p>
    <w:p>
      <w:pPr>
        <w:spacing w:after="0" w:line="167" w:lineRule="exact"/>
        <w:rPr>
          <w:sz w:val="20"/>
          <w:szCs w:val="20"/>
          <w:color w:val="auto"/>
        </w:rPr>
      </w:pPr>
    </w:p>
    <w:p>
      <w:pPr>
        <w:jc w:val="both"/>
        <w:ind w:firstLine="1304"/>
        <w:spacing w:after="0" w:line="254" w:lineRule="auto"/>
        <w:tabs>
          <w:tab w:leader="none" w:pos="1943"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Company’s Obligation to Deliver Shares</w:t>
      </w:r>
      <w:r>
        <w:rPr>
          <w:rFonts w:ascii="Arial" w:cs="Arial" w:eastAsia="Arial" w:hAnsi="Arial"/>
          <w:sz w:val="20"/>
          <w:szCs w:val="20"/>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99"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Company declares and pays a cash dividend on Shares for which the record date occurs while Restricted Stock Units subject to this Agreement remain outstanding, then certain cash amounts (referred to as “</w:t>
      </w:r>
      <w:r>
        <w:rPr>
          <w:rFonts w:ascii="Arial" w:cs="Arial" w:eastAsia="Arial" w:hAnsi="Arial"/>
          <w:sz w:val="20"/>
          <w:szCs w:val="20"/>
          <w:u w:val="single" w:color="auto"/>
          <w:color w:val="auto"/>
        </w:rPr>
        <w:t>DEUs</w:t>
      </w:r>
      <w:r>
        <w:rPr>
          <w:rFonts w:ascii="Arial" w:cs="Arial" w:eastAsia="Arial" w:hAnsi="Arial"/>
          <w:sz w:val="20"/>
          <w:szCs w:val="20"/>
          <w:color w:val="auto"/>
        </w:rPr>
        <w:t>”) will be credited under this Agreement in accordance with this Section 9, but only if Participant remains in Continuous Status as a Participant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Agreement for a particular cash dividend will be determined by the following formula: X = (A x B); where:</w:t>
      </w:r>
    </w:p>
    <w:p>
      <w:pPr>
        <w:spacing w:after="0" w:line="213" w:lineRule="exact"/>
        <w:rPr>
          <w:sz w:val="20"/>
          <w:szCs w:val="20"/>
          <w:color w:val="auto"/>
        </w:rPr>
      </w:pPr>
    </w:p>
    <w:p>
      <w:pPr>
        <w:ind w:left="960" w:hanging="304"/>
        <w:spacing w:after="0"/>
        <w:tabs>
          <w:tab w:leader="none" w:pos="960" w:val="left"/>
        </w:tabs>
        <w:numPr>
          <w:ilvl w:val="0"/>
          <w:numId w:val="94"/>
        </w:numPr>
        <w:rPr>
          <w:rFonts w:ascii="Arial" w:cs="Arial" w:eastAsia="Arial" w:hAnsi="Arial"/>
          <w:sz w:val="20"/>
          <w:szCs w:val="20"/>
          <w:color w:val="auto"/>
        </w:rPr>
      </w:pPr>
      <w:r>
        <w:rPr>
          <w:rFonts w:ascii="Arial" w:cs="Arial" w:eastAsia="Arial" w:hAnsi="Arial"/>
          <w:sz w:val="20"/>
          <w:szCs w:val="20"/>
          <w:color w:val="auto"/>
        </w:rPr>
        <w:t>“X” is the aggregate cash amount of the DEUs to be credited with respect to that cash dividend.</w:t>
      </w:r>
    </w:p>
    <w:p>
      <w:pPr>
        <w:spacing w:after="0" w:line="242" w:lineRule="exact"/>
        <w:rPr>
          <w:rFonts w:ascii="Arial" w:cs="Arial" w:eastAsia="Arial" w:hAnsi="Arial"/>
          <w:sz w:val="20"/>
          <w:szCs w:val="20"/>
          <w:color w:val="auto"/>
        </w:rPr>
      </w:pPr>
    </w:p>
    <w:p>
      <w:pPr>
        <w:ind w:left="980" w:hanging="324"/>
        <w:spacing w:after="0" w:line="286" w:lineRule="auto"/>
        <w:tabs>
          <w:tab w:leader="none" w:pos="968" w:val="left"/>
        </w:tabs>
        <w:numPr>
          <w:ilvl w:val="0"/>
          <w:numId w:val="94"/>
        </w:numPr>
        <w:rPr>
          <w:rFonts w:ascii="Arial" w:cs="Arial" w:eastAsia="Arial" w:hAnsi="Arial"/>
          <w:sz w:val="20"/>
          <w:szCs w:val="20"/>
          <w:color w:val="auto"/>
        </w:rPr>
      </w:pPr>
      <w:r>
        <w:rPr>
          <w:rFonts w:ascii="Arial" w:cs="Arial" w:eastAsia="Arial" w:hAnsi="Arial"/>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67" w:lineRule="exact"/>
        <w:rPr>
          <w:rFonts w:ascii="Arial" w:cs="Arial" w:eastAsia="Arial" w:hAnsi="Arial"/>
          <w:sz w:val="20"/>
          <w:szCs w:val="20"/>
          <w:color w:val="auto"/>
        </w:rPr>
      </w:pPr>
    </w:p>
    <w:p>
      <w:pPr>
        <w:ind w:left="980" w:right="20" w:hanging="324"/>
        <w:spacing w:after="0" w:line="286" w:lineRule="auto"/>
        <w:tabs>
          <w:tab w:leader="none" w:pos="968" w:val="left"/>
        </w:tabs>
        <w:numPr>
          <w:ilvl w:val="0"/>
          <w:numId w:val="94"/>
        </w:numPr>
        <w:rPr>
          <w:rFonts w:ascii="Arial" w:cs="Arial" w:eastAsia="Arial" w:hAnsi="Arial"/>
          <w:sz w:val="20"/>
          <w:szCs w:val="20"/>
          <w:color w:val="auto"/>
        </w:rPr>
      </w:pPr>
      <w:r>
        <w:rPr>
          <w:rFonts w:ascii="Arial" w:cs="Arial" w:eastAsia="Arial" w:hAnsi="Arial"/>
          <w:sz w:val="20"/>
          <w:szCs w:val="20"/>
          <w:color w:val="auto"/>
        </w:rPr>
        <w:t>“B” is the number of Restricted Stock Units remaining subject to this Agreement as of the cash dividend record date but immediately prior to the application of this Section 9 for that cash dividend.</w:t>
      </w:r>
    </w:p>
    <w:p>
      <w:pPr>
        <w:spacing w:after="0" w:line="167"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Vesting of DEUs</w:t>
      </w:r>
      <w:r>
        <w:rPr>
          <w:rFonts w:ascii="Arial" w:cs="Arial" w:eastAsia="Arial" w:hAnsi="Arial"/>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99" w:lineRule="exact"/>
        <w:rPr>
          <w:rFonts w:ascii="Arial" w:cs="Arial" w:eastAsia="Arial" w:hAnsi="Arial"/>
          <w:sz w:val="20"/>
          <w:szCs w:val="20"/>
          <w:color w:val="auto"/>
        </w:rPr>
      </w:pPr>
    </w:p>
    <w:p>
      <w:pPr>
        <w:jc w:val="both"/>
        <w:ind w:right="20" w:firstLine="1304"/>
        <w:spacing w:after="0" w:line="282" w:lineRule="auto"/>
        <w:tabs>
          <w:tab w:leader="none" w:pos="1943"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Settlement and General</w:t>
      </w:r>
      <w:r>
        <w:rPr>
          <w:rFonts w:ascii="Arial" w:cs="Arial" w:eastAsia="Arial" w:hAnsi="Arial"/>
          <w:sz w:val="19"/>
          <w:szCs w:val="19"/>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paid in cash and be subject to the other provisions of this Section 9 and the Award Agreement). DEUs will not accrue interest and will not be credited with any investment returns related to Shares or otherwise.</w:t>
      </w:r>
    </w:p>
    <w:p>
      <w:pPr>
        <w:spacing w:after="0" w:line="167" w:lineRule="exact"/>
        <w:rPr>
          <w:sz w:val="20"/>
          <w:szCs w:val="20"/>
          <w:color w:val="auto"/>
        </w:rPr>
      </w:pPr>
    </w:p>
    <w:p>
      <w:pPr>
        <w:jc w:val="both"/>
        <w:ind w:firstLine="1304"/>
        <w:spacing w:after="0" w:line="267" w:lineRule="auto"/>
        <w:tabs>
          <w:tab w:leader="none" w:pos="1932"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Timing.</w:t>
      </w:r>
      <w:r>
        <w:rPr>
          <w:rFonts w:ascii="Arial" w:cs="Arial" w:eastAsia="Arial" w:hAnsi="Arial"/>
          <w:sz w:val="19"/>
          <w:szCs w:val="19"/>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201" w:lineRule="exact"/>
        <w:rPr>
          <w:rFonts w:ascii="Arial" w:cs="Arial" w:eastAsia="Arial" w:hAnsi="Arial"/>
          <w:sz w:val="19"/>
          <w:szCs w:val="19"/>
          <w:color w:val="auto"/>
        </w:rPr>
      </w:pPr>
    </w:p>
    <w:p>
      <w:pPr>
        <w:jc w:val="both"/>
        <w:ind w:firstLine="656"/>
        <w:spacing w:after="0" w:line="254" w:lineRule="auto"/>
        <w:tabs>
          <w:tab w:leader="none" w:pos="1287"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13" w:lineRule="exact"/>
        <w:rPr>
          <w:rFonts w:ascii="Arial" w:cs="Arial" w:eastAsia="Arial" w:hAnsi="Arial"/>
          <w:sz w:val="20"/>
          <w:szCs w:val="20"/>
          <w:color w:val="auto"/>
        </w:rPr>
      </w:pPr>
    </w:p>
    <w:p>
      <w:pPr>
        <w:jc w:val="both"/>
        <w:ind w:firstLine="656"/>
        <w:spacing w:after="0" w:line="250" w:lineRule="auto"/>
        <w:tabs>
          <w:tab w:leader="none" w:pos="1273"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RESTRICTED STOCK UNITS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16"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Arial" w:cs="Arial" w:eastAsia="Arial" w:hAnsi="Arial"/>
          <w:sz w:val="20"/>
          <w:szCs w:val="20"/>
          <w:u w:val="single" w:color="auto"/>
          <w:color w:val="auto"/>
        </w:rPr>
        <w:t>QDRO</w:t>
      </w:r>
      <w:r>
        <w:rPr>
          <w:rFonts w:ascii="Arial" w:cs="Arial" w:eastAsia="Arial" w:hAnsi="Arial"/>
          <w:sz w:val="20"/>
          <w:szCs w:val="20"/>
          <w:color w:val="auto"/>
        </w:rPr>
        <w:t>”) will be permitted so long as such transfer complies with the QDRO procedures then in effect, as specified by the Committee or the Company.</w:t>
      </w:r>
    </w:p>
    <w:p>
      <w:pPr>
        <w:spacing w:after="0" w:line="195"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Award of Restricted Stock Units, Participant acknowledges, understands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agrees that:</w:t>
      </w:r>
    </w:p>
    <w:p>
      <w:pPr>
        <w:spacing w:after="0" w:line="238"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91" w:lineRule="exact"/>
        <w:rPr>
          <w:rFonts w:ascii="Arial" w:cs="Arial" w:eastAsia="Arial" w:hAnsi="Arial"/>
          <w:sz w:val="20"/>
          <w:szCs w:val="20"/>
          <w:color w:val="auto"/>
        </w:rPr>
      </w:pPr>
    </w:p>
    <w:p>
      <w:pPr>
        <w:ind w:right="20" w:firstLine="1304"/>
        <w:spacing w:after="0" w:line="286" w:lineRule="auto"/>
        <w:tabs>
          <w:tab w:leader="none" w:pos="19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all decisions with respect to future Restricted Stock Units or other grants, if any, will be at the sole discretion of the Committee;</w:t>
      </w:r>
    </w:p>
    <w:p>
      <w:pPr>
        <w:spacing w:after="0" w:line="180" w:lineRule="exact"/>
        <w:rPr>
          <w:rFonts w:ascii="Arial" w:cs="Arial" w:eastAsia="Arial" w:hAnsi="Arial"/>
          <w:sz w:val="20"/>
          <w:szCs w:val="20"/>
          <w:color w:val="auto"/>
        </w:rPr>
      </w:pPr>
    </w:p>
    <w:p>
      <w:pPr>
        <w:ind w:left="1940" w:hanging="636"/>
        <w:spacing w:after="0"/>
        <w:tabs>
          <w:tab w:leader="none" w:pos="1940" w:val="left"/>
        </w:tabs>
        <w:numPr>
          <w:ilvl w:val="1"/>
          <w:numId w:val="97"/>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42" w:lineRule="exact"/>
        <w:rPr>
          <w:rFonts w:ascii="Arial" w:cs="Arial" w:eastAsia="Arial" w:hAnsi="Arial"/>
          <w:sz w:val="20"/>
          <w:szCs w:val="20"/>
          <w:color w:val="auto"/>
        </w:rPr>
      </w:pPr>
    </w:p>
    <w:p>
      <w:pPr>
        <w:ind w:firstLine="1304"/>
        <w:spacing w:after="0" w:line="286" w:lineRule="auto"/>
        <w:tabs>
          <w:tab w:leader="none" w:pos="19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from and value of same, are not intended to replace any pension rights or compensation;</w:t>
      </w:r>
    </w:p>
    <w:p>
      <w:pPr>
        <w:spacing w:after="0" w:line="167" w:lineRule="exact"/>
        <w:rPr>
          <w:rFonts w:ascii="Arial" w:cs="Arial" w:eastAsia="Arial" w:hAnsi="Arial"/>
          <w:sz w:val="20"/>
          <w:szCs w:val="20"/>
          <w:color w:val="auto"/>
        </w:rPr>
      </w:pPr>
    </w:p>
    <w:p>
      <w:pPr>
        <w:jc w:val="both"/>
        <w:ind w:firstLine="1304"/>
        <w:spacing w:after="0" w:line="259" w:lineRule="auto"/>
        <w:tabs>
          <w:tab w:leader="none" w:pos="19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208" w:lineRule="exact"/>
        <w:rPr>
          <w:rFonts w:ascii="Arial" w:cs="Arial" w:eastAsia="Arial" w:hAnsi="Arial"/>
          <w:sz w:val="20"/>
          <w:szCs w:val="20"/>
          <w:color w:val="auto"/>
        </w:rPr>
      </w:pPr>
    </w:p>
    <w:p>
      <w:pPr>
        <w:jc w:val="both"/>
        <w:ind w:firstLine="1304"/>
        <w:spacing w:after="0" w:line="262" w:lineRule="auto"/>
        <w:tabs>
          <w:tab w:leader="none" w:pos="1942" w:val="left"/>
        </w:tabs>
        <w:numPr>
          <w:ilvl w:val="1"/>
          <w:numId w:val="97"/>
        </w:numPr>
        <w:rPr>
          <w:rFonts w:ascii="Arial" w:cs="Arial" w:eastAsia="Arial" w:hAnsi="Arial"/>
          <w:sz w:val="20"/>
          <w:szCs w:val="20"/>
          <w:color w:val="auto"/>
        </w:rPr>
      </w:pPr>
      <w:r>
        <w:rPr>
          <w:rFonts w:ascii="Arial" w:cs="Arial" w:eastAsia="Arial" w:hAnsi="Arial"/>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future value of the Shares underlying the Restricted Stock Units is unknown, indeterminable,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cannot be predicted;</w:t>
      </w:r>
    </w:p>
    <w:p>
      <w:pPr>
        <w:spacing w:after="0" w:line="238" w:lineRule="exact"/>
        <w:rPr>
          <w:rFonts w:ascii="Arial" w:cs="Arial" w:eastAsia="Arial" w:hAnsi="Arial"/>
          <w:sz w:val="20"/>
          <w:szCs w:val="20"/>
          <w:color w:val="auto"/>
        </w:rPr>
      </w:pPr>
    </w:p>
    <w:p>
      <w:pPr>
        <w:jc w:val="both"/>
        <w:ind w:firstLine="1304"/>
        <w:spacing w:after="0" w:line="250" w:lineRule="auto"/>
        <w:tabs>
          <w:tab w:leader="none" w:pos="1943" w:val="left"/>
        </w:tabs>
        <w:numPr>
          <w:ilvl w:val="1"/>
          <w:numId w:val="97"/>
        </w:numPr>
        <w:rPr>
          <w:rFonts w:ascii="Arial" w:cs="Arial" w:eastAsia="Arial" w:hAnsi="Arial"/>
          <w:sz w:val="20"/>
          <w:szCs w:val="20"/>
          <w:color w:val="auto"/>
        </w:rPr>
      </w:pPr>
      <w:r>
        <w:rPr>
          <w:rFonts w:ascii="Arial" w:cs="Arial" w:eastAsia="Arial" w:hAnsi="Arial"/>
          <w:sz w:val="20"/>
          <w:szCs w:val="20"/>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95" w:lineRule="exact"/>
        <w:rPr>
          <w:sz w:val="20"/>
          <w:szCs w:val="20"/>
          <w:color w:val="auto"/>
        </w:rPr>
      </w:pPr>
    </w:p>
    <w:p>
      <w:pPr>
        <w:jc w:val="both"/>
        <w:ind w:firstLine="1304"/>
        <w:spacing w:after="0" w:line="259" w:lineRule="auto"/>
        <w:tabs>
          <w:tab w:leader="none" w:pos="1931" w:val="left"/>
        </w:tabs>
        <w:numPr>
          <w:ilvl w:val="1"/>
          <w:numId w:val="98"/>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08" w:lineRule="exact"/>
        <w:rPr>
          <w:rFonts w:ascii="Arial" w:cs="Arial" w:eastAsia="Arial" w:hAnsi="Arial"/>
          <w:sz w:val="20"/>
          <w:szCs w:val="20"/>
          <w:color w:val="auto"/>
        </w:rPr>
      </w:pPr>
    </w:p>
    <w:p>
      <w:pPr>
        <w:ind w:left="1940" w:hanging="636"/>
        <w:spacing w:after="0"/>
        <w:tabs>
          <w:tab w:leader="none" w:pos="1940" w:val="left"/>
        </w:tabs>
        <w:numPr>
          <w:ilvl w:val="1"/>
          <w:numId w:val="98"/>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42" w:lineRule="exact"/>
        <w:rPr>
          <w:rFonts w:ascii="Arial" w:cs="Arial" w:eastAsia="Arial" w:hAnsi="Arial"/>
          <w:sz w:val="20"/>
          <w:szCs w:val="20"/>
          <w:color w:val="auto"/>
        </w:rPr>
      </w:pPr>
    </w:p>
    <w:p>
      <w:pPr>
        <w:ind w:firstLine="1952"/>
        <w:spacing w:after="0" w:line="286" w:lineRule="auto"/>
        <w:tabs>
          <w:tab w:leader="none" w:pos="2579" w:val="left"/>
        </w:tabs>
        <w:numPr>
          <w:ilvl w:val="2"/>
          <w:numId w:val="98"/>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are not part of normal or expected compensation or salary for any purpose;</w:t>
      </w:r>
    </w:p>
    <w:p>
      <w:pPr>
        <w:spacing w:after="0" w:line="180" w:lineRule="exact"/>
        <w:rPr>
          <w:rFonts w:ascii="Arial" w:cs="Arial" w:eastAsia="Arial" w:hAnsi="Arial"/>
          <w:sz w:val="20"/>
          <w:szCs w:val="20"/>
          <w:color w:val="auto"/>
        </w:rPr>
      </w:pPr>
    </w:p>
    <w:p>
      <w:pPr>
        <w:jc w:val="both"/>
        <w:ind w:firstLine="1952"/>
        <w:spacing w:after="0" w:line="255" w:lineRule="auto"/>
        <w:tabs>
          <w:tab w:leader="none" w:pos="2582" w:val="left"/>
        </w:tabs>
        <w:numPr>
          <w:ilvl w:val="2"/>
          <w:numId w:val="98"/>
        </w:numPr>
        <w:rPr>
          <w:rFonts w:ascii="Arial" w:cs="Arial" w:eastAsia="Arial" w:hAnsi="Arial"/>
          <w:sz w:val="20"/>
          <w:szCs w:val="20"/>
          <w:color w:val="auto"/>
        </w:rPr>
      </w:pPr>
      <w:r>
        <w:rPr>
          <w:rFonts w:ascii="Arial" w:cs="Arial" w:eastAsia="Arial" w:hAnsi="Arial"/>
          <w:sz w:val="20"/>
          <w:szCs w:val="20"/>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210" w:lineRule="exact"/>
        <w:rPr>
          <w:rFonts w:ascii="Arial" w:cs="Arial" w:eastAsia="Arial" w:hAnsi="Arial"/>
          <w:sz w:val="20"/>
          <w:szCs w:val="20"/>
          <w:color w:val="auto"/>
        </w:rPr>
      </w:pPr>
    </w:p>
    <w:p>
      <w:pPr>
        <w:jc w:val="both"/>
        <w:ind w:firstLine="1952"/>
        <w:spacing w:after="0" w:line="252" w:lineRule="auto"/>
        <w:tabs>
          <w:tab w:leader="none" w:pos="2585" w:val="left"/>
        </w:tabs>
        <w:numPr>
          <w:ilvl w:val="2"/>
          <w:numId w:val="98"/>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2"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208" w:lineRule="exact"/>
        <w:rPr>
          <w:rFonts w:ascii="Arial" w:cs="Arial" w:eastAsia="Arial" w:hAnsi="Arial"/>
          <w:sz w:val="20"/>
          <w:szCs w:val="20"/>
          <w:color w:val="auto"/>
        </w:rPr>
      </w:pPr>
    </w:p>
    <w:p>
      <w:pPr>
        <w:jc w:val="both"/>
        <w:ind w:firstLine="656"/>
        <w:spacing w:after="0" w:line="288" w:lineRule="auto"/>
        <w:tabs>
          <w:tab w:leader="none" w:pos="1287" w:val="left"/>
        </w:tabs>
        <w:numPr>
          <w:ilvl w:val="0"/>
          <w:numId w:val="99"/>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 implementing, administering and managing Participant’s participation in the Plan.</w:t>
      </w:r>
    </w:p>
    <w:p>
      <w:pPr>
        <w:spacing w:after="0" w:line="2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for the exclusive purpose of implementing, administering, and managing the Plan.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[redacted]@micron.com.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[redacted]@micron.com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80" w:lineRule="exact"/>
        <w:rPr>
          <w:sz w:val="20"/>
          <w:szCs w:val="20"/>
          <w:color w:val="auto"/>
        </w:rPr>
      </w:pPr>
    </w:p>
    <w:p>
      <w:pPr>
        <w:jc w:val="both"/>
        <w:ind w:firstLine="656"/>
        <w:spacing w:after="0" w:line="262" w:lineRule="auto"/>
        <w:tabs>
          <w:tab w:leader="none" w:pos="1287"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205" w:lineRule="exact"/>
        <w:rPr>
          <w:rFonts w:ascii="Arial" w:cs="Arial" w:eastAsia="Arial" w:hAnsi="Arial"/>
          <w:sz w:val="20"/>
          <w:szCs w:val="20"/>
          <w:color w:val="auto"/>
        </w:rPr>
      </w:pPr>
    </w:p>
    <w:p>
      <w:pPr>
        <w:ind w:right="20" w:firstLine="656"/>
        <w:spacing w:after="0" w:line="286" w:lineRule="auto"/>
        <w:tabs>
          <w:tab w:leader="none" w:pos="1287"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Restricted Stock Units awarded under the Plan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5" w:lineRule="exact"/>
        <w:rPr>
          <w:sz w:val="20"/>
          <w:szCs w:val="20"/>
          <w:color w:val="auto"/>
        </w:rPr>
      </w:pPr>
    </w:p>
    <w:p>
      <w:pPr>
        <w:jc w:val="both"/>
        <w:ind w:firstLine="656"/>
        <w:spacing w:after="0" w:line="259" w:lineRule="auto"/>
        <w:tabs>
          <w:tab w:leader="none" w:pos="1287"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08"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214"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06" w:lineRule="exact"/>
        <w:rPr>
          <w:rFonts w:ascii="Arial" w:cs="Arial" w:eastAsia="Arial" w:hAnsi="Arial"/>
          <w:sz w:val="20"/>
          <w:szCs w:val="20"/>
          <w:color w:val="auto"/>
        </w:rPr>
      </w:pPr>
    </w:p>
    <w:p>
      <w:pPr>
        <w:jc w:val="both"/>
        <w:ind w:firstLine="656"/>
        <w:spacing w:after="0" w:line="258" w:lineRule="auto"/>
        <w:tabs>
          <w:tab w:leader="none" w:pos="1287"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287"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Committee will have the power to interpret the Plan and this Award Agreement and to adopt such rules for the administration, interpretation and application of the Plan as are consistent therewith and to interpret or revoke any such rules (including, but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 limited to, the 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95" w:lineRule="exact"/>
        <w:rPr>
          <w:sz w:val="20"/>
          <w:szCs w:val="20"/>
          <w:color w:val="auto"/>
        </w:rPr>
      </w:pPr>
    </w:p>
    <w:p>
      <w:pPr>
        <w:ind w:firstLine="656"/>
        <w:spacing w:after="0" w:line="286" w:lineRule="auto"/>
        <w:tabs>
          <w:tab w:leader="none" w:pos="1287"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80"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Amendment, Suspension or Termination of the Plan</w:t>
      </w:r>
      <w:r>
        <w:rPr>
          <w:rFonts w:ascii="Arial" w:cs="Arial" w:eastAsia="Arial" w:hAnsi="Arial"/>
          <w:sz w:val="20"/>
          <w:szCs w:val="20"/>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Committee at any time.</w:t>
      </w:r>
    </w:p>
    <w:p>
      <w:pPr>
        <w:spacing w:after="0" w:line="210" w:lineRule="exact"/>
        <w:rPr>
          <w:rFonts w:ascii="Arial" w:cs="Arial" w:eastAsia="Arial" w:hAnsi="Arial"/>
          <w:sz w:val="20"/>
          <w:szCs w:val="20"/>
          <w:color w:val="auto"/>
        </w:rPr>
      </w:pPr>
    </w:p>
    <w:p>
      <w:pPr>
        <w:jc w:val="both"/>
        <w:ind w:firstLine="656"/>
        <w:spacing w:after="0" w:line="265" w:lineRule="auto"/>
        <w:tabs>
          <w:tab w:leader="none" w:pos="1287"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4" w:lineRule="exact"/>
        <w:rPr>
          <w:rFonts w:ascii="Arial" w:cs="Arial" w:eastAsia="Arial" w:hAnsi="Arial"/>
          <w:sz w:val="19"/>
          <w:szCs w:val="19"/>
          <w:color w:val="auto"/>
        </w:rPr>
      </w:pPr>
    </w:p>
    <w:p>
      <w:pPr>
        <w:jc w:val="both"/>
        <w:ind w:firstLine="656"/>
        <w:spacing w:after="0" w:line="254" w:lineRule="auto"/>
        <w:tabs>
          <w:tab w:leader="none" w:pos="1287"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213"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p>
      <w:pPr>
        <w:jc w:val="both"/>
        <w:ind w:left="-20" w:firstLine="656"/>
        <w:spacing w:after="0" w:line="254" w:lineRule="auto"/>
        <w:tabs>
          <w:tab w:leader="none" w:pos="1267" w:val="left"/>
        </w:tabs>
        <w:numPr>
          <w:ilvl w:val="0"/>
          <w:numId w:val="103"/>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Arial" w:cs="Arial" w:eastAsia="Arial" w:hAnsi="Arial"/>
          <w:sz w:val="20"/>
          <w:szCs w:val="20"/>
          <w:u w:val="single" w:color="auto"/>
          <w:color w:val="auto"/>
        </w:rPr>
        <w:t>Country Addendum</w:t>
      </w:r>
      <w:r>
        <w:rPr>
          <w:rFonts w:ascii="Arial" w:cs="Arial" w:eastAsia="Arial" w:hAnsi="Arial"/>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9" w:lineRule="exact"/>
        <w:rPr>
          <w:rFonts w:ascii="Arial" w:cs="Arial" w:eastAsia="Arial" w:hAnsi="Arial"/>
          <w:sz w:val="20"/>
          <w:szCs w:val="20"/>
          <w:color w:val="auto"/>
        </w:rPr>
      </w:pPr>
    </w:p>
    <w:p>
      <w:pPr>
        <w:ind w:left="5440"/>
        <w:spacing w:after="0"/>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20"/>
          </w:cols>
          <w:pgMar w:left="340" w:top="1440" w:right="339" w:bottom="1440" w:gutter="0" w:footer="0" w:header="0"/>
        </w:sectPr>
      </w:pPr>
    </w:p>
    <w:bookmarkStart w:id="116" w:name="page117"/>
    <w:bookmarkEnd w:id="116"/>
    <w:p>
      <w:pPr>
        <w:spacing w:after="0" w:line="188"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MICRON TECHNOLOGY, INC.</w:t>
      </w:r>
    </w:p>
    <w:p>
      <w:pPr>
        <w:spacing w:after="0" w:line="33"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AMENDED AND RESTATED 2004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ADDENDUM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Country Addendum includes additional terms and conditions that govern the Award of Restricted Stock Units granted pursuant to the terms and conditions of the Micron Technology, Inc. Amended and Restated 2004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the Restricted Stock Unit Agreement to which this Country Addendum is attached (the “</w:t>
      </w:r>
      <w:r>
        <w:rPr>
          <w:rFonts w:ascii="Arial" w:cs="Arial" w:eastAsia="Arial" w:hAnsi="Arial"/>
          <w:sz w:val="20"/>
          <w:szCs w:val="20"/>
          <w:u w:val="single" w:color="auto"/>
          <w:color w:val="auto"/>
        </w:rPr>
        <w:t>Restricted Stock Unit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to the extent the individual to whom the Restricted Stock Units were granted (“</w:t>
      </w:r>
      <w:r>
        <w:rPr>
          <w:rFonts w:ascii="Arial" w:cs="Arial" w:eastAsia="Arial" w:hAnsi="Arial"/>
          <w:sz w:val="20"/>
          <w:szCs w:val="20"/>
          <w:u w:val="single" w:color="auto"/>
          <w:color w:val="auto"/>
        </w:rPr>
        <w:t>Participant</w:t>
      </w:r>
      <w:r>
        <w:rPr>
          <w:rFonts w:ascii="Arial" w:cs="Arial" w:eastAsia="Arial" w:hAnsi="Arial"/>
          <w:sz w:val="20"/>
          <w:szCs w:val="20"/>
          <w:color w:val="auto"/>
        </w:rPr>
        <w:t>”) resides and/or works in one of the countries listed below. Unless defined in this Country Addendum, defined terms used in this Country Addendum are used as defined in the Restricted Stock Unit Agreement to which this Country Addendum is attached.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Participant is a citizen or resident of a country other than the one in which Participant is currently working and/or residing, transfers to another country after the grant of the Restricted Stock Units, is a consultant, changes employment status to a consultant, or is considered a resident of another country for local law purposes, the Company, in its discretion, shall determine the extent to which the terms and conditions contained herein shall be applicable to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Country Addendum also includes information regarding securities, tax and certain other issues of which Participant should be aware with respect to his or her participation in the Plan. The information is based on the securities, tax, and other laws in effect in the respective countries as of [insert date].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The Company cannot assure Participant of any particular result. Accordingly, Participant is advised to seek appropriate professional advice as to how the relevant laws of Participant’s country may apply to his or her situation.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Finally, if Participant is a citizen or resident of a country other than the one in which Participant currently is residing and/or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shall determine the extent to which the terms and conditions contained herein shall apply to Participant under these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[Remainder of exhibit for applicable countries to be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10.3</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RESTRICTED STOCK UNIT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GRANT</w:t>
      </w:r>
    </w:p>
    <w:p>
      <w:pPr>
        <w:spacing w:after="0" w:line="24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Unless otherwise defined herein, the terms defined in the Micron Technology, Inc. Amended and Restated 2007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will have the same defined meanings in this Restricted Stock Unit Agreement which includes the Notice of Restricted Stock Unit Grant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xml:space="preserve">”), the Terms and Conditions of Restricted Stock Unit Grant,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all other exhibits, appendices, and addenda attached hereto (collectively, the “</w:t>
      </w:r>
      <w:r>
        <w:rPr>
          <w:rFonts w:ascii="Arial" w:cs="Arial" w:eastAsia="Arial" w:hAnsi="Arial"/>
          <w:sz w:val="19"/>
          <w:szCs w:val="19"/>
          <w:u w:val="single" w:color="auto"/>
          <w:color w:val="auto"/>
        </w:rPr>
        <w:t>Award Agreement</w:t>
      </w:r>
      <w:r>
        <w:rPr>
          <w:rFonts w:ascii="Arial" w:cs="Arial" w:eastAsia="Arial" w:hAnsi="Arial"/>
          <w:sz w:val="19"/>
          <w:szCs w:val="19"/>
          <w:color w:val="auto"/>
        </w:rPr>
        <w: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0"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The undersigned Participant has been granted the right to receive a Restricted Stock Unit Award, subject to the terms and conditions of the Plan and this Award Agreement,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Grant Number: ______________________________</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 ______________________________</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Vesting Commencement Date: ______________________________</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Number of Shares Subject to</w:t>
      </w:r>
    </w:p>
    <w:p>
      <w:pPr>
        <w:spacing w:after="0" w:line="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Restricted Stock Units: ______________________________</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56"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20"/>
          <w:szCs w:val="20"/>
          <w:color w:val="auto"/>
        </w:rPr>
        <w:t>Subject to any acceleration provisions contained in the Plan or set forth below, the Restricted Stock Units will be scheduled to vest in accordance with the following schedule: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Vesting Schedule</w:t>
      </w:r>
      <w:r>
        <w:rPr>
          <w:rFonts w:ascii="Arial" w:cs="Arial" w:eastAsia="Arial" w:hAnsi="Arial"/>
          <w:sz w:val="20"/>
          <w:szCs w:val="20"/>
          <w:color w:val="auto"/>
        </w:rPr>
        <w:t>.]</w:t>
      </w: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Participant’s Continuous Status as a Participant ends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21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By Participant electronically accepting this Agreement or manually signing this Agreement (in either case, as and in the manner specified by the Company), Participant and the Company agree that (1) this Restricted Stock Unit Award is granted under and governed by the terms and conditions of the Plan and this Award Agreement, which constitutes an Award</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Printed Name][Note: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 OF RESTRICTED STOCK UNIT GRANT</w:t>
      </w:r>
    </w:p>
    <w:p>
      <w:pPr>
        <w:spacing w:after="0" w:line="245" w:lineRule="exact"/>
        <w:rPr>
          <w:sz w:val="20"/>
          <w:szCs w:val="20"/>
          <w:color w:val="auto"/>
        </w:rPr>
      </w:pPr>
    </w:p>
    <w:p>
      <w:pPr>
        <w:jc w:val="both"/>
        <w:ind w:firstLine="656"/>
        <w:spacing w:after="0" w:line="258" w:lineRule="auto"/>
        <w:tabs>
          <w:tab w:leader="none" w:pos="1285"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Grant of Restricted Stock Units</w:t>
      </w:r>
      <w:r>
        <w:rPr>
          <w:rFonts w:ascii="Arial" w:cs="Arial" w:eastAsia="Arial" w:hAnsi="Arial"/>
          <w:sz w:val="20"/>
          <w:szCs w:val="20"/>
          <w:color w:val="auto"/>
        </w:rPr>
        <w:t>. The Company hereby grants to the individual (“</w:t>
      </w:r>
      <w:r>
        <w:rPr>
          <w:rFonts w:ascii="Arial" w:cs="Arial" w:eastAsia="Arial" w:hAnsi="Arial"/>
          <w:sz w:val="20"/>
          <w:szCs w:val="20"/>
          <w:u w:val="single" w:color="auto"/>
          <w:color w:val="auto"/>
        </w:rPr>
        <w:t>Participant</w:t>
      </w:r>
      <w:r>
        <w:rPr>
          <w:rFonts w:ascii="Arial" w:cs="Arial" w:eastAsia="Arial" w:hAnsi="Arial"/>
          <w:sz w:val="20"/>
          <w:szCs w:val="20"/>
          <w:color w:val="auto"/>
        </w:rPr>
        <w:t>”) named in the Notice of Restricted Stock Unit Grant of this Award Agreement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94" w:lineRule="exact"/>
        <w:rPr>
          <w:rFonts w:ascii="Arial" w:cs="Arial" w:eastAsia="Arial" w:hAnsi="Arial"/>
          <w:sz w:val="20"/>
          <w:szCs w:val="20"/>
          <w:color w:val="auto"/>
        </w:rPr>
      </w:pPr>
    </w:p>
    <w:p>
      <w:pPr>
        <w:jc w:val="both"/>
        <w:ind w:firstLine="656"/>
        <w:spacing w:after="0" w:line="258" w:lineRule="auto"/>
        <w:tabs>
          <w:tab w:leader="none" w:pos="1285"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94" w:lineRule="exact"/>
        <w:rPr>
          <w:rFonts w:ascii="Arial" w:cs="Arial" w:eastAsia="Arial" w:hAnsi="Arial"/>
          <w:sz w:val="20"/>
          <w:szCs w:val="20"/>
          <w:color w:val="auto"/>
        </w:rPr>
      </w:pPr>
    </w:p>
    <w:p>
      <w:pPr>
        <w:jc w:val="both"/>
        <w:ind w:firstLine="656"/>
        <w:spacing w:after="0" w:line="262" w:lineRule="auto"/>
        <w:tabs>
          <w:tab w:leader="none" w:pos="1285"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and subject to Section 5, the Restricted Stock Units awarded by this Award Agreement will vest in accordance with the vesting provisions set forth in the Notice of Grant, subject to Participant remaining in Continuous Status as a Participant through the applicable vesting date.</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51" w:lineRule="auto"/>
        <w:tabs>
          <w:tab w:leader="none" w:pos="1943"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thirty (30) 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217" w:lineRule="exact"/>
        <w:rPr>
          <w:rFonts w:ascii="Arial" w:cs="Arial" w:eastAsia="Arial" w:hAnsi="Arial"/>
          <w:sz w:val="20"/>
          <w:szCs w:val="20"/>
          <w:color w:val="auto"/>
        </w:rPr>
      </w:pPr>
    </w:p>
    <w:p>
      <w:pPr>
        <w:ind w:left="1960" w:hanging="656"/>
        <w:spacing w:after="0"/>
        <w:tabs>
          <w:tab w:leader="none" w:pos="1960" w:val="left"/>
        </w:tabs>
        <w:numPr>
          <w:ilvl w:val="1"/>
          <w:numId w:val="104"/>
        </w:numPr>
        <w:rPr>
          <w:rFonts w:ascii="Arial" w:cs="Arial" w:eastAsia="Arial" w:hAnsi="Arial"/>
          <w:sz w:val="20"/>
          <w:szCs w:val="20"/>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2"/>
        <w:spacing w:after="0" w:line="262" w:lineRule="auto"/>
        <w:tabs>
          <w:tab w:leader="none" w:pos="2579" w:val="left"/>
        </w:tabs>
        <w:numPr>
          <w:ilvl w:val="2"/>
          <w:numId w:val="10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Participant’s Continuous Status as a Participant ends on account of Participant’s death or Participant becoming Disabled, any Restricted Stock Units that both were unexpired and unvested as of the date of cessation of Continuous Status as a Participant, will vest on such date.</w:t>
      </w:r>
    </w:p>
    <w:p>
      <w:pPr>
        <w:spacing w:after="0" w:line="191" w:lineRule="exact"/>
        <w:rPr>
          <w:rFonts w:ascii="Arial" w:cs="Arial" w:eastAsia="Arial" w:hAnsi="Arial"/>
          <w:sz w:val="20"/>
          <w:szCs w:val="20"/>
          <w:color w:val="auto"/>
        </w:rPr>
      </w:pPr>
    </w:p>
    <w:p>
      <w:pPr>
        <w:jc w:val="both"/>
        <w:ind w:firstLine="1952"/>
        <w:spacing w:after="0" w:line="254" w:lineRule="auto"/>
        <w:tabs>
          <w:tab w:leader="none" w:pos="2582" w:val="left"/>
        </w:tabs>
        <w:numPr>
          <w:ilvl w:val="2"/>
          <w:numId w:val="10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before Participant’s Continuous Status as a Participant ends, any Restricted Stock Units that both were unexpired and unvested as of immediately preceding the Change in Control, will vest upon the consummation of the Change in Control unless, as determined by the Committee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15" w:lineRule="exact"/>
        <w:rPr>
          <w:sz w:val="20"/>
          <w:szCs w:val="20"/>
          <w:color w:val="auto"/>
        </w:rPr>
      </w:pPr>
    </w:p>
    <w:p>
      <w:pPr>
        <w:jc w:val="both"/>
        <w:ind w:firstLine="1952"/>
        <w:spacing w:after="0" w:line="252" w:lineRule="auto"/>
        <w:tabs>
          <w:tab w:leader="none" w:pos="2585"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Termination following a Change in Control.</w:t>
      </w:r>
      <w:r>
        <w:rPr>
          <w:rFonts w:ascii="Arial" w:cs="Arial" w:eastAsia="Arial" w:hAnsi="Arial"/>
          <w:sz w:val="20"/>
          <w:szCs w:val="20"/>
          <w:color w:val="auto"/>
        </w:rPr>
        <w:t xml:space="preserve"> If (A) a Change in Control occurs before Participant’s Continuous Status as a Participant ends, (B) as determined by the Committee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employment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214" w:lineRule="exact"/>
        <w:rPr>
          <w:rFonts w:ascii="Arial" w:cs="Arial" w:eastAsia="Arial" w:hAnsi="Arial"/>
          <w:sz w:val="20"/>
          <w:szCs w:val="20"/>
          <w:color w:val="auto"/>
        </w:rPr>
      </w:pPr>
    </w:p>
    <w:p>
      <w:pPr>
        <w:jc w:val="both"/>
        <w:ind w:firstLine="1952"/>
        <w:spacing w:after="0" w:line="251" w:lineRule="auto"/>
        <w:tabs>
          <w:tab w:leader="none" w:pos="2583"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Discretionary Acceleration</w:t>
      </w:r>
      <w:r>
        <w:rPr>
          <w:rFonts w:ascii="Arial" w:cs="Arial" w:eastAsia="Arial" w:hAnsi="Arial"/>
          <w:sz w:val="20"/>
          <w:szCs w:val="20"/>
          <w:color w:val="auto"/>
        </w:rPr>
        <w:t>. The Committee,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Arial" w:cs="Arial" w:eastAsia="Arial" w:hAnsi="Arial"/>
          <w:sz w:val="20"/>
          <w:szCs w:val="20"/>
          <w:u w:val="single" w:color="auto"/>
          <w:color w:val="auto"/>
        </w:rPr>
        <w:t>Section 409A</w:t>
      </w:r>
      <w:r>
        <w:rPr>
          <w:rFonts w:ascii="Arial" w:cs="Arial" w:eastAsia="Arial" w:hAnsi="Arial"/>
          <w:sz w:val="20"/>
          <w:szCs w:val="20"/>
          <w:color w:val="auto"/>
        </w:rPr>
        <w:t>”). The prior sentence may be superseded in a future agreement or amendment to this Award Agreement only by direct and specific reference to such sentence.</w:t>
      </w:r>
    </w:p>
    <w:p>
      <w:pPr>
        <w:spacing w:after="0" w:line="219" w:lineRule="exact"/>
        <w:rPr>
          <w:rFonts w:ascii="Arial" w:cs="Arial" w:eastAsia="Arial" w:hAnsi="Arial"/>
          <w:sz w:val="20"/>
          <w:szCs w:val="20"/>
          <w:color w:val="auto"/>
        </w:rPr>
      </w:pPr>
    </w:p>
    <w:p>
      <w:pPr>
        <w:jc w:val="both"/>
        <w:ind w:firstLine="1952"/>
        <w:spacing w:after="0" w:line="250" w:lineRule="auto"/>
        <w:tabs>
          <w:tab w:leader="none" w:pos="25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Notwithstanding anything in the Plan or this Award Agreement or any other agreement (whether entered into before, on, or after the Grant Date), if the vesting of the balance, or some lesser portion of the balance, of the Restricted Stock Units is accelerated in connection with the cessation of Participant’s status as an employee, officer, director or consultant (a “</w:t>
      </w:r>
      <w:r>
        <w:rPr>
          <w:rFonts w:ascii="Arial" w:cs="Arial" w:eastAsia="Arial" w:hAnsi="Arial"/>
          <w:sz w:val="20"/>
          <w:szCs w:val="20"/>
          <w:u w:val="single" w:color="auto"/>
          <w:color w:val="auto"/>
        </w:rPr>
        <w:t>Service Provider</w:t>
      </w:r>
      <w:r>
        <w:rPr>
          <w:rFonts w:ascii="Arial" w:cs="Arial" w:eastAsia="Arial" w:hAnsi="Arial"/>
          <w:sz w:val="20"/>
          <w:szCs w:val="20"/>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 (6) 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0" w:lineRule="exact"/>
        <w:rPr>
          <w:sz w:val="20"/>
          <w:szCs w:val="20"/>
          <w:color w:val="auto"/>
        </w:rPr>
      </w:pPr>
    </w:p>
    <w:p>
      <w:pPr>
        <w:jc w:val="both"/>
        <w:ind w:firstLine="1304"/>
        <w:spacing w:after="0" w:line="252" w:lineRule="auto"/>
        <w:tabs>
          <w:tab w:leader="none" w:pos="1932" w:val="left"/>
        </w:tabs>
        <w:numPr>
          <w:ilvl w:val="1"/>
          <w:numId w:val="106"/>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14" w:lineRule="exact"/>
        <w:rPr>
          <w:rFonts w:ascii="Arial" w:cs="Arial" w:eastAsia="Arial" w:hAnsi="Arial"/>
          <w:sz w:val="20"/>
          <w:szCs w:val="20"/>
          <w:color w:val="auto"/>
        </w:rPr>
      </w:pPr>
    </w:p>
    <w:p>
      <w:pPr>
        <w:jc w:val="both"/>
        <w:ind w:firstLine="656"/>
        <w:spacing w:after="0" w:line="251" w:lineRule="auto"/>
        <w:tabs>
          <w:tab w:leader="none" w:pos="128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Forfeiture Upon Cessation of Continuous Status as a Participant</w:t>
      </w:r>
      <w:r>
        <w:rPr>
          <w:rFonts w:ascii="Arial" w:cs="Arial" w:eastAsia="Arial" w:hAnsi="Arial"/>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Restricted Stock Units awarded by this Award Agreement will be forfeited at no cost to the Company and Participant will have no further rights thereunder. The date of forfeiture will be the date of cessation of Continuous Status as a Participant.</w:t>
      </w:r>
    </w:p>
    <w:p>
      <w:pPr>
        <w:spacing w:after="0" w:line="219"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214"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00" w:lineRule="exact"/>
        <w:rPr>
          <w:rFonts w:ascii="Arial" w:cs="Arial" w:eastAsia="Arial" w:hAnsi="Arial"/>
          <w:sz w:val="20"/>
          <w:szCs w:val="20"/>
          <w:color w:val="auto"/>
        </w:rPr>
      </w:pPr>
    </w:p>
    <w:p>
      <w:pPr>
        <w:ind w:left="1300" w:hanging="644"/>
        <w:spacing w:after="0"/>
        <w:tabs>
          <w:tab w:leader="none" w:pos="1300"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Tax Obligations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107"/>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Participant acknowledges that, regardless of any action taken by the Company or, if different, Participant’s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or any Parent or Subsidiary to which Participant is providing services (together, the “</w:t>
      </w:r>
      <w:r>
        <w:rPr>
          <w:rFonts w:ascii="Arial" w:cs="Arial" w:eastAsia="Arial" w:hAnsi="Arial"/>
          <w:sz w:val="20"/>
          <w:szCs w:val="20"/>
          <w:u w:val="single" w:color="auto"/>
          <w:color w:val="auto"/>
        </w:rPr>
        <w:t>Service Recipients</w:t>
      </w:r>
      <w:r>
        <w:rPr>
          <w:rFonts w:ascii="Arial" w:cs="Arial" w:eastAsia="Arial" w:hAnsi="Arial"/>
          <w:sz w:val="20"/>
          <w:szCs w:val="20"/>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Arial" w:cs="Arial" w:eastAsia="Arial" w:hAnsi="Arial"/>
          <w:sz w:val="20"/>
          <w:szCs w:val="20"/>
          <w:u w:val="single" w:color="auto"/>
          <w:color w:val="auto"/>
        </w:rPr>
        <w:t>Tax</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17" w:lineRule="exact"/>
        <w:rPr>
          <w:sz w:val="20"/>
          <w:szCs w:val="20"/>
          <w:color w:val="auto"/>
        </w:rPr>
      </w:pPr>
    </w:p>
    <w:p>
      <w:pPr>
        <w:jc w:val="both"/>
        <w:ind w:firstLine="1304"/>
        <w:spacing w:after="0" w:line="251" w:lineRule="auto"/>
        <w:tabs>
          <w:tab w:leader="none" w:pos="1943"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Tax Withholding and Default Method of Tax Withholding</w:t>
      </w:r>
      <w:r>
        <w:rPr>
          <w:rFonts w:ascii="Arial" w:cs="Arial" w:eastAsia="Arial" w:hAnsi="Arial"/>
          <w:sz w:val="20"/>
          <w:szCs w:val="20"/>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Arial" w:cs="Arial" w:eastAsia="Arial" w:hAnsi="Arial"/>
          <w:sz w:val="20"/>
          <w:szCs w:val="20"/>
          <w:u w:val="single" w:color="auto"/>
          <w:color w:val="auto"/>
        </w:rPr>
        <w:t>Tax Withholding Obligation</w:t>
      </w:r>
      <w:r>
        <w:rPr>
          <w:rFonts w:ascii="Arial" w:cs="Arial" w:eastAsia="Arial" w:hAnsi="Arial"/>
          <w:sz w:val="20"/>
          <w:szCs w:val="20"/>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219" w:lineRule="exact"/>
        <w:rPr>
          <w:rFonts w:ascii="Arial" w:cs="Arial" w:eastAsia="Arial" w:hAnsi="Arial"/>
          <w:sz w:val="20"/>
          <w:szCs w:val="20"/>
          <w:color w:val="auto"/>
        </w:rPr>
      </w:pPr>
    </w:p>
    <w:p>
      <w:pPr>
        <w:jc w:val="both"/>
        <w:ind w:firstLine="1304"/>
        <w:spacing w:after="0" w:line="250" w:lineRule="auto"/>
        <w:tabs>
          <w:tab w:leader="none" w:pos="1932"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by the Committee, if such greater amount would not result in adverse financial accounting consequences), or (v) such other means as the Committee deems appropriate.</w:t>
      </w:r>
    </w:p>
    <w:p>
      <w:pPr>
        <w:spacing w:after="0" w:line="167" w:lineRule="exact"/>
        <w:rPr>
          <w:sz w:val="20"/>
          <w:szCs w:val="20"/>
          <w:color w:val="auto"/>
        </w:rPr>
      </w:pPr>
    </w:p>
    <w:p>
      <w:pPr>
        <w:jc w:val="both"/>
        <w:ind w:firstLine="1304"/>
        <w:spacing w:after="0" w:line="254" w:lineRule="auto"/>
        <w:tabs>
          <w:tab w:leader="none" w:pos="1943" w:val="left"/>
        </w:tabs>
        <w:numPr>
          <w:ilvl w:val="1"/>
          <w:numId w:val="109"/>
        </w:numPr>
        <w:rPr>
          <w:rFonts w:ascii="Arial" w:cs="Arial" w:eastAsia="Arial" w:hAnsi="Arial"/>
          <w:sz w:val="20"/>
          <w:szCs w:val="20"/>
          <w:color w:val="auto"/>
        </w:rPr>
      </w:pPr>
      <w:r>
        <w:rPr>
          <w:rFonts w:ascii="Arial" w:cs="Arial" w:eastAsia="Arial" w:hAnsi="Arial"/>
          <w:sz w:val="20"/>
          <w:szCs w:val="20"/>
          <w:u w:val="single" w:color="auto"/>
          <w:color w:val="auto"/>
        </w:rPr>
        <w:t>Company’s Obligation to Deliver Shares</w:t>
      </w:r>
      <w:r>
        <w:rPr>
          <w:rFonts w:ascii="Arial" w:cs="Arial" w:eastAsia="Arial" w:hAnsi="Arial"/>
          <w:sz w:val="20"/>
          <w:szCs w:val="20"/>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99"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Company declares and pays a cash dividend on Shares for which the record date occurs while Restricted Stock Units subject to this Agreement remain outstanding, then certain cash amounts (referred to as “</w:t>
      </w:r>
      <w:r>
        <w:rPr>
          <w:rFonts w:ascii="Arial" w:cs="Arial" w:eastAsia="Arial" w:hAnsi="Arial"/>
          <w:sz w:val="20"/>
          <w:szCs w:val="20"/>
          <w:u w:val="single" w:color="auto"/>
          <w:color w:val="auto"/>
        </w:rPr>
        <w:t>DEUs</w:t>
      </w:r>
      <w:r>
        <w:rPr>
          <w:rFonts w:ascii="Arial" w:cs="Arial" w:eastAsia="Arial" w:hAnsi="Arial"/>
          <w:sz w:val="20"/>
          <w:szCs w:val="20"/>
          <w:color w:val="auto"/>
        </w:rPr>
        <w:t>”) will be credited under this Agreement in accordance with this Section 9, but only if Participant remains in Continuous Status as a Participant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Agreement for a particular cash dividend will be determined by the following formula: X = (A x B); where:</w:t>
      </w:r>
    </w:p>
    <w:p>
      <w:pPr>
        <w:spacing w:after="0" w:line="213" w:lineRule="exact"/>
        <w:rPr>
          <w:sz w:val="20"/>
          <w:szCs w:val="20"/>
          <w:color w:val="auto"/>
        </w:rPr>
      </w:pPr>
    </w:p>
    <w:p>
      <w:pPr>
        <w:ind w:left="960" w:hanging="304"/>
        <w:spacing w:after="0"/>
        <w:tabs>
          <w:tab w:leader="none" w:pos="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“X” is the aggregate cash amount of the DEUs to be credited with respect to that cash dividend.</w:t>
      </w:r>
    </w:p>
    <w:p>
      <w:pPr>
        <w:spacing w:after="0" w:line="242" w:lineRule="exact"/>
        <w:rPr>
          <w:rFonts w:ascii="Arial" w:cs="Arial" w:eastAsia="Arial" w:hAnsi="Arial"/>
          <w:sz w:val="20"/>
          <w:szCs w:val="20"/>
          <w:color w:val="auto"/>
        </w:rPr>
      </w:pPr>
    </w:p>
    <w:p>
      <w:pPr>
        <w:ind w:left="980" w:hanging="324"/>
        <w:spacing w:after="0" w:line="286" w:lineRule="auto"/>
        <w:tabs>
          <w:tab w:leader="none" w:pos="96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67" w:lineRule="exact"/>
        <w:rPr>
          <w:rFonts w:ascii="Arial" w:cs="Arial" w:eastAsia="Arial" w:hAnsi="Arial"/>
          <w:sz w:val="20"/>
          <w:szCs w:val="20"/>
          <w:color w:val="auto"/>
        </w:rPr>
      </w:pPr>
    </w:p>
    <w:p>
      <w:pPr>
        <w:ind w:left="980" w:right="20" w:hanging="324"/>
        <w:spacing w:after="0" w:line="286" w:lineRule="auto"/>
        <w:tabs>
          <w:tab w:leader="none" w:pos="96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 is the number of Restricted Stock Units remaining subject to this Agreement as of the cash dividend record date but immediately prior to the application of this Section 9 for that cash dividend.</w:t>
      </w:r>
    </w:p>
    <w:p>
      <w:pPr>
        <w:spacing w:after="0" w:line="167"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111"/>
        </w:numPr>
        <w:rPr>
          <w:rFonts w:ascii="Arial" w:cs="Arial" w:eastAsia="Arial" w:hAnsi="Arial"/>
          <w:sz w:val="20"/>
          <w:szCs w:val="20"/>
          <w:color w:val="auto"/>
        </w:rPr>
      </w:pPr>
      <w:r>
        <w:rPr>
          <w:rFonts w:ascii="Arial" w:cs="Arial" w:eastAsia="Arial" w:hAnsi="Arial"/>
          <w:sz w:val="20"/>
          <w:szCs w:val="20"/>
          <w:u w:val="single" w:color="auto"/>
          <w:color w:val="auto"/>
        </w:rPr>
        <w:t>Vesting of DEUs</w:t>
      </w:r>
      <w:r>
        <w:rPr>
          <w:rFonts w:ascii="Arial" w:cs="Arial" w:eastAsia="Arial" w:hAnsi="Arial"/>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199" w:lineRule="exact"/>
        <w:rPr>
          <w:rFonts w:ascii="Arial" w:cs="Arial" w:eastAsia="Arial" w:hAnsi="Arial"/>
          <w:sz w:val="20"/>
          <w:szCs w:val="20"/>
          <w:color w:val="auto"/>
        </w:rPr>
      </w:pPr>
    </w:p>
    <w:p>
      <w:pPr>
        <w:jc w:val="both"/>
        <w:ind w:right="20" w:firstLine="1304"/>
        <w:spacing w:after="0" w:line="282" w:lineRule="auto"/>
        <w:tabs>
          <w:tab w:leader="none" w:pos="1943" w:val="left"/>
        </w:tabs>
        <w:numPr>
          <w:ilvl w:val="1"/>
          <w:numId w:val="111"/>
        </w:numPr>
        <w:rPr>
          <w:rFonts w:ascii="Arial" w:cs="Arial" w:eastAsia="Arial" w:hAnsi="Arial"/>
          <w:sz w:val="19"/>
          <w:szCs w:val="19"/>
          <w:color w:val="auto"/>
        </w:rPr>
      </w:pPr>
      <w:r>
        <w:rPr>
          <w:rFonts w:ascii="Arial" w:cs="Arial" w:eastAsia="Arial" w:hAnsi="Arial"/>
          <w:sz w:val="19"/>
          <w:szCs w:val="19"/>
          <w:u w:val="single" w:color="auto"/>
          <w:color w:val="auto"/>
        </w:rPr>
        <w:t>Settlement and General</w:t>
      </w:r>
      <w:r>
        <w:rPr>
          <w:rFonts w:ascii="Arial" w:cs="Arial" w:eastAsia="Arial" w:hAnsi="Arial"/>
          <w:sz w:val="19"/>
          <w:szCs w:val="19"/>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paid in cash and be subject to the other provisions of this Section 9 and the Award Agreement). DEUs will not accrue interest and will not be credited with any investment returns related to Shares or otherwise.</w:t>
      </w:r>
    </w:p>
    <w:p>
      <w:pPr>
        <w:spacing w:after="0" w:line="167" w:lineRule="exact"/>
        <w:rPr>
          <w:sz w:val="20"/>
          <w:szCs w:val="20"/>
          <w:color w:val="auto"/>
        </w:rPr>
      </w:pPr>
    </w:p>
    <w:p>
      <w:pPr>
        <w:jc w:val="both"/>
        <w:ind w:firstLine="1304"/>
        <w:spacing w:after="0" w:line="267" w:lineRule="auto"/>
        <w:tabs>
          <w:tab w:leader="none" w:pos="1932" w:val="left"/>
        </w:tabs>
        <w:numPr>
          <w:ilvl w:val="1"/>
          <w:numId w:val="112"/>
        </w:numPr>
        <w:rPr>
          <w:rFonts w:ascii="Arial" w:cs="Arial" w:eastAsia="Arial" w:hAnsi="Arial"/>
          <w:sz w:val="19"/>
          <w:szCs w:val="19"/>
          <w:color w:val="auto"/>
        </w:rPr>
      </w:pPr>
      <w:r>
        <w:rPr>
          <w:rFonts w:ascii="Arial" w:cs="Arial" w:eastAsia="Arial" w:hAnsi="Arial"/>
          <w:sz w:val="19"/>
          <w:szCs w:val="19"/>
          <w:u w:val="single" w:color="auto"/>
          <w:color w:val="auto"/>
        </w:rPr>
        <w:t>Timing.</w:t>
      </w:r>
      <w:r>
        <w:rPr>
          <w:rFonts w:ascii="Arial" w:cs="Arial" w:eastAsia="Arial" w:hAnsi="Arial"/>
          <w:sz w:val="19"/>
          <w:szCs w:val="19"/>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201" w:lineRule="exact"/>
        <w:rPr>
          <w:rFonts w:ascii="Arial" w:cs="Arial" w:eastAsia="Arial" w:hAnsi="Arial"/>
          <w:sz w:val="19"/>
          <w:szCs w:val="19"/>
          <w:color w:val="auto"/>
        </w:rPr>
      </w:pPr>
    </w:p>
    <w:p>
      <w:pPr>
        <w:jc w:val="both"/>
        <w:ind w:firstLine="656"/>
        <w:spacing w:after="0" w:line="254" w:lineRule="auto"/>
        <w:tabs>
          <w:tab w:leader="none" w:pos="1287"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213" w:lineRule="exact"/>
        <w:rPr>
          <w:rFonts w:ascii="Arial" w:cs="Arial" w:eastAsia="Arial" w:hAnsi="Arial"/>
          <w:sz w:val="20"/>
          <w:szCs w:val="20"/>
          <w:color w:val="auto"/>
        </w:rPr>
      </w:pPr>
    </w:p>
    <w:p>
      <w:pPr>
        <w:jc w:val="both"/>
        <w:ind w:firstLine="656"/>
        <w:spacing w:after="0" w:line="250" w:lineRule="auto"/>
        <w:tabs>
          <w:tab w:leader="none" w:pos="1273"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RESTRICTED STOCK UNITS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16"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13"/>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Arial" w:cs="Arial" w:eastAsia="Arial" w:hAnsi="Arial"/>
          <w:sz w:val="20"/>
          <w:szCs w:val="20"/>
          <w:u w:val="single" w:color="auto"/>
          <w:color w:val="auto"/>
        </w:rPr>
        <w:t>QDRO</w:t>
      </w:r>
      <w:r>
        <w:rPr>
          <w:rFonts w:ascii="Arial" w:cs="Arial" w:eastAsia="Arial" w:hAnsi="Arial"/>
          <w:sz w:val="20"/>
          <w:szCs w:val="20"/>
          <w:color w:val="auto"/>
        </w:rPr>
        <w:t>”) will be permitted so long as such transfer complies with the QDRO procedures then in effect, as specified by the Committee or the Company.</w:t>
      </w:r>
    </w:p>
    <w:p>
      <w:pPr>
        <w:spacing w:after="0" w:line="195"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Award of Restricted Stock Units, Participant acknowledges, understands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agrees that:</w:t>
      </w:r>
    </w:p>
    <w:p>
      <w:pPr>
        <w:spacing w:after="0" w:line="238"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in the past;</w:t>
      </w:r>
    </w:p>
    <w:p>
      <w:pPr>
        <w:spacing w:after="0" w:line="191" w:lineRule="exact"/>
        <w:rPr>
          <w:rFonts w:ascii="Arial" w:cs="Arial" w:eastAsia="Arial" w:hAnsi="Arial"/>
          <w:sz w:val="20"/>
          <w:szCs w:val="20"/>
          <w:color w:val="auto"/>
        </w:rPr>
      </w:pPr>
    </w:p>
    <w:p>
      <w:pPr>
        <w:ind w:right="20" w:firstLine="1304"/>
        <w:spacing w:after="0" w:line="286" w:lineRule="auto"/>
        <w:tabs>
          <w:tab w:leader="none" w:pos="194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all decisions with respect to future Restricted Stock Units or other grants, if any, will be at the sole discretion of the Committee;</w:t>
      </w:r>
    </w:p>
    <w:p>
      <w:pPr>
        <w:spacing w:after="0" w:line="180" w:lineRule="exact"/>
        <w:rPr>
          <w:rFonts w:ascii="Arial" w:cs="Arial" w:eastAsia="Arial" w:hAnsi="Arial"/>
          <w:sz w:val="20"/>
          <w:szCs w:val="20"/>
          <w:color w:val="auto"/>
        </w:rPr>
      </w:pPr>
    </w:p>
    <w:p>
      <w:pPr>
        <w:ind w:left="1940" w:hanging="636"/>
        <w:spacing w:after="0"/>
        <w:tabs>
          <w:tab w:leader="none" w:pos="194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42" w:lineRule="exact"/>
        <w:rPr>
          <w:rFonts w:ascii="Arial" w:cs="Arial" w:eastAsia="Arial" w:hAnsi="Arial"/>
          <w:sz w:val="20"/>
          <w:szCs w:val="20"/>
          <w:color w:val="auto"/>
        </w:rPr>
      </w:pPr>
    </w:p>
    <w:p>
      <w:pPr>
        <w:ind w:firstLine="1304"/>
        <w:spacing w:after="0" w:line="286" w:lineRule="auto"/>
        <w:tabs>
          <w:tab w:leader="none" w:pos="194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from and value of same, are not intended to replace any pension rights or compensation;</w:t>
      </w:r>
    </w:p>
    <w:p>
      <w:pPr>
        <w:spacing w:after="0" w:line="167" w:lineRule="exact"/>
        <w:rPr>
          <w:rFonts w:ascii="Arial" w:cs="Arial" w:eastAsia="Arial" w:hAnsi="Arial"/>
          <w:sz w:val="20"/>
          <w:szCs w:val="20"/>
          <w:color w:val="auto"/>
        </w:rPr>
      </w:pPr>
    </w:p>
    <w:p>
      <w:pPr>
        <w:jc w:val="both"/>
        <w:ind w:firstLine="1304"/>
        <w:spacing w:after="0" w:line="259" w:lineRule="auto"/>
        <w:tabs>
          <w:tab w:leader="none" w:pos="194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208" w:lineRule="exact"/>
        <w:rPr>
          <w:rFonts w:ascii="Arial" w:cs="Arial" w:eastAsia="Arial" w:hAnsi="Arial"/>
          <w:sz w:val="20"/>
          <w:szCs w:val="20"/>
          <w:color w:val="auto"/>
        </w:rPr>
      </w:pPr>
    </w:p>
    <w:p>
      <w:pPr>
        <w:jc w:val="both"/>
        <w:ind w:firstLine="1304"/>
        <w:spacing w:after="0" w:line="262" w:lineRule="auto"/>
        <w:tabs>
          <w:tab w:leader="none" w:pos="1942" w:val="left"/>
        </w:tabs>
        <w:numPr>
          <w:ilvl w:val="1"/>
          <w:numId w:val="114"/>
        </w:numPr>
        <w:rPr>
          <w:rFonts w:ascii="Arial" w:cs="Arial" w:eastAsia="Arial" w:hAnsi="Arial"/>
          <w:sz w:val="20"/>
          <w:szCs w:val="20"/>
          <w:color w:val="auto"/>
        </w:rPr>
      </w:pPr>
      <w:r>
        <w:rPr>
          <w:rFonts w:ascii="Arial" w:cs="Arial" w:eastAsia="Arial" w:hAnsi="Arial"/>
          <w:sz w:val="20"/>
          <w:szCs w:val="20"/>
          <w:color w:val="auto"/>
        </w:rPr>
        <w:t>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future value of the Shares underlying the Restricted Stock Units is unknown, indeterminable,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cannot be predicted;</w:t>
      </w:r>
    </w:p>
    <w:p>
      <w:pPr>
        <w:spacing w:after="0" w:line="238" w:lineRule="exact"/>
        <w:rPr>
          <w:rFonts w:ascii="Arial" w:cs="Arial" w:eastAsia="Arial" w:hAnsi="Arial"/>
          <w:sz w:val="20"/>
          <w:szCs w:val="20"/>
          <w:color w:val="auto"/>
        </w:rPr>
      </w:pPr>
    </w:p>
    <w:p>
      <w:pPr>
        <w:jc w:val="both"/>
        <w:ind w:firstLine="1304"/>
        <w:spacing w:after="0" w:line="250" w:lineRule="auto"/>
        <w:tabs>
          <w:tab w:leader="none" w:pos="1943" w:val="left"/>
        </w:tabs>
        <w:numPr>
          <w:ilvl w:val="1"/>
          <w:numId w:val="114"/>
        </w:numPr>
        <w:rPr>
          <w:rFonts w:ascii="Arial" w:cs="Arial" w:eastAsia="Arial" w:hAnsi="Arial"/>
          <w:sz w:val="20"/>
          <w:szCs w:val="20"/>
          <w:color w:val="auto"/>
        </w:rPr>
      </w:pPr>
      <w:r>
        <w:rPr>
          <w:rFonts w:ascii="Arial" w:cs="Arial" w:eastAsia="Arial" w:hAnsi="Arial"/>
          <w:sz w:val="20"/>
          <w:szCs w:val="20"/>
          <w:color w:val="auto"/>
        </w:rPr>
        <w:t>for purposes of the Restricted Stock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Participant’s employment or service agreement, if any, unless Participant is providing bona fide services during such time); the Committee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95" w:lineRule="exact"/>
        <w:rPr>
          <w:sz w:val="20"/>
          <w:szCs w:val="20"/>
          <w:color w:val="auto"/>
        </w:rPr>
      </w:pPr>
    </w:p>
    <w:p>
      <w:pPr>
        <w:jc w:val="both"/>
        <w:ind w:firstLine="1304"/>
        <w:spacing w:after="0" w:line="259" w:lineRule="auto"/>
        <w:tabs>
          <w:tab w:leader="none" w:pos="1931" w:val="left"/>
        </w:tabs>
        <w:numPr>
          <w:ilvl w:val="1"/>
          <w:numId w:val="115"/>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208" w:lineRule="exact"/>
        <w:rPr>
          <w:rFonts w:ascii="Arial" w:cs="Arial" w:eastAsia="Arial" w:hAnsi="Arial"/>
          <w:sz w:val="20"/>
          <w:szCs w:val="20"/>
          <w:color w:val="auto"/>
        </w:rPr>
      </w:pPr>
    </w:p>
    <w:p>
      <w:pPr>
        <w:ind w:left="1940" w:hanging="636"/>
        <w:spacing w:after="0"/>
        <w:tabs>
          <w:tab w:leader="none" w:pos="194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42" w:lineRule="exact"/>
        <w:rPr>
          <w:rFonts w:ascii="Arial" w:cs="Arial" w:eastAsia="Arial" w:hAnsi="Arial"/>
          <w:sz w:val="20"/>
          <w:szCs w:val="20"/>
          <w:color w:val="auto"/>
        </w:rPr>
      </w:pPr>
    </w:p>
    <w:p>
      <w:pPr>
        <w:ind w:firstLine="1952"/>
        <w:spacing w:after="0" w:line="286" w:lineRule="auto"/>
        <w:tabs>
          <w:tab w:leader="none" w:pos="2579" w:val="left"/>
        </w:tabs>
        <w:numPr>
          <w:ilvl w:val="2"/>
          <w:numId w:val="115"/>
        </w:numPr>
        <w:rPr>
          <w:rFonts w:ascii="Arial" w:cs="Arial" w:eastAsia="Arial" w:hAnsi="Arial"/>
          <w:sz w:val="20"/>
          <w:szCs w:val="20"/>
          <w:color w:val="auto"/>
        </w:rPr>
      </w:pPr>
      <w:r>
        <w:rPr>
          <w:rFonts w:ascii="Arial" w:cs="Arial" w:eastAsia="Arial" w:hAnsi="Arial"/>
          <w:sz w:val="20"/>
          <w:szCs w:val="20"/>
          <w:color w:val="auto"/>
        </w:rPr>
        <w:t>the Restricted Stock Units and the Shares subject to the Restricted Stock Units are not part of normal or expected compensation or salary for any purpose;</w:t>
      </w:r>
    </w:p>
    <w:p>
      <w:pPr>
        <w:spacing w:after="0" w:line="180" w:lineRule="exact"/>
        <w:rPr>
          <w:rFonts w:ascii="Arial" w:cs="Arial" w:eastAsia="Arial" w:hAnsi="Arial"/>
          <w:sz w:val="20"/>
          <w:szCs w:val="20"/>
          <w:color w:val="auto"/>
        </w:rPr>
      </w:pPr>
    </w:p>
    <w:p>
      <w:pPr>
        <w:jc w:val="both"/>
        <w:ind w:firstLine="1952"/>
        <w:spacing w:after="0" w:line="255" w:lineRule="auto"/>
        <w:tabs>
          <w:tab w:leader="none" w:pos="2582" w:val="left"/>
        </w:tabs>
        <w:numPr>
          <w:ilvl w:val="2"/>
          <w:numId w:val="115"/>
        </w:numPr>
        <w:rPr>
          <w:rFonts w:ascii="Arial" w:cs="Arial" w:eastAsia="Arial" w:hAnsi="Arial"/>
          <w:sz w:val="20"/>
          <w:szCs w:val="20"/>
          <w:color w:val="auto"/>
        </w:rPr>
      </w:pPr>
      <w:r>
        <w:rPr>
          <w:rFonts w:ascii="Arial" w:cs="Arial" w:eastAsia="Arial" w:hAnsi="Arial"/>
          <w:sz w:val="20"/>
          <w:szCs w:val="20"/>
          <w:color w:val="auto"/>
        </w:rPr>
        <w:t>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210" w:lineRule="exact"/>
        <w:rPr>
          <w:rFonts w:ascii="Arial" w:cs="Arial" w:eastAsia="Arial" w:hAnsi="Arial"/>
          <w:sz w:val="20"/>
          <w:szCs w:val="20"/>
          <w:color w:val="auto"/>
        </w:rPr>
      </w:pPr>
    </w:p>
    <w:p>
      <w:pPr>
        <w:jc w:val="both"/>
        <w:ind w:firstLine="1952"/>
        <w:spacing w:after="0" w:line="252" w:lineRule="auto"/>
        <w:tabs>
          <w:tab w:leader="none" w:pos="2585" w:val="left"/>
        </w:tabs>
        <w:numPr>
          <w:ilvl w:val="2"/>
          <w:numId w:val="115"/>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2"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16"/>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208" w:lineRule="exact"/>
        <w:rPr>
          <w:rFonts w:ascii="Arial" w:cs="Arial" w:eastAsia="Arial" w:hAnsi="Arial"/>
          <w:sz w:val="20"/>
          <w:szCs w:val="20"/>
          <w:color w:val="auto"/>
        </w:rPr>
      </w:pPr>
    </w:p>
    <w:p>
      <w:pPr>
        <w:jc w:val="both"/>
        <w:ind w:firstLine="656"/>
        <w:spacing w:after="0" w:line="288" w:lineRule="auto"/>
        <w:tabs>
          <w:tab w:leader="none" w:pos="1287" w:val="left"/>
        </w:tabs>
        <w:numPr>
          <w:ilvl w:val="0"/>
          <w:numId w:val="116"/>
        </w:numPr>
        <w:rPr>
          <w:rFonts w:ascii="Arial" w:cs="Arial" w:eastAsia="Arial" w:hAnsi="Arial"/>
          <w:sz w:val="19"/>
          <w:szCs w:val="19"/>
          <w:color w:val="auto"/>
        </w:rPr>
      </w:pPr>
      <w:r>
        <w:rPr>
          <w:rFonts w:ascii="Arial" w:cs="Arial" w:eastAsia="Arial" w:hAnsi="Arial"/>
          <w:sz w:val="19"/>
          <w:szCs w:val="19"/>
          <w:b w:val="1"/>
          <w:bCs w:val="1"/>
          <w:i w:val="1"/>
          <w:iCs w:val="1"/>
          <w:u w:val="single" w:color="auto"/>
          <w:color w:val="auto"/>
        </w:rPr>
        <w:t>Data Privacy</w:t>
      </w:r>
      <w:r>
        <w:rPr>
          <w:rFonts w:ascii="Arial" w:cs="Arial" w:eastAsia="Arial" w:hAnsi="Arial"/>
          <w:sz w:val="19"/>
          <w:szCs w:val="19"/>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Unit grant materials by and among, as applicable, the Service Recipients for the exclusive purpose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 implementing, administering and managing Participant’s participation in the Plan.</w:t>
      </w:r>
    </w:p>
    <w:p>
      <w:pPr>
        <w:spacing w:after="0" w:line="25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for the exclusive purpose of implementing, administering, and managing the Plan.</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[redacted]@micron.com.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[redacted]@micron.com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80" w:lineRule="exact"/>
        <w:rPr>
          <w:sz w:val="20"/>
          <w:szCs w:val="20"/>
          <w:color w:val="auto"/>
        </w:rPr>
      </w:pPr>
    </w:p>
    <w:p>
      <w:pPr>
        <w:jc w:val="both"/>
        <w:ind w:firstLine="656"/>
        <w:spacing w:after="0" w:line="262" w:lineRule="auto"/>
        <w:tabs>
          <w:tab w:leader="none" w:pos="1287"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205" w:lineRule="exact"/>
        <w:rPr>
          <w:rFonts w:ascii="Arial" w:cs="Arial" w:eastAsia="Arial" w:hAnsi="Arial"/>
          <w:sz w:val="20"/>
          <w:szCs w:val="20"/>
          <w:color w:val="auto"/>
        </w:rPr>
      </w:pPr>
    </w:p>
    <w:p>
      <w:pPr>
        <w:ind w:right="20" w:firstLine="656"/>
        <w:spacing w:after="0" w:line="286" w:lineRule="auto"/>
        <w:tabs>
          <w:tab w:leader="none" w:pos="1287"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Restricted Stock Units awarded under the Plan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95" w:lineRule="exact"/>
        <w:rPr>
          <w:sz w:val="20"/>
          <w:szCs w:val="20"/>
          <w:color w:val="auto"/>
        </w:rPr>
      </w:pPr>
    </w:p>
    <w:p>
      <w:pPr>
        <w:jc w:val="both"/>
        <w:ind w:firstLine="656"/>
        <w:spacing w:after="0" w:line="259" w:lineRule="auto"/>
        <w:tabs>
          <w:tab w:leader="none" w:pos="128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208"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214"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Committee may establish from time to time for reasons of administrative convenience.</w:t>
      </w:r>
    </w:p>
    <w:p>
      <w:pPr>
        <w:spacing w:after="0" w:line="206" w:lineRule="exact"/>
        <w:rPr>
          <w:rFonts w:ascii="Arial" w:cs="Arial" w:eastAsia="Arial" w:hAnsi="Arial"/>
          <w:sz w:val="20"/>
          <w:szCs w:val="20"/>
          <w:color w:val="auto"/>
        </w:rPr>
      </w:pPr>
    </w:p>
    <w:p>
      <w:pPr>
        <w:jc w:val="both"/>
        <w:ind w:firstLine="656"/>
        <w:spacing w:after="0" w:line="258" w:lineRule="auto"/>
        <w:tabs>
          <w:tab w:leader="none" w:pos="128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Arial" w:cs="Arial" w:eastAsia="Arial" w:hAnsi="Arial"/>
          <w:sz w:val="20"/>
          <w:szCs w:val="20"/>
          <w:color w:val="auto"/>
        </w:rPr>
      </w:pPr>
    </w:p>
    <w:p>
      <w:pPr>
        <w:jc w:val="both"/>
        <w:ind w:firstLine="656"/>
        <w:spacing w:after="0" w:line="269" w:lineRule="auto"/>
        <w:tabs>
          <w:tab w:leader="none" w:pos="128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Committee will have the power to interpret the Plan and this Award Agreement and to adopt such rules for the administration, interpretation and application of the Plan as are consistent therewith and to interpret or revoke any such rules (including, but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not limited to, the determination of whether any Restricted Stock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95" w:lineRule="exact"/>
        <w:rPr>
          <w:sz w:val="20"/>
          <w:szCs w:val="20"/>
          <w:color w:val="auto"/>
        </w:rPr>
      </w:pPr>
    </w:p>
    <w:p>
      <w:pPr>
        <w:ind w:firstLine="656"/>
        <w:spacing w:after="0" w:line="286"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80"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Amendment, Suspension or Termination of the Plan</w:t>
      </w:r>
      <w:r>
        <w:rPr>
          <w:rFonts w:ascii="Arial" w:cs="Arial" w:eastAsia="Arial" w:hAnsi="Arial"/>
          <w:sz w:val="20"/>
          <w:szCs w:val="20"/>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Committee at any time.</w:t>
      </w:r>
    </w:p>
    <w:p>
      <w:pPr>
        <w:spacing w:after="0" w:line="210" w:lineRule="exact"/>
        <w:rPr>
          <w:rFonts w:ascii="Arial" w:cs="Arial" w:eastAsia="Arial" w:hAnsi="Arial"/>
          <w:sz w:val="20"/>
          <w:szCs w:val="20"/>
          <w:color w:val="auto"/>
        </w:rPr>
      </w:pPr>
    </w:p>
    <w:p>
      <w:pPr>
        <w:jc w:val="both"/>
        <w:ind w:firstLine="656"/>
        <w:spacing w:after="0" w:line="265" w:lineRule="auto"/>
        <w:tabs>
          <w:tab w:leader="none" w:pos="1287"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4" w:lineRule="exact"/>
        <w:rPr>
          <w:rFonts w:ascii="Arial" w:cs="Arial" w:eastAsia="Arial" w:hAnsi="Arial"/>
          <w:sz w:val="19"/>
          <w:szCs w:val="19"/>
          <w:color w:val="auto"/>
        </w:rPr>
      </w:pPr>
    </w:p>
    <w:p>
      <w:pPr>
        <w:jc w:val="both"/>
        <w:ind w:firstLine="656"/>
        <w:spacing w:after="0" w:line="254"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213"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119"/>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0" w:lineRule="exact"/>
        <w:rPr>
          <w:sz w:val="20"/>
          <w:szCs w:val="20"/>
          <w:color w:val="auto"/>
        </w:rPr>
      </w:pPr>
    </w:p>
    <w:p>
      <w:pPr>
        <w:jc w:val="both"/>
        <w:ind w:left="-20" w:firstLine="656"/>
        <w:spacing w:after="0" w:line="254" w:lineRule="auto"/>
        <w:tabs>
          <w:tab w:leader="none" w:pos="1267"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Committee in its sole discretion) (the “</w:t>
      </w:r>
      <w:r>
        <w:rPr>
          <w:rFonts w:ascii="Arial" w:cs="Arial" w:eastAsia="Arial" w:hAnsi="Arial"/>
          <w:sz w:val="20"/>
          <w:szCs w:val="20"/>
          <w:u w:val="single" w:color="auto"/>
          <w:color w:val="auto"/>
        </w:rPr>
        <w:t>Country Addendum</w:t>
      </w:r>
      <w:r>
        <w:rPr>
          <w:rFonts w:ascii="Arial" w:cs="Arial" w:eastAsia="Arial" w:hAnsi="Arial"/>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99" w:lineRule="exact"/>
        <w:rPr>
          <w:rFonts w:ascii="Arial" w:cs="Arial" w:eastAsia="Arial" w:hAnsi="Arial"/>
          <w:sz w:val="20"/>
          <w:szCs w:val="20"/>
          <w:color w:val="auto"/>
        </w:rPr>
      </w:pPr>
    </w:p>
    <w:p>
      <w:pPr>
        <w:ind w:left="5440"/>
        <w:spacing w:after="0"/>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131" w:name="page132"/>
    <w:bookmarkEnd w:id="131"/>
    <w:p>
      <w:pPr>
        <w:spacing w:after="0" w:line="188"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MICRON TECHNOLOGY, INC.</w:t>
      </w:r>
    </w:p>
    <w:p>
      <w:pPr>
        <w:spacing w:after="0" w:line="33" w:lineRule="exact"/>
        <w:rPr>
          <w:sz w:val="20"/>
          <w:szCs w:val="20"/>
          <w:color w:val="auto"/>
        </w:rPr>
      </w:pPr>
    </w:p>
    <w:p>
      <w:pPr>
        <w:ind w:left="2840"/>
        <w:spacing w:after="0"/>
        <w:rPr>
          <w:sz w:val="20"/>
          <w:szCs w:val="20"/>
          <w:color w:val="auto"/>
        </w:rPr>
      </w:pPr>
      <w:r>
        <w:rPr>
          <w:rFonts w:ascii="Arial" w:cs="Arial" w:eastAsia="Arial" w:hAnsi="Arial"/>
          <w:sz w:val="20"/>
          <w:szCs w:val="20"/>
          <w:b w:val="1"/>
          <w:bCs w:val="1"/>
          <w:color w:val="auto"/>
        </w:rPr>
        <w:t>AMENDED AND RESTATED 2007 EQUITY INCENTIVE PLAN</w:t>
      </w: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COUNTRY ADDENDUM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This Country Addendum includes additional terms and conditions that govern the Award of Restricted Stock Units granted pursuant to the terms and conditions of the Micron Technology, Inc. Amended and Restated 2007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and the Restricted Stock Unit Agreement to which this Country Addendum is attached (the “</w:t>
      </w:r>
      <w:r>
        <w:rPr>
          <w:rFonts w:ascii="Arial" w:cs="Arial" w:eastAsia="Arial" w:hAnsi="Arial"/>
          <w:sz w:val="20"/>
          <w:szCs w:val="20"/>
          <w:u w:val="single" w:color="auto"/>
          <w:color w:val="auto"/>
        </w:rPr>
        <w:t>Restricted Stock Unit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to the extent the individual to whom the Restricted Stock Units were granted (“</w:t>
      </w:r>
      <w:r>
        <w:rPr>
          <w:rFonts w:ascii="Arial" w:cs="Arial" w:eastAsia="Arial" w:hAnsi="Arial"/>
          <w:sz w:val="20"/>
          <w:szCs w:val="20"/>
          <w:u w:val="single" w:color="auto"/>
          <w:color w:val="auto"/>
        </w:rPr>
        <w:t>Participant</w:t>
      </w:r>
      <w:r>
        <w:rPr>
          <w:rFonts w:ascii="Arial" w:cs="Arial" w:eastAsia="Arial" w:hAnsi="Arial"/>
          <w:sz w:val="20"/>
          <w:szCs w:val="20"/>
          <w:color w:val="auto"/>
        </w:rPr>
        <w:t>”) resides and/or works in one of the countries listed below. Unless defined in this Country Addendum, defined terms used in this Country Addendum are used as defined in the Restricted Stock Unit Agreement to which this Country Addendum is attached.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If Participant is a citizen or resident of a country other than the one in which Participant is currently working and/or residing, transfers to another country after the grant of the Restricted Stock Units, is a consultant, changes employment status to a consultant, or is considered a resident of another country for local law purposes, the Company, in its discretion, shall determine the extent to which the terms and conditions contained herein shall be applicable to Participant.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Country Addendum also includes information regarding securities, tax and certain other issues of which Participant should be aware with respect to his or her participation in the Plan. The information is based on the securities, tax, and other laws in effect in the respective countries as of [insert date]. Such laws often are complex and change frequently. As a result, the Company strongly recommends that Participant not rely on the information in this Country Addendum as the only source of information relating to the consequences of Participant’s participation in the Plan because the information may be out of date at the time Participant vests in or receives or sells the Shares covered by the Restricted Stock Units.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The Company cannot assure Participant of any particular result. Accordingly, Participant is advised to seek appropriate professional advice as to how the relevant laws of Participant’s country may apply to his or her situation.</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Finally, if Participant is a citizen or resident of a country other than the one in which Participant currently is residing and/or working or transfers to another country after the grant of the Restricted Stock Units, or is considered a resident of another country for local law purposes, the information contained herein may not be applicable to Participant in the same manner. In addition, the Company, in its discretion, shall determine the extent to which the terms and conditions contained herein shall apply to Participant under these circumstances.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[Remainder of exhibit for applicable countries to be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PERFORMANCE UNIT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PERFORMANCE UNIT GRANT</w:t>
      </w:r>
    </w:p>
    <w:p>
      <w:pPr>
        <w:spacing w:after="0" w:line="2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Unless otherwise defined herein, the terms defined in the Micron Technology, Inc. Amended and Restated 2007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will have the same defined meanings in this Performance Unit Agreement which includes the Notice of Performance Unit Grant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xml:space="preserve">”), the Terms and Conditions of Performance Unit Grant,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Additional Terms of [Insert type] Performance Units,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and all other exhibits, appendices, and addenda attached hereto (collectively, the “</w:t>
      </w:r>
      <w:r>
        <w:rPr>
          <w:rFonts w:ascii="Arial" w:cs="Arial" w:eastAsia="Arial" w:hAnsi="Arial"/>
          <w:sz w:val="20"/>
          <w:szCs w:val="20"/>
          <w:u w:val="single" w:color="auto"/>
          <w:color w:val="auto"/>
        </w:rPr>
        <w:t>Award Agreement</w:t>
      </w:r>
      <w:r>
        <w:rPr>
          <w:rFonts w:ascii="Arial" w:cs="Arial" w:eastAsia="Arial" w:hAnsi="Arial"/>
          <w:sz w:val="20"/>
          <w:szCs w:val="20"/>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4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The undersigned Participant has been granted the right to receive an Award of performance-based Restricted Stock Units (the “</w:t>
      </w:r>
      <w:r>
        <w:rPr>
          <w:rFonts w:ascii="Arial" w:cs="Arial" w:eastAsia="Arial" w:hAnsi="Arial"/>
          <w:sz w:val="20"/>
          <w:szCs w:val="20"/>
          <w:u w:val="single" w:color="auto"/>
          <w:color w:val="auto"/>
        </w:rPr>
        <w:t>Performance Units</w:t>
      </w:r>
      <w:r>
        <w:rPr>
          <w:rFonts w:ascii="Arial" w:cs="Arial" w:eastAsia="Arial" w:hAnsi="Arial"/>
          <w:sz w:val="20"/>
          <w:szCs w:val="20"/>
          <w:color w:val="auto"/>
        </w:rPr>
        <w:t>”), subject to the terms and conditions of the Plan and this Award Agreement, as follows:</w:t>
      </w: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39370</wp:posOffset>
            </wp:positionV>
            <wp:extent cx="3557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39370</wp:posOffset>
            </wp:positionV>
            <wp:extent cx="35572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20"/>
          <w:szCs w:val="20"/>
          <w:color w:val="auto"/>
        </w:rPr>
        <w:t>Target Number of Shares Subject to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39370</wp:posOffset>
            </wp:positionV>
            <wp:extent cx="35572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42"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20"/>
          <w:szCs w:val="20"/>
          <w:color w:val="auto"/>
        </w:rPr>
        <w:t>Maximum Number of Shares Subject to Performance Units:</w:t>
      </w:r>
      <w:r>
        <w:rPr>
          <w:sz w:val="20"/>
          <w:szCs w:val="20"/>
          <w:color w:val="auto"/>
        </w:rPr>
        <w:tab/>
      </w:r>
      <w:r>
        <w:rPr>
          <w:rFonts w:ascii="Arial" w:cs="Arial" w:eastAsia="Arial" w:hAnsi="Arial"/>
          <w:sz w:val="19"/>
          <w:szCs w:val="19"/>
          <w:color w:val="auto"/>
        </w:rPr>
        <w:t>[ ]% of Target Number of Shares Subject to Performance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39370</wp:posOffset>
            </wp:positionV>
            <wp:extent cx="35572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58"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Subject to any acceleration provisions contained in the Plan or set forth below, the Performance Units will be scheduled to vest in accordance with, and be subject to, the Additional Terms of Performance Units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Participant’s Continuous Status as a Participant ends for any reason before Participant vests in all or some of the Performance Units, the unvested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By Participant electronically accepting this Award Agreement or manually signing this Award Agreement (in either case, as and in the manner specified by the Company), Participant and the Company agree that (1) this Performance Unit Award is granted under and governed by the terms and conditions of the Plan and this Award Agreement, which constitutes an Award Certificate for purposes of the Plan, (2) Participant acknowledges that Participant has received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TERMS AND CONDITIONS OF PERFORMANCE UNIT GRANT</w:t>
      </w:r>
    </w:p>
    <w:p>
      <w:pPr>
        <w:spacing w:after="0" w:line="243" w:lineRule="exact"/>
        <w:rPr>
          <w:sz w:val="20"/>
          <w:szCs w:val="20"/>
          <w:color w:val="auto"/>
        </w:rPr>
      </w:pPr>
    </w:p>
    <w:p>
      <w:pPr>
        <w:jc w:val="both"/>
        <w:ind w:firstLine="656"/>
        <w:spacing w:after="0" w:line="274" w:lineRule="auto"/>
        <w:tabs>
          <w:tab w:leader="none" w:pos="1285" w:val="left"/>
        </w:tabs>
        <w:numPr>
          <w:ilvl w:val="0"/>
          <w:numId w:val="121"/>
        </w:numPr>
        <w:rPr>
          <w:rFonts w:ascii="Arial" w:cs="Arial" w:eastAsia="Arial" w:hAnsi="Arial"/>
          <w:sz w:val="19"/>
          <w:szCs w:val="19"/>
          <w:color w:val="auto"/>
        </w:rPr>
      </w:pPr>
      <w:r>
        <w:rPr>
          <w:rFonts w:ascii="Arial" w:cs="Arial" w:eastAsia="Arial" w:hAnsi="Arial"/>
          <w:sz w:val="19"/>
          <w:szCs w:val="19"/>
          <w:u w:val="single" w:color="auto"/>
          <w:color w:val="auto"/>
        </w:rPr>
        <w:t>Grant of Performance Units</w:t>
      </w:r>
      <w:r>
        <w:rPr>
          <w:rFonts w:ascii="Arial" w:cs="Arial" w:eastAsia="Arial" w:hAnsi="Arial"/>
          <w:sz w:val="19"/>
          <w:szCs w:val="19"/>
          <w:color w:val="auto"/>
        </w:rPr>
        <w:t>. The Company hereby grants to the individual (“</w:t>
      </w:r>
      <w:r>
        <w:rPr>
          <w:rFonts w:ascii="Arial" w:cs="Arial" w:eastAsia="Arial" w:hAnsi="Arial"/>
          <w:sz w:val="19"/>
          <w:szCs w:val="19"/>
          <w:u w:val="single" w:color="auto"/>
          <w:color w:val="auto"/>
        </w:rPr>
        <w:t>Participant</w:t>
      </w:r>
      <w:r>
        <w:rPr>
          <w:rFonts w:ascii="Arial" w:cs="Arial" w:eastAsia="Arial" w:hAnsi="Arial"/>
          <w:sz w:val="19"/>
          <w:szCs w:val="19"/>
          <w:color w:val="auto"/>
        </w:rPr>
        <w:t>”) named in the Notice of Performance Unit Grant of this Award Agreement (the “</w:t>
      </w:r>
      <w:r>
        <w:rPr>
          <w:rFonts w:ascii="Arial" w:cs="Arial" w:eastAsia="Arial" w:hAnsi="Arial"/>
          <w:sz w:val="19"/>
          <w:szCs w:val="19"/>
          <w:u w:val="single" w:color="auto"/>
          <w:color w:val="auto"/>
        </w:rPr>
        <w:t>Notice of Grant</w:t>
      </w:r>
      <w:r>
        <w:rPr>
          <w:rFonts w:ascii="Arial" w:cs="Arial" w:eastAsia="Arial" w:hAnsi="Arial"/>
          <w:sz w:val="19"/>
          <w:szCs w:val="19"/>
          <w:color w:val="auto"/>
        </w:rPr>
        <w:t>”) an Award of performance-based Restricted Stock Units (and referred to herein as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3" w:lineRule="exact"/>
        <w:rPr>
          <w:rFonts w:ascii="Arial" w:cs="Arial" w:eastAsia="Arial" w:hAnsi="Arial"/>
          <w:sz w:val="19"/>
          <w:szCs w:val="19"/>
          <w:color w:val="auto"/>
        </w:rPr>
      </w:pPr>
    </w:p>
    <w:p>
      <w:pPr>
        <w:jc w:val="both"/>
        <w:ind w:firstLine="656"/>
        <w:spacing w:after="0" w:line="259" w:lineRule="auto"/>
        <w:tabs>
          <w:tab w:leader="none" w:pos="1285"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Company’s Obligation to Pay</w:t>
      </w:r>
      <w:r>
        <w:rPr>
          <w:rFonts w:ascii="Arial" w:cs="Arial" w:eastAsia="Arial" w:hAnsi="Arial"/>
          <w:sz w:val="20"/>
          <w:szCs w:val="20"/>
          <w:color w:val="auto"/>
        </w:rPr>
        <w:t>. Each Performance Unit represents the right to receive a Share on the date it vests. Unless and until the Performance Units will have vested in the manner set forth in Section 3 or 4, Participant will have no right to payment of any such Performance Units. Prior to actual payment of any vested Performance Units, such Performance Unit will represent an unsecured obligation of the Company, payable (if at all) only from the general assets of the Company.</w:t>
      </w:r>
    </w:p>
    <w:p>
      <w:pPr>
        <w:spacing w:after="0" w:line="208" w:lineRule="exact"/>
        <w:rPr>
          <w:rFonts w:ascii="Arial" w:cs="Arial" w:eastAsia="Arial" w:hAnsi="Arial"/>
          <w:sz w:val="20"/>
          <w:szCs w:val="20"/>
          <w:color w:val="auto"/>
        </w:rPr>
      </w:pPr>
    </w:p>
    <w:p>
      <w:pPr>
        <w:jc w:val="both"/>
        <w:ind w:firstLine="656"/>
        <w:spacing w:after="0" w:line="262" w:lineRule="auto"/>
        <w:tabs>
          <w:tab w:leader="none" w:pos="1285"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4, and subject to Section 5, the Performance Units awarded by this Award Agreement will vest in accordance with the vesting provisions set forth in the Notice of Grant, subject to Participant remaining in Continuous Status as a Participant through the applicable vesting date.</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21"/>
        </w:numPr>
        <w:rPr>
          <w:rFonts w:ascii="Arial" w:cs="Arial" w:eastAsia="Arial" w:hAnsi="Arial"/>
          <w:sz w:val="20"/>
          <w:szCs w:val="20"/>
          <w:color w:val="auto"/>
        </w:rPr>
      </w:pPr>
      <w:r>
        <w:rPr>
          <w:rFonts w:ascii="Arial" w:cs="Arial" w:eastAsia="Arial" w:hAnsi="Arial"/>
          <w:sz w:val="20"/>
          <w:szCs w:val="20"/>
          <w:u w:val="single" w:color="auto"/>
          <w:color w:val="auto"/>
        </w:rPr>
        <w:t>Payment after Vesting</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General Rule</w:t>
      </w:r>
      <w:r>
        <w:rPr>
          <w:rFonts w:ascii="Arial" w:cs="Arial" w:eastAsia="Arial" w:hAnsi="Arial"/>
          <w:sz w:val="20"/>
          <w:szCs w:val="20"/>
          <w:color w:val="auto"/>
        </w:rPr>
        <w:t>. Subject to Section 8, any Performance Units that vest will be paid to Participant (or in the event of Participant’s death, to his or her properly designated beneficiary or estate) in Shares. Subject to this Section 4 and Section 9, such vested Performance Units shall be paid in Shares as soon as administratively practicable after vesting, but in each such case within thirty (30) days following the vesting date (such payment date being the “</w:t>
      </w:r>
      <w:r>
        <w:rPr>
          <w:rFonts w:ascii="Arial" w:cs="Arial" w:eastAsia="Arial" w:hAnsi="Arial"/>
          <w:sz w:val="20"/>
          <w:szCs w:val="20"/>
          <w:u w:val="single" w:color="auto"/>
          <w:color w:val="auto"/>
        </w:rPr>
        <w:t>Settlement Date</w:t>
      </w:r>
      <w:r>
        <w:rPr>
          <w:rFonts w:ascii="Arial" w:cs="Arial" w:eastAsia="Arial" w:hAnsi="Arial"/>
          <w:sz w:val="20"/>
          <w:szCs w:val="20"/>
          <w:color w:val="auto"/>
        </w:rPr>
        <w:t>”). In no event will Participant be permitted, directly or indirectly, to specify the taxable year of payment of any Performance Units payable under this Award Agreement.</w:t>
      </w:r>
    </w:p>
    <w:p>
      <w:pPr>
        <w:spacing w:after="0" w:line="200" w:lineRule="exact"/>
        <w:rPr>
          <w:rFonts w:ascii="Arial" w:cs="Arial" w:eastAsia="Arial" w:hAnsi="Arial"/>
          <w:sz w:val="20"/>
          <w:szCs w:val="20"/>
          <w:color w:val="auto"/>
        </w:rPr>
      </w:pPr>
    </w:p>
    <w:p>
      <w:pPr>
        <w:ind w:left="1960" w:hanging="656"/>
        <w:spacing w:after="0"/>
        <w:tabs>
          <w:tab w:leader="none" w:pos="1960" w:val="left"/>
        </w:tabs>
        <w:numPr>
          <w:ilvl w:val="1"/>
          <w:numId w:val="121"/>
        </w:numPr>
        <w:rPr>
          <w:rFonts w:ascii="Arial" w:cs="Arial" w:eastAsia="Arial" w:hAnsi="Arial"/>
          <w:sz w:val="20"/>
          <w:szCs w:val="20"/>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952"/>
        <w:spacing w:after="0" w:line="262" w:lineRule="auto"/>
        <w:tabs>
          <w:tab w:leader="none" w:pos="2579" w:val="left"/>
        </w:tabs>
        <w:numPr>
          <w:ilvl w:val="2"/>
          <w:numId w:val="121"/>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the Participant’s Continuous Status as a Participant ends on account of the Participant’s death or the Participant becoming Disabled, any Performance Units that both were unexpired and unvested as of the date of cessation of Continuous Status as a Participant, will vest on such date.</w:t>
      </w:r>
    </w:p>
    <w:p>
      <w:pPr>
        <w:spacing w:after="0" w:line="205" w:lineRule="exact"/>
        <w:rPr>
          <w:rFonts w:ascii="Arial" w:cs="Arial" w:eastAsia="Arial" w:hAnsi="Arial"/>
          <w:sz w:val="20"/>
          <w:szCs w:val="20"/>
          <w:color w:val="auto"/>
        </w:rPr>
      </w:pPr>
    </w:p>
    <w:p>
      <w:pPr>
        <w:jc w:val="both"/>
        <w:ind w:firstLine="1952"/>
        <w:spacing w:after="0" w:line="254" w:lineRule="auto"/>
        <w:tabs>
          <w:tab w:leader="none" w:pos="2582" w:val="left"/>
        </w:tabs>
        <w:numPr>
          <w:ilvl w:val="2"/>
          <w:numId w:val="121"/>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 and before the Participant’s Continuous Status as a Participant ends, any Performance Units will be treated in accordance with the terms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256" w:lineRule="exact"/>
        <w:rPr>
          <w:sz w:val="20"/>
          <w:szCs w:val="20"/>
          <w:color w:val="auto"/>
        </w:rPr>
      </w:pPr>
    </w:p>
    <w:p>
      <w:pPr>
        <w:jc w:val="both"/>
        <w:ind w:firstLine="1952"/>
        <w:spacing w:after="0" w:line="270" w:lineRule="auto"/>
        <w:tabs>
          <w:tab w:leader="none" w:pos="2585" w:val="left"/>
        </w:tabs>
        <w:numPr>
          <w:ilvl w:val="2"/>
          <w:numId w:val="122"/>
        </w:numPr>
        <w:rPr>
          <w:rFonts w:ascii="Arial" w:cs="Arial" w:eastAsia="Arial" w:hAnsi="Arial"/>
          <w:sz w:val="19"/>
          <w:szCs w:val="19"/>
          <w:color w:val="auto"/>
        </w:rPr>
      </w:pPr>
      <w:r>
        <w:rPr>
          <w:rFonts w:ascii="Arial" w:cs="Arial" w:eastAsia="Arial" w:hAnsi="Arial"/>
          <w:sz w:val="19"/>
          <w:szCs w:val="19"/>
          <w:u w:val="single" w:color="auto"/>
          <w:color w:val="auto"/>
        </w:rPr>
        <w:t>Discretionary Acceleration</w:t>
      </w:r>
      <w:r>
        <w:rPr>
          <w:rFonts w:ascii="Arial" w:cs="Arial" w:eastAsia="Arial" w:hAnsi="Arial"/>
          <w:sz w:val="19"/>
          <w:szCs w:val="19"/>
          <w:color w:val="auto"/>
        </w:rPr>
        <w:t>. The Committee, in its discretion, may accelerate the vesting of the balance, or some lesser portion of the balance, of the unvested Performance Units at any time, subject to the terms of the Plan. If so accelerated, such Performance Units will be considered as having vested as of the date specified by the Committee. If Participant is a U.S. taxpayer, the payment of Shares vesting pursuant to this Section 4(b) shall in all cases be paid at a time or in a manner that is exempt from, or complies with, Code Section 409A (“</w:t>
      </w:r>
      <w:r>
        <w:rPr>
          <w:rFonts w:ascii="Arial" w:cs="Arial" w:eastAsia="Arial" w:hAnsi="Arial"/>
          <w:sz w:val="19"/>
          <w:szCs w:val="19"/>
          <w:u w:val="single" w:color="auto"/>
          <w:color w:val="auto"/>
        </w:rPr>
        <w:t>Section 409A</w:t>
      </w:r>
      <w:r>
        <w:rPr>
          <w:rFonts w:ascii="Arial" w:cs="Arial" w:eastAsia="Arial" w:hAnsi="Arial"/>
          <w:sz w:val="19"/>
          <w:szCs w:val="19"/>
          <w:color w:val="auto"/>
        </w:rPr>
        <w:t>”). The prior sentence may be superseded in a future agreement or amendment to this Award Agreement only by direct and specific reference to such sentence.</w:t>
      </w:r>
    </w:p>
    <w:p>
      <w:pPr>
        <w:spacing w:after="0" w:line="185" w:lineRule="exact"/>
        <w:rPr>
          <w:rFonts w:ascii="Arial" w:cs="Arial" w:eastAsia="Arial" w:hAnsi="Arial"/>
          <w:sz w:val="19"/>
          <w:szCs w:val="19"/>
          <w:color w:val="auto"/>
        </w:rPr>
      </w:pPr>
    </w:p>
    <w:p>
      <w:pPr>
        <w:jc w:val="both"/>
        <w:ind w:firstLine="1952"/>
        <w:spacing w:after="0" w:line="251" w:lineRule="auto"/>
        <w:tabs>
          <w:tab w:leader="none" w:pos="2583" w:val="left"/>
        </w:tabs>
        <w:numPr>
          <w:ilvl w:val="2"/>
          <w:numId w:val="122"/>
        </w:numPr>
        <w:rPr>
          <w:rFonts w:ascii="Arial" w:cs="Arial" w:eastAsia="Arial" w:hAnsi="Arial"/>
          <w:sz w:val="20"/>
          <w:szCs w:val="20"/>
          <w:color w:val="auto"/>
        </w:rPr>
      </w:pPr>
      <w:r>
        <w:rPr>
          <w:rFonts w:ascii="Arial" w:cs="Arial" w:eastAsia="Arial" w:hAnsi="Arial"/>
          <w:sz w:val="20"/>
          <w:szCs w:val="20"/>
          <w:color w:val="auto"/>
        </w:rPr>
        <w:t>Notwithstanding anything in the Plan or this Award Agreement or any other agreement (whether entered into before, on, or after the Grant Date), if the vesting of the balance, or some lesser portion of the balance, of the Performance Units is accelerated in connection with the cessation of Participant’s status as an employee, officer, director or consultant (a “</w:t>
      </w:r>
      <w:r>
        <w:rPr>
          <w:rFonts w:ascii="Arial" w:cs="Arial" w:eastAsia="Arial" w:hAnsi="Arial"/>
          <w:sz w:val="20"/>
          <w:szCs w:val="20"/>
          <w:u w:val="single" w:color="auto"/>
          <w:color w:val="auto"/>
        </w:rPr>
        <w:t>Service Provider</w:t>
      </w:r>
      <w:r>
        <w:rPr>
          <w:rFonts w:ascii="Arial" w:cs="Arial" w:eastAsia="Arial" w:hAnsi="Arial"/>
          <w:sz w:val="20"/>
          <w:szCs w:val="20"/>
          <w:color w:val="auto"/>
        </w:rPr>
        <w:t>”) (provided that such termination is a “separation from service” within the meaning of Section 409A, as determined by the Committee), other than due to Participant’s death, and if (x) Participant is a U.S. taxpayer and a “specified employee” within the meaning of Section 409A at the time of such termination as a Service Provider and (y) the payment of such accelerated Performance Units will result in the imposition of additional tax under Section 409A if paid to Participant on or within the six (6) month period following the cessation of Participant’s status as a Service Provider, then the payment of such accelerated Performance Units will not be made until the date six (6) months and one (1) day following the date of cessation of Participant’s status as a Service Provider, unless Participant dies following his or her termination as a Service Provider, in which case, the Performance Units will be paid in Shares to Participant’s estate as soon as practicable following his or her death.</w:t>
      </w:r>
    </w:p>
    <w:p>
      <w:pPr>
        <w:spacing w:after="0" w:line="205" w:lineRule="exact"/>
        <w:rPr>
          <w:rFonts w:ascii="Arial" w:cs="Arial" w:eastAsia="Arial" w:hAnsi="Arial"/>
          <w:sz w:val="20"/>
          <w:szCs w:val="20"/>
          <w:color w:val="auto"/>
        </w:rPr>
      </w:pPr>
    </w:p>
    <w:p>
      <w:pPr>
        <w:jc w:val="both"/>
        <w:ind w:firstLine="1304"/>
        <w:spacing w:after="0" w:line="252" w:lineRule="auto"/>
        <w:tabs>
          <w:tab w:leader="none" w:pos="1932"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It is the intent of this Award Agreement that it and all payments and benefits to U.S. taxpayers hereunder be exempt from, or comply with, the requirements of Section 409A so that none of the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14" w:lineRule="exact"/>
        <w:rPr>
          <w:rFonts w:ascii="Arial" w:cs="Arial" w:eastAsia="Arial" w:hAnsi="Arial"/>
          <w:sz w:val="20"/>
          <w:szCs w:val="20"/>
          <w:color w:val="auto"/>
        </w:rPr>
      </w:pPr>
    </w:p>
    <w:p>
      <w:pPr>
        <w:jc w:val="both"/>
        <w:ind w:firstLine="656"/>
        <w:spacing w:after="0" w:line="250" w:lineRule="auto"/>
        <w:tabs>
          <w:tab w:leader="none" w:pos="1285"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Forfeiture Upon Cessation of Continuous Status as a Participant</w:t>
      </w:r>
      <w:r>
        <w:rPr>
          <w:rFonts w:ascii="Arial" w:cs="Arial" w:eastAsia="Arial" w:hAnsi="Arial"/>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Performance Units awarded by this Award Agreement will be forfeited at no cost to the Company and Participant will have no further rights thereunder. The date of forfeiture will be the date of cessation of Continuous Status as a Participant.</w:t>
      </w:r>
    </w:p>
    <w:p>
      <w:pPr>
        <w:spacing w:after="0" w:line="1" w:lineRule="exact"/>
        <w:rPr>
          <w:rFonts w:ascii="Arial" w:cs="Arial" w:eastAsia="Arial" w:hAnsi="Arial"/>
          <w:sz w:val="20"/>
          <w:szCs w:val="20"/>
          <w:color w:val="auto"/>
        </w:rPr>
      </w:pPr>
    </w:p>
    <w:p>
      <w:pPr>
        <w:ind w:left="1300" w:hanging="644"/>
        <w:spacing w:after="0"/>
        <w:tabs>
          <w:tab w:leader="none" w:pos="1300" w:val="left"/>
        </w:tabs>
        <w:numPr>
          <w:ilvl w:val="0"/>
          <w:numId w:val="124"/>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Participant’s own tax advisers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214" w:lineRule="exact"/>
        <w:rPr>
          <w:sz w:val="20"/>
          <w:szCs w:val="20"/>
          <w:color w:val="auto"/>
        </w:rPr>
      </w:pPr>
    </w:p>
    <w:p>
      <w:pPr>
        <w:jc w:val="both"/>
        <w:ind w:firstLine="656"/>
        <w:spacing w:after="0" w:line="254" w:lineRule="auto"/>
        <w:tabs>
          <w:tab w:leader="none" w:pos="1285"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1"/>
          <w:numId w:val="125"/>
        </w:numPr>
        <w:rPr>
          <w:rFonts w:ascii="Arial" w:cs="Arial" w:eastAsia="Arial" w:hAnsi="Arial"/>
          <w:sz w:val="20"/>
          <w:szCs w:val="20"/>
          <w:color w:val="auto"/>
        </w:rPr>
      </w:pPr>
      <w:r>
        <w:rPr>
          <w:rFonts w:ascii="Arial" w:cs="Arial" w:eastAsia="Arial" w:hAnsi="Arial"/>
          <w:sz w:val="20"/>
          <w:szCs w:val="20"/>
          <w:u w:val="single" w:color="auto"/>
          <w:color w:val="auto"/>
        </w:rPr>
        <w:t>Tax Obligations</w:t>
      </w:r>
    </w:p>
    <w:p>
      <w:pPr>
        <w:spacing w:after="0" w:line="242" w:lineRule="exact"/>
        <w:rPr>
          <w:rFonts w:ascii="Arial" w:cs="Arial" w:eastAsia="Arial" w:hAnsi="Arial"/>
          <w:sz w:val="20"/>
          <w:szCs w:val="20"/>
          <w:color w:val="auto"/>
        </w:rPr>
      </w:pPr>
    </w:p>
    <w:p>
      <w:pPr>
        <w:jc w:val="both"/>
        <w:ind w:firstLine="1304"/>
        <w:spacing w:after="0" w:line="261" w:lineRule="auto"/>
        <w:tabs>
          <w:tab w:leader="none" w:pos="1943" w:val="left"/>
        </w:tabs>
        <w:numPr>
          <w:ilvl w:val="2"/>
          <w:numId w:val="125"/>
        </w:numPr>
        <w:rPr>
          <w:rFonts w:ascii="Arial" w:cs="Arial" w:eastAsia="Arial" w:hAnsi="Arial"/>
          <w:sz w:val="19"/>
          <w:szCs w:val="19"/>
          <w:color w:val="auto"/>
        </w:rPr>
      </w:pPr>
      <w:r>
        <w:rPr>
          <w:rFonts w:ascii="Arial" w:cs="Arial" w:eastAsia="Arial" w:hAnsi="Arial"/>
          <w:sz w:val="19"/>
          <w:szCs w:val="19"/>
          <w:u w:val="single" w:color="auto"/>
          <w:color w:val="auto"/>
        </w:rPr>
        <w:t>Responsibility for Taxes</w:t>
      </w:r>
      <w:r>
        <w:rPr>
          <w:rFonts w:ascii="Arial" w:cs="Arial" w:eastAsia="Arial" w:hAnsi="Arial"/>
          <w:sz w:val="19"/>
          <w:szCs w:val="19"/>
          <w:color w:val="auto"/>
        </w:rPr>
        <w:t>. Participant acknowledges that, regardless of any action taken by the Company or, if different, Participant’s employer (the “</w:t>
      </w:r>
      <w:r>
        <w:rPr>
          <w:rFonts w:ascii="Arial" w:cs="Arial" w:eastAsia="Arial" w:hAnsi="Arial"/>
          <w:sz w:val="19"/>
          <w:szCs w:val="19"/>
          <w:u w:val="single" w:color="auto"/>
          <w:color w:val="auto"/>
        </w:rPr>
        <w:t>Employer</w:t>
      </w:r>
      <w:r>
        <w:rPr>
          <w:rFonts w:ascii="Arial" w:cs="Arial" w:eastAsia="Arial" w:hAnsi="Arial"/>
          <w:sz w:val="19"/>
          <w:szCs w:val="19"/>
          <w:color w:val="auto"/>
        </w:rPr>
        <w:t>”) or any Parent or Subsidiary to which Participant is providing services (together, the “</w:t>
      </w:r>
      <w:r>
        <w:rPr>
          <w:rFonts w:ascii="Arial" w:cs="Arial" w:eastAsia="Arial" w:hAnsi="Arial"/>
          <w:sz w:val="19"/>
          <w:szCs w:val="19"/>
          <w:u w:val="single" w:color="auto"/>
          <w:color w:val="auto"/>
        </w:rPr>
        <w:t>Service Recipients</w:t>
      </w:r>
      <w:r>
        <w:rPr>
          <w:rFonts w:ascii="Arial" w:cs="Arial" w:eastAsia="Arial" w:hAnsi="Arial"/>
          <w:sz w:val="19"/>
          <w:szCs w:val="19"/>
          <w:color w:val="auto"/>
        </w:rPr>
        <w:t>”), the ultimate liability for any tax and/or social insurance liability obligations and requirements in connection with the Performance Units, including, without limitation, (i) all federal, state, and local taxes (including Participant’s Federal Insurance Contributions Act (FICA) obligations)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Performance Units or sale of Shares, and (iii) any other Service Recipient taxes the responsibility for which Participant has, or has agreed to bear, with respect to the Performance Units (or settlement thereof or issuance of Shares thereunder) (collectively, the “</w:t>
      </w:r>
      <w:r>
        <w:rPr>
          <w:rFonts w:ascii="Arial" w:cs="Arial" w:eastAsia="Arial" w:hAnsi="Arial"/>
          <w:sz w:val="19"/>
          <w:szCs w:val="19"/>
          <w:u w:val="single" w:color="auto"/>
          <w:color w:val="auto"/>
        </w:rPr>
        <w:t>Tax Obligations</w:t>
      </w:r>
      <w:r>
        <w:rPr>
          <w:rFonts w:ascii="Arial" w:cs="Arial" w:eastAsia="Arial" w:hAnsi="Arial"/>
          <w:sz w:val="19"/>
          <w:szCs w:val="19"/>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Performance Units, including, but not limited to, the grant, vesting or settlement of the Performance Units, the subsequent sale of Shares acquired pursuant to such settlement and the receipt of any dividends or other distributions, and</w:t>
      </w:r>
    </w:p>
    <w:p>
      <w:pPr>
        <w:spacing w:after="0" w:line="12" w:lineRule="exact"/>
        <w:rPr>
          <w:rFonts w:ascii="Arial" w:cs="Arial" w:eastAsia="Arial" w:hAnsi="Arial"/>
          <w:sz w:val="19"/>
          <w:szCs w:val="19"/>
          <w:color w:val="auto"/>
        </w:rPr>
      </w:pPr>
    </w:p>
    <w:p>
      <w:pPr>
        <w:ind w:left="340" w:hanging="332"/>
        <w:spacing w:after="0"/>
        <w:tabs>
          <w:tab w:leader="none" w:pos="340" w:val="left"/>
        </w:tabs>
        <w:numPr>
          <w:ilvl w:val="0"/>
          <w:numId w:val="126"/>
        </w:numPr>
        <w:rPr>
          <w:rFonts w:ascii="Arial" w:cs="Arial" w:eastAsia="Arial" w:hAnsi="Arial"/>
          <w:sz w:val="20"/>
          <w:szCs w:val="20"/>
          <w:color w:val="auto"/>
        </w:rPr>
      </w:pPr>
      <w:r>
        <w:rPr>
          <w:rFonts w:ascii="Arial" w:cs="Arial" w:eastAsia="Arial" w:hAnsi="Arial"/>
          <w:sz w:val="20"/>
          <w:szCs w:val="20"/>
          <w:color w:val="auto"/>
        </w:rPr>
        <w:t>makes any commitment to and is under any obligation to structure the terms of the grant or any aspect of the Performance</w:t>
      </w:r>
    </w:p>
    <w:p>
      <w:pPr>
        <w:spacing w:after="0" w:line="1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Units to reduce or eliminate Participant’s liability for Tax Obligations or achieve any particular tax result. Further, if Participant is subject to Tax Obligations in more than one jurisdiction between the Grant Date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0" w:lineRule="exact"/>
        <w:rPr>
          <w:sz w:val="20"/>
          <w:szCs w:val="20"/>
          <w:color w:val="auto"/>
        </w:rPr>
      </w:pPr>
    </w:p>
    <w:p>
      <w:pPr>
        <w:jc w:val="both"/>
        <w:ind w:firstLine="1304"/>
        <w:spacing w:after="0" w:line="254" w:lineRule="auto"/>
        <w:tabs>
          <w:tab w:leader="none" w:pos="1943"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Method of Tax Withholding</w:t>
      </w:r>
      <w:r>
        <w:rPr>
          <w:rFonts w:ascii="Arial" w:cs="Arial" w:eastAsia="Arial" w:hAnsi="Arial"/>
          <w:sz w:val="20"/>
          <w:szCs w:val="20"/>
          <w:color w:val="auto"/>
        </w:rPr>
        <w:t>. When Shares are issued as payment for vested Performance Units,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Arial" w:cs="Arial" w:eastAsia="Arial" w:hAnsi="Arial"/>
          <w:sz w:val="20"/>
          <w:szCs w:val="20"/>
          <w:u w:val="single" w:color="auto"/>
          <w:color w:val="auto"/>
        </w:rPr>
        <w:t>Tax Withholding Obligation</w:t>
      </w:r>
      <w:r>
        <w:rPr>
          <w:rFonts w:ascii="Arial" w:cs="Arial" w:eastAsia="Arial" w:hAnsi="Arial"/>
          <w:sz w:val="20"/>
          <w:szCs w:val="20"/>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199" w:lineRule="exact"/>
        <w:rPr>
          <w:rFonts w:ascii="Arial" w:cs="Arial" w:eastAsia="Arial" w:hAnsi="Arial"/>
          <w:sz w:val="20"/>
          <w:szCs w:val="20"/>
          <w:color w:val="auto"/>
        </w:rPr>
      </w:pPr>
    </w:p>
    <w:p>
      <w:pPr>
        <w:jc w:val="both"/>
        <w:ind w:firstLine="1304"/>
        <w:spacing w:after="0" w:line="250" w:lineRule="auto"/>
        <w:tabs>
          <w:tab w:leader="none" w:pos="1932"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If the Committee determines that Participant cannot satisfy Participant’s Tax Withholding Obligation through the default procedure described in Section 8(b) or the Committee otherwise determines to permit or require that Participant satisfy Participant’s Tax Withholding Obligation by a method other than through the default procedure set forth in Section 8(b), the Committee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210" w:lineRule="exact"/>
        <w:rPr>
          <w:rFonts w:ascii="Arial" w:cs="Arial" w:eastAsia="Arial" w:hAnsi="Arial"/>
          <w:sz w:val="20"/>
          <w:szCs w:val="20"/>
          <w:color w:val="auto"/>
        </w:rPr>
      </w:pPr>
    </w:p>
    <w:p>
      <w:pPr>
        <w:jc w:val="both"/>
        <w:ind w:firstLine="1304"/>
        <w:spacing w:after="0" w:line="254" w:lineRule="auto"/>
        <w:tabs>
          <w:tab w:leader="none" w:pos="1943"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Company’s Obligation to Deliver Shares</w:t>
      </w:r>
      <w:r>
        <w:rPr>
          <w:rFonts w:ascii="Arial" w:cs="Arial" w:eastAsia="Arial" w:hAnsi="Arial"/>
          <w:sz w:val="20"/>
          <w:szCs w:val="20"/>
          <w:color w:val="auto"/>
        </w:rPr>
        <w:t>. For clarification purposes, in no event will the Company issue Participant any Shares unless and until arrangements satisfactory to the Committee have been made for the payment of Participant’s Tax Withholding Obligation. If Participant fails to make satisfactory arrangements for the payment of such Tax Withholding Obligations hereunder at the time any applicable Performance Units otherwise are scheduled to vest pursuant to Sections 3 or 4 or Participant’s Tax Withholding Obligations otherwise become due, Participant will permanently forfeit such Performance Units to which Participant’s Tax Withholding Obligation relates and any right to receive Shares thereunder and such Performance Units will be returned to the Company at no cost to the Company.</w:t>
      </w:r>
    </w:p>
    <w:p>
      <w:pPr>
        <w:spacing w:after="0" w:line="213"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Company declares and pays a cash dividend on Shares for which the record date occurs while Performance Units subject to this Award Agreement remain outstanding, then certain cash amounts (referred to as “</w:t>
      </w:r>
      <w:r>
        <w:rPr>
          <w:rFonts w:ascii="Arial" w:cs="Arial" w:eastAsia="Arial" w:hAnsi="Arial"/>
          <w:sz w:val="20"/>
          <w:szCs w:val="20"/>
          <w:u w:val="single" w:color="auto"/>
          <w:color w:val="auto"/>
        </w:rPr>
        <w:t>DEUs</w:t>
      </w:r>
      <w:r>
        <w:rPr>
          <w:rFonts w:ascii="Arial" w:cs="Arial" w:eastAsia="Arial" w:hAnsi="Arial"/>
          <w:sz w:val="20"/>
          <w:szCs w:val="20"/>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0" w:lineRule="exact"/>
        <w:rPr>
          <w:sz w:val="20"/>
          <w:szCs w:val="20"/>
          <w:color w:val="auto"/>
        </w:rPr>
      </w:pPr>
    </w:p>
    <w:p>
      <w:pPr>
        <w:ind w:left="640" w:hanging="308"/>
        <w:spacing w:after="0"/>
        <w:tabs>
          <w:tab w:leader="none" w:pos="64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“X” is the aggregate cash amount of the DEUs to be credited with respect to that cash dividend.</w:t>
      </w:r>
    </w:p>
    <w:p>
      <w:pPr>
        <w:spacing w:after="0" w:line="256"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 is the amount of the cash dividend paid by the Company to stockholders with respect to one Share. In other words, this amount is the cash amount of each DEU to be credited with respect to a particular cash dividend.</w:t>
      </w:r>
    </w:p>
    <w:p>
      <w:pPr>
        <w:spacing w:after="0" w:line="196" w:lineRule="exact"/>
        <w:rPr>
          <w:rFonts w:ascii="Arial" w:cs="Arial" w:eastAsia="Arial" w:hAnsi="Arial"/>
          <w:sz w:val="20"/>
          <w:szCs w:val="20"/>
          <w:color w:val="auto"/>
        </w:rPr>
      </w:pPr>
    </w:p>
    <w:p>
      <w:pPr>
        <w:ind w:left="660" w:hanging="328"/>
        <w:spacing w:after="0" w:line="271" w:lineRule="auto"/>
        <w:tabs>
          <w:tab w:leader="none" w:pos="64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“B” is the number of Performance Units remaining subject to this Award Agreement as of the cash dividend record date but immediately prior to the application of this Section 9 for that cash dividend.</w:t>
      </w:r>
    </w:p>
    <w:p>
      <w:pPr>
        <w:spacing w:after="0" w:line="196" w:lineRule="exact"/>
        <w:rPr>
          <w:rFonts w:ascii="Arial" w:cs="Arial" w:eastAsia="Arial" w:hAnsi="Arial"/>
          <w:sz w:val="20"/>
          <w:szCs w:val="20"/>
          <w:color w:val="auto"/>
        </w:rPr>
      </w:pPr>
    </w:p>
    <w:p>
      <w:pPr>
        <w:jc w:val="both"/>
        <w:ind w:firstLine="1304"/>
        <w:spacing w:after="0" w:line="252" w:lineRule="auto"/>
        <w:tabs>
          <w:tab w:leader="none" w:pos="1943" w:val="left"/>
        </w:tabs>
        <w:numPr>
          <w:ilvl w:val="2"/>
          <w:numId w:val="129"/>
        </w:numPr>
        <w:rPr>
          <w:rFonts w:ascii="Arial" w:cs="Arial" w:eastAsia="Arial" w:hAnsi="Arial"/>
          <w:sz w:val="20"/>
          <w:szCs w:val="20"/>
          <w:color w:val="auto"/>
        </w:rPr>
      </w:pPr>
      <w:r>
        <w:rPr>
          <w:rFonts w:ascii="Arial" w:cs="Arial" w:eastAsia="Arial" w:hAnsi="Arial"/>
          <w:sz w:val="20"/>
          <w:szCs w:val="20"/>
          <w:u w:val="single" w:color="auto"/>
          <w:color w:val="auto"/>
        </w:rPr>
        <w:t>Vesting of DEUs</w:t>
      </w:r>
      <w:r>
        <w:rPr>
          <w:rFonts w:ascii="Arial" w:cs="Arial" w:eastAsia="Arial" w:hAnsi="Arial"/>
          <w:sz w:val="20"/>
          <w:szCs w:val="20"/>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in Continuous Status as a Participant through the vesting date and the portion of the Award to which the DEUs are attributable actually vests.</w:t>
      </w:r>
    </w:p>
    <w:p>
      <w:pPr>
        <w:spacing w:after="0" w:line="214" w:lineRule="exact"/>
        <w:rPr>
          <w:rFonts w:ascii="Arial" w:cs="Arial" w:eastAsia="Arial" w:hAnsi="Arial"/>
          <w:sz w:val="20"/>
          <w:szCs w:val="20"/>
          <w:color w:val="auto"/>
        </w:rPr>
      </w:pPr>
    </w:p>
    <w:p>
      <w:pPr>
        <w:jc w:val="both"/>
        <w:ind w:firstLine="1304"/>
        <w:spacing w:after="0" w:line="254" w:lineRule="auto"/>
        <w:tabs>
          <w:tab w:leader="none" w:pos="1943" w:val="left"/>
        </w:tabs>
        <w:numPr>
          <w:ilvl w:val="2"/>
          <w:numId w:val="129"/>
        </w:numPr>
        <w:rPr>
          <w:rFonts w:ascii="Arial" w:cs="Arial" w:eastAsia="Arial" w:hAnsi="Arial"/>
          <w:sz w:val="20"/>
          <w:szCs w:val="20"/>
          <w:color w:val="auto"/>
        </w:rPr>
      </w:pPr>
      <w:r>
        <w:rPr>
          <w:rFonts w:ascii="Arial" w:cs="Arial" w:eastAsia="Arial" w:hAnsi="Arial"/>
          <w:sz w:val="20"/>
          <w:szCs w:val="20"/>
          <w:u w:val="single" w:color="auto"/>
          <w:color w:val="auto"/>
        </w:rPr>
        <w:t>Settlement and General</w:t>
      </w:r>
      <w:r>
        <w:rPr>
          <w:rFonts w:ascii="Arial" w:cs="Arial" w:eastAsia="Arial" w:hAnsi="Arial"/>
          <w:sz w:val="20"/>
          <w:szCs w:val="20"/>
          <w:color w:val="auto"/>
        </w:rPr>
        <w:t>. DEUs credited under this Section 9 will be subject to the same terms and conditions as the other Shares underlying the Performance Units on which the DEUs were paid including (but not limited to) being settled at the same time as the settlement of the Performance Units on which the DEUs were paid (but DEUs will be paid in cash and subject to the other provisions of this Section 9 and the Award Agreement). DEUs will not accrue interest and will not be credited with any investment returns related to Shares or otherwise.</w:t>
      </w:r>
    </w:p>
    <w:p>
      <w:pPr>
        <w:spacing w:after="0" w:line="214" w:lineRule="exact"/>
        <w:rPr>
          <w:rFonts w:ascii="Arial" w:cs="Arial" w:eastAsia="Arial" w:hAnsi="Arial"/>
          <w:sz w:val="20"/>
          <w:szCs w:val="20"/>
          <w:color w:val="auto"/>
        </w:rPr>
      </w:pPr>
    </w:p>
    <w:p>
      <w:pPr>
        <w:jc w:val="both"/>
        <w:ind w:firstLine="1304"/>
        <w:spacing w:after="0" w:line="252" w:lineRule="auto"/>
        <w:tabs>
          <w:tab w:leader="none" w:pos="1932" w:val="left"/>
        </w:tabs>
        <w:numPr>
          <w:ilvl w:val="2"/>
          <w:numId w:val="129"/>
        </w:numPr>
        <w:rPr>
          <w:rFonts w:ascii="Arial" w:cs="Arial" w:eastAsia="Arial" w:hAnsi="Arial"/>
          <w:sz w:val="20"/>
          <w:szCs w:val="20"/>
          <w:color w:val="auto"/>
        </w:rPr>
      </w:pPr>
      <w:r>
        <w:rPr>
          <w:rFonts w:ascii="Arial" w:cs="Arial" w:eastAsia="Arial" w:hAnsi="Arial"/>
          <w:sz w:val="20"/>
          <w:szCs w:val="20"/>
          <w:u w:val="single" w:color="auto"/>
          <w:color w:val="auto"/>
        </w:rPr>
        <w:t>Timing</w:t>
      </w:r>
      <w:r>
        <w:rPr>
          <w:rFonts w:ascii="Arial" w:cs="Arial" w:eastAsia="Arial" w:hAnsi="Arial"/>
          <w:sz w:val="20"/>
          <w:szCs w:val="20"/>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Committee,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Performance Units, DEUs or cash will be credited with respect to any Performance Units that previously vested and were settled.</w:t>
      </w:r>
    </w:p>
    <w:p>
      <w:pPr>
        <w:spacing w:after="0" w:line="201" w:lineRule="exact"/>
        <w:rPr>
          <w:rFonts w:ascii="Arial" w:cs="Arial" w:eastAsia="Arial" w:hAnsi="Arial"/>
          <w:sz w:val="20"/>
          <w:szCs w:val="20"/>
          <w:color w:val="auto"/>
        </w:rPr>
      </w:pPr>
    </w:p>
    <w:p>
      <w:pPr>
        <w:jc w:val="both"/>
        <w:ind w:firstLine="656"/>
        <w:spacing w:after="0" w:line="254" w:lineRule="auto"/>
        <w:tabs>
          <w:tab w:leader="none" w:pos="1287"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Shares and receipt of dividends and distributions on such Shares.</w:t>
      </w:r>
    </w:p>
    <w:p>
      <w:pPr>
        <w:spacing w:after="0" w:line="256" w:lineRule="exact"/>
        <w:rPr>
          <w:sz w:val="20"/>
          <w:szCs w:val="20"/>
          <w:color w:val="auto"/>
        </w:rPr>
      </w:pPr>
    </w:p>
    <w:p>
      <w:pPr>
        <w:jc w:val="both"/>
        <w:ind w:firstLine="656"/>
        <w:spacing w:after="0" w:line="250" w:lineRule="auto"/>
        <w:tabs>
          <w:tab w:leader="none" w:pos="1273"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PERFORMANCE UNITS PURSUANT TO THE VESTING SCHEDULE HEREOF IS EARNED ONLY BY REMAINING IN CONTINUOUS STATUS AS A PARTICIPANT, WHICH UNLESS PROVIDED OTHERWISE UNDER APPLICABLE LAW IS AT THE WILL OF THE APPLICABLE SERVICE RECIPIENT AND NOT THROUGH THE ACT OF BEING HIRED, BEING GRANTED THIS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16" w:lineRule="exact"/>
        <w:rPr>
          <w:rFonts w:ascii="Arial" w:cs="Arial" w:eastAsia="Arial" w:hAnsi="Arial"/>
          <w:sz w:val="20"/>
          <w:szCs w:val="20"/>
          <w:color w:val="auto"/>
        </w:rPr>
      </w:pPr>
    </w:p>
    <w:p>
      <w:pPr>
        <w:jc w:val="both"/>
        <w:ind w:firstLine="656"/>
        <w:spacing w:after="0" w:line="250" w:lineRule="auto"/>
        <w:tabs>
          <w:tab w:leader="none" w:pos="1287"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to the limited extent provided in Section 7 and this Section 12 or as otherwise determined by the Committee,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Arial" w:cs="Arial" w:eastAsia="Arial" w:hAnsi="Arial"/>
          <w:sz w:val="20"/>
          <w:szCs w:val="20"/>
          <w:u w:val="single" w:color="auto"/>
          <w:color w:val="auto"/>
        </w:rPr>
        <w:t>QDRO</w:t>
      </w:r>
      <w:r>
        <w:rPr>
          <w:rFonts w:ascii="Arial" w:cs="Arial" w:eastAsia="Arial" w:hAnsi="Arial"/>
          <w:sz w:val="20"/>
          <w:szCs w:val="20"/>
          <w:color w:val="auto"/>
        </w:rPr>
        <w:t>”) will be permitted so long as such transfer complies with the QDRO procedures then in effect, as specified by the Committee or the Company.</w:t>
      </w:r>
    </w:p>
    <w:p>
      <w:pPr>
        <w:spacing w:after="0" w:line="219" w:lineRule="exact"/>
        <w:rPr>
          <w:rFonts w:ascii="Arial" w:cs="Arial" w:eastAsia="Arial" w:hAnsi="Arial"/>
          <w:sz w:val="20"/>
          <w:szCs w:val="20"/>
          <w:color w:val="auto"/>
        </w:rPr>
      </w:pPr>
    </w:p>
    <w:p>
      <w:pPr>
        <w:ind w:left="1300" w:hanging="644"/>
        <w:spacing w:after="0"/>
        <w:tabs>
          <w:tab w:leader="none" w:pos="130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Award of Performance Units, Participant acknowledges, understands and</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agrees that:</w:t>
      </w:r>
    </w:p>
    <w:p>
      <w:pPr>
        <w:spacing w:after="0" w:line="224"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grant of the Performance Units is voluntary and occasional and does not create any contractual or other right to receive future grants of equity awards, or benefits in lieu of equity awards, even if equity awards have been granted in the past;</w:t>
      </w:r>
    </w:p>
    <w:p>
      <w:pPr>
        <w:spacing w:after="0" w:line="205" w:lineRule="exact"/>
        <w:rPr>
          <w:rFonts w:ascii="Arial" w:cs="Arial" w:eastAsia="Arial" w:hAnsi="Arial"/>
          <w:sz w:val="20"/>
          <w:szCs w:val="20"/>
          <w:color w:val="auto"/>
        </w:rPr>
      </w:pPr>
    </w:p>
    <w:p>
      <w:pPr>
        <w:ind w:left="1960" w:hanging="656"/>
        <w:spacing w:after="0"/>
        <w:tabs>
          <w:tab w:leader="none" w:pos="196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all decisions with respect to future equity award grants, if any, will be at the sole discretion of the</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Committee;</w:t>
      </w:r>
    </w:p>
    <w:p>
      <w:pPr>
        <w:spacing w:after="0" w:line="224" w:lineRule="exact"/>
        <w:rPr>
          <w:rFonts w:ascii="Arial" w:cs="Arial" w:eastAsia="Arial" w:hAnsi="Arial"/>
          <w:sz w:val="20"/>
          <w:szCs w:val="20"/>
          <w:color w:val="auto"/>
        </w:rPr>
      </w:pPr>
    </w:p>
    <w:p>
      <w:pPr>
        <w:ind w:left="1940" w:hanging="636"/>
        <w:spacing w:after="0"/>
        <w:tabs>
          <w:tab w:leader="none" w:pos="194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56" w:lineRule="exact"/>
        <w:rPr>
          <w:rFonts w:ascii="Arial" w:cs="Arial" w:eastAsia="Arial" w:hAnsi="Arial"/>
          <w:sz w:val="20"/>
          <w:szCs w:val="20"/>
          <w:color w:val="auto"/>
        </w:rPr>
      </w:pPr>
    </w:p>
    <w:p>
      <w:pPr>
        <w:ind w:right="20" w:firstLine="1304"/>
        <w:spacing w:after="0" w:line="271" w:lineRule="auto"/>
        <w:tabs>
          <w:tab w:leader="none" w:pos="1943" w:val="left"/>
        </w:tabs>
        <w:numPr>
          <w:ilvl w:val="1"/>
          <w:numId w:val="131"/>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0" w:lineRule="exact"/>
        <w:rPr>
          <w:sz w:val="20"/>
          <w:szCs w:val="20"/>
          <w:color w:val="auto"/>
        </w:rPr>
      </w:pPr>
    </w:p>
    <w:p>
      <w:pPr>
        <w:jc w:val="both"/>
        <w:ind w:right="20" w:firstLine="1304"/>
        <w:spacing w:after="0" w:line="259" w:lineRule="auto"/>
        <w:tabs>
          <w:tab w:leader="none" w:pos="194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95" w:lineRule="exact"/>
        <w:rPr>
          <w:rFonts w:ascii="Arial" w:cs="Arial" w:eastAsia="Arial" w:hAnsi="Arial"/>
          <w:sz w:val="20"/>
          <w:szCs w:val="20"/>
          <w:color w:val="auto"/>
        </w:rPr>
      </w:pPr>
    </w:p>
    <w:p>
      <w:pPr>
        <w:ind w:left="1940" w:hanging="636"/>
        <w:spacing w:after="0"/>
        <w:tabs>
          <w:tab w:leader="none" w:pos="19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future value of the Shares underlying the Performance Units is unknown, indeterminable, and cannot</w:t>
      </w:r>
    </w:p>
    <w:p>
      <w:pPr>
        <w:spacing w:after="0" w:line="3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be predicted;</w:t>
      </w:r>
    </w:p>
    <w:p>
      <w:pPr>
        <w:spacing w:after="0" w:line="238" w:lineRule="exact"/>
        <w:rPr>
          <w:rFonts w:ascii="Arial" w:cs="Arial" w:eastAsia="Arial" w:hAnsi="Arial"/>
          <w:sz w:val="20"/>
          <w:szCs w:val="20"/>
          <w:color w:val="auto"/>
        </w:rPr>
      </w:pPr>
    </w:p>
    <w:p>
      <w:pPr>
        <w:jc w:val="both"/>
        <w:ind w:firstLine="1304"/>
        <w:spacing w:after="0" w:line="264" w:lineRule="auto"/>
        <w:tabs>
          <w:tab w:leader="none" w:pos="1943"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for purposes of the Performance Units,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Committee, Participant’s right to vest in the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Performance Units grant (including whether Participant may still be considered to be providing services while on a leave of absence and consistent with local law);</w:t>
      </w:r>
    </w:p>
    <w:p>
      <w:pPr>
        <w:spacing w:after="0" w:line="207" w:lineRule="exact"/>
        <w:rPr>
          <w:rFonts w:ascii="Arial" w:cs="Arial" w:eastAsia="Arial" w:hAnsi="Arial"/>
          <w:sz w:val="19"/>
          <w:szCs w:val="19"/>
          <w:color w:val="auto"/>
        </w:rPr>
      </w:pPr>
    </w:p>
    <w:p>
      <w:pPr>
        <w:jc w:val="both"/>
        <w:ind w:firstLine="1304"/>
        <w:spacing w:after="0" w:line="255" w:lineRule="auto"/>
        <w:tabs>
          <w:tab w:leader="none" w:pos="1943" w:val="left"/>
        </w:tabs>
        <w:numPr>
          <w:ilvl w:val="0"/>
          <w:numId w:val="132"/>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the Performance Units and the benefits evidenced by this Award Agreement do not create any entitlement to have the Performance Units or any such benefits transferred to, or assumed by, another company nor be exchanged, cashed out or substituted for, in connection with any corporate transaction affecting the Shares; and</w:t>
      </w:r>
    </w:p>
    <w:p>
      <w:pPr>
        <w:spacing w:after="0" w:line="210" w:lineRule="exact"/>
        <w:rPr>
          <w:rFonts w:ascii="Arial" w:cs="Arial" w:eastAsia="Arial" w:hAnsi="Arial"/>
          <w:sz w:val="20"/>
          <w:szCs w:val="20"/>
          <w:color w:val="auto"/>
        </w:rPr>
      </w:pPr>
    </w:p>
    <w:p>
      <w:pPr>
        <w:ind w:left="1940" w:hanging="636"/>
        <w:spacing w:after="0"/>
        <w:tabs>
          <w:tab w:leader="none" w:pos="194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56" w:lineRule="exact"/>
        <w:rPr>
          <w:rFonts w:ascii="Arial" w:cs="Arial" w:eastAsia="Arial" w:hAnsi="Arial"/>
          <w:sz w:val="20"/>
          <w:szCs w:val="20"/>
          <w:color w:val="auto"/>
        </w:rPr>
      </w:pPr>
    </w:p>
    <w:p>
      <w:pPr>
        <w:ind w:firstLine="1952"/>
        <w:spacing w:after="0" w:line="271" w:lineRule="auto"/>
        <w:tabs>
          <w:tab w:leader="none" w:pos="2579" w:val="left"/>
        </w:tabs>
        <w:numPr>
          <w:ilvl w:val="1"/>
          <w:numId w:val="132"/>
        </w:numPr>
        <w:rPr>
          <w:rFonts w:ascii="Arial" w:cs="Arial" w:eastAsia="Arial" w:hAnsi="Arial"/>
          <w:sz w:val="20"/>
          <w:szCs w:val="20"/>
          <w:color w:val="auto"/>
        </w:rPr>
      </w:pPr>
      <w:r>
        <w:rPr>
          <w:rFonts w:ascii="Arial" w:cs="Arial" w:eastAsia="Arial" w:hAnsi="Arial"/>
          <w:sz w:val="20"/>
          <w:szCs w:val="20"/>
          <w:color w:val="auto"/>
        </w:rPr>
        <w:t>the Performance Units and the Shares subject to the Performance Units are not part of normal or expected compensation or salary for any purpose;</w:t>
      </w:r>
    </w:p>
    <w:p>
      <w:pPr>
        <w:spacing w:after="0" w:line="196" w:lineRule="exact"/>
        <w:rPr>
          <w:rFonts w:ascii="Arial" w:cs="Arial" w:eastAsia="Arial" w:hAnsi="Arial"/>
          <w:sz w:val="20"/>
          <w:szCs w:val="20"/>
          <w:color w:val="auto"/>
        </w:rPr>
      </w:pPr>
    </w:p>
    <w:p>
      <w:pPr>
        <w:jc w:val="both"/>
        <w:ind w:firstLine="1952"/>
        <w:spacing w:after="0" w:line="259" w:lineRule="auto"/>
        <w:tabs>
          <w:tab w:leader="none" w:pos="2582" w:val="left"/>
        </w:tabs>
        <w:numPr>
          <w:ilvl w:val="1"/>
          <w:numId w:val="132"/>
        </w:numPr>
        <w:rPr>
          <w:rFonts w:ascii="Arial" w:cs="Arial" w:eastAsia="Arial" w:hAnsi="Arial"/>
          <w:sz w:val="20"/>
          <w:szCs w:val="20"/>
          <w:color w:val="auto"/>
        </w:rPr>
      </w:pPr>
      <w:r>
        <w:rPr>
          <w:rFonts w:ascii="Arial" w:cs="Arial" w:eastAsia="Arial" w:hAnsi="Arial"/>
          <w:sz w:val="20"/>
          <w:szCs w:val="20"/>
          <w:color w:val="auto"/>
        </w:rPr>
        <w:t>Participant acknowledges and agrees that no Service Recipient shall be liable for any foreign exchange rate fluctuation between Participant’s local currency and the United States Dollar that may affect the value of the Performance Units or of any amounts due to Participant pursuant to the settlement of the Performance Units or the subsequent sale of any Shares acquired upon 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0" w:lineRule="exact"/>
        <w:rPr>
          <w:sz w:val="20"/>
          <w:szCs w:val="20"/>
          <w:color w:val="auto"/>
        </w:rPr>
      </w:pPr>
    </w:p>
    <w:p>
      <w:pPr>
        <w:jc w:val="both"/>
        <w:ind w:firstLine="1952"/>
        <w:spacing w:after="0" w:line="252" w:lineRule="auto"/>
        <w:tabs>
          <w:tab w:leader="none" w:pos="2585" w:val="left"/>
        </w:tabs>
        <w:numPr>
          <w:ilvl w:val="1"/>
          <w:numId w:val="133"/>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Performance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2"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Shares underlying the Performance Units. Participant is hereby advised to consult with his or her own personal tax, legal, and financial advisors regarding his or her participation in the Plan before taking any action related to the Plan.</w:t>
      </w:r>
    </w:p>
    <w:p>
      <w:pPr>
        <w:spacing w:after="0" w:line="208" w:lineRule="exact"/>
        <w:rPr>
          <w:rFonts w:ascii="Arial" w:cs="Arial" w:eastAsia="Arial" w:hAnsi="Arial"/>
          <w:sz w:val="20"/>
          <w:szCs w:val="20"/>
          <w:color w:val="auto"/>
        </w:rPr>
      </w:pPr>
    </w:p>
    <w:p>
      <w:pPr>
        <w:jc w:val="both"/>
        <w:ind w:firstLine="656"/>
        <w:spacing w:after="0" w:line="263" w:lineRule="auto"/>
        <w:tabs>
          <w:tab w:leader="none" w:pos="1287" w:val="left"/>
        </w:tabs>
        <w:numPr>
          <w:ilvl w:val="0"/>
          <w:numId w:val="134"/>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Participant hereby explicitly and unambiguously consents to the collection, use and transfer, in electronic or other form, of Participant’s personal data as described in this Award Agreement and any other Performance Unit grant materials by and among, as applicable, the Service Recipients for the exclusive purpose of implementing, administering and managing Participant’s participation in the Plan.</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Performance Units or any other entitlement to Shares awarded, canceled, exercised, vested, unvested, or outstanding in Participant’s favor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for the exclusive purpose of implementing, administering, and managing the Plan.</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[redacted]@micron.com.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i w:val="1"/>
          <w:iCs w:val="1"/>
          <w:color w:val="auto"/>
        </w:rPr>
        <w:t>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[redacted]@micron.com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4" w:lineRule="exact"/>
        <w:rPr>
          <w:sz w:val="20"/>
          <w:szCs w:val="20"/>
          <w:color w:val="auto"/>
        </w:rPr>
      </w:pPr>
    </w:p>
    <w:p>
      <w:pPr>
        <w:jc w:val="both"/>
        <w:ind w:firstLine="656"/>
        <w:spacing w:after="0" w:line="262" w:lineRule="auto"/>
        <w:tabs>
          <w:tab w:leader="none" w:pos="128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205"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14"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95" w:lineRule="exact"/>
        <w:rPr>
          <w:rFonts w:ascii="Arial" w:cs="Arial" w:eastAsia="Arial" w:hAnsi="Arial"/>
          <w:sz w:val="20"/>
          <w:szCs w:val="20"/>
          <w:color w:val="auto"/>
        </w:rPr>
      </w:pPr>
    </w:p>
    <w:p>
      <w:pPr>
        <w:jc w:val="both"/>
        <w:ind w:firstLine="656"/>
        <w:spacing w:after="0" w:line="258" w:lineRule="auto"/>
        <w:tabs>
          <w:tab w:leader="none" w:pos="128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94" w:lineRule="exact"/>
        <w:rPr>
          <w:rFonts w:ascii="Arial" w:cs="Arial" w:eastAsia="Arial" w:hAnsi="Arial"/>
          <w:sz w:val="20"/>
          <w:szCs w:val="20"/>
          <w:color w:val="auto"/>
        </w:rPr>
      </w:pPr>
    </w:p>
    <w:p>
      <w:pPr>
        <w:jc w:val="both"/>
        <w:ind w:right="20" w:firstLine="656"/>
        <w:spacing w:after="0" w:line="262" w:lineRule="auto"/>
        <w:tabs>
          <w:tab w:leader="none" w:pos="1287"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Performance Units as the Committee may establish from time to time for reasons of administrative convenience.</w:t>
      </w:r>
    </w:p>
    <w:p>
      <w:pPr>
        <w:spacing w:after="0" w:line="223" w:lineRule="exact"/>
        <w:rPr>
          <w:sz w:val="20"/>
          <w:szCs w:val="20"/>
          <w:color w:val="auto"/>
        </w:rPr>
      </w:pPr>
    </w:p>
    <w:p>
      <w:pPr>
        <w:jc w:val="both"/>
        <w:ind w:firstLine="656"/>
        <w:spacing w:after="0" w:line="262" w:lineRule="auto"/>
        <w:tabs>
          <w:tab w:leader="none" w:pos="128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205" w:lineRule="exact"/>
        <w:rPr>
          <w:rFonts w:ascii="Arial" w:cs="Arial" w:eastAsia="Arial" w:hAnsi="Arial"/>
          <w:sz w:val="20"/>
          <w:szCs w:val="20"/>
          <w:color w:val="auto"/>
        </w:rPr>
      </w:pPr>
    </w:p>
    <w:p>
      <w:pPr>
        <w:jc w:val="both"/>
        <w:ind w:firstLine="656"/>
        <w:spacing w:after="0" w:line="251" w:lineRule="auto"/>
        <w:tabs>
          <w:tab w:leader="none" w:pos="128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Performance Units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219" w:lineRule="exact"/>
        <w:rPr>
          <w:rFonts w:ascii="Arial" w:cs="Arial" w:eastAsia="Arial" w:hAnsi="Arial"/>
          <w:sz w:val="20"/>
          <w:szCs w:val="20"/>
          <w:color w:val="auto"/>
        </w:rPr>
      </w:pPr>
    </w:p>
    <w:p>
      <w:pPr>
        <w:ind w:firstLine="656"/>
        <w:spacing w:after="0" w:line="271" w:lineRule="auto"/>
        <w:tabs>
          <w:tab w:leader="none" w:pos="128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96"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Amendment, Suspension or Termination of the Plan</w:t>
      </w:r>
      <w:r>
        <w:rPr>
          <w:rFonts w:ascii="Arial" w:cs="Arial" w:eastAsia="Arial" w:hAnsi="Arial"/>
          <w:sz w:val="20"/>
          <w:szCs w:val="20"/>
          <w:color w:val="auto"/>
        </w:rPr>
        <w:t>. By accepting this Award, Participant expressly warrants that Participant has received an Award of Performance Units under the Plan, and has received, read and understood a description of the Plan. Participant understands that the Plan is discretionary in nature and may be amended, suspended, or terminated by the Committee at any time.</w:t>
      </w:r>
    </w:p>
    <w:p>
      <w:pPr>
        <w:spacing w:after="0" w:line="195" w:lineRule="exact"/>
        <w:rPr>
          <w:rFonts w:ascii="Arial" w:cs="Arial" w:eastAsia="Arial" w:hAnsi="Arial"/>
          <w:sz w:val="20"/>
          <w:szCs w:val="20"/>
          <w:color w:val="auto"/>
        </w:rPr>
      </w:pPr>
    </w:p>
    <w:p>
      <w:pPr>
        <w:jc w:val="both"/>
        <w:ind w:firstLine="656"/>
        <w:spacing w:after="0" w:line="267" w:lineRule="auto"/>
        <w:tabs>
          <w:tab w:leader="none" w:pos="1287"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Modifications to the Award Agreement</w:t>
      </w:r>
      <w:r>
        <w:rPr>
          <w:rFonts w:ascii="Arial" w:cs="Arial" w:eastAsia="Arial" w:hAnsi="Arial"/>
          <w:sz w:val="19"/>
          <w:szCs w:val="19"/>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Performance Units. Any such revisions shall be intended,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0"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67" w:lineRule="exact"/>
        <w:rPr>
          <w:sz w:val="20"/>
          <w:szCs w:val="20"/>
          <w:color w:val="auto"/>
        </w:rPr>
      </w:pPr>
    </w:p>
    <w:p>
      <w:pPr>
        <w:jc w:val="both"/>
        <w:ind w:firstLine="656"/>
        <w:spacing w:after="0" w:line="254" w:lineRule="auto"/>
        <w:tabs>
          <w:tab w:leader="none" w:pos="128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Performance Units are governed by the internal substantive laws, but not the choice of law rules, of the State of Delaware. For purposes of litigating any dispute that arises under these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99"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208" w:lineRule="exact"/>
        <w:rPr>
          <w:rFonts w:ascii="Arial" w:cs="Arial" w:eastAsia="Arial" w:hAnsi="Arial"/>
          <w:sz w:val="20"/>
          <w:szCs w:val="20"/>
          <w:color w:val="auto"/>
        </w:rPr>
      </w:pPr>
    </w:p>
    <w:p>
      <w:pPr>
        <w:jc w:val="both"/>
        <w:ind w:firstLine="656"/>
        <w:spacing w:after="0" w:line="251" w:lineRule="auto"/>
        <w:tabs>
          <w:tab w:leader="none" w:pos="1287"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Notwithstanding any provisions in this Award Agreement, the Performance Unit grant shall be subject to any special terms and conditions set forth in an appendix (if any) to this Award Agreement for any country whose laws are applicable to Participant and this Performance Unit Award (as determined by the Committee in its sole discretion) (the “</w:t>
      </w:r>
      <w:r>
        <w:rPr>
          <w:rFonts w:ascii="Arial" w:cs="Arial" w:eastAsia="Arial" w:hAnsi="Arial"/>
          <w:sz w:val="20"/>
          <w:szCs w:val="20"/>
          <w:u w:val="single" w:color="auto"/>
          <w:color w:val="auto"/>
        </w:rPr>
        <w:t>Country Addendum</w:t>
      </w:r>
      <w:r>
        <w:rPr>
          <w:rFonts w:ascii="Arial" w:cs="Arial" w:eastAsia="Arial" w:hAnsi="Arial"/>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219"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20"/>
          <w:szCs w:val="20"/>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B</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OF PERFORMANCE UNITS</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Performance Units may be earned, in whole or in part, based on (i) Participant’s continued employment with the Company, and (ii) the achievement of the performance goal, as set forth below.</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Performance Period</w:t>
      </w:r>
      <w:r>
        <w:rPr>
          <w:rFonts w:ascii="Arial" w:cs="Arial" w:eastAsia="Arial" w:hAnsi="Arial"/>
          <w:sz w:val="20"/>
          <w:szCs w:val="20"/>
          <w:color w:val="auto"/>
        </w:rPr>
        <w:t>. For purposes of this Award of Performance Units, “</w:t>
      </w:r>
      <w:r>
        <w:rPr>
          <w:rFonts w:ascii="Arial" w:cs="Arial" w:eastAsia="Arial" w:hAnsi="Arial"/>
          <w:sz w:val="20"/>
          <w:szCs w:val="20"/>
          <w:u w:val="single" w:color="auto"/>
          <w:color w:val="auto"/>
        </w:rPr>
        <w:t>Performance Period</w:t>
      </w:r>
      <w:r>
        <w:rPr>
          <w:rFonts w:ascii="Arial" w:cs="Arial" w:eastAsia="Arial" w:hAnsi="Arial"/>
          <w:sz w:val="20"/>
          <w:szCs w:val="20"/>
          <w:color w:val="auto"/>
        </w:rPr>
        <w:t>” means [insert the relevant</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period].</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u w:val="single" w:color="auto"/>
          <w:color w:val="auto"/>
        </w:rPr>
        <w:t>Performance Goal</w:t>
      </w:r>
      <w:r>
        <w:rPr>
          <w:rFonts w:ascii="Arial" w:cs="Arial" w:eastAsia="Arial" w:hAnsi="Arial"/>
          <w:sz w:val="20"/>
          <w:szCs w:val="20"/>
          <w:color w:val="auto"/>
        </w:rPr>
        <w:t>. One hundred percent (100%) of the Target Number of Shares Subject to Performance Units (as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the Notice of Grant) (the “Target Units”) are eligible to be earned, assuming at-target achievement of the goal (the “</w:t>
      </w:r>
      <w:r>
        <w:rPr>
          <w:rFonts w:ascii="Arial" w:cs="Arial" w:eastAsia="Arial" w:hAnsi="Arial"/>
          <w:sz w:val="20"/>
          <w:szCs w:val="20"/>
          <w:u w:val="single" w:color="auto"/>
          <w:color w:val="auto"/>
        </w:rPr>
        <w:t>Goal</w:t>
      </w:r>
      <w:r>
        <w:rPr>
          <w:rFonts w:ascii="Arial" w:cs="Arial" w:eastAsia="Arial" w:hAnsi="Arial"/>
          <w:sz w:val="20"/>
          <w:szCs w:val="20"/>
          <w:color w:val="auto"/>
        </w:rPr>
        <w:t>”). The actual number of Performance Units earned will be determined by reference to the payout factor (the “</w:t>
      </w:r>
      <w:r>
        <w:rPr>
          <w:rFonts w:ascii="Arial" w:cs="Arial" w:eastAsia="Arial" w:hAnsi="Arial"/>
          <w:sz w:val="20"/>
          <w:szCs w:val="20"/>
          <w:u w:val="single" w:color="auto"/>
          <w:color w:val="auto"/>
        </w:rPr>
        <w:t>Payout Factor</w:t>
      </w:r>
      <w:r>
        <w:rPr>
          <w:rFonts w:ascii="Arial" w:cs="Arial" w:eastAsia="Arial" w:hAnsi="Arial"/>
          <w:sz w:val="20"/>
          <w:szCs w:val="20"/>
          <w:color w:val="auto"/>
        </w:rPr>
        <w:t>”) determined based on the performance achievement level of the Goal, as set forth below.</w:t>
      </w:r>
    </w:p>
    <w:p>
      <w:pPr>
        <w:spacing w:after="0" w:line="213" w:lineRule="exact"/>
        <w:rPr>
          <w:sz w:val="20"/>
          <w:szCs w:val="20"/>
          <w:color w:val="auto"/>
        </w:rPr>
      </w:pPr>
    </w:p>
    <w:p>
      <w:pPr>
        <w:ind w:left="640" w:hanging="308"/>
        <w:spacing w:after="0"/>
        <w:tabs>
          <w:tab w:leader="none" w:pos="640" w:val="left"/>
        </w:tabs>
        <w:numPr>
          <w:ilvl w:val="0"/>
          <w:numId w:val="138"/>
        </w:numPr>
        <w:rPr>
          <w:rFonts w:ascii="Arial" w:cs="Arial" w:eastAsia="Arial" w:hAnsi="Arial"/>
          <w:sz w:val="20"/>
          <w:szCs w:val="20"/>
          <w:color w:val="auto"/>
        </w:rPr>
      </w:pPr>
      <w:r>
        <w:rPr>
          <w:rFonts w:ascii="Arial" w:cs="Arial" w:eastAsia="Arial" w:hAnsi="Arial"/>
          <w:sz w:val="20"/>
          <w:szCs w:val="20"/>
          <w:color w:val="auto"/>
        </w:rPr>
        <w:t>[insert performance determination criteria].</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Payout Factor may range from [ ]x to a maximum of [ ]x. Therefore, more or less than 100% of the Target Units for such Tranche may be earned during the Performance Period based on the level of achievement measured against the Goal. [Insert if applicable: Additionally, the Payout Factor determined pursuant to the below may be increased as a result of the Adders (as defined below).]</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80"/>
        </w:trPr>
        <w:tc>
          <w:tcPr>
            <w:tcW w:w="1580" w:type="dxa"/>
            <w:vAlign w:val="bottom"/>
            <w:tcBorders>
              <w:top w:val="single" w:sz="8" w:color="auto"/>
              <w:left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w w:val="97"/>
              </w:rPr>
              <w:t>Payout Factor</w:t>
            </w:r>
          </w:p>
        </w:tc>
        <w:tc>
          <w:tcPr>
            <w:tcW w:w="1580" w:type="dxa"/>
            <w:vAlign w:val="bottom"/>
            <w:tcBorders>
              <w:top w:val="single" w:sz="8" w:color="auto"/>
            </w:tcBorders>
          </w:tcPr>
          <w:p>
            <w:pPr>
              <w:spacing w:after="0"/>
              <w:rPr>
                <w:sz w:val="24"/>
                <w:szCs w:val="24"/>
                <w:color w:val="auto"/>
              </w:rPr>
            </w:pPr>
          </w:p>
        </w:tc>
        <w:tc>
          <w:tcPr>
            <w:tcW w:w="1560" w:type="dxa"/>
            <w:vAlign w:val="bottom"/>
            <w:tcBorders>
              <w:top w:val="single" w:sz="8" w:color="auto"/>
              <w:right w:val="single" w:sz="8" w:color="auto"/>
            </w:tcBorders>
          </w:tcPr>
          <w:p>
            <w:pPr>
              <w:spacing w:after="0"/>
              <w:rPr>
                <w:sz w:val="24"/>
                <w:szCs w:val="24"/>
                <w:color w:val="auto"/>
              </w:rPr>
            </w:pPr>
          </w:p>
        </w:tc>
      </w:tr>
      <w:tr>
        <w:trPr>
          <w:trHeight w:val="30"/>
        </w:trPr>
        <w:tc>
          <w:tcPr>
            <w:tcW w:w="1580" w:type="dxa"/>
            <w:vAlign w:val="bottom"/>
            <w:tcBorders>
              <w:left w:val="single" w:sz="8" w:color="auto"/>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60"/>
        </w:trPr>
        <w:tc>
          <w:tcPr>
            <w:tcW w:w="15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20"/>
                <w:szCs w:val="20"/>
                <w:color w:val="auto"/>
              </w:rPr>
              <w:t>Fiscal Year</w:t>
            </w:r>
          </w:p>
        </w:tc>
        <w:tc>
          <w:tcPr>
            <w:tcW w:w="1560" w:type="dxa"/>
            <w:vAlign w:val="bottom"/>
            <w:tcBorders>
              <w:right w:val="single" w:sz="8" w:color="auto"/>
            </w:tcBorders>
          </w:tcPr>
          <w:p>
            <w:pPr>
              <w:ind w:left="560"/>
              <w:spacing w:after="0"/>
              <w:rPr>
                <w:sz w:val="20"/>
                <w:szCs w:val="20"/>
                <w:color w:val="auto"/>
              </w:rPr>
            </w:pPr>
            <w:r>
              <w:rPr>
                <w:rFonts w:ascii="Arial" w:cs="Arial" w:eastAsia="Arial" w:hAnsi="Arial"/>
                <w:sz w:val="20"/>
                <w:szCs w:val="20"/>
                <w:color w:val="auto"/>
              </w:rPr>
              <w:t>Goal</w:t>
            </w:r>
          </w:p>
        </w:tc>
        <w:tc>
          <w:tcPr>
            <w:tcW w:w="158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 ]x</w:t>
            </w:r>
          </w:p>
        </w:tc>
        <w:tc>
          <w:tcPr>
            <w:tcW w:w="156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 ]x</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 ]x</w:t>
            </w:r>
          </w:p>
        </w:tc>
        <w:tc>
          <w:tcPr>
            <w:tcW w:w="1580" w:type="dxa"/>
            <w:vAlign w:val="bottom"/>
            <w:tcBorders>
              <w:right w:val="single" w:sz="8" w:color="auto"/>
            </w:tcBorders>
          </w:tcPr>
          <w:p>
            <w:pPr>
              <w:ind w:left="640"/>
              <w:spacing w:after="0"/>
              <w:rPr>
                <w:sz w:val="20"/>
                <w:szCs w:val="20"/>
                <w:color w:val="auto"/>
              </w:rPr>
            </w:pPr>
            <w:r>
              <w:rPr>
                <w:rFonts w:ascii="Arial" w:cs="Arial" w:eastAsia="Arial" w:hAnsi="Arial"/>
                <w:sz w:val="20"/>
                <w:szCs w:val="20"/>
                <w:color w:val="auto"/>
              </w:rPr>
              <w:t>[ ]x</w:t>
            </w:r>
          </w:p>
        </w:tc>
        <w:tc>
          <w:tcPr>
            <w:tcW w:w="1560" w:type="dxa"/>
            <w:vAlign w:val="bottom"/>
            <w:tcBorders>
              <w:right w:val="single" w:sz="8" w:color="auto"/>
            </w:tcBorders>
          </w:tcPr>
          <w:p>
            <w:pPr>
              <w:ind w:left="620"/>
              <w:spacing w:after="0"/>
              <w:rPr>
                <w:sz w:val="20"/>
                <w:szCs w:val="20"/>
                <w:color w:val="auto"/>
              </w:rPr>
            </w:pPr>
            <w:r>
              <w:rPr>
                <w:rFonts w:ascii="Arial" w:cs="Arial" w:eastAsia="Arial" w:hAnsi="Arial"/>
                <w:sz w:val="20"/>
                <w:szCs w:val="20"/>
                <w:color w:val="auto"/>
              </w:rPr>
              <w:t>[ ]x</w:t>
            </w:r>
          </w:p>
        </w:tc>
      </w:tr>
      <w:tr>
        <w:trPr>
          <w:trHeight w:val="30"/>
        </w:trPr>
        <w:tc>
          <w:tcPr>
            <w:tcW w:w="158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r>
      <w:tr>
        <w:trPr>
          <w:trHeight w:val="250"/>
        </w:trPr>
        <w:tc>
          <w:tcPr>
            <w:tcW w:w="158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r>
        <w:trPr>
          <w:trHeight w:val="250"/>
        </w:trPr>
        <w:tc>
          <w:tcPr>
            <w:tcW w:w="1580" w:type="dxa"/>
            <w:vAlign w:val="bottom"/>
            <w:tcBorders>
              <w:left w:val="single" w:sz="8" w:color="auto"/>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1580" w:type="dxa"/>
            <w:vAlign w:val="bottom"/>
            <w:tcBorders>
              <w:bottom w:val="single" w:sz="8" w:color="auto"/>
              <w:right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r>
    </w:tbl>
    <w:p>
      <w:pPr>
        <w:spacing w:after="0" w:line="316" w:lineRule="exact"/>
        <w:rPr>
          <w:sz w:val="20"/>
          <w:szCs w:val="20"/>
          <w:color w:val="auto"/>
        </w:rPr>
      </w:pPr>
    </w:p>
    <w:p>
      <w:pPr>
        <w:ind w:left="660" w:right="20" w:hanging="328"/>
        <w:spacing w:after="0" w:line="255" w:lineRule="auto"/>
        <w:tabs>
          <w:tab w:leader="none" w:pos="648"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 the event that performance is between performance levels, the Payout Factor will be determined based on straight line interpolation. [NTD: insert if applicable: For the avoidance of doubt and notwithstanding any contrary provision of the Award Agreement, if performance is equal to or below the 0.00x level in an applicable fiscal year, the Payout Factor for such fiscal year will be zero.]</w:t>
      </w:r>
    </w:p>
    <w:p>
      <w:pPr>
        <w:spacing w:after="0" w:line="210" w:lineRule="exact"/>
        <w:rPr>
          <w:rFonts w:ascii="Arial" w:cs="Arial" w:eastAsia="Arial" w:hAnsi="Arial"/>
          <w:sz w:val="20"/>
          <w:szCs w:val="20"/>
          <w:color w:val="auto"/>
        </w:rPr>
      </w:pPr>
    </w:p>
    <w:p>
      <w:pPr>
        <w:ind w:left="640" w:hanging="308"/>
        <w:spacing w:after="0"/>
        <w:tabs>
          <w:tab w:leader="none" w:pos="64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[insert other relevant goal conditions]</w:t>
      </w:r>
    </w:p>
    <w:p>
      <w:pPr>
        <w:spacing w:after="0" w:line="254" w:lineRule="exact"/>
        <w:rPr>
          <w:sz w:val="20"/>
          <w:szCs w:val="20"/>
          <w:color w:val="auto"/>
        </w:rPr>
      </w:pPr>
    </w:p>
    <w:p>
      <w:pPr>
        <w:spacing w:after="0" w:line="274" w:lineRule="auto"/>
        <w:rPr>
          <w:sz w:val="20"/>
          <w:szCs w:val="20"/>
          <w:color w:val="auto"/>
        </w:rPr>
      </w:pPr>
      <w:r>
        <w:rPr>
          <w:rFonts w:ascii="Arial" w:cs="Arial" w:eastAsia="Arial" w:hAnsi="Arial"/>
          <w:sz w:val="20"/>
          <w:szCs w:val="20"/>
          <w:color w:val="auto"/>
        </w:rPr>
        <w:t xml:space="preserve">[Insert if applicable: </w:t>
      </w:r>
      <w:r>
        <w:rPr>
          <w:rFonts w:ascii="Arial" w:cs="Arial" w:eastAsia="Arial" w:hAnsi="Arial"/>
          <w:sz w:val="20"/>
          <w:szCs w:val="20"/>
          <w:b w:val="1"/>
          <w:bCs w:val="1"/>
          <w:u w:val="single" w:color="auto"/>
          <w:color w:val="auto"/>
        </w:rPr>
        <w:t>Adders</w:t>
      </w:r>
      <w:r>
        <w:rPr>
          <w:rFonts w:ascii="Arial" w:cs="Arial" w:eastAsia="Arial" w:hAnsi="Arial"/>
          <w:sz w:val="20"/>
          <w:szCs w:val="20"/>
          <w:color w:val="auto"/>
        </w:rPr>
        <w:t>. The Payout Factor may be increased in the event of achievement of the goals described below (the “</w:t>
      </w:r>
      <w:r>
        <w:rPr>
          <w:rFonts w:ascii="Arial" w:cs="Arial" w:eastAsia="Arial" w:hAnsi="Arial"/>
          <w:sz w:val="20"/>
          <w:szCs w:val="20"/>
          <w:u w:val="single" w:color="auto"/>
          <w:color w:val="auto"/>
        </w:rPr>
        <w:t>Adders</w:t>
      </w:r>
      <w:r>
        <w:rPr>
          <w:rFonts w:ascii="Arial" w:cs="Arial" w:eastAsia="Arial" w:hAnsi="Arial"/>
          <w:sz w:val="20"/>
          <w:szCs w:val="20"/>
          <w:color w:val="auto"/>
        </w:rPr>
        <w:t>”).</w:t>
      </w: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2660" w:type="dxa"/>
            <w:vAlign w:val="bottom"/>
            <w:tcBorders>
              <w:top w:val="single" w:sz="8" w:color="auto"/>
              <w:left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c>
          <w:tcPr>
            <w:tcW w:w="266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Percentage Added to</w:t>
            </w:r>
          </w:p>
        </w:tc>
      </w:tr>
      <w:tr>
        <w:trPr>
          <w:trHeight w:val="243"/>
        </w:trPr>
        <w:tc>
          <w:tcPr>
            <w:tcW w:w="2660" w:type="dxa"/>
            <w:vAlign w:val="bottom"/>
            <w:tcBorders>
              <w:left w:val="single" w:sz="8" w:color="auto"/>
              <w:right w:val="single" w:sz="8" w:color="auto"/>
            </w:tcBorders>
          </w:tcPr>
          <w:p>
            <w:pPr>
              <w:spacing w:after="0"/>
              <w:rPr>
                <w:sz w:val="21"/>
                <w:szCs w:val="21"/>
                <w:color w:val="auto"/>
              </w:rPr>
            </w:pPr>
          </w:p>
        </w:tc>
        <w:tc>
          <w:tcPr>
            <w:tcW w:w="2640" w:type="dxa"/>
            <w:vAlign w:val="bottom"/>
            <w:tcBorders>
              <w:right w:val="single" w:sz="8" w:color="auto"/>
            </w:tcBorders>
          </w:tcPr>
          <w:p>
            <w:pPr>
              <w:spacing w:after="0"/>
              <w:rPr>
                <w:sz w:val="21"/>
                <w:szCs w:val="21"/>
                <w:color w:val="auto"/>
              </w:rPr>
            </w:pP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Required Achievement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Payout Factor Determined</w:t>
            </w:r>
          </w:p>
        </w:tc>
      </w:tr>
      <w:tr>
        <w:trPr>
          <w:trHeight w:val="273"/>
        </w:trPr>
        <w:tc>
          <w:tcPr>
            <w:tcW w:w="2660" w:type="dxa"/>
            <w:vAlign w:val="bottom"/>
            <w:tcBorders>
              <w:left w:val="single" w:sz="8" w:color="auto"/>
              <w:right w:val="single" w:sz="8" w:color="auto"/>
            </w:tcBorders>
          </w:tcPr>
          <w:p>
            <w:pPr>
              <w:ind w:left="800"/>
              <w:spacing w:after="0"/>
              <w:rPr>
                <w:sz w:val="20"/>
                <w:szCs w:val="20"/>
                <w:color w:val="auto"/>
              </w:rPr>
            </w:pPr>
            <w:r>
              <w:rPr>
                <w:rFonts w:ascii="Arial" w:cs="Arial" w:eastAsia="Arial" w:hAnsi="Arial"/>
                <w:sz w:val="20"/>
                <w:szCs w:val="20"/>
                <w:b w:val="1"/>
                <w:bCs w:val="1"/>
                <w:color w:val="auto"/>
              </w:rPr>
              <w:t>Adder Goal</w:t>
            </w:r>
          </w:p>
        </w:tc>
        <w:tc>
          <w:tcPr>
            <w:tcW w:w="2640" w:type="dxa"/>
            <w:vAlign w:val="bottom"/>
            <w:tcBorders>
              <w:right w:val="single" w:sz="8" w:color="auto"/>
            </w:tcBorders>
          </w:tcPr>
          <w:p>
            <w:pPr>
              <w:ind w:left="800"/>
              <w:spacing w:after="0"/>
              <w:rPr>
                <w:sz w:val="20"/>
                <w:szCs w:val="20"/>
                <w:color w:val="auto"/>
              </w:rPr>
            </w:pPr>
            <w:r>
              <w:rPr>
                <w:rFonts w:ascii="Arial" w:cs="Arial" w:eastAsia="Arial" w:hAnsi="Arial"/>
                <w:sz w:val="20"/>
                <w:szCs w:val="20"/>
                <w:b w:val="1"/>
                <w:bCs w:val="1"/>
                <w:color w:val="auto"/>
              </w:rPr>
              <w:t>Fiscal Year</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Level</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Above</w:t>
            </w:r>
          </w:p>
        </w:tc>
      </w:tr>
      <w:tr>
        <w:trPr>
          <w:trHeight w:val="20"/>
        </w:trPr>
        <w:tc>
          <w:tcPr>
            <w:tcW w:w="2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640" w:type="dxa"/>
            <w:vAlign w:val="bottom"/>
            <w:tcBorders>
              <w:bottom w:val="single" w:sz="8" w:color="auto"/>
              <w:right w:val="single" w:sz="8" w:color="auto"/>
            </w:tcBorders>
          </w:tcPr>
          <w:p>
            <w:pPr>
              <w:spacing w:after="0" w:line="20" w:lineRule="exact"/>
              <w:rPr>
                <w:sz w:val="1"/>
                <w:szCs w:val="1"/>
                <w:color w:val="auto"/>
              </w:rPr>
            </w:pPr>
          </w:p>
        </w:tc>
      </w:tr>
      <w:tr>
        <w:trPr>
          <w:trHeight w:val="260"/>
        </w:trPr>
        <w:tc>
          <w:tcPr>
            <w:tcW w:w="2660" w:type="dxa"/>
            <w:vAlign w:val="bottom"/>
            <w:tcBorders>
              <w:left w:val="single" w:sz="8" w:color="auto"/>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]x adder</w:t>
            </w:r>
          </w:p>
        </w:tc>
      </w:tr>
      <w:tr>
        <w:trPr>
          <w:trHeight w:val="30"/>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r>
        <w:trPr>
          <w:trHeight w:val="260"/>
        </w:trPr>
        <w:tc>
          <w:tcPr>
            <w:tcW w:w="2660" w:type="dxa"/>
            <w:vAlign w:val="bottom"/>
            <w:tcBorders>
              <w:left w:val="single" w:sz="8" w:color="auto"/>
              <w:right w:val="single" w:sz="8" w:color="auto"/>
            </w:tcBorders>
          </w:tcPr>
          <w:p>
            <w:pPr>
              <w:spacing w:after="0"/>
              <w:rPr>
                <w:sz w:val="22"/>
                <w:szCs w:val="22"/>
                <w:color w:val="auto"/>
              </w:rPr>
            </w:pPr>
          </w:p>
        </w:tc>
        <w:tc>
          <w:tcPr>
            <w:tcW w:w="2640" w:type="dxa"/>
            <w:vAlign w:val="bottom"/>
            <w:tcBorders>
              <w:right w:val="single" w:sz="8" w:color="auto"/>
            </w:tcBorders>
          </w:tcPr>
          <w:p>
            <w:pPr>
              <w:spacing w:after="0"/>
              <w:rPr>
                <w:sz w:val="22"/>
                <w:szCs w:val="22"/>
                <w:color w:val="auto"/>
              </w:rPr>
            </w:pPr>
          </w:p>
        </w:tc>
        <w:tc>
          <w:tcPr>
            <w:tcW w:w="2660" w:type="dxa"/>
            <w:vAlign w:val="bottom"/>
            <w:tcBorders>
              <w:right w:val="single" w:sz="8" w:color="auto"/>
            </w:tcBorders>
          </w:tcPr>
          <w:p>
            <w:pPr>
              <w:spacing w:after="0"/>
              <w:rPr>
                <w:sz w:val="22"/>
                <w:szCs w:val="22"/>
                <w:color w:val="auto"/>
              </w:rPr>
            </w:pP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 ]x adder</w:t>
            </w:r>
          </w:p>
        </w:tc>
      </w:tr>
      <w:tr>
        <w:trPr>
          <w:trHeight w:val="31"/>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00" w:lineRule="exact"/>
        <w:rPr>
          <w:sz w:val="20"/>
          <w:szCs w:val="20"/>
          <w:color w:val="auto"/>
        </w:rPr>
      </w:pPr>
    </w:p>
    <w:p>
      <w:pPr>
        <w:spacing w:after="0" w:line="233" w:lineRule="exact"/>
        <w:rPr>
          <w:sz w:val="20"/>
          <w:szCs w:val="20"/>
          <w:color w:val="auto"/>
        </w:rPr>
      </w:pPr>
    </w:p>
    <w:p>
      <w:pPr>
        <w:ind w:left="640" w:hanging="308"/>
        <w:spacing w:after="0"/>
        <w:tabs>
          <w:tab w:leader="none" w:pos="64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An example of the operation of the Adders is set forth below:</w:t>
      </w:r>
    </w:p>
    <w:p>
      <w:pPr>
        <w:spacing w:after="0" w:line="256" w:lineRule="exact"/>
        <w:rPr>
          <w:sz w:val="20"/>
          <w:szCs w:val="20"/>
          <w:color w:val="auto"/>
        </w:rPr>
      </w:pPr>
    </w:p>
    <w:p>
      <w:pPr>
        <w:ind w:left="1300" w:hanging="320"/>
        <w:spacing w:after="0"/>
        <w:tabs>
          <w:tab w:leader="none" w:pos="130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[Insert other provisions relevant to measuring the goal and its achievement and payout]</w:t>
      </w: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u w:val="single" w:color="auto"/>
          <w:color w:val="auto"/>
        </w:rPr>
        <w:t>Determination of Payout</w:t>
      </w:r>
      <w:r>
        <w:rPr>
          <w:rFonts w:ascii="Arial" w:cs="Arial" w:eastAsia="Arial" w:hAnsi="Arial"/>
          <w:sz w:val="20"/>
          <w:szCs w:val="20"/>
          <w:color w:val="auto"/>
        </w:rPr>
        <w:t>. Achievement levels with respect to the Payout Factor will be measured [insert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measurement criteria]. No later than 60 days after the end of each applicable fiscal year in the Performance Period (the “</w:t>
      </w:r>
      <w:r>
        <w:rPr>
          <w:rFonts w:ascii="Arial" w:cs="Arial" w:eastAsia="Arial" w:hAnsi="Arial"/>
          <w:sz w:val="20"/>
          <w:szCs w:val="20"/>
          <w:u w:val="single" w:color="auto"/>
          <w:color w:val="auto"/>
        </w:rPr>
        <w:t>Certification Date</w:t>
      </w:r>
      <w:r>
        <w:rPr>
          <w:rFonts w:ascii="Arial" w:cs="Arial" w:eastAsia="Arial" w:hAnsi="Arial"/>
          <w:sz w:val="20"/>
          <w:szCs w:val="20"/>
          <w:color w:val="auto"/>
        </w:rPr>
        <w:t>”), the Committee shall determine and certify the resulting Payout Factor as set forth above[, which, for the avoidance of doubt, includes the addition of any Adders, if applicable]. Performance Units that are earned by application of the Payout Factor [(as modified by the Adders, if applicable)] are referred to herein as “</w:t>
      </w:r>
      <w:r>
        <w:rPr>
          <w:rFonts w:ascii="Arial" w:cs="Arial" w:eastAsia="Arial" w:hAnsi="Arial"/>
          <w:sz w:val="20"/>
          <w:szCs w:val="20"/>
          <w:u w:val="single" w:color="auto"/>
          <w:color w:val="auto"/>
        </w:rPr>
        <w:t>Banked Performance Units</w:t>
      </w:r>
      <w:r>
        <w:rPr>
          <w:rFonts w:ascii="Arial" w:cs="Arial" w:eastAsia="Arial" w:hAnsi="Arial"/>
          <w:sz w:val="20"/>
          <w:szCs w:val="20"/>
          <w:color w:val="auto"/>
        </w:rPr>
        <w:t>” (regardless of whether such Performance Units have vested).</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Concurrently with this Award of Performance Units, Participant is receiving (i) an award of [ ] Performance Units, which are performance-based Restricted Stock Units that may be earned based upon achievement of certain [ ] Goals (the “</w:t>
      </w:r>
      <w:r>
        <w:rPr>
          <w:rFonts w:ascii="Arial" w:cs="Arial" w:eastAsia="Arial" w:hAnsi="Arial"/>
          <w:sz w:val="20"/>
          <w:szCs w:val="20"/>
          <w:u w:val="single" w:color="auto"/>
          <w:color w:val="auto"/>
        </w:rPr>
        <w:t>[ ] Award</w:t>
      </w:r>
      <w:r>
        <w:rPr>
          <w:rFonts w:ascii="Arial" w:cs="Arial" w:eastAsia="Arial" w:hAnsi="Arial"/>
          <w:sz w:val="20"/>
          <w:szCs w:val="20"/>
          <w:color w:val="auto"/>
        </w:rPr>
        <w:t xml:space="preserve">”), as described in the award agreement covering the [ ] Award, and (ii) an award of [ ] Performance Units, which are performance-based Restricted Stock Units that may be earned based upon achievement of certain [ ] goals (such award, the “[ ] </w:t>
      </w:r>
      <w:r>
        <w:rPr>
          <w:rFonts w:ascii="Arial" w:cs="Arial" w:eastAsia="Arial" w:hAnsi="Arial"/>
          <w:sz w:val="20"/>
          <w:szCs w:val="20"/>
          <w:u w:val="single" w:color="auto"/>
          <w:color w:val="auto"/>
        </w:rPr>
        <w:t>Award</w:t>
      </w:r>
      <w:r>
        <w:rPr>
          <w:rFonts w:ascii="Arial" w:cs="Arial" w:eastAsia="Arial" w:hAnsi="Arial"/>
          <w:sz w:val="20"/>
          <w:szCs w:val="20"/>
          <w:color w:val="auto"/>
        </w:rPr>
        <w:t>”), as described in the award agreement covering the [ ] Award. [Add in language for any other relevant awards] This Award of Performance Units, together with the [ ] Award and [ ] Award [add in any other relevant awards], are referred to as the “</w:t>
      </w:r>
      <w:r>
        <w:rPr>
          <w:rFonts w:ascii="Arial" w:cs="Arial" w:eastAsia="Arial" w:hAnsi="Arial"/>
          <w:sz w:val="20"/>
          <w:szCs w:val="20"/>
          <w:u w:val="single" w:color="auto"/>
          <w:color w:val="auto"/>
        </w:rPr>
        <w:t>FY [ ]</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 Awards</w:t>
      </w:r>
      <w:r>
        <w:rPr>
          <w:rFonts w:ascii="Arial" w:cs="Arial" w:eastAsia="Arial" w:hAnsi="Arial"/>
          <w:sz w:val="20"/>
          <w:szCs w:val="20"/>
          <w:color w:val="auto"/>
        </w:rPr>
        <w:t>,” and the total number of Restricted Stock Units under the FY [ ] Performance Awards (the “</w:t>
      </w:r>
      <w:r>
        <w:rPr>
          <w:rFonts w:ascii="Arial" w:cs="Arial" w:eastAsia="Arial" w:hAnsi="Arial"/>
          <w:sz w:val="20"/>
          <w:szCs w:val="20"/>
          <w:u w:val="single" w:color="auto"/>
          <w:color w:val="auto"/>
        </w:rPr>
        <w:t>Performance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Units</w:t>
      </w:r>
      <w:r>
        <w:rPr>
          <w:rFonts w:ascii="Arial" w:cs="Arial" w:eastAsia="Arial" w:hAnsi="Arial"/>
          <w:sz w:val="20"/>
          <w:szCs w:val="20"/>
          <w:color w:val="auto"/>
        </w:rPr>
        <w:t>”) eligible to be earned under the FY [ ] Performance Awards assuming at-target achievement is referred to as the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Total Award</w:t>
      </w:r>
      <w:r>
        <w:rPr>
          <w:rFonts w:ascii="Arial" w:cs="Arial" w:eastAsia="Arial" w:hAnsi="Arial"/>
          <w:sz w:val="20"/>
          <w:szCs w:val="20"/>
          <w:color w:val="auto"/>
        </w:rPr>
        <w:t>” and is calculated as the sum of (a) the Target Number of Shares Subject to Performance Units under this Award of Performance Units, plus (b) the Target Number of Shares Subject to [ ] Performance Units as specified in the [ ] Award, plus (c) the Target Number of Shares Subject to [ ] Performance Units as specified in the [ ] Award [add any other relevant awards]. Notwithstanding any contrary provision of this Agreement, the number of Performance Units that may be earned under the FY [ ] Performance Awards (taken together) during the Performance Period will not exceed [ ] times the Target Total Award (the “</w:t>
      </w:r>
      <w:r>
        <w:rPr>
          <w:rFonts w:ascii="Arial" w:cs="Arial" w:eastAsia="Arial" w:hAnsi="Arial"/>
          <w:sz w:val="20"/>
          <w:szCs w:val="20"/>
          <w:u w:val="single" w:color="auto"/>
          <w:color w:val="auto"/>
        </w:rPr>
        <w:t>[ ]x</w:t>
      </w:r>
      <w:r>
        <w:rPr>
          <w:rFonts w:ascii="Arial" w:cs="Arial" w:eastAsia="Arial" w:hAnsi="Arial"/>
          <w:sz w:val="20"/>
          <w:szCs w:val="20"/>
          <w:color w:val="auto"/>
        </w:rPr>
        <w:t xml:space="preserve"> </w:t>
      </w:r>
      <w:r>
        <w:rPr>
          <w:rFonts w:ascii="Arial" w:cs="Arial" w:eastAsia="Arial" w:hAnsi="Arial"/>
          <w:sz w:val="20"/>
          <w:szCs w:val="20"/>
          <w:u w:val="single" w:color="auto"/>
          <w:color w:val="auto"/>
        </w:rPr>
        <w:t>Limit</w:t>
      </w:r>
      <w:r>
        <w:rPr>
          <w:rFonts w:ascii="Arial" w:cs="Arial" w:eastAsia="Arial" w:hAnsi="Arial"/>
          <w:sz w:val="20"/>
          <w:szCs w:val="20"/>
          <w:color w:val="auto"/>
        </w:rPr>
        <w:t xml:space="preserve">”). To the extent that, as of any applicable date, the aggregate number of Performance Units that would otherwise be earned under the FY [ ] Performance Awards in accordance with the applicable provisions as of such date, together, </w:t>
      </w:r>
      <w:r>
        <w:rPr>
          <w:rFonts w:ascii="Arial" w:cs="Arial" w:eastAsia="Arial" w:hAnsi="Arial"/>
          <w:sz w:val="20"/>
          <w:szCs w:val="20"/>
          <w:i w:val="1"/>
          <w:iCs w:val="1"/>
          <w:color w:val="auto"/>
        </w:rPr>
        <w:t>plus</w:t>
      </w:r>
      <w:r>
        <w:rPr>
          <w:rFonts w:ascii="Arial" w:cs="Arial" w:eastAsia="Arial" w:hAnsi="Arial"/>
          <w:sz w:val="20"/>
          <w:szCs w:val="20"/>
          <w:color w:val="auto"/>
        </w:rPr>
        <w:t xml:space="preserve"> all Performance Units that were earned previously in the Performance Period with respect to the FY [ ] Performance Awards, would exceed the [ ]x Limit, the number of Performance Units becoming earned with respect to the [ ] Award will be reduced such that the aggregate number of Performance Units becoming earned as of such date with respect to the FY [ ] Performance Awards upon such date, </w:t>
      </w:r>
      <w:r>
        <w:rPr>
          <w:rFonts w:ascii="Arial" w:cs="Arial" w:eastAsia="Arial" w:hAnsi="Arial"/>
          <w:sz w:val="20"/>
          <w:szCs w:val="20"/>
          <w:i w:val="1"/>
          <w:iCs w:val="1"/>
          <w:color w:val="auto"/>
        </w:rPr>
        <w:t>plus</w:t>
      </w:r>
      <w:r>
        <w:rPr>
          <w:rFonts w:ascii="Arial" w:cs="Arial" w:eastAsia="Arial" w:hAnsi="Arial"/>
          <w:sz w:val="20"/>
          <w:szCs w:val="20"/>
          <w:color w:val="auto"/>
        </w:rPr>
        <w:t xml:space="preserve"> all Performance Units that have become earned previously during the Performance Period with respect to the FY [ ] Performance Awards, is equal to the [ ]x Limit. If, immediately after any date during the Performance Period, the aggregate number of Performance Units that have become earned pursuant to the FY [ ] Performance Awards is less than the [ ]x Limit, then the opportunity to earn the excess of the [ ]x Limit </w:t>
      </w:r>
      <w:r>
        <w:rPr>
          <w:rFonts w:ascii="Arial" w:cs="Arial" w:eastAsia="Arial" w:hAnsi="Arial"/>
          <w:sz w:val="20"/>
          <w:szCs w:val="20"/>
          <w:i w:val="1"/>
          <w:iCs w:val="1"/>
          <w:color w:val="auto"/>
        </w:rPr>
        <w:t>less</w:t>
      </w:r>
      <w:r>
        <w:rPr>
          <w:rFonts w:ascii="Arial" w:cs="Arial" w:eastAsia="Arial" w:hAnsi="Arial"/>
          <w:sz w:val="20"/>
          <w:szCs w:val="20"/>
          <w:color w:val="auto"/>
        </w:rPr>
        <w:t xml:space="preserve"> the aggregate number of Performance Units that have been earned will exist in any remaining Performance Period fiscal year(s).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Notwithstanding anything to the contrary herein, the maximum aggregate grant of awards may not exceed 5,000,000 shares of the Company’s Common Stock in any one calendar year to any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one participant (including for calendar year [ ], the FY [ ] Performance Awards granted to Participant), as provided in Section 5.4 of the Plan.</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As of the Certification Date that immediately follows the end of fiscal year [ ], [50]% of the then-unvested Banked</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Units (for the avoidance of doubt, inclusive of any Performance Units becoming Banked Performance Units as of such Certification Date) will vest as of such Certification Date. Any remaining Banked Performance Units and any incremental Performance Units that in the future become Banked Performance Units will vest as of the Certification Date that immediately follows the end of fiscal year [ ].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Performance Units have become Banked Performance Units, such Banked Performance Units will continue to vest and be paid pursuant to the original schedule.</w:t>
      </w:r>
    </w:p>
    <w:p>
      <w:pPr>
        <w:spacing w:after="0" w:line="21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b w:val="1"/>
          <w:bCs w:val="1"/>
          <w:u w:val="single" w:color="auto"/>
          <w:color w:val="auto"/>
        </w:rPr>
        <w:t>Payout Timing (Conversion to Shares)</w:t>
      </w:r>
      <w:r>
        <w:rPr>
          <w:rFonts w:ascii="Arial" w:cs="Arial" w:eastAsia="Arial" w:hAnsi="Arial"/>
          <w:sz w:val="20"/>
          <w:szCs w:val="20"/>
          <w:color w:val="auto"/>
        </w:rPr>
        <w:t>. The Banked Performance Units vesting as of any Certification Date (such</w:t>
      </w:r>
      <w:r>
        <w:rPr>
          <w:rFonts w:ascii="Arial" w:cs="Arial" w:eastAsia="Arial" w:hAnsi="Arial"/>
          <w:sz w:val="20"/>
          <w:szCs w:val="20"/>
          <w:b w:val="1"/>
          <w:bCs w:val="1"/>
          <w:color w:val="auto"/>
        </w:rPr>
        <w:t xml:space="preserve"> </w:t>
      </w:r>
      <w:r>
        <w:rPr>
          <w:rFonts w:ascii="Arial" w:cs="Arial" w:eastAsia="Arial" w:hAnsi="Arial"/>
          <w:sz w:val="20"/>
          <w:szCs w:val="20"/>
          <w:color w:val="auto"/>
        </w:rPr>
        <w:t>Performance Units, the “</w:t>
      </w:r>
      <w:r>
        <w:rPr>
          <w:rFonts w:ascii="Arial" w:cs="Arial" w:eastAsia="Arial" w:hAnsi="Arial"/>
          <w:sz w:val="20"/>
          <w:szCs w:val="20"/>
          <w:u w:val="single" w:color="auto"/>
          <w:color w:val="auto"/>
        </w:rPr>
        <w:t>Vested Performance Units</w:t>
      </w:r>
      <w:r>
        <w:rPr>
          <w:rFonts w:ascii="Arial" w:cs="Arial" w:eastAsia="Arial" w:hAnsi="Arial"/>
          <w:sz w:val="20"/>
          <w:szCs w:val="20"/>
          <w:color w:val="auto"/>
        </w:rPr>
        <w:t>”) shall automatically convert to Shares on the Certification Date (the “</w:t>
      </w:r>
      <w:r>
        <w:rPr>
          <w:rFonts w:ascii="Arial" w:cs="Arial" w:eastAsia="Arial" w:hAnsi="Arial"/>
          <w:sz w:val="20"/>
          <w:szCs w:val="20"/>
          <w:u w:val="single" w:color="auto"/>
          <w:color w:val="auto"/>
        </w:rPr>
        <w:t>Conversion Date</w:t>
      </w:r>
      <w:r>
        <w:rPr>
          <w:rFonts w:ascii="Arial" w:cs="Arial" w:eastAsia="Arial" w:hAnsi="Arial"/>
          <w:sz w:val="20"/>
          <w:szCs w:val="20"/>
          <w:color w:val="auto"/>
        </w:rPr>
        <w:t>”), except that if Participant is terminated for Cause, no further Performance Units shall vest after the date of termination.</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u w:val="single" w:color="auto"/>
          <w:color w:val="auto"/>
        </w:rPr>
        <w:t>Recoupment</w:t>
      </w:r>
      <w:r>
        <w:rPr>
          <w:rFonts w:ascii="Arial" w:cs="Arial" w:eastAsia="Arial" w:hAnsi="Arial"/>
          <w:sz w:val="20"/>
          <w:szCs w:val="20"/>
          <w:color w:val="auto"/>
        </w:rPr>
        <w:t>. This Award Agreement and the Performance Units are subject to any clawback policy, compensation recovery or</w:t>
      </w:r>
      <w:r>
        <w:rPr>
          <w:rFonts w:ascii="Arial" w:cs="Arial" w:eastAsia="Arial" w:hAnsi="Arial"/>
          <w:sz w:val="20"/>
          <w:szCs w:val="20"/>
          <w:b w:val="1"/>
          <w:bCs w:val="1"/>
          <w:color w:val="auto"/>
        </w:rPr>
        <w:t xml:space="preserve"> </w:t>
      </w:r>
      <w:r>
        <w:rPr>
          <w:rFonts w:ascii="Arial" w:cs="Arial" w:eastAsia="Arial" w:hAnsi="Arial"/>
          <w:sz w:val="20"/>
          <w:szCs w:val="20"/>
          <w:color w:val="auto"/>
        </w:rPr>
        <w:t>similar policy that the Company may adopt from time to time, whether such policy is mandated by law or otherwise.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[Insert applicable country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OPTION AGREEMENT</w:t>
      </w:r>
    </w:p>
    <w:p>
      <w:pPr>
        <w:ind w:left="20"/>
        <w:spacing w:after="0"/>
        <w:rPr>
          <w:sz w:val="20"/>
          <w:szCs w:val="20"/>
          <w:color w:val="auto"/>
        </w:rPr>
      </w:pPr>
      <w:r>
        <w:rPr>
          <w:rFonts w:ascii="Arial" w:cs="Arial" w:eastAsia="Arial" w:hAnsi="Arial"/>
          <w:sz w:val="20"/>
          <w:szCs w:val="20"/>
          <w:b w:val="1"/>
          <w:bCs w:val="1"/>
          <w:color w:val="auto"/>
        </w:rPr>
        <w:t>TERMS AND CONDITIONS</w:t>
      </w:r>
    </w:p>
    <w:p>
      <w:pPr>
        <w:spacing w:after="0" w:line="238" w:lineRule="exact"/>
        <w:rPr>
          <w:sz w:val="20"/>
          <w:szCs w:val="20"/>
          <w:color w:val="auto"/>
        </w:rPr>
      </w:pPr>
    </w:p>
    <w:p>
      <w:pPr>
        <w:jc w:val="both"/>
        <w:ind w:left="20" w:hanging="6"/>
        <w:spacing w:after="0" w:line="258" w:lineRule="auto"/>
        <w:tabs>
          <w:tab w:leader="none" w:pos="253"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 The Company hereby grants to the Optionee named in the notice of grant (“Optionee”), under the Micron Technology, Inc. 2007 Equity Incentive Plan (the “Plan”), stock options to purchase from the Company (the “Options”), on the terms and on conditions set forth in this agreement (this “Agreement”), the number of shares indicated in the notice of grant of the Company’s $0.10 par value common stock, at the exercise price per share set forth in the notice of grant. Capitalized terms used herein and not otherwise defined shall have the meanings assigned to such terms in the Plan.</w:t>
      </w:r>
    </w:p>
    <w:p>
      <w:pPr>
        <w:spacing w:after="0" w:line="208" w:lineRule="exact"/>
        <w:rPr>
          <w:rFonts w:ascii="Arial" w:cs="Arial" w:eastAsia="Arial" w:hAnsi="Arial"/>
          <w:sz w:val="20"/>
          <w:szCs w:val="20"/>
          <w:color w:val="auto"/>
        </w:rPr>
      </w:pPr>
    </w:p>
    <w:p>
      <w:pPr>
        <w:jc w:val="both"/>
        <w:ind w:left="20" w:hanging="6"/>
        <w:spacing w:after="0" w:line="267" w:lineRule="auto"/>
        <w:tabs>
          <w:tab w:leader="none" w:pos="253"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General Acknowledgements</w:t>
      </w:r>
      <w:r>
        <w:rPr>
          <w:rFonts w:ascii="Arial" w:cs="Arial" w:eastAsia="Arial" w:hAnsi="Arial"/>
          <w:sz w:val="19"/>
          <w:szCs w:val="19"/>
          <w:color w:val="auto"/>
        </w:rPr>
        <w:t>. By accepting the Options, Optionee hereby acknowledges that he or she has reviewed these Terms and Conditions and the Plan, and is familiar with the provisions thereof. Optionee hereby accepts the Options subject to all the terms and provisions of this Agreement and the Plan. Optionee acknowledges that a Prospectus relating to the Plan was made available for review. Optionee hereby agrees to accept as binding, conclusive and final all decisions or interpretations of the Committee upon any questions arising under the Plan. Optionee acknowledges that the grant and acceptance of the Options do not constitute an employment agreement and do not assure continuous employment with the Company or any of its Affiliates.</w:t>
      </w:r>
    </w:p>
    <w:p>
      <w:pPr>
        <w:spacing w:after="0" w:line="202" w:lineRule="exact"/>
        <w:rPr>
          <w:rFonts w:ascii="Arial" w:cs="Arial" w:eastAsia="Arial" w:hAnsi="Arial"/>
          <w:sz w:val="19"/>
          <w:szCs w:val="19"/>
          <w:color w:val="auto"/>
        </w:rPr>
      </w:pPr>
    </w:p>
    <w:p>
      <w:pPr>
        <w:jc w:val="both"/>
        <w:ind w:left="20" w:hanging="6"/>
        <w:spacing w:after="0" w:line="263" w:lineRule="auto"/>
        <w:tabs>
          <w:tab w:leader="none" w:pos="24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Vesting of Options</w:t>
      </w:r>
      <w:r>
        <w:rPr>
          <w:rFonts w:ascii="Arial" w:cs="Arial" w:eastAsia="Arial" w:hAnsi="Arial"/>
          <w:sz w:val="19"/>
          <w:szCs w:val="19"/>
          <w:color w:val="auto"/>
        </w:rPr>
        <w:t>. The Option shall vest (become exercisable) in accordance with the schedule shown in the notice of grant. Notwithstanding the foregoing vesting schedule, all Options shall become fully vested and exercisable (i) upon termination of Optionee’s Continuous Status as a Participant by reason of his or her death or Disability, (ii) upon a Change in Control, unless the Options are assumed by the surviving entity or otherwise equitably converted or substituted in connection with the Change in Control; or (iii) if the Options are assumed by the surviving entity or otherwise equitably converted or substituted in connection with a Change in Control, upon the termination of Optionee’s employment by the Company without Cause [or Optionee’s resignation for “Good Reason” (as defined herein)] within one year after the effective date of the Change in Control. [For purposes of this Agreement, “Good Reason” shall mean any of the following, without Optionee’s consent: (i) a material diminution in Optionee’s Base Salary (other than an across-the-board reduction in base salary that affects all peer employees); (ii) a material diminution in Optionee’s authority, duties, or responsibilities; or (iii) the relocation of Optionee’s principal office to a location that is more than twenty-five (25) miles from the location of Optionee’s principal office on the effective date of the Change in Control; provided, however, that Good Reason shall not include (A) any relocation of Optionee’s principal office which is proposed or initiated by Optionee; or (B) any relocation that results in Optionee’s principal place office being closer to Optionee’s then-current principal residence. A termination by Optionee shall not constitute termination for Good Reason unless Optionee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 or otherwise substantially reverse the occurrence supporting termination for Good Reason as identified by Optionee within thirty (30) days following its receipt of such Good Reason Notice. Optionee’s date of termination for Good Reason must occur within a period of three hundred and sixty five (365) days after the initial occurrence of an event of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200" w:lineRule="exact"/>
        <w:rPr>
          <w:sz w:val="20"/>
          <w:szCs w:val="20"/>
          <w:color w:val="auto"/>
        </w:rPr>
      </w:pPr>
    </w:p>
    <w:p>
      <w:pPr>
        <w:spacing w:after="0" w:line="233" w:lineRule="exact"/>
        <w:rPr>
          <w:sz w:val="20"/>
          <w:szCs w:val="20"/>
          <w:color w:val="auto"/>
        </w:rPr>
      </w:pPr>
    </w:p>
    <w:p>
      <w:pPr>
        <w:ind w:left="226" w:hanging="226"/>
        <w:spacing w:after="0"/>
        <w:tabs>
          <w:tab w:leader="none" w:pos="226"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Term of Options and Limitations on Right to Exercise</w:t>
      </w:r>
      <w:r>
        <w:rPr>
          <w:rFonts w:ascii="Arial" w:cs="Arial" w:eastAsia="Arial" w:hAnsi="Arial"/>
          <w:sz w:val="20"/>
          <w:szCs w:val="20"/>
          <w:color w:val="auto"/>
        </w:rPr>
        <w:t>. The term of the Options will be for a period of eight years, expiring at</w:t>
      </w:r>
    </w:p>
    <w:p>
      <w:pPr>
        <w:spacing w:after="0" w:line="31" w:lineRule="exact"/>
        <w:rPr>
          <w:rFonts w:ascii="Arial" w:cs="Arial" w:eastAsia="Arial" w:hAnsi="Arial"/>
          <w:sz w:val="20"/>
          <w:szCs w:val="20"/>
          <w:color w:val="auto"/>
        </w:rPr>
      </w:pPr>
    </w:p>
    <w:p>
      <w:pPr>
        <w:ind w:left="6" w:right="20"/>
        <w:spacing w:after="0" w:line="253" w:lineRule="auto"/>
        <w:rPr>
          <w:rFonts w:ascii="Arial" w:cs="Arial" w:eastAsia="Arial" w:hAnsi="Arial"/>
          <w:sz w:val="20"/>
          <w:szCs w:val="20"/>
          <w:color w:val="auto"/>
        </w:rPr>
      </w:pPr>
      <w:r>
        <w:rPr>
          <w:rFonts w:ascii="Arial" w:cs="Arial" w:eastAsia="Arial" w:hAnsi="Arial"/>
          <w:sz w:val="20"/>
          <w:szCs w:val="20"/>
          <w:color w:val="auto"/>
        </w:rPr>
        <w:t>5:00 p.m., Mountain Time, on the eighth anniversary of the Grant Date (the “Expiration Date”). To the extent not previously exercised, the Options will lapse prior to the Expiration Date upon the earliest to occur of the following circumstances:</w:t>
      </w:r>
    </w:p>
    <w:p>
      <w:pPr>
        <w:spacing w:after="0" w:line="212" w:lineRule="exact"/>
        <w:rPr>
          <w:rFonts w:ascii="Arial" w:cs="Arial" w:eastAsia="Arial" w:hAnsi="Arial"/>
          <w:sz w:val="20"/>
          <w:szCs w:val="20"/>
          <w:color w:val="auto"/>
        </w:rPr>
      </w:pPr>
    </w:p>
    <w:p>
      <w:pPr>
        <w:ind w:left="646" w:hanging="4"/>
        <w:spacing w:after="0" w:line="262" w:lineRule="auto"/>
        <w:tabs>
          <w:tab w:leader="none" w:pos="942"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Thirty days after the termination of Optionee’s Continuous Status as a Participant for any reason other than by reason of Optionee’s death or Disability.</w:t>
      </w:r>
    </w:p>
    <w:p>
      <w:pPr>
        <w:spacing w:after="0" w:line="1" w:lineRule="exact"/>
        <w:rPr>
          <w:rFonts w:ascii="Arial" w:cs="Arial" w:eastAsia="Arial" w:hAnsi="Arial"/>
          <w:sz w:val="20"/>
          <w:szCs w:val="20"/>
          <w:color w:val="auto"/>
        </w:rPr>
      </w:pPr>
    </w:p>
    <w:p>
      <w:pPr>
        <w:ind w:left="946" w:hanging="304"/>
        <w:spacing w:after="0"/>
        <w:tabs>
          <w:tab w:leader="none" w:pos="946"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Twelve months after termination of Optionee’s Continuous Status as Participant by reason of Disability.</w:t>
      </w:r>
    </w:p>
    <w:p>
      <w:pPr>
        <w:ind w:left="646" w:hanging="4"/>
        <w:spacing w:after="0" w:line="253" w:lineRule="auto"/>
        <w:tabs>
          <w:tab w:leader="none" w:pos="958" w:val="left"/>
        </w:tabs>
        <w:numPr>
          <w:ilvl w:val="1"/>
          <w:numId w:val="143"/>
        </w:numPr>
        <w:rPr>
          <w:rFonts w:ascii="Arial" w:cs="Arial" w:eastAsia="Arial" w:hAnsi="Arial"/>
          <w:sz w:val="20"/>
          <w:szCs w:val="20"/>
          <w:color w:val="auto"/>
        </w:rPr>
      </w:pPr>
      <w:r>
        <w:rPr>
          <w:rFonts w:ascii="Arial" w:cs="Arial" w:eastAsia="Arial" w:hAnsi="Arial"/>
          <w:sz w:val="20"/>
          <w:szCs w:val="20"/>
          <w:color w:val="auto"/>
        </w:rPr>
        <w:t>Twelve months after the date of Optionee’s death, if Optionee dies while employed. Upon Optionee’s death, the Options may be exercised by Optionee’s beneficiary designated pursuant to the Plan.</w:t>
      </w:r>
    </w:p>
    <w:p>
      <w:pPr>
        <w:spacing w:after="0" w:line="1" w:lineRule="exact"/>
        <w:rPr>
          <w:sz w:val="20"/>
          <w:szCs w:val="20"/>
          <w:color w:val="auto"/>
        </w:rPr>
      </w:pPr>
    </w:p>
    <w:p>
      <w:pPr>
        <w:jc w:val="both"/>
        <w:ind w:left="6" w:firstLine="648"/>
        <w:spacing w:after="0" w:line="248" w:lineRule="auto"/>
        <w:rPr>
          <w:sz w:val="20"/>
          <w:szCs w:val="20"/>
          <w:color w:val="auto"/>
        </w:rPr>
      </w:pPr>
      <w:r>
        <w:rPr>
          <w:rFonts w:ascii="Arial" w:cs="Arial" w:eastAsia="Arial" w:hAnsi="Arial"/>
          <w:sz w:val="20"/>
          <w:szCs w:val="20"/>
          <w:color w:val="auto"/>
        </w:rPr>
        <w:t>The Committee may, prior to the lapse of the Options under the circumstances described in paragraphs (a), (b) or (c) above, extend the time to exercise the Options as determined by the Committee in writing, but in no event beyond the Expiration Date. If Optionee or his or her beneficiary exercises an Option after termination of service, the Options may be exercised only with respect to the Shares that were otherwise vested on Optionee’s termination of service.</w:t>
      </w:r>
    </w:p>
    <w:p>
      <w:pPr>
        <w:spacing w:after="0" w:line="219" w:lineRule="exact"/>
        <w:rPr>
          <w:sz w:val="20"/>
          <w:szCs w:val="20"/>
          <w:color w:val="auto"/>
        </w:rPr>
      </w:pPr>
    </w:p>
    <w:p>
      <w:pPr>
        <w:jc w:val="both"/>
        <w:ind w:left="6" w:hanging="6"/>
        <w:spacing w:after="0" w:line="251" w:lineRule="auto"/>
        <w:tabs>
          <w:tab w:leader="none" w:pos="252"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 The Options shall be exercised by (a) written notice directed to the Global Stock Department of the Company or its designee at the address and in the form specified by the Company from time to time and (b) payment to the Company in full for the Shares subject to such exercise (unless the exercise is a broker-assisted cashless exercise, as described below). If the person exercising an Option is not Optionee, such person shall also deliver with the notice of exercise appropriate proof of his or her right to exercise the Option. Payment for such Shares may be, in (a) cash, (b) Shares previously acquired by the purchaser, (c) withholding of Shares from the Option, or (d) any combination thereof, for the number of Shares specified in such written notice. The value of surrendered or withheld Shares for this purpose shall be the Fair Market Value as of the last trading day immediately prior to the exercise date. To the extent permitted under Regulation T of the Federal Reserve Board, and subject to applicable securities laws and any limitations as may be applied from time to time by the Committee (which need not be uniform), the Options may be exercised through a broker in a so-called “cashless exercise” whereby the broker sells the Option Shares on behalf of Optionee and delivers cash sales proceeds to the Company in payment of the exercise price. In such case, the date of exercise shall be deemed to be the date on which notice of exercise is received by the Company and the exercise price shall be delivered to the Company by the settlement date.</w:t>
      </w:r>
    </w:p>
    <w:p>
      <w:pPr>
        <w:spacing w:after="0" w:line="207" w:lineRule="exact"/>
        <w:rPr>
          <w:rFonts w:ascii="Arial" w:cs="Arial" w:eastAsia="Arial" w:hAnsi="Arial"/>
          <w:sz w:val="20"/>
          <w:szCs w:val="20"/>
          <w:color w:val="auto"/>
        </w:rPr>
      </w:pPr>
    </w:p>
    <w:p>
      <w:pPr>
        <w:jc w:val="both"/>
        <w:ind w:left="6" w:hanging="6"/>
        <w:spacing w:after="0" w:line="254" w:lineRule="auto"/>
        <w:tabs>
          <w:tab w:leader="none" w:pos="225"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Beneficiary Designation</w:t>
      </w:r>
      <w:r>
        <w:rPr>
          <w:rFonts w:ascii="Arial" w:cs="Arial" w:eastAsia="Arial" w:hAnsi="Arial"/>
          <w:sz w:val="20"/>
          <w:szCs w:val="20"/>
          <w:color w:val="auto"/>
        </w:rPr>
        <w:t>. Optionee may, in the manner determined by the Committee, designate a beneficiary to exercise the rights of Optionee hereunder and to receive any distribution with respect to the Options upon Optionee’s death. A beneficiary, legal guardian, legal representative, or other person claiming any rights hereunder is subject to all terms and conditions of this Agreement and the Plan, and to any additional restrictions deemed necessary or appropriate by the Committee. If no beneficiary has been designated or survives Optionee, the Options may be exercised by the legal representative of Optionee’s estate, and payment shall be made to Optionee’s estate. Subject to the foregoing, a beneficiary designation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26"/>
          </w:cols>
          <w:pgMar w:left="334" w:top="1440" w:right="339" w:bottom="1440" w:gutter="0" w:footer="0" w:header="0"/>
        </w:sectPr>
      </w:pPr>
    </w:p>
    <w:bookmarkStart w:id="150" w:name="page151"/>
    <w:bookmarkEnd w:id="150"/>
    <w:p>
      <w:pPr>
        <w:spacing w:after="0" w:line="190" w:lineRule="exact"/>
        <w:rPr>
          <w:sz w:val="20"/>
          <w:szCs w:val="20"/>
          <w:color w:val="auto"/>
        </w:rPr>
      </w:pPr>
    </w:p>
    <w:p>
      <w:pPr>
        <w:ind w:left="6"/>
        <w:spacing w:after="0"/>
        <w:rPr>
          <w:sz w:val="20"/>
          <w:szCs w:val="20"/>
          <w:color w:val="auto"/>
        </w:rPr>
      </w:pPr>
      <w:r>
        <w:rPr>
          <w:rFonts w:ascii="Arial" w:cs="Arial" w:eastAsia="Arial" w:hAnsi="Arial"/>
          <w:sz w:val="20"/>
          <w:szCs w:val="20"/>
          <w:color w:val="auto"/>
        </w:rPr>
        <w:t>changed or revoked by Optionee at any time.</w:t>
      </w:r>
    </w:p>
    <w:p>
      <w:pPr>
        <w:spacing w:after="0" w:line="256" w:lineRule="exact"/>
        <w:rPr>
          <w:sz w:val="20"/>
          <w:szCs w:val="20"/>
          <w:color w:val="auto"/>
        </w:rPr>
      </w:pPr>
    </w:p>
    <w:p>
      <w:pPr>
        <w:jc w:val="both"/>
        <w:ind w:left="6" w:hanging="6"/>
        <w:spacing w:after="0" w:line="254" w:lineRule="auto"/>
        <w:tabs>
          <w:tab w:leader="none" w:pos="225"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or any employer Affiliate has the authority and the right to deduct or withhold, or require Optionee to remit to the employer, an amount sufficient to satisfy federal, state, and local taxes (including Optionee’s FICA obligation) required by law to be withheld with respect to any taxable event arising as a result of the exercise of the Options. The withholding requirement may be satisfied, in whole or in part, at the election of the Company, by withholding from the Options Shares having a Fair Market Value on the date of withholding equal to the minimum amount (and not any greater amount) required to be withheld for tax purposes, all in accordance with such procedures as the Company establishes.</w:t>
      </w:r>
    </w:p>
    <w:p>
      <w:pPr>
        <w:spacing w:after="0" w:line="213" w:lineRule="exact"/>
        <w:rPr>
          <w:rFonts w:ascii="Arial" w:cs="Arial" w:eastAsia="Arial" w:hAnsi="Arial"/>
          <w:sz w:val="20"/>
          <w:szCs w:val="20"/>
          <w:color w:val="auto"/>
        </w:rPr>
      </w:pPr>
    </w:p>
    <w:p>
      <w:pPr>
        <w:jc w:val="both"/>
        <w:ind w:left="6" w:hanging="6"/>
        <w:spacing w:after="0" w:line="252" w:lineRule="auto"/>
        <w:tabs>
          <w:tab w:leader="none" w:pos="239"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Limitation of Rights</w:t>
      </w:r>
      <w:r>
        <w:rPr>
          <w:rFonts w:ascii="Arial" w:cs="Arial" w:eastAsia="Arial" w:hAnsi="Arial"/>
          <w:sz w:val="20"/>
          <w:szCs w:val="20"/>
          <w:color w:val="auto"/>
        </w:rPr>
        <w:t>. The Options do not confer to Optionee or Optionee’s beneficiary designated pursuant to Section 6 any rights of a stockholder of the Company unless and until Shares are in fact issued to such person in connection with the exercise of the Options. Nothing in this Agreement shall interfere with or limit in any way the right of the Company or any Affiliate to terminate Optionee’s service at any time, nor confer upon Optionee any right to continue in the service of the Company or any Affiliate. Optionee waives all and any rights to any compensation or damages for the termination of Optionee’s office or employment with the Company or an Affiliate for any reason (including unlawful termination of employment) insofar as those rights arise from Optionee ceasing to have rights in relation to the Options as a result of that termination or from the loss or diminution in value of such rights. The grant of the Options does not give Optionee any right to participate in any future grants of share incentive awards.</w:t>
      </w:r>
    </w:p>
    <w:p>
      <w:pPr>
        <w:spacing w:after="0" w:line="202" w:lineRule="exact"/>
        <w:rPr>
          <w:rFonts w:ascii="Arial" w:cs="Arial" w:eastAsia="Arial" w:hAnsi="Arial"/>
          <w:sz w:val="20"/>
          <w:szCs w:val="20"/>
          <w:color w:val="auto"/>
        </w:rPr>
      </w:pPr>
    </w:p>
    <w:p>
      <w:pPr>
        <w:ind w:left="6" w:hanging="6"/>
        <w:spacing w:after="0" w:line="286" w:lineRule="auto"/>
        <w:tabs>
          <w:tab w:leader="none" w:pos="225"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Stock Reserve</w:t>
      </w:r>
      <w:r>
        <w:rPr>
          <w:rFonts w:ascii="Arial" w:cs="Arial" w:eastAsia="Arial" w:hAnsi="Arial"/>
          <w:sz w:val="20"/>
          <w:szCs w:val="20"/>
          <w:color w:val="auto"/>
        </w:rPr>
        <w:t>. The Company shall at all times during the term of this Agreement reserve and keep available such number of Shares as will be sufficient to satisfy the requirements of this Agreement.</w:t>
      </w:r>
    </w:p>
    <w:p>
      <w:pPr>
        <w:spacing w:after="0" w:line="180" w:lineRule="exact"/>
        <w:rPr>
          <w:rFonts w:ascii="Arial" w:cs="Arial" w:eastAsia="Arial" w:hAnsi="Arial"/>
          <w:sz w:val="20"/>
          <w:szCs w:val="20"/>
          <w:color w:val="auto"/>
        </w:rPr>
      </w:pPr>
    </w:p>
    <w:p>
      <w:pPr>
        <w:jc w:val="both"/>
        <w:ind w:left="6" w:hanging="6"/>
        <w:spacing w:after="0" w:line="254" w:lineRule="auto"/>
        <w:tabs>
          <w:tab w:leader="none" w:pos="362"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and Pledge</w:t>
      </w:r>
      <w:r>
        <w:rPr>
          <w:rFonts w:ascii="Arial" w:cs="Arial" w:eastAsia="Arial" w:hAnsi="Arial"/>
          <w:sz w:val="20"/>
          <w:szCs w:val="20"/>
          <w:color w:val="auto"/>
        </w:rPr>
        <w:t>. No right or interest of Optionee in the Options may be pledged, encumbered, or hypothecated to or in favor of any party other than the Company or an Affiliate, or shall be subject to any lien, obligation, or liability of Optionee to any other party other than the Company or an Affiliate. The Options are not assignable or transferable by Optionee other than by will or the laws of descent and distribution or pursuant to a domestic relations order that would satisfy Section 414(p)(1)(A) of the Code if such Section applied to an Option under the Plan; provided, however, that the Committee may (but need not) permit other transfers. The Options may be exercised during the lifetime of Optionee only by Optionee or any permitted transferee.</w:t>
      </w:r>
    </w:p>
    <w:p>
      <w:pPr>
        <w:spacing w:after="0" w:line="199" w:lineRule="exact"/>
        <w:rPr>
          <w:rFonts w:ascii="Arial" w:cs="Arial" w:eastAsia="Arial" w:hAnsi="Arial"/>
          <w:sz w:val="20"/>
          <w:szCs w:val="20"/>
          <w:color w:val="auto"/>
        </w:rPr>
      </w:pPr>
    </w:p>
    <w:p>
      <w:pPr>
        <w:jc w:val="both"/>
        <w:ind w:left="6" w:hanging="6"/>
        <w:spacing w:after="0" w:line="258" w:lineRule="auto"/>
        <w:tabs>
          <w:tab w:leader="none" w:pos="321"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Restrictions on Issuance of Shares</w:t>
      </w:r>
      <w:r>
        <w:rPr>
          <w:rFonts w:ascii="Arial" w:cs="Arial" w:eastAsia="Arial" w:hAnsi="Arial"/>
          <w:sz w:val="20"/>
          <w:szCs w:val="20"/>
          <w:color w:val="auto"/>
        </w:rPr>
        <w:t>. If at any time the Committee shall determine in its discretion, that registration, listing or qualification of the Shares covered by the Options upon any Exchange or under any foreign, federal, or local law or practice, or the consent or approval of any governmental regulatory body, is necessary or desirable as a condition to the exercise of the Options, the Options may not be exercised in whole or in part unless and until such registration, listing, qualification, consent or approval shall have been effected or obtained free of any conditions not acceptable to the Committee.</w:t>
      </w:r>
    </w:p>
    <w:p>
      <w:pPr>
        <w:spacing w:after="0" w:line="208" w:lineRule="exact"/>
        <w:rPr>
          <w:rFonts w:ascii="Arial" w:cs="Arial" w:eastAsia="Arial" w:hAnsi="Arial"/>
          <w:sz w:val="20"/>
          <w:szCs w:val="20"/>
          <w:color w:val="auto"/>
        </w:rPr>
      </w:pPr>
    </w:p>
    <w:p>
      <w:pPr>
        <w:jc w:val="both"/>
        <w:ind w:left="6" w:hanging="6"/>
        <w:spacing w:after="0" w:line="262" w:lineRule="auto"/>
        <w:tabs>
          <w:tab w:leader="none" w:pos="335"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The Committee may amend, modify or terminate the Award and this Agreement without approval of Optionee; provided, however, that such amendment, modification or termination shall not, without Optionee's consent, reduce or diminish the value of this award determined as if it had been fully vested and exercised on the date of such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26"/>
          </w:cols>
          <w:pgMar w:left="334" w:top="1440" w:right="339" w:bottom="1440" w:gutter="0" w:footer="0" w:header="0"/>
        </w:sectPr>
      </w:pPr>
    </w:p>
    <w:bookmarkStart w:id="151" w:name="page152"/>
    <w:bookmarkEnd w:id="151"/>
    <w:p>
      <w:pPr>
        <w:spacing w:after="0" w:line="190" w:lineRule="exact"/>
        <w:rPr>
          <w:sz w:val="20"/>
          <w:szCs w:val="20"/>
          <w:color w:val="auto"/>
        </w:rPr>
      </w:pPr>
    </w:p>
    <w:p>
      <w:pPr>
        <w:ind w:left="6" w:right="20"/>
        <w:spacing w:after="0" w:line="286" w:lineRule="auto"/>
        <w:rPr>
          <w:sz w:val="20"/>
          <w:szCs w:val="20"/>
          <w:color w:val="auto"/>
        </w:rPr>
      </w:pPr>
      <w:r>
        <w:rPr>
          <w:rFonts w:ascii="Arial" w:cs="Arial" w:eastAsia="Arial" w:hAnsi="Arial"/>
          <w:sz w:val="20"/>
          <w:szCs w:val="20"/>
          <w:color w:val="auto"/>
        </w:rPr>
        <w:t>amendment or termination (with the per-share value being calculated as the excess, if any, of the Fair Market Value over the exercise price of the Options).</w:t>
      </w:r>
    </w:p>
    <w:p>
      <w:pPr>
        <w:spacing w:after="0" w:line="181" w:lineRule="exact"/>
        <w:rPr>
          <w:sz w:val="20"/>
          <w:szCs w:val="20"/>
          <w:color w:val="auto"/>
        </w:rPr>
      </w:pPr>
    </w:p>
    <w:p>
      <w:pPr>
        <w:jc w:val="both"/>
        <w:ind w:left="6" w:hanging="6"/>
        <w:spacing w:after="0" w:line="255" w:lineRule="auto"/>
        <w:tabs>
          <w:tab w:leader="none" w:pos="335"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Plan Controls</w:t>
      </w:r>
      <w:r>
        <w:rPr>
          <w:rFonts w:ascii="Arial" w:cs="Arial" w:eastAsia="Arial" w:hAnsi="Arial"/>
          <w:sz w:val="20"/>
          <w:szCs w:val="20"/>
          <w:color w:val="auto"/>
        </w:rPr>
        <w:t>. The terms and conditions contained in the Plan are incorporated into and made a part of this Agreement, and this Agreement shall be governed by and construed in accordance with the Plan. In the event of any actual or alleged conflict between the provisions of the Plan and the provisions of this Agreement, the provisions of the Plan shall be controlling and determinative.</w:t>
      </w:r>
    </w:p>
    <w:p>
      <w:pPr>
        <w:spacing w:after="0" w:line="210" w:lineRule="exact"/>
        <w:rPr>
          <w:rFonts w:ascii="Arial" w:cs="Arial" w:eastAsia="Arial" w:hAnsi="Arial"/>
          <w:sz w:val="20"/>
          <w:szCs w:val="20"/>
          <w:color w:val="auto"/>
        </w:rPr>
      </w:pPr>
    </w:p>
    <w:p>
      <w:pPr>
        <w:ind w:left="6" w:hanging="6"/>
        <w:spacing w:after="0" w:line="286" w:lineRule="auto"/>
        <w:tabs>
          <w:tab w:leader="none" w:pos="349"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 This Agreement shall be binding upon any successor of the Company, in accordance with the terms of this Agreement and the Plan.</w:t>
      </w:r>
    </w:p>
    <w:p>
      <w:pPr>
        <w:spacing w:after="0" w:line="180" w:lineRule="exact"/>
        <w:rPr>
          <w:rFonts w:ascii="Arial" w:cs="Arial" w:eastAsia="Arial" w:hAnsi="Arial"/>
          <w:sz w:val="20"/>
          <w:szCs w:val="20"/>
          <w:color w:val="auto"/>
        </w:rPr>
      </w:pPr>
    </w:p>
    <w:p>
      <w:pPr>
        <w:jc w:val="both"/>
        <w:ind w:left="6" w:hanging="6"/>
        <w:spacing w:after="0" w:line="262" w:lineRule="auto"/>
        <w:tabs>
          <w:tab w:leader="none" w:pos="349"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If any one or more of the provisions contained in this Agreement is invalid, illegal or unenforceable, the other provisions of this Agreement will be construed and enforced as if the invalid, illegal or unenforceable provision had never been included.</w:t>
      </w:r>
    </w:p>
    <w:p>
      <w:pPr>
        <w:spacing w:after="0" w:line="205" w:lineRule="exact"/>
        <w:rPr>
          <w:rFonts w:ascii="Arial" w:cs="Arial" w:eastAsia="Arial" w:hAnsi="Arial"/>
          <w:sz w:val="20"/>
          <w:szCs w:val="20"/>
          <w:color w:val="auto"/>
        </w:rPr>
      </w:pPr>
    </w:p>
    <w:p>
      <w:pPr>
        <w:jc w:val="both"/>
        <w:ind w:left="6" w:hanging="6"/>
        <w:spacing w:after="0" w:line="271" w:lineRule="auto"/>
        <w:tabs>
          <w:tab w:leader="none" w:pos="349"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communications under this Agreement must be in writing and either personally delivered or sent by registered or certified United States mail, return receipt requested, postage prepaid. Notices to the Company must be addressed to: Micron Technology, Inc., 8000 S. Federal Way, P.O. Box 6, Boise, ID 83716-9632, Attn: Corporate Secretary, or any other address designated by the Company in a written notice to Optionee. Notices to Optionee will be directed to the address of Optionee then currently on file with the Company, or at any other address given by Optionee in a written notice to the Company.</w:t>
      </w:r>
    </w:p>
    <w:p>
      <w:pPr>
        <w:spacing w:after="0" w:line="197" w:lineRule="exact"/>
        <w:rPr>
          <w:rFonts w:ascii="Arial" w:cs="Arial" w:eastAsia="Arial" w:hAnsi="Arial"/>
          <w:sz w:val="19"/>
          <w:szCs w:val="19"/>
          <w:color w:val="auto"/>
        </w:rPr>
      </w:pPr>
    </w:p>
    <w:p>
      <w:pPr>
        <w:jc w:val="both"/>
        <w:ind w:left="6" w:hanging="6"/>
        <w:spacing w:after="0" w:line="254" w:lineRule="auto"/>
        <w:tabs>
          <w:tab w:leader="none" w:pos="376"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Data Processing</w:t>
      </w:r>
      <w:r>
        <w:rPr>
          <w:rFonts w:ascii="Arial" w:cs="Arial" w:eastAsia="Arial" w:hAnsi="Arial"/>
          <w:sz w:val="20"/>
          <w:szCs w:val="20"/>
          <w:color w:val="auto"/>
        </w:rPr>
        <w:t>. By accepting the Shares, Optionee gives explicit consent to the Company and other persons who administer the Plan to process and use all personal data relevant to Plan administration, including without limitation his or her name, address, Social Security Number or other applicable tax identification number, and bank and brokerage account details, and to the transfer of any such personal data outside the country in which Optionee works or is employed, including to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26"/>
          </w:cols>
          <w:pgMar w:left="334" w:top="1440" w:right="339" w:bottom="1440" w:gutter="0" w:footer="0" w:header="0"/>
        </w:sectPr>
      </w:pPr>
    </w:p>
    <w:bookmarkStart w:id="152" w:name="page153"/>
    <w:bookmarkEnd w:id="152"/>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AMENDED AND RESTATED 2007 EQUITY INCENTIVE PLAN</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 OF RESTRICTED STOCK AGREEMENT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NOTICE OF RESTRICTED STOCK GRANT</w:t>
      </w:r>
    </w:p>
    <w:p>
      <w:pPr>
        <w:spacing w:after="0" w:line="2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Unless otherwise defined herein, the terms defined in the Micron Technology, Inc. Amended and Restated 2007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will have the same defined meanings in this Restricted Stock Agreement which includes the Notice of Restricted Stock Grant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xml:space="preserve">”), the Terms and Conditions of Restricted Stock Grant,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and all other exhibits, appendices, and addenda attached hereto (collectively, the “</w:t>
      </w:r>
      <w:r>
        <w:rPr>
          <w:rFonts w:ascii="Arial" w:cs="Arial" w:eastAsia="Arial" w:hAnsi="Arial"/>
          <w:sz w:val="20"/>
          <w:szCs w:val="20"/>
          <w:u w:val="single" w:color="auto"/>
          <w:color w:val="auto"/>
        </w:rPr>
        <w:t>Award Agreement</w:t>
      </w:r>
      <w:r>
        <w:rPr>
          <w:rFonts w:ascii="Arial" w:cs="Arial" w:eastAsia="Arial" w:hAnsi="Arial"/>
          <w:sz w:val="20"/>
          <w:szCs w:val="20"/>
          <w:color w:val="auto"/>
        </w:rPr>
        <w: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Participant Name: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Address:</w:t>
      </w:r>
    </w:p>
    <w:p>
      <w:pPr>
        <w:spacing w:after="0" w:line="24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20"/>
          <w:szCs w:val="20"/>
          <w:color w:val="auto"/>
        </w:rPr>
        <w:t>The undersigned Participant has been granted the right to receive a Restricted Stock Award, subject to the terms and conditions of the Plan and this Award Agreement, as follows:</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Grant Number: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of Grant: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Vesting Commencement Date: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Total Number of Shares of</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20"/>
          <w:szCs w:val="20"/>
          <w:color w:val="auto"/>
        </w:rPr>
        <w:t>Subject to any acceleration provisions contained in the Plan or set forth below, the Shares of Restricted Stock will be scheduled to vest in accordance with the following schedule: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Vesting Schedule</w:t>
      </w:r>
      <w:r>
        <w:rPr>
          <w:rFonts w:ascii="Arial" w:cs="Arial" w:eastAsia="Arial" w:hAnsi="Arial"/>
          <w:sz w:val="20"/>
          <w:szCs w:val="20"/>
          <w:color w:val="auto"/>
        </w:rPr>
        <w:t>]</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If Participant’s Continuous Status as a Participant ends for any reason before Participant vests in all or some of the Shares of Restricted Stock, the unvested Shares of Restricted Stock and Participant’s right to receive any of such Shares hereunder will terminate and never will vest, unless specifically provided otherwise in this Award Agreement or in another written agreement between Participant and Micron Technology, Inc. (the “</w:t>
      </w:r>
      <w:r>
        <w:rPr>
          <w:rFonts w:ascii="Arial" w:cs="Arial" w:eastAsia="Arial" w:hAnsi="Arial"/>
          <w:sz w:val="20"/>
          <w:szCs w:val="20"/>
          <w:u w:val="single" w:color="auto"/>
          <w:color w:val="auto"/>
        </w:rPr>
        <w:t>Company</w:t>
      </w:r>
      <w:r>
        <w:rPr>
          <w:rFonts w:ascii="Arial" w:cs="Arial" w:eastAsia="Arial" w:hAnsi="Arial"/>
          <w:sz w:val="20"/>
          <w:szCs w:val="20"/>
          <w:color w:val="auto"/>
        </w:rPr>
        <w:t>”) or any of its Subsidiaries or Parents, as applicable (provided that any such other written agreement must have been duly authorized and signed by an officer of the Company or any of its Subsidiaries or Parents).</w:t>
      </w:r>
    </w:p>
    <w:p>
      <w:pPr>
        <w:spacing w:after="0" w:line="20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0"/>
          <w:szCs w:val="20"/>
          <w:color w:val="auto"/>
        </w:rPr>
        <w:t>By Participant electronically accepting this Agreement or manually signing this Agreement (in either case, as and in the manner specified by the Company), Participant and the Company agree that (1) this Restricted Stock Award is granted under and governed by the terms and conditions of the Plan and this Award Agreement, which constitutes an Award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Certificate for purposes of the Plan,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Committee upon any questions relating to the Plan and this Award Agreement.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Printed Name] [Note: delete for electronic acceptance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TERMS AND CONDITIONS OF RESTRICTED STOCK GRANT</w:t>
      </w:r>
    </w:p>
    <w:p>
      <w:pPr>
        <w:spacing w:after="0" w:line="225" w:lineRule="exact"/>
        <w:rPr>
          <w:sz w:val="20"/>
          <w:szCs w:val="20"/>
          <w:color w:val="auto"/>
        </w:rPr>
      </w:pPr>
    </w:p>
    <w:p>
      <w:pPr>
        <w:jc w:val="both"/>
        <w:ind w:firstLine="656"/>
        <w:spacing w:after="0" w:line="254" w:lineRule="auto"/>
        <w:tabs>
          <w:tab w:leader="none" w:pos="1285"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Grant of Shares of Restricted Stock</w:t>
      </w:r>
      <w:r>
        <w:rPr>
          <w:rFonts w:ascii="Arial" w:cs="Arial" w:eastAsia="Arial" w:hAnsi="Arial"/>
          <w:sz w:val="20"/>
          <w:szCs w:val="20"/>
          <w:color w:val="auto"/>
        </w:rPr>
        <w:t>. The Company hereby grants to the individual (“</w:t>
      </w:r>
      <w:r>
        <w:rPr>
          <w:rFonts w:ascii="Arial" w:cs="Arial" w:eastAsia="Arial" w:hAnsi="Arial"/>
          <w:sz w:val="20"/>
          <w:szCs w:val="20"/>
          <w:u w:val="single" w:color="auto"/>
          <w:color w:val="auto"/>
        </w:rPr>
        <w:t>Participant</w:t>
      </w:r>
      <w:r>
        <w:rPr>
          <w:rFonts w:ascii="Arial" w:cs="Arial" w:eastAsia="Arial" w:hAnsi="Arial"/>
          <w:sz w:val="20"/>
          <w:szCs w:val="20"/>
          <w:color w:val="auto"/>
        </w:rPr>
        <w:t>”) named in the Notice of Restricted Stock Grant of this Award Agreement (the “</w:t>
      </w:r>
      <w:r>
        <w:rPr>
          <w:rFonts w:ascii="Arial" w:cs="Arial" w:eastAsia="Arial" w:hAnsi="Arial"/>
          <w:sz w:val="20"/>
          <w:szCs w:val="20"/>
          <w:u w:val="single" w:color="auto"/>
          <w:color w:val="auto"/>
        </w:rPr>
        <w:t>Notice of Grant</w:t>
      </w:r>
      <w:r>
        <w:rPr>
          <w:rFonts w:ascii="Arial" w:cs="Arial" w:eastAsia="Arial" w:hAnsi="Arial"/>
          <w:sz w:val="20"/>
          <w:szCs w:val="20"/>
          <w:color w:val="auto"/>
        </w:rPr>
        <w:t>”) a Restricted Stock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 “</w:t>
      </w:r>
      <w:r>
        <w:rPr>
          <w:rFonts w:ascii="Arial" w:cs="Arial" w:eastAsia="Arial" w:hAnsi="Arial"/>
          <w:sz w:val="20"/>
          <w:szCs w:val="20"/>
          <w:u w:val="single" w:color="auto"/>
          <w:color w:val="auto"/>
        </w:rPr>
        <w:t>Restricted Stock</w:t>
      </w:r>
      <w:r>
        <w:rPr>
          <w:rFonts w:ascii="Arial" w:cs="Arial" w:eastAsia="Arial" w:hAnsi="Arial"/>
          <w:sz w:val="20"/>
          <w:szCs w:val="20"/>
          <w:color w:val="auto"/>
        </w:rPr>
        <w:t>” mean the Stock granted under this Award Agreement that is subject to the restrictions imposed hereunder and such restrictions have not then expired or terminated.</w:t>
      </w:r>
    </w:p>
    <w:p>
      <w:pPr>
        <w:spacing w:after="0" w:line="200" w:lineRule="exact"/>
        <w:rPr>
          <w:rFonts w:ascii="Arial" w:cs="Arial" w:eastAsia="Arial" w:hAnsi="Arial"/>
          <w:sz w:val="20"/>
          <w:szCs w:val="20"/>
          <w:color w:val="auto"/>
        </w:rPr>
      </w:pPr>
    </w:p>
    <w:p>
      <w:pPr>
        <w:jc w:val="both"/>
        <w:ind w:firstLine="656"/>
        <w:spacing w:after="0" w:line="269" w:lineRule="auto"/>
        <w:tabs>
          <w:tab w:leader="none" w:pos="1285"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provided in Section 3 and subject to Sections 4 and 7, the Shares of Restricted Stock awarded by this Award Agreement will vest in accordance with the vesting provisions set forth in the Notice of Grant, subject to Participant remaining in Continuous Status as a Participant through the applicable vesting date.</w:t>
      </w:r>
    </w:p>
    <w:p>
      <w:pPr>
        <w:spacing w:after="0" w:line="185" w:lineRule="exact"/>
        <w:rPr>
          <w:rFonts w:ascii="Arial" w:cs="Arial" w:eastAsia="Arial" w:hAnsi="Arial"/>
          <w:sz w:val="20"/>
          <w:szCs w:val="20"/>
          <w:color w:val="auto"/>
        </w:rPr>
      </w:pPr>
    </w:p>
    <w:p>
      <w:pPr>
        <w:ind w:left="1300" w:hanging="644"/>
        <w:spacing w:after="0"/>
        <w:tabs>
          <w:tab w:leader="none" w:pos="1300" w:val="left"/>
        </w:tabs>
        <w:numPr>
          <w:ilvl w:val="0"/>
          <w:numId w:val="147"/>
        </w:numPr>
        <w:rPr>
          <w:rFonts w:ascii="Arial" w:cs="Arial" w:eastAsia="Arial" w:hAnsi="Arial"/>
          <w:sz w:val="20"/>
          <w:szCs w:val="20"/>
          <w:color w:val="auto"/>
        </w:rPr>
      </w:pPr>
      <w:r>
        <w:rPr>
          <w:rFonts w:ascii="Arial" w:cs="Arial" w:eastAsia="Arial" w:hAnsi="Arial"/>
          <w:sz w:val="20"/>
          <w:szCs w:val="20"/>
          <w:u w:val="single" w:color="auto"/>
          <w:color w:val="auto"/>
        </w:rPr>
        <w:t>Acceleration</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47"/>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If Participant’s Continuous Status as a Participant ends on account of Participant’s death or Participant becoming Disabled, any Shares of Restricted Stock that both were unexpired and unvested as of the date of cessation of Continuous Status as a Participant, will vest on such date.</w:t>
      </w:r>
    </w:p>
    <w:p>
      <w:pPr>
        <w:spacing w:after="0" w:line="205" w:lineRule="exact"/>
        <w:rPr>
          <w:rFonts w:ascii="Arial" w:cs="Arial" w:eastAsia="Arial" w:hAnsi="Arial"/>
          <w:sz w:val="20"/>
          <w:szCs w:val="20"/>
          <w:color w:val="auto"/>
        </w:rPr>
      </w:pPr>
    </w:p>
    <w:p>
      <w:pPr>
        <w:jc w:val="both"/>
        <w:ind w:firstLine="1304"/>
        <w:spacing w:after="0" w:line="249" w:lineRule="auto"/>
        <w:tabs>
          <w:tab w:leader="none" w:pos="1943" w:val="left"/>
        </w:tabs>
        <w:numPr>
          <w:ilvl w:val="1"/>
          <w:numId w:val="147"/>
        </w:numPr>
        <w:rPr>
          <w:rFonts w:ascii="Arial" w:cs="Arial" w:eastAsia="Arial" w:hAnsi="Arial"/>
          <w:sz w:val="20"/>
          <w:szCs w:val="20"/>
          <w:color w:val="auto"/>
        </w:rPr>
      </w:pPr>
      <w:r>
        <w:rPr>
          <w:rFonts w:ascii="Arial" w:cs="Arial" w:eastAsia="Arial" w:hAnsi="Arial"/>
          <w:sz w:val="20"/>
          <w:szCs w:val="20"/>
          <w:color w:val="auto"/>
        </w:rPr>
        <w:t xml:space="preserve">[Insert for officers: </w:t>
      </w: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before Participant’s Continuous Status as a Participant ends, any Shares of Restricted Stock that both were unexpired and unvested as of immediately preceding the Change in Control, will vest upon the consummation of the Change in Control unless, as determined by the Committee (as constituted immediately prior to the Change in Control), such Shares of Restricted Stock have been assumed by the Surviving Corporation, if any, or otherwise equitably converted or substituted in the Change in Control. For the purposes of this Award Agreement, the Shares of Restricted Stock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Committee may, with the consent of the Surviving Corporation, provide for the consideration to be received for each Share of Restricted Stock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14" w:lineRule="exact"/>
        <w:rPr>
          <w:rFonts w:ascii="Arial" w:cs="Arial" w:eastAsia="Arial" w:hAnsi="Arial"/>
          <w:sz w:val="20"/>
          <w:szCs w:val="20"/>
          <w:color w:val="auto"/>
        </w:rPr>
      </w:pPr>
    </w:p>
    <w:p>
      <w:pPr>
        <w:jc w:val="both"/>
        <w:ind w:firstLine="1304"/>
        <w:spacing w:after="0" w:line="290" w:lineRule="auto"/>
        <w:tabs>
          <w:tab w:leader="none" w:pos="1932" w:val="left"/>
        </w:tabs>
        <w:numPr>
          <w:ilvl w:val="1"/>
          <w:numId w:val="147"/>
        </w:numPr>
        <w:rPr>
          <w:rFonts w:ascii="Arial" w:cs="Arial" w:eastAsia="Arial" w:hAnsi="Arial"/>
          <w:sz w:val="19"/>
          <w:szCs w:val="19"/>
          <w:color w:val="auto"/>
        </w:rPr>
      </w:pPr>
      <w:r>
        <w:rPr>
          <w:rFonts w:ascii="Arial" w:cs="Arial" w:eastAsia="Arial" w:hAnsi="Arial"/>
          <w:sz w:val="19"/>
          <w:szCs w:val="19"/>
          <w:u w:val="single" w:color="auto"/>
          <w:color w:val="auto"/>
        </w:rPr>
        <w:t>Termination following a Change in Control.</w:t>
      </w:r>
      <w:r>
        <w:rPr>
          <w:rFonts w:ascii="Arial" w:cs="Arial" w:eastAsia="Arial" w:hAnsi="Arial"/>
          <w:sz w:val="19"/>
          <w:szCs w:val="19"/>
          <w:color w:val="auto"/>
        </w:rPr>
        <w:t xml:space="preserve"> If (A) a Change in Control occurs before Participant’s Continuous Status as a Participant ends, (B) as determined by the Committee (as constituted immediately prior to the Change in Control), any Shares of Restricted Stock that, both were unexpired and unvested as of the date of the Change in Control, were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assumed by the Surviving Corporation or otherwise equitably converted or substituted in the Change in Control, and (C) Participant’s employment with the Company (or any Surviving Corporation, as applicable) and all Affiliates is terminated within one (1) year after the effective date of the Change in Control either (i) by the Company (or any such Surviving Corporation or Affiliate, as applicable) without Cause, or (ii) by Participant’s resignation for Good Reason, then any Shares of Restricted Stock that both were unexpired and unvested as of immediately preceding the termination of employment, will vest upon the termination of employment.</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For purposes of this Section 3(c),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any of the following, without Participant’s consent: (A) a material diminution in Participant’s base salary (other than an across-the-board reduction in base salary that affects all peer employees);</w:t>
      </w:r>
    </w:p>
    <w:p>
      <w:pPr>
        <w:spacing w:after="0" w:line="1" w:lineRule="exact"/>
        <w:rPr>
          <w:sz w:val="20"/>
          <w:szCs w:val="20"/>
          <w:color w:val="auto"/>
        </w:rPr>
      </w:pPr>
    </w:p>
    <w:p>
      <w:pPr>
        <w:jc w:val="both"/>
        <w:ind w:firstLine="8"/>
        <w:spacing w:after="0" w:line="237" w:lineRule="exact"/>
        <w:tabs>
          <w:tab w:leader="none" w:pos="32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 material diminution in Participant’s authority, duties, or responsibilities; or (C) the relocation of Participant’s principal office to a location that is more than twenty-five (25) miles from the location of Participant’s principal office on the effective date of the Change in Control; provided, however, that Good Reason shall not include (i) any relocation of Participant’s principal office which is proposed or initiated by Participant; or (ii) any relocation that results in Participant’s principal office being closer to Participant’s then-current principal residence. To the extent Participant’s principal office is Participant’s residence due to a shelter</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place order or similar work</w:t>
      </w:r>
      <w:r>
        <w:rPr>
          <w:rFonts w:ascii="MS PGothic" w:cs="MS PGothic" w:eastAsia="MS PGothic" w:hAnsi="MS PGothic"/>
          <w:sz w:val="20"/>
          <w:szCs w:val="20"/>
          <w:color w:val="auto"/>
        </w:rPr>
        <w:t>‑</w:t>
      </w:r>
      <w:r>
        <w:rPr>
          <w:rFonts w:ascii="Arial" w:cs="Arial" w:eastAsia="Arial" w:hAnsi="Arial"/>
          <w:sz w:val="20"/>
          <w:szCs w:val="20"/>
          <w:color w:val="auto"/>
        </w:rPr>
        <w:t>from</w:t>
      </w:r>
      <w:r>
        <w:rPr>
          <w:rFonts w:ascii="MS PGothic" w:cs="MS PGothic" w:eastAsia="MS PGothic" w:hAnsi="MS PGothic"/>
          <w:sz w:val="20"/>
          <w:szCs w:val="20"/>
          <w:color w:val="auto"/>
        </w:rPr>
        <w:t>‑</w:t>
      </w:r>
      <w:r>
        <w:rPr>
          <w:rFonts w:ascii="Arial" w:cs="Arial" w:eastAsia="Arial" w:hAnsi="Arial"/>
          <w:sz w:val="20"/>
          <w:szCs w:val="20"/>
          <w:color w:val="auto"/>
        </w:rPr>
        <w:t>home arrangement that applies to Participant, Participant’s principal office, from which a change in location under the foregoing clause (C) will be measured, will be considered the Company’s office location where Participant’s employment with the Company primarily was based immediately prior to the commencement of such shelter-in-place order or similar work-from-home arrangement. A termination by Participant shall not constitute termination for Good Reason unless Participant shall first have delivered to the Company written notice setting forth with specificity the occurrence deemed to give rise to a right to terminate for Good Reason (which notice must be given no later than ninety (90) days after the initial occurrence of such event) (the “</w:t>
      </w:r>
      <w:r>
        <w:rPr>
          <w:rFonts w:ascii="Arial" w:cs="Arial" w:eastAsia="Arial" w:hAnsi="Arial"/>
          <w:sz w:val="20"/>
          <w:szCs w:val="20"/>
          <w:u w:val="single" w:color="auto"/>
          <w:color w:val="auto"/>
        </w:rPr>
        <w:t>Good Reason Notice</w:t>
      </w:r>
      <w:r>
        <w:rPr>
          <w:rFonts w:ascii="Arial" w:cs="Arial" w:eastAsia="Arial" w:hAnsi="Arial"/>
          <w:sz w:val="20"/>
          <w:szCs w:val="20"/>
          <w:color w:val="auto"/>
        </w:rPr>
        <w:t>”), and the Company has not taken action to correct, rescind or otherwise substantially reverse the occurrence supporting termination for Good Reason as identified by Participant within thirty (30) days following its receipt of such Good Reason Notice. Participant’s date of termination for Good Reason must occur within a period of three hundred and sixty five (365) days after the initial occurrence of an event of Good Reason.]</w:t>
      </w:r>
    </w:p>
    <w:p>
      <w:pPr>
        <w:spacing w:after="0" w:line="239" w:lineRule="exact"/>
        <w:rPr>
          <w:sz w:val="20"/>
          <w:szCs w:val="20"/>
          <w:color w:val="auto"/>
        </w:rPr>
      </w:pPr>
    </w:p>
    <w:p>
      <w:pPr>
        <w:jc w:val="both"/>
        <w:ind w:firstLine="1296"/>
        <w:spacing w:after="0" w:line="262" w:lineRule="auto"/>
        <w:rPr>
          <w:sz w:val="20"/>
          <w:szCs w:val="20"/>
          <w:color w:val="auto"/>
        </w:rPr>
      </w:pPr>
      <w:r>
        <w:rPr>
          <w:rFonts w:ascii="Arial" w:cs="Arial" w:eastAsia="Arial" w:hAnsi="Arial"/>
          <w:sz w:val="20"/>
          <w:szCs w:val="20"/>
          <w:color w:val="auto"/>
        </w:rPr>
        <w:t xml:space="preserve">[Insert for directors: (b) </w:t>
      </w:r>
      <w:r>
        <w:rPr>
          <w:rFonts w:ascii="Arial" w:cs="Arial" w:eastAsia="Arial" w:hAnsi="Arial"/>
          <w:sz w:val="20"/>
          <w:szCs w:val="20"/>
          <w:u w:val="single" w:color="auto"/>
          <w:color w:val="auto"/>
        </w:rPr>
        <w:t>Change in Control.</w:t>
      </w:r>
      <w:r>
        <w:rPr>
          <w:rFonts w:ascii="Arial" w:cs="Arial" w:eastAsia="Arial" w:hAnsi="Arial"/>
          <w:sz w:val="20"/>
          <w:szCs w:val="20"/>
          <w:color w:val="auto"/>
        </w:rPr>
        <w:t xml:space="preserve"> If a Change in Control occurs before Participant’s Continuous Status as a Participant ends, any Shares of Restricted Stock that both were unexpired and unvested as of immediately preceding the Change in Control, will vest upon the consummation of the Change in Control.</w:t>
      </w:r>
    </w:p>
    <w:p>
      <w:pPr>
        <w:spacing w:after="0" w:line="192" w:lineRule="exact"/>
        <w:rPr>
          <w:sz w:val="20"/>
          <w:szCs w:val="20"/>
          <w:color w:val="auto"/>
        </w:rPr>
      </w:pPr>
    </w:p>
    <w:p>
      <w:pPr>
        <w:jc w:val="both"/>
        <w:ind w:firstLine="1304"/>
        <w:spacing w:after="0" w:line="259" w:lineRule="auto"/>
        <w:tabs>
          <w:tab w:leader="none" w:pos="1787"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Retirement</w:t>
      </w:r>
      <w:r>
        <w:rPr>
          <w:rFonts w:ascii="Arial" w:cs="Arial" w:eastAsia="Arial" w:hAnsi="Arial"/>
          <w:sz w:val="20"/>
          <w:szCs w:val="20"/>
          <w:color w:val="auto"/>
        </w:rPr>
        <w:t>. If, prior to the vesting of any or all the Share of Restricted Stock, Participant either (i) reaches the mandatory retirement age, or (ii) following service as a member of the Board for a period of at least three (3) years prior to the effective date of his or her retirement, retires from the Board, then any Shares of Restricted Stock that both were unexpired and unvested as of immediately preceding the occurrence of such event, will vest upon the occurrence thereof.]</w:t>
      </w:r>
    </w:p>
    <w:p>
      <w:pPr>
        <w:spacing w:after="0" w:line="208" w:lineRule="exact"/>
        <w:rPr>
          <w:rFonts w:ascii="Arial" w:cs="Arial" w:eastAsia="Arial" w:hAnsi="Arial"/>
          <w:sz w:val="20"/>
          <w:szCs w:val="20"/>
          <w:color w:val="auto"/>
        </w:rPr>
      </w:pPr>
    </w:p>
    <w:p>
      <w:pPr>
        <w:jc w:val="both"/>
        <w:ind w:firstLine="1304"/>
        <w:spacing w:after="0" w:line="259" w:lineRule="auto"/>
        <w:tabs>
          <w:tab w:leader="none" w:pos="1943"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Discretionary Acceleration</w:t>
      </w:r>
      <w:r>
        <w:rPr>
          <w:rFonts w:ascii="Arial" w:cs="Arial" w:eastAsia="Arial" w:hAnsi="Arial"/>
          <w:sz w:val="20"/>
          <w:szCs w:val="20"/>
          <w:color w:val="auto"/>
        </w:rPr>
        <w:t>. The Committee,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200" w:lineRule="exact"/>
        <w:rPr>
          <w:sz w:val="20"/>
          <w:szCs w:val="20"/>
          <w:color w:val="auto"/>
        </w:rPr>
      </w:pPr>
    </w:p>
    <w:p>
      <w:pPr>
        <w:spacing w:after="0" w:line="234" w:lineRule="exact"/>
        <w:rPr>
          <w:sz w:val="20"/>
          <w:szCs w:val="20"/>
          <w:color w:val="auto"/>
        </w:rPr>
      </w:pPr>
    </w:p>
    <w:p>
      <w:pPr>
        <w:jc w:val="both"/>
        <w:ind w:firstLine="656"/>
        <w:spacing w:after="0" w:line="254" w:lineRule="auto"/>
        <w:tabs>
          <w:tab w:leader="none" w:pos="1285"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Forfeiture Upon Cessation of Continuous Status as a Participant</w:t>
      </w:r>
      <w:r>
        <w:rPr>
          <w:rFonts w:ascii="Arial" w:cs="Arial" w:eastAsia="Arial" w:hAnsi="Arial"/>
          <w:sz w:val="20"/>
          <w:szCs w:val="20"/>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Participant’s Continuous Status as a Participant ceases for any or no reason, the then-unvested Shares of Restricted Stock awarded by this Award Agreement will be forfeited at no cost to the Company and Participant will have no further rights thereunder. The date of forfeiture will be the date of cessation of Continuous Status as a Participant.</w:t>
      </w:r>
    </w:p>
    <w:p>
      <w:pPr>
        <w:spacing w:after="0" w:line="199" w:lineRule="exact"/>
        <w:rPr>
          <w:rFonts w:ascii="Arial" w:cs="Arial" w:eastAsia="Arial" w:hAnsi="Arial"/>
          <w:sz w:val="20"/>
          <w:szCs w:val="20"/>
          <w:color w:val="auto"/>
        </w:rPr>
      </w:pPr>
    </w:p>
    <w:p>
      <w:pPr>
        <w:jc w:val="both"/>
        <w:ind w:firstLine="656"/>
        <w:spacing w:after="0" w:line="258" w:lineRule="auto"/>
        <w:tabs>
          <w:tab w:leader="none" w:pos="1285"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Participant has reviewed with Participant’s own tax advisers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94"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Death of Participant</w:t>
      </w:r>
      <w:r>
        <w:rPr>
          <w:rFonts w:ascii="Arial" w:cs="Arial" w:eastAsia="Arial" w:hAnsi="Arial"/>
          <w:sz w:val="20"/>
          <w:szCs w:val="20"/>
          <w:color w:val="auto"/>
        </w:rPr>
        <w:t>. Any distribution or delivery to be made to Participant under this Award Agreement will, if Participant is then deceased, be made to Participant’s designated beneficiary under such procedures as the Committee may specify from time to time or, if the Committee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13" w:lineRule="exact"/>
        <w:rPr>
          <w:rFonts w:ascii="Arial" w:cs="Arial" w:eastAsia="Arial" w:hAnsi="Arial"/>
          <w:sz w:val="20"/>
          <w:szCs w:val="20"/>
          <w:color w:val="auto"/>
        </w:rPr>
      </w:pPr>
    </w:p>
    <w:p>
      <w:pPr>
        <w:ind w:left="1300" w:hanging="644"/>
        <w:spacing w:after="0"/>
        <w:tabs>
          <w:tab w:leader="none" w:pos="1300"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Tax Obligations.</w:t>
      </w:r>
    </w:p>
    <w:p>
      <w:pPr>
        <w:spacing w:after="0" w:line="242" w:lineRule="exact"/>
        <w:rPr>
          <w:rFonts w:ascii="Arial" w:cs="Arial" w:eastAsia="Arial" w:hAnsi="Arial"/>
          <w:sz w:val="20"/>
          <w:szCs w:val="20"/>
          <w:color w:val="auto"/>
        </w:rPr>
      </w:pPr>
    </w:p>
    <w:p>
      <w:pPr>
        <w:jc w:val="both"/>
        <w:ind w:firstLine="1304"/>
        <w:spacing w:after="0" w:line="250" w:lineRule="auto"/>
        <w:tabs>
          <w:tab w:leader="none" w:pos="1943"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Participant acknowledges that, regardless of any action taken by the Company or, if different, Participant’s employer (the “</w:t>
      </w:r>
      <w:r>
        <w:rPr>
          <w:rFonts w:ascii="Arial" w:cs="Arial" w:eastAsia="Arial" w:hAnsi="Arial"/>
          <w:sz w:val="20"/>
          <w:szCs w:val="20"/>
          <w:u w:val="single" w:color="auto"/>
          <w:color w:val="auto"/>
        </w:rPr>
        <w:t>Employer</w:t>
      </w:r>
      <w:r>
        <w:rPr>
          <w:rFonts w:ascii="Arial" w:cs="Arial" w:eastAsia="Arial" w:hAnsi="Arial"/>
          <w:sz w:val="20"/>
          <w:szCs w:val="20"/>
          <w:color w:val="auto"/>
        </w:rPr>
        <w:t>”) or any Parent or Subsidiary to which Participant is providing services (together, the “</w:t>
      </w:r>
      <w:r>
        <w:rPr>
          <w:rFonts w:ascii="Arial" w:cs="Arial" w:eastAsia="Arial" w:hAnsi="Arial"/>
          <w:sz w:val="20"/>
          <w:szCs w:val="20"/>
          <w:u w:val="single" w:color="auto"/>
          <w:color w:val="auto"/>
        </w:rPr>
        <w:t>Service Recipients</w:t>
      </w:r>
      <w:r>
        <w:rPr>
          <w:rFonts w:ascii="Arial" w:cs="Arial" w:eastAsia="Arial" w:hAnsi="Arial"/>
          <w:sz w:val="20"/>
          <w:szCs w:val="20"/>
          <w:color w:val="auto"/>
        </w:rPr>
        <w:t>”), the ultimate liability for any tax and/or social insurance liability obligations and requirements in connection with the Shares of Restricted Stock,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w:t>
      </w:r>
      <w:r>
        <w:rPr>
          <w:rFonts w:ascii="Arial" w:cs="Arial" w:eastAsia="Arial" w:hAnsi="Arial"/>
          <w:sz w:val="20"/>
          <w:szCs w:val="20"/>
          <w:u w:val="single" w:color="auto"/>
          <w:color w:val="auto"/>
        </w:rPr>
        <w:t>83(b) Election</w:t>
      </w:r>
      <w:r>
        <w:rPr>
          <w:rFonts w:ascii="Arial" w:cs="Arial" w:eastAsia="Arial" w:hAnsi="Arial"/>
          <w:sz w:val="20"/>
          <w:szCs w:val="20"/>
          <w:color w:val="auto"/>
        </w:rPr>
        <w:t>”) with respect to the Shares of Restricted Stock, or the sale of Shares, and (iii) any other Service Recipient taxes the responsibility for which Participant has, or has agreed to bear, with respect to the issuance or vesting of the Shares of Restricted Stock (collectively, the “</w:t>
      </w:r>
      <w:r>
        <w:rPr>
          <w:rFonts w:ascii="Arial" w:cs="Arial" w:eastAsia="Arial" w:hAnsi="Arial"/>
          <w:sz w:val="20"/>
          <w:szCs w:val="20"/>
          <w:u w:val="single" w:color="auto"/>
          <w:color w:val="auto"/>
        </w:rPr>
        <w:t>Tax Obligations</w:t>
      </w:r>
      <w:r>
        <w:rPr>
          <w:rFonts w:ascii="Arial" w:cs="Arial" w:eastAsia="Arial" w:hAnsi="Arial"/>
          <w:sz w:val="20"/>
          <w:szCs w:val="20"/>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Shares of Restricted Stock, the filing of an 83(b) Election with respect to the Shares of Restricted Stock, the subsequent sale of Shares acquired pursuant to this Award Agreement and the receipt of any dividends or other distributions (subject to Section 14(f)),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Participant acknowledges and agrees that the Shares that otherwise would be delivered to Participant will be permanently forfeited at no cost to the Company.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w:t>
      </w:r>
    </w:p>
    <w:p>
      <w:pPr>
        <w:spacing w:after="0" w:line="3" w:lineRule="exact"/>
        <w:rPr>
          <w:sz w:val="20"/>
          <w:szCs w:val="20"/>
          <w:color w:val="auto"/>
        </w:rPr>
      </w:pPr>
    </w:p>
    <w:p>
      <w:pPr>
        <w:ind w:left="420" w:hanging="412"/>
        <w:spacing w:after="0"/>
        <w:tabs>
          <w:tab w:leader="none" w:pos="42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days from the date of grant of the Restricted Stock Award.</w:t>
      </w:r>
    </w:p>
    <w:p>
      <w:pPr>
        <w:spacing w:after="0" w:line="238" w:lineRule="exact"/>
        <w:rPr>
          <w:rFonts w:ascii="Arial" w:cs="Arial" w:eastAsia="Arial" w:hAnsi="Arial"/>
          <w:sz w:val="20"/>
          <w:szCs w:val="20"/>
          <w:color w:val="auto"/>
        </w:rPr>
      </w:pPr>
    </w:p>
    <w:p>
      <w:pPr>
        <w:jc w:val="both"/>
        <w:ind w:firstLine="1304"/>
        <w:spacing w:after="0" w:line="267" w:lineRule="auto"/>
        <w:tabs>
          <w:tab w:leader="none" w:pos="1943" w:val="left"/>
        </w:tabs>
        <w:numPr>
          <w:ilvl w:val="1"/>
          <w:numId w:val="151"/>
        </w:numPr>
        <w:rPr>
          <w:rFonts w:ascii="Arial" w:cs="Arial" w:eastAsia="Arial" w:hAnsi="Arial"/>
          <w:sz w:val="19"/>
          <w:szCs w:val="19"/>
          <w:color w:val="auto"/>
        </w:rPr>
      </w:pPr>
      <w:r>
        <w:rPr>
          <w:rFonts w:ascii="Arial" w:cs="Arial" w:eastAsia="Arial" w:hAnsi="Arial"/>
          <w:sz w:val="19"/>
          <w:szCs w:val="19"/>
          <w:u w:val="single" w:color="auto"/>
          <w:color w:val="auto"/>
        </w:rPr>
        <w:t>Tax Withholding and Default Method of Tax Withholding</w:t>
      </w:r>
      <w:r>
        <w:rPr>
          <w:rFonts w:ascii="Arial" w:cs="Arial" w:eastAsia="Arial" w:hAnsi="Arial"/>
          <w:sz w:val="19"/>
          <w:szCs w:val="19"/>
          <w:color w:val="auto"/>
        </w:rPr>
        <w:t>. Unless Participant timely files an 83(b) Election, when Shares of Restricted Stock vest, Participant generally will recognize immediate U.S. taxable income if Participant is a U.S. taxpayer. If Participant is a non-U.S. taxpayer, Participant may be subject to applicable taxes in his or her jurisdiction. Unless otherwise determined by the Committee, the minimum amount of Tax Obligations that the Company determines must be withheld with respect to this Award (“</w:t>
      </w:r>
      <w:r>
        <w:rPr>
          <w:rFonts w:ascii="Arial" w:cs="Arial" w:eastAsia="Arial" w:hAnsi="Arial"/>
          <w:sz w:val="19"/>
          <w:szCs w:val="19"/>
          <w:u w:val="single" w:color="auto"/>
          <w:color w:val="auto"/>
        </w:rPr>
        <w:t>Tax Withholding Obligation</w:t>
      </w:r>
      <w:r>
        <w:rPr>
          <w:rFonts w:ascii="Arial" w:cs="Arial" w:eastAsia="Arial" w:hAnsi="Arial"/>
          <w:sz w:val="19"/>
          <w:szCs w:val="19"/>
          <w:color w:val="auto"/>
        </w:rPr>
        <w:t>”) will be satisfied by the Company withholding otherwise deliverable Shares having a value approximately equal to the Tax Withholding Obligation (or such greater amount as Participant may elect if permitted by the Committee, if such greater amount would not result in adverse financial accounting consequences).</w:t>
      </w:r>
    </w:p>
    <w:p>
      <w:pPr>
        <w:spacing w:after="0" w:line="202" w:lineRule="exact"/>
        <w:rPr>
          <w:rFonts w:ascii="Arial" w:cs="Arial" w:eastAsia="Arial" w:hAnsi="Arial"/>
          <w:sz w:val="19"/>
          <w:szCs w:val="19"/>
          <w:color w:val="auto"/>
        </w:rPr>
      </w:pPr>
    </w:p>
    <w:p>
      <w:pPr>
        <w:jc w:val="both"/>
        <w:ind w:firstLine="1304"/>
        <w:spacing w:after="0" w:line="250" w:lineRule="auto"/>
        <w:tabs>
          <w:tab w:leader="none" w:pos="1932"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If the Committee determines that Participant cannot satisfy Participant’s Tax Withholding Obligation through the default procedure described in Section 7(b) or the Committee otherwise determines to permit or require that Participant satisfy Participant’s Tax Withholding Obligation by a method other than through the default procedure set forth in Section 7(b), the Committee may permit or require Participant to satisfy Participant’s Tax Withholding Obligation, in whole or in part (without limitation), if permissible by applicable local law, by (i) paying cash,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Committee, if such greater amount would not result in adverse financial accounting consequences), or (v) such other means as the Committee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1" w:lineRule="exact"/>
        <w:rPr>
          <w:sz w:val="20"/>
          <w:szCs w:val="20"/>
          <w:color w:val="auto"/>
        </w:rPr>
      </w:pPr>
    </w:p>
    <w:p>
      <w:pPr>
        <w:jc w:val="both"/>
        <w:ind w:firstLine="1304"/>
        <w:spacing w:after="0" w:line="252" w:lineRule="auto"/>
        <w:tabs>
          <w:tab w:leader="none" w:pos="1943"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Withholding Rates</w:t>
      </w:r>
      <w:r>
        <w:rPr>
          <w:rFonts w:ascii="Arial" w:cs="Arial" w:eastAsia="Arial" w:hAnsi="Arial"/>
          <w:sz w:val="20"/>
          <w:szCs w:val="20"/>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of Restricted Stock, notwithstanding that a number of the Shares is held back solely for the purpose of paying the Tax Obligations.</w:t>
      </w:r>
    </w:p>
    <w:p>
      <w:pPr>
        <w:spacing w:after="0" w:line="214" w:lineRule="exact"/>
        <w:rPr>
          <w:rFonts w:ascii="Arial" w:cs="Arial" w:eastAsia="Arial" w:hAnsi="Arial"/>
          <w:sz w:val="20"/>
          <w:szCs w:val="20"/>
          <w:color w:val="auto"/>
        </w:rPr>
      </w:pPr>
    </w:p>
    <w:p>
      <w:pPr>
        <w:jc w:val="both"/>
        <w:ind w:firstLine="1304"/>
        <w:spacing w:after="0" w:line="252" w:lineRule="auto"/>
        <w:tabs>
          <w:tab w:leader="none" w:pos="1943"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Company’s Obligation to Release Shares</w:t>
      </w:r>
      <w:r>
        <w:rPr>
          <w:rFonts w:ascii="Arial" w:cs="Arial" w:eastAsia="Arial" w:hAnsi="Arial"/>
          <w:sz w:val="20"/>
          <w:szCs w:val="20"/>
          <w:color w:val="auto"/>
        </w:rPr>
        <w:t>. For clarification purposes, in no event will the Company release Shares from the escrow established pursuant to Section 14 unless and until arrangements satisfactory to the Committee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 files a timely 83(b) Election with the IRS, or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214" w:lineRule="exact"/>
        <w:rPr>
          <w:rFonts w:ascii="Arial" w:cs="Arial" w:eastAsia="Arial" w:hAnsi="Arial"/>
          <w:sz w:val="20"/>
          <w:szCs w:val="20"/>
          <w:color w:val="auto"/>
        </w:rPr>
      </w:pPr>
    </w:p>
    <w:p>
      <w:pPr>
        <w:jc w:val="both"/>
        <w:ind w:firstLine="656"/>
        <w:spacing w:after="0" w:line="251" w:lineRule="auto"/>
        <w:tabs>
          <w:tab w:leader="none" w:pos="1285"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xml:space="preserve"> Participant shall be eligible to receive cash and non-cash dividends declared and paid by the Company on Shares declared for which the record date occurs while Shares of Restricted Stock subject to this Agreement remain outstanding. Dividends eligible to vest under this Section 8 will be subject to the same terms and conditions as the Shares of Restricted Stock on which the dividends were paid, including (but not limited to) vesting at the same time as the vesting of the Shares of Restricted Stock on which the dividends were paid. Dividends will not accrue interest and will not be credited with any investment returns related to Shares or otherwise.</w:t>
      </w:r>
    </w:p>
    <w:p>
      <w:pPr>
        <w:spacing w:after="0" w:line="217" w:lineRule="exact"/>
        <w:rPr>
          <w:rFonts w:ascii="Arial" w:cs="Arial" w:eastAsia="Arial" w:hAnsi="Arial"/>
          <w:sz w:val="20"/>
          <w:szCs w:val="20"/>
          <w:color w:val="auto"/>
        </w:rPr>
      </w:pPr>
    </w:p>
    <w:p>
      <w:pPr>
        <w:jc w:val="both"/>
        <w:ind w:firstLine="656"/>
        <w:spacing w:after="0" w:line="254" w:lineRule="auto"/>
        <w:tabs>
          <w:tab w:leader="none" w:pos="1285" w:val="left"/>
        </w:tabs>
        <w:numPr>
          <w:ilvl w:val="0"/>
          <w:numId w:val="153"/>
        </w:numPr>
        <w:rPr>
          <w:rFonts w:ascii="Arial" w:cs="Arial" w:eastAsia="Arial" w:hAnsi="Arial"/>
          <w:sz w:val="20"/>
          <w:szCs w:val="20"/>
          <w:color w:val="auto"/>
        </w:rPr>
      </w:pPr>
      <w:r>
        <w:rPr>
          <w:rFonts w:ascii="Arial" w:cs="Arial" w:eastAsia="Arial" w:hAnsi="Arial"/>
          <w:sz w:val="20"/>
          <w:szCs w:val="20"/>
          <w:u w:val="single" w:color="auto"/>
          <w:color w:val="auto"/>
        </w:rPr>
        <w:t>Rights as Stockholder</w:t>
      </w:r>
      <w:r>
        <w:rPr>
          <w:rFonts w:ascii="Arial" w:cs="Arial" w:eastAsia="Arial" w:hAnsi="Arial"/>
          <w:sz w:val="20"/>
          <w:szCs w:val="20"/>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subject to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1" w:lineRule="exact"/>
        <w:rPr>
          <w:sz w:val="20"/>
          <w:szCs w:val="20"/>
          <w:color w:val="auto"/>
        </w:rPr>
      </w:pPr>
    </w:p>
    <w:p>
      <w:pPr>
        <w:jc w:val="both"/>
        <w:ind w:firstLine="656"/>
        <w:spacing w:after="0" w:line="251" w:lineRule="auto"/>
        <w:tabs>
          <w:tab w:leader="none" w:pos="1287"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No Guarantee of Continued Service</w:t>
      </w:r>
      <w:r>
        <w:rPr>
          <w:rFonts w:ascii="Arial" w:cs="Arial" w:eastAsia="Arial" w:hAnsi="Arial"/>
          <w:sz w:val="20"/>
          <w:szCs w:val="20"/>
          <w:color w:val="auto"/>
        </w:rPr>
        <w:t>. PARTICIPANT ACKNOWLEDGES AND AGREES THAT THE VESTING OF THE RESTRICTED STOCK PURSUANT TO THE VESTING SCHEDULE HEREOF IS EARNED ONLY BY REMAINING IN CONTINUOUS STATUS AS A PARTICIPANT,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5" w:lineRule="exact"/>
        <w:rPr>
          <w:rFonts w:ascii="Arial" w:cs="Arial" w:eastAsia="Arial" w:hAnsi="Arial"/>
          <w:sz w:val="20"/>
          <w:szCs w:val="20"/>
          <w:color w:val="auto"/>
        </w:rPr>
      </w:pPr>
    </w:p>
    <w:p>
      <w:pPr>
        <w:jc w:val="both"/>
        <w:ind w:firstLine="656"/>
        <w:spacing w:after="0" w:line="250" w:lineRule="auto"/>
        <w:tabs>
          <w:tab w:leader="none" w:pos="1273"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Grant is Not Transferable</w:t>
      </w:r>
      <w:r>
        <w:rPr>
          <w:rFonts w:ascii="Arial" w:cs="Arial" w:eastAsia="Arial" w:hAnsi="Arial"/>
          <w:sz w:val="20"/>
          <w:szCs w:val="20"/>
          <w:color w:val="auto"/>
        </w:rPr>
        <w:t>. Except for the escrow described in Section 14 or transfer of the Shares to the Company or its assignees contemplated by this Award Agreement, and except to the limited extent provided in Section 6 and this Section 11 or as otherwise determined by the Committee, the unvested Shares subject to this Award Agreement and the rights and privileges conferred hereby cannot be transferred, assigned, pledged, hypothecated, or otherwise encumbered in any way (whether by operation of law or otherwise) and will not be subject to sale under execution, attachment or similar process until such Shares shall have vested in accordance with the provisions of this Award Agreement, except to the limited extent provided in Section 6 and this Section 11 or as otherwise determined by the Committee. Upon any attempt to transfer, assign, pledge, hypothecate, or otherwise encumber or dispose of the unvested Shares subject to this Award Agreement, or any right or privilege conferred hereby, or upon any attempted sale under any execution, attachment or similar process, except to the limited extent provided in Section 6 and this Section 11 or as otherwise determined by the Committee, this grant and the rights and privileges conferred hereby immediately will become null and void. Unless and until otherwise determined by the Committee, a transfer pursuant to a qualified domestic relations order (“</w:t>
      </w:r>
      <w:r>
        <w:rPr>
          <w:rFonts w:ascii="Arial" w:cs="Arial" w:eastAsia="Arial" w:hAnsi="Arial"/>
          <w:sz w:val="20"/>
          <w:szCs w:val="20"/>
          <w:u w:val="single" w:color="auto"/>
          <w:color w:val="auto"/>
        </w:rPr>
        <w:t>QDRO</w:t>
      </w:r>
      <w:r>
        <w:rPr>
          <w:rFonts w:ascii="Arial" w:cs="Arial" w:eastAsia="Arial" w:hAnsi="Arial"/>
          <w:sz w:val="20"/>
          <w:szCs w:val="20"/>
          <w:color w:val="auto"/>
        </w:rPr>
        <w:t>”) will be permitted so long as such transfer complies with the QDRO procedures then in effect, as specified by the Committee or the Company.</w:t>
      </w:r>
    </w:p>
    <w:p>
      <w:pPr>
        <w:spacing w:after="0" w:line="220" w:lineRule="exact"/>
        <w:rPr>
          <w:rFonts w:ascii="Arial" w:cs="Arial" w:eastAsia="Arial" w:hAnsi="Arial"/>
          <w:sz w:val="20"/>
          <w:szCs w:val="20"/>
          <w:color w:val="auto"/>
        </w:rPr>
      </w:pPr>
    </w:p>
    <w:p>
      <w:pPr>
        <w:ind w:left="1300" w:hanging="644"/>
        <w:spacing w:after="0"/>
        <w:tabs>
          <w:tab w:leader="none" w:pos="130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this Award of Restricted Stock, Participant acknowledges, understands and agrees</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that:</w:t>
      </w:r>
    </w:p>
    <w:p>
      <w:pPr>
        <w:spacing w:after="0" w:line="238"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205" w:lineRule="exact"/>
        <w:rPr>
          <w:rFonts w:ascii="Arial" w:cs="Arial" w:eastAsia="Arial" w:hAnsi="Arial"/>
          <w:sz w:val="20"/>
          <w:szCs w:val="20"/>
          <w:color w:val="auto"/>
        </w:rPr>
      </w:pPr>
    </w:p>
    <w:p>
      <w:pPr>
        <w:ind w:firstLine="1304"/>
        <w:spacing w:after="0" w:line="271" w:lineRule="auto"/>
        <w:tabs>
          <w:tab w:leader="none" w:pos="194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all decisions with respect to future grants of Restricted Stock or other grants, if any, will be at the sole discretion of the Committee;</w:t>
      </w:r>
    </w:p>
    <w:p>
      <w:pPr>
        <w:spacing w:after="0" w:line="196" w:lineRule="exact"/>
        <w:rPr>
          <w:rFonts w:ascii="Arial" w:cs="Arial" w:eastAsia="Arial" w:hAnsi="Arial"/>
          <w:sz w:val="20"/>
          <w:szCs w:val="20"/>
          <w:color w:val="auto"/>
        </w:rPr>
      </w:pPr>
    </w:p>
    <w:p>
      <w:pPr>
        <w:ind w:left="1940" w:hanging="636"/>
        <w:spacing w:after="0"/>
        <w:tabs>
          <w:tab w:leader="none" w:pos="194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256" w:lineRule="exact"/>
        <w:rPr>
          <w:rFonts w:ascii="Arial" w:cs="Arial" w:eastAsia="Arial" w:hAnsi="Arial"/>
          <w:sz w:val="20"/>
          <w:szCs w:val="20"/>
          <w:color w:val="auto"/>
        </w:rPr>
      </w:pPr>
    </w:p>
    <w:p>
      <w:pPr>
        <w:ind w:firstLine="1304"/>
        <w:spacing w:after="0" w:line="271" w:lineRule="auto"/>
        <w:tabs>
          <w:tab w:leader="none" w:pos="194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the Shares of Restricted Stock, and the income from and value of same, are not intended to replace any pension rights or compensation;</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34" w:lineRule="exact"/>
        <w:rPr>
          <w:sz w:val="20"/>
          <w:szCs w:val="20"/>
          <w:color w:val="auto"/>
        </w:rPr>
      </w:pPr>
    </w:p>
    <w:p>
      <w:pPr>
        <w:jc w:val="both"/>
        <w:ind w:firstLine="1304"/>
        <w:spacing w:after="0" w:line="262" w:lineRule="auto"/>
        <w:tabs>
          <w:tab w:leader="none" w:pos="194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Shares of Restricted Stock,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205" w:lineRule="exact"/>
        <w:rPr>
          <w:rFonts w:ascii="Arial" w:cs="Arial" w:eastAsia="Arial" w:hAnsi="Arial"/>
          <w:sz w:val="20"/>
          <w:szCs w:val="20"/>
          <w:color w:val="auto"/>
        </w:rPr>
      </w:pPr>
    </w:p>
    <w:p>
      <w:pPr>
        <w:jc w:val="both"/>
        <w:ind w:firstLine="1304"/>
        <w:spacing w:after="0" w:line="262" w:lineRule="auto"/>
        <w:tabs>
          <w:tab w:leader="none" w:pos="1942" w:val="left"/>
        </w:tabs>
        <w:numPr>
          <w:ilvl w:val="0"/>
          <w:numId w:val="155"/>
        </w:numPr>
        <w:rPr>
          <w:rFonts w:ascii="Arial" w:cs="Arial" w:eastAsia="Arial" w:hAnsi="Arial"/>
          <w:sz w:val="20"/>
          <w:szCs w:val="20"/>
          <w:color w:val="auto"/>
        </w:rPr>
      </w:pPr>
      <w:r>
        <w:rPr>
          <w:rFonts w:ascii="Arial" w:cs="Arial" w:eastAsia="Arial" w:hAnsi="Arial"/>
          <w:sz w:val="20"/>
          <w:szCs w:val="20"/>
          <w:color w:val="auto"/>
        </w:rPr>
        <w:t>unless otherwise agreed with the Company in writing, the Shares of Restricted Stock and the income from and value of same, are not granted as consideration for, or in connection with, the service Participant may provide as a director of a Subsidiary;</w:t>
      </w:r>
    </w:p>
    <w:p>
      <w:pPr>
        <w:spacing w:after="0" w:line="205" w:lineRule="exact"/>
        <w:rPr>
          <w:rFonts w:ascii="Arial" w:cs="Arial" w:eastAsia="Arial" w:hAnsi="Arial"/>
          <w:sz w:val="20"/>
          <w:szCs w:val="20"/>
          <w:color w:val="auto"/>
        </w:rPr>
      </w:pPr>
    </w:p>
    <w:p>
      <w:pPr>
        <w:ind w:left="1960" w:hanging="656"/>
        <w:spacing w:after="0"/>
        <w:tabs>
          <w:tab w:leader="none" w:pos="19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future value of the Shares of Restricted Stock is unknown, indeterminable, and cannot be predicted;</w:t>
      </w:r>
    </w:p>
    <w:p>
      <w:pPr>
        <w:spacing w:after="0" w:line="242" w:lineRule="exact"/>
        <w:rPr>
          <w:rFonts w:ascii="Arial" w:cs="Arial" w:eastAsia="Arial" w:hAnsi="Arial"/>
          <w:sz w:val="20"/>
          <w:szCs w:val="20"/>
          <w:color w:val="auto"/>
        </w:rPr>
      </w:pPr>
    </w:p>
    <w:p>
      <w:pPr>
        <w:jc w:val="both"/>
        <w:ind w:firstLine="1304"/>
        <w:spacing w:after="0" w:line="250" w:lineRule="auto"/>
        <w:tabs>
          <w:tab w:leader="none" w:pos="194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for purposes of the Shares of Restricted Stock, Participant’s Continuous Status as a Participant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an employee, officer, director or consultant (a “</w:t>
      </w:r>
      <w:r>
        <w:rPr>
          <w:rFonts w:ascii="Arial" w:cs="Arial" w:eastAsia="Arial" w:hAnsi="Arial"/>
          <w:sz w:val="20"/>
          <w:szCs w:val="20"/>
          <w:u w:val="single" w:color="auto"/>
          <w:color w:val="auto"/>
        </w:rPr>
        <w:t>Service Provider</w:t>
      </w:r>
      <w:r>
        <w:rPr>
          <w:rFonts w:ascii="Arial" w:cs="Arial" w:eastAsia="Arial" w:hAnsi="Arial"/>
          <w:sz w:val="20"/>
          <w:szCs w:val="20"/>
          <w:color w:val="auto"/>
        </w:rPr>
        <w:t>”) or the terms of Participant’s employment or service agreement, if any), and unless otherwise expressly provided in this Award Agreement (including by reference in the Notice of Grant to other arrangements or contracts) or determined by the Committee,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Committee shall have the exclusive discretion to determine when Participant is no longer actively providing services for purposes of the grant of Shares of Restricted Stock (including whether Participant may still be considered to be providing services while on a leave of absence and consistent with local law);</w:t>
      </w:r>
    </w:p>
    <w:p>
      <w:pPr>
        <w:spacing w:after="0" w:line="220" w:lineRule="exact"/>
        <w:rPr>
          <w:rFonts w:ascii="Arial" w:cs="Arial" w:eastAsia="Arial" w:hAnsi="Arial"/>
          <w:sz w:val="20"/>
          <w:szCs w:val="20"/>
          <w:color w:val="auto"/>
        </w:rPr>
      </w:pPr>
    </w:p>
    <w:p>
      <w:pPr>
        <w:jc w:val="both"/>
        <w:ind w:firstLine="1304"/>
        <w:spacing w:after="0" w:line="259" w:lineRule="auto"/>
        <w:tabs>
          <w:tab w:leader="none" w:pos="193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95" w:lineRule="exact"/>
        <w:rPr>
          <w:rFonts w:ascii="Arial" w:cs="Arial" w:eastAsia="Arial" w:hAnsi="Arial"/>
          <w:sz w:val="20"/>
          <w:szCs w:val="20"/>
          <w:color w:val="auto"/>
        </w:rPr>
      </w:pPr>
    </w:p>
    <w:p>
      <w:pPr>
        <w:ind w:left="1940" w:hanging="636"/>
        <w:spacing w:after="0"/>
        <w:tabs>
          <w:tab w:leader="none" w:pos="194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following provisions apply only if Participant is providing services outside the United States:</w:t>
      </w:r>
    </w:p>
    <w:p>
      <w:pPr>
        <w:spacing w:after="0" w:line="256" w:lineRule="exact"/>
        <w:rPr>
          <w:rFonts w:ascii="Arial" w:cs="Arial" w:eastAsia="Arial" w:hAnsi="Arial"/>
          <w:sz w:val="20"/>
          <w:szCs w:val="20"/>
          <w:color w:val="auto"/>
        </w:rPr>
      </w:pPr>
    </w:p>
    <w:p>
      <w:pPr>
        <w:ind w:left="2580" w:hanging="628"/>
        <w:spacing w:after="0"/>
        <w:tabs>
          <w:tab w:leader="none" w:pos="258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the Restricted Stock Award is not part of normal or expected compensation or salary for any</w:t>
      </w:r>
    </w:p>
    <w:p>
      <w:pPr>
        <w:spacing w:after="0" w:line="1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purpose;</w:t>
      </w:r>
    </w:p>
    <w:p>
      <w:pPr>
        <w:spacing w:after="0" w:line="238" w:lineRule="exact"/>
        <w:rPr>
          <w:rFonts w:ascii="Arial" w:cs="Arial" w:eastAsia="Arial" w:hAnsi="Arial"/>
          <w:sz w:val="20"/>
          <w:szCs w:val="20"/>
          <w:color w:val="auto"/>
        </w:rPr>
      </w:pPr>
    </w:p>
    <w:p>
      <w:pPr>
        <w:jc w:val="both"/>
        <w:ind w:firstLine="1952"/>
        <w:spacing w:after="0" w:line="259" w:lineRule="auto"/>
        <w:tabs>
          <w:tab w:leader="none" w:pos="2582" w:val="left"/>
        </w:tabs>
        <w:numPr>
          <w:ilvl w:val="1"/>
          <w:numId w:val="155"/>
        </w:numPr>
        <w:rPr>
          <w:rFonts w:ascii="Arial" w:cs="Arial" w:eastAsia="Arial" w:hAnsi="Arial"/>
          <w:sz w:val="20"/>
          <w:szCs w:val="20"/>
          <w:color w:val="auto"/>
        </w:rPr>
      </w:pPr>
      <w:r>
        <w:rPr>
          <w:rFonts w:ascii="Arial" w:cs="Arial" w:eastAsia="Arial" w:hAnsi="Arial"/>
          <w:sz w:val="20"/>
          <w:szCs w:val="20"/>
          <w:color w:val="auto"/>
        </w:rPr>
        <w:t>Participant acknowledges and agrees that no Service Recipient shall be liable for any foreign exchange rate fluctuation between Participant’s local currency and the United States Dollar that may affect the value of the Shares of Restricted Stock or of any amounts due to Participant pursuant to the grant of the Shares of Restricted Stock or the subsequent sale of any such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1" w:lineRule="exact"/>
        <w:rPr>
          <w:sz w:val="20"/>
          <w:szCs w:val="20"/>
          <w:color w:val="auto"/>
        </w:rPr>
      </w:pPr>
    </w:p>
    <w:p>
      <w:pPr>
        <w:jc w:val="both"/>
        <w:ind w:firstLine="1952"/>
        <w:spacing w:after="0" w:line="252" w:lineRule="auto"/>
        <w:tabs>
          <w:tab w:leader="none" w:pos="2585" w:val="left"/>
        </w:tabs>
        <w:numPr>
          <w:ilvl w:val="2"/>
          <w:numId w:val="156"/>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Shares of Restricted Stock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Shares of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202"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 recommendations regarding Participant’s participation in the Plan, or Participant’s acquisition or sale of the Shares of Restricted Stock. Participant is hereby advised to consult with his or her own personal tax, legal and financial advisors regarding his or her participation in the Plan before taking any action related to the Plan.</w:t>
      </w:r>
    </w:p>
    <w:p>
      <w:pPr>
        <w:spacing w:after="0" w:line="2" w:lineRule="exact"/>
        <w:rPr>
          <w:rFonts w:ascii="Arial" w:cs="Arial" w:eastAsia="Arial" w:hAnsi="Arial"/>
          <w:sz w:val="20"/>
          <w:szCs w:val="20"/>
          <w:color w:val="auto"/>
        </w:rPr>
      </w:pPr>
    </w:p>
    <w:p>
      <w:pPr>
        <w:ind w:left="1300" w:hanging="644"/>
        <w:spacing w:after="0"/>
        <w:tabs>
          <w:tab w:leader="none" w:pos="1300"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Escrow of Shares</w:t>
      </w:r>
      <w:r>
        <w:rPr>
          <w:rFonts w:ascii="Arial" w:cs="Arial" w:eastAsia="Arial" w:hAnsi="Arial"/>
          <w:sz w:val="20"/>
          <w:szCs w:val="20"/>
          <w:color w:val="auto"/>
        </w:rPr>
        <w:t>.</w:t>
      </w:r>
    </w:p>
    <w:p>
      <w:pPr>
        <w:spacing w:after="0" w:line="224" w:lineRule="exact"/>
        <w:rPr>
          <w:rFonts w:ascii="Arial" w:cs="Arial" w:eastAsia="Arial" w:hAnsi="Arial"/>
          <w:sz w:val="20"/>
          <w:szCs w:val="20"/>
          <w:color w:val="auto"/>
        </w:rPr>
      </w:pPr>
    </w:p>
    <w:p>
      <w:pPr>
        <w:jc w:val="both"/>
        <w:ind w:firstLine="1304"/>
        <w:spacing w:after="0" w:line="259" w:lineRule="auto"/>
        <w:tabs>
          <w:tab w:leader="none" w:pos="1943" w:val="left"/>
        </w:tabs>
        <w:numPr>
          <w:ilvl w:val="1"/>
          <w:numId w:val="157"/>
        </w:numPr>
        <w:rPr>
          <w:rFonts w:ascii="Arial" w:cs="Arial" w:eastAsia="Arial" w:hAnsi="Arial"/>
          <w:sz w:val="20"/>
          <w:szCs w:val="20"/>
          <w:color w:val="auto"/>
        </w:rPr>
      </w:pPr>
      <w:r>
        <w:rPr>
          <w:rFonts w:ascii="Arial" w:cs="Arial" w:eastAsia="Arial" w:hAnsi="Arial"/>
          <w:sz w:val="20"/>
          <w:szCs w:val="20"/>
          <w:color w:val="auto"/>
        </w:rPr>
        <w:t>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Participant’s Continuous Status as a Participant ceases.</w:t>
      </w:r>
    </w:p>
    <w:p>
      <w:pPr>
        <w:spacing w:after="0" w:line="208" w:lineRule="exact"/>
        <w:rPr>
          <w:rFonts w:ascii="Arial" w:cs="Arial" w:eastAsia="Arial" w:hAnsi="Arial"/>
          <w:sz w:val="20"/>
          <w:szCs w:val="20"/>
          <w:color w:val="auto"/>
        </w:rPr>
      </w:pPr>
    </w:p>
    <w:p>
      <w:pPr>
        <w:ind w:firstLine="1304"/>
        <w:spacing w:after="0" w:line="271" w:lineRule="auto"/>
        <w:tabs>
          <w:tab w:leader="none" w:pos="1943"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Escrow Holder will not be liable for any act it may do or omit to do with respect to holding the Shares of Restricted Stock in escrow and while acting in good faith and in the exercise of its judgment.</w:t>
      </w:r>
    </w:p>
    <w:p>
      <w:pPr>
        <w:spacing w:after="0" w:line="196" w:lineRule="exact"/>
        <w:rPr>
          <w:rFonts w:ascii="Arial" w:cs="Arial" w:eastAsia="Arial" w:hAnsi="Arial"/>
          <w:sz w:val="20"/>
          <w:szCs w:val="20"/>
          <w:color w:val="auto"/>
        </w:rPr>
      </w:pPr>
    </w:p>
    <w:p>
      <w:pPr>
        <w:jc w:val="both"/>
        <w:ind w:firstLine="1304"/>
        <w:spacing w:after="0" w:line="240" w:lineRule="exact"/>
        <w:tabs>
          <w:tab w:leader="none" w:pos="1986" w:val="left"/>
        </w:tabs>
        <w:numPr>
          <w:ilvl w:val="1"/>
          <w:numId w:val="157"/>
        </w:numPr>
        <w:rPr>
          <w:rFonts w:ascii="Arial" w:cs="Arial" w:eastAsia="Arial" w:hAnsi="Arial"/>
          <w:sz w:val="20"/>
          <w:szCs w:val="20"/>
          <w:color w:val="auto"/>
        </w:rPr>
      </w:pPr>
      <w:r>
        <w:rPr>
          <w:rFonts w:ascii="Arial" w:cs="Arial" w:eastAsia="Arial" w:hAnsi="Arial"/>
          <w:sz w:val="20"/>
          <w:szCs w:val="20"/>
          <w:color w:val="auto"/>
        </w:rPr>
        <w:t>Upon the cessation of Participant’s Continuous Status as a Participant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226" w:lineRule="exact"/>
        <w:rPr>
          <w:rFonts w:ascii="Arial" w:cs="Arial" w:eastAsia="Arial" w:hAnsi="Arial"/>
          <w:sz w:val="20"/>
          <w:szCs w:val="20"/>
          <w:color w:val="auto"/>
        </w:rPr>
      </w:pPr>
    </w:p>
    <w:p>
      <w:pPr>
        <w:ind w:right="20" w:firstLine="1304"/>
        <w:spacing w:after="0" w:line="286" w:lineRule="auto"/>
        <w:tabs>
          <w:tab w:leader="none" w:pos="1943" w:val="left"/>
        </w:tabs>
        <w:numPr>
          <w:ilvl w:val="1"/>
          <w:numId w:val="157"/>
        </w:numPr>
        <w:rPr>
          <w:rFonts w:ascii="Arial" w:cs="Arial" w:eastAsia="Arial" w:hAnsi="Arial"/>
          <w:sz w:val="20"/>
          <w:szCs w:val="20"/>
          <w:color w:val="auto"/>
        </w:rPr>
      </w:pPr>
      <w:r>
        <w:rPr>
          <w:rFonts w:ascii="Arial" w:cs="Arial" w:eastAsia="Arial" w:hAnsi="Arial"/>
          <w:sz w:val="20"/>
          <w:szCs w:val="20"/>
          <w:color w:val="auto"/>
        </w:rPr>
        <w:t>The Escrow Holder will take all steps necessary to accomplish the transfer of Shares of Restricted Stock to Participant after they vest following Participant’s request that the Escrow Holder do so.</w:t>
      </w:r>
    </w:p>
    <w:p>
      <w:pPr>
        <w:spacing w:after="0" w:line="167"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57"/>
        </w:numPr>
        <w:rPr>
          <w:rFonts w:ascii="Arial" w:cs="Arial" w:eastAsia="Arial" w:hAnsi="Arial"/>
          <w:sz w:val="20"/>
          <w:szCs w:val="20"/>
          <w:color w:val="auto"/>
        </w:rPr>
      </w:pPr>
      <w:r>
        <w:rPr>
          <w:rFonts w:ascii="Arial" w:cs="Arial" w:eastAsia="Arial" w:hAnsi="Arial"/>
          <w:sz w:val="20"/>
          <w:szCs w:val="20"/>
          <w:color w:val="auto"/>
        </w:rPr>
        <w:t>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1" w:lineRule="exact"/>
        <w:rPr>
          <w:sz w:val="20"/>
          <w:szCs w:val="20"/>
          <w:color w:val="auto"/>
        </w:rPr>
      </w:pPr>
    </w:p>
    <w:p>
      <w:pPr>
        <w:jc w:val="both"/>
        <w:ind w:firstLine="1304"/>
        <w:spacing w:after="0" w:line="250" w:lineRule="auto"/>
        <w:tabs>
          <w:tab w:leader="none" w:pos="1942" w:val="left"/>
        </w:tabs>
        <w:numPr>
          <w:ilvl w:val="1"/>
          <w:numId w:val="158"/>
        </w:numPr>
        <w:rPr>
          <w:rFonts w:ascii="Arial" w:cs="Arial" w:eastAsia="Arial" w:hAnsi="Arial"/>
          <w:sz w:val="20"/>
          <w:szCs w:val="20"/>
          <w:color w:val="auto"/>
        </w:rPr>
      </w:pPr>
      <w:r>
        <w:rPr>
          <w:rFonts w:ascii="Arial" w:cs="Arial" w:eastAsia="Arial" w:hAnsi="Arial"/>
          <w:sz w:val="20"/>
          <w:szCs w:val="20"/>
          <w:color w:val="auto"/>
        </w:rPr>
        <w:t>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Participant’s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Committee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217" w:lineRule="exact"/>
        <w:rPr>
          <w:rFonts w:ascii="Arial" w:cs="Arial" w:eastAsia="Arial" w:hAnsi="Arial"/>
          <w:sz w:val="20"/>
          <w:szCs w:val="20"/>
          <w:color w:val="auto"/>
        </w:rPr>
      </w:pPr>
    </w:p>
    <w:p>
      <w:pPr>
        <w:jc w:val="both"/>
        <w:ind w:firstLine="1304"/>
        <w:spacing w:after="0" w:line="262" w:lineRule="auto"/>
        <w:tabs>
          <w:tab w:leader="none" w:pos="1943"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Company may instruct the transfer agent for its Stock to place a legend on the certificates representing the Restricted Stock or otherwise note its records as to the restrictions on transfer set forth in this Award Agreement.</w:t>
      </w:r>
    </w:p>
    <w:p>
      <w:pPr>
        <w:spacing w:after="0" w:line="191" w:lineRule="exact"/>
        <w:rPr>
          <w:rFonts w:ascii="Arial" w:cs="Arial" w:eastAsia="Arial" w:hAnsi="Arial"/>
          <w:sz w:val="20"/>
          <w:szCs w:val="20"/>
          <w:color w:val="auto"/>
        </w:rPr>
      </w:pPr>
    </w:p>
    <w:p>
      <w:pPr>
        <w:jc w:val="both"/>
        <w:ind w:firstLine="656"/>
        <w:spacing w:after="0" w:line="263" w:lineRule="auto"/>
        <w:tabs>
          <w:tab w:leader="none" w:pos="1287" w:val="left"/>
        </w:tabs>
        <w:numPr>
          <w:ilvl w:val="0"/>
          <w:numId w:val="159"/>
        </w:numPr>
        <w:rPr>
          <w:rFonts w:ascii="Arial" w:cs="Arial" w:eastAsia="Arial" w:hAnsi="Arial"/>
          <w:sz w:val="20"/>
          <w:szCs w:val="20"/>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Participant hereby explicitly and unambiguously consents to the collection, use and transfer, in electronic or other form, 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or any other entitlement to Shares awarded, canceled, exercised, vested, unvested, or outstanding in Participant’s favor (“</w:t>
      </w:r>
      <w:r>
        <w:rPr>
          <w:rFonts w:ascii="Arial" w:cs="Arial" w:eastAsia="Arial" w:hAnsi="Arial"/>
          <w:sz w:val="20"/>
          <w:szCs w:val="20"/>
          <w:b w:val="1"/>
          <w:bCs w:val="1"/>
          <w:i w:val="1"/>
          <w:iCs w:val="1"/>
          <w:u w:val="single" w:color="auto"/>
          <w:color w:val="auto"/>
        </w:rPr>
        <w:t>Data</w:t>
      </w:r>
      <w:r>
        <w:rPr>
          <w:rFonts w:ascii="Arial" w:cs="Arial" w:eastAsia="Arial" w:hAnsi="Arial"/>
          <w:sz w:val="20"/>
          <w:szCs w:val="20"/>
          <w:b w:val="1"/>
          <w:bCs w:val="1"/>
          <w:i w:val="1"/>
          <w:iCs w:val="1"/>
          <w:color w:val="auto"/>
        </w:rPr>
        <w:t>”), for the exclusive purpose of implementing, administering, and managing the Plan.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0"/>
          <w:szCs w:val="20"/>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b w:val="1"/>
          <w:bCs w:val="1"/>
          <w:i w:val="1"/>
          <w:iCs w:val="1"/>
          <w:color w:val="auto"/>
        </w:rPr>
        <w:t>the Company’s Data Privacy Team at [redacted]@micron.com.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[redacted]@micron.com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07" w:lineRule="exact"/>
        <w:rPr>
          <w:sz w:val="20"/>
          <w:szCs w:val="20"/>
          <w:color w:val="auto"/>
        </w:rPr>
      </w:pPr>
    </w:p>
    <w:p>
      <w:pPr>
        <w:jc w:val="both"/>
        <w:ind w:firstLine="656"/>
        <w:spacing w:after="0" w:line="262" w:lineRule="auto"/>
        <w:tabs>
          <w:tab w:leader="none" w:pos="1287"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205"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the Restricted Stock awarded under the Plan or future Restricted Stock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214"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No Waiver</w:t>
      </w:r>
      <w:r>
        <w:rPr>
          <w:rFonts w:ascii="Arial" w:cs="Arial" w:eastAsia="Arial" w:hAnsi="Arial"/>
          <w:sz w:val="20"/>
          <w:szCs w:val="20"/>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95" w:lineRule="exact"/>
        <w:rPr>
          <w:rFonts w:ascii="Arial" w:cs="Arial" w:eastAsia="Arial" w:hAnsi="Arial"/>
          <w:sz w:val="20"/>
          <w:szCs w:val="20"/>
          <w:color w:val="auto"/>
        </w:rPr>
      </w:pPr>
    </w:p>
    <w:p>
      <w:pPr>
        <w:jc w:val="both"/>
        <w:ind w:firstLine="656"/>
        <w:spacing w:after="0" w:line="258" w:lineRule="auto"/>
        <w:tabs>
          <w:tab w:leader="none" w:pos="1287" w:val="left"/>
        </w:tabs>
        <w:numPr>
          <w:ilvl w:val="0"/>
          <w:numId w:val="160"/>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Company.</w:t>
      </w:r>
    </w:p>
    <w:p>
      <w:pPr>
        <w:spacing w:after="0" w:line="256" w:lineRule="exact"/>
        <w:rPr>
          <w:sz w:val="20"/>
          <w:szCs w:val="20"/>
          <w:color w:val="auto"/>
        </w:rPr>
      </w:pPr>
    </w:p>
    <w:p>
      <w:pPr>
        <w:jc w:val="both"/>
        <w:ind w:firstLine="656"/>
        <w:spacing w:after="0" w:line="250"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Additional Conditions to Issuance of Stock</w:t>
      </w:r>
      <w:r>
        <w:rPr>
          <w:rFonts w:ascii="Arial" w:cs="Arial" w:eastAsia="Arial" w:hAnsi="Arial"/>
          <w:sz w:val="20"/>
          <w:szCs w:val="20"/>
          <w:color w:val="auto"/>
        </w:rPr>
        <w:t>. If at any time the Company will determine, in its discretion, that the listing, registration, qualification or rule compliance of the Shares upon any securities exchange or under any state, federal, U.S.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Shares of Restricted Stock as the Committee may establish from time to time for reasons of administrative convenience.</w:t>
      </w:r>
    </w:p>
    <w:p>
      <w:pPr>
        <w:spacing w:after="0" w:line="206" w:lineRule="exact"/>
        <w:rPr>
          <w:rFonts w:ascii="Arial" w:cs="Arial" w:eastAsia="Arial" w:hAnsi="Arial"/>
          <w:sz w:val="20"/>
          <w:szCs w:val="20"/>
          <w:color w:val="auto"/>
        </w:rPr>
      </w:pPr>
    </w:p>
    <w:p>
      <w:pPr>
        <w:jc w:val="both"/>
        <w:ind w:firstLine="656"/>
        <w:spacing w:after="0" w:line="258"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94" w:lineRule="exact"/>
        <w:rPr>
          <w:rFonts w:ascii="Arial" w:cs="Arial" w:eastAsia="Arial" w:hAnsi="Arial"/>
          <w:sz w:val="20"/>
          <w:szCs w:val="20"/>
          <w:color w:val="auto"/>
        </w:rPr>
      </w:pPr>
    </w:p>
    <w:p>
      <w:pPr>
        <w:jc w:val="both"/>
        <w:ind w:firstLine="656"/>
        <w:spacing w:after="0" w:line="254"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Committee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Shares of Restricted Stock have vested). All actions taken and all interpretations and determinations made by the Committee in good faith will be final and binding upon Participant, the Company, and all other interested persons. Neither the Committee nor any person acting on behalf of the Committee will be personally liable for any action, determination or interpretation made in good faith with respect to the Plan or this Award Agreement.</w:t>
      </w:r>
    </w:p>
    <w:p>
      <w:pPr>
        <w:spacing w:after="0" w:line="199" w:lineRule="exact"/>
        <w:rPr>
          <w:rFonts w:ascii="Arial" w:cs="Arial" w:eastAsia="Arial" w:hAnsi="Arial"/>
          <w:sz w:val="20"/>
          <w:szCs w:val="20"/>
          <w:color w:val="auto"/>
        </w:rPr>
      </w:pPr>
    </w:p>
    <w:p>
      <w:pPr>
        <w:ind w:firstLine="656"/>
        <w:spacing w:after="0" w:line="286"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Captions provided herein are for convenience only and are not to serve as a basis for interpretation or construction of this Award Agreement.</w:t>
      </w:r>
    </w:p>
    <w:p>
      <w:pPr>
        <w:spacing w:after="0" w:line="180" w:lineRule="exact"/>
        <w:rPr>
          <w:rFonts w:ascii="Arial" w:cs="Arial" w:eastAsia="Arial" w:hAnsi="Arial"/>
          <w:sz w:val="20"/>
          <w:szCs w:val="20"/>
          <w:color w:val="auto"/>
        </w:rPr>
      </w:pPr>
    </w:p>
    <w:p>
      <w:pPr>
        <w:jc w:val="both"/>
        <w:ind w:firstLine="656"/>
        <w:spacing w:after="0" w:line="255"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Amendment, Suspension or Termination of the Plan</w:t>
      </w:r>
      <w:r>
        <w:rPr>
          <w:rFonts w:ascii="Arial" w:cs="Arial" w:eastAsia="Arial" w:hAnsi="Arial"/>
          <w:sz w:val="20"/>
          <w:szCs w:val="20"/>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Committee at any time.</w:t>
      </w:r>
    </w:p>
    <w:p>
      <w:pPr>
        <w:spacing w:after="0" w:line="210" w:lineRule="exact"/>
        <w:rPr>
          <w:rFonts w:ascii="Arial" w:cs="Arial" w:eastAsia="Arial" w:hAnsi="Arial"/>
          <w:sz w:val="20"/>
          <w:szCs w:val="20"/>
          <w:color w:val="auto"/>
        </w:rPr>
      </w:pPr>
    </w:p>
    <w:p>
      <w:pPr>
        <w:jc w:val="both"/>
        <w:ind w:firstLine="656"/>
        <w:spacing w:after="0" w:line="262" w:lineRule="auto"/>
        <w:tabs>
          <w:tab w:leader="none" w:pos="1287"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Modifications to the Award Agreement</w:t>
      </w:r>
      <w:r>
        <w:rPr>
          <w:rFonts w:ascii="Arial" w:cs="Arial" w:eastAsia="Arial" w:hAnsi="Arial"/>
          <w:sz w:val="20"/>
          <w:szCs w:val="20"/>
          <w:color w:val="auto"/>
        </w:rPr>
        <w:t>. This Award Agreement constitutes the entire understanding of the parties on the subjects covered. Participant expressly warrants that he or she is not accepting this Award Agreement in reliance on any promises, representations,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or inducements other than those contained herein. The Committee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203" w:lineRule="exact"/>
        <w:rPr>
          <w:sz w:val="20"/>
          <w:szCs w:val="20"/>
          <w:color w:val="auto"/>
        </w:rPr>
      </w:pPr>
    </w:p>
    <w:p>
      <w:pPr>
        <w:jc w:val="both"/>
        <w:ind w:firstLine="656"/>
        <w:spacing w:after="0" w:line="259"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Participant’s participation in the Plan, on the Shares of Restricted Stock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208" w:lineRule="exact"/>
        <w:rPr>
          <w:rFonts w:ascii="Arial" w:cs="Arial" w:eastAsia="Arial" w:hAnsi="Arial"/>
          <w:sz w:val="20"/>
          <w:szCs w:val="20"/>
          <w:color w:val="auto"/>
        </w:rPr>
      </w:pPr>
    </w:p>
    <w:p>
      <w:pPr>
        <w:jc w:val="both"/>
        <w:ind w:firstLine="656"/>
        <w:spacing w:after="0" w:line="251"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Governing Law; Venue; Severability</w:t>
      </w:r>
      <w:r>
        <w:rPr>
          <w:rFonts w:ascii="Arial" w:cs="Arial" w:eastAsia="Arial" w:hAnsi="Arial"/>
          <w:sz w:val="20"/>
          <w:szCs w:val="20"/>
          <w:color w:val="auto"/>
        </w:rPr>
        <w:t>. This Award Agreement and the Shares of Restricted Stock are governed by the internal substantive laws, but not the choice of law rules, of the State of Delaware, USA. For purposes of litigating any dispute that arises under the Shares of Restricted Stock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219" w:lineRule="exact"/>
        <w:rPr>
          <w:rFonts w:ascii="Arial" w:cs="Arial" w:eastAsia="Arial" w:hAnsi="Arial"/>
          <w:sz w:val="20"/>
          <w:szCs w:val="20"/>
          <w:color w:val="auto"/>
        </w:rPr>
      </w:pPr>
    </w:p>
    <w:p>
      <w:pPr>
        <w:jc w:val="both"/>
        <w:ind w:firstLine="656"/>
        <w:spacing w:after="0" w:line="252"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color w:val="auto"/>
        </w:rPr>
        <w:t>[NTD: Delete for directors]</w:t>
      </w:r>
      <w:r>
        <w:rPr>
          <w:rFonts w:ascii="Arial" w:cs="Arial" w:eastAsia="Arial" w:hAnsi="Arial"/>
          <w:sz w:val="20"/>
          <w:szCs w:val="20"/>
          <w:u w:val="single" w:color="auto"/>
          <w:color w:val="auto"/>
        </w:rPr>
        <w:t>[Vesting upon a Qualifying Separation from Service</w:t>
      </w:r>
      <w:r>
        <w:rPr>
          <w:rFonts w:ascii="Arial" w:cs="Arial" w:eastAsia="Arial" w:hAnsi="Arial"/>
          <w:sz w:val="20"/>
          <w:szCs w:val="20"/>
          <w:color w:val="auto"/>
        </w:rPr>
        <w:t>. To the extent that Participant and the Company have entered into a written offer letter or similar written agreement (the “</w:t>
      </w:r>
      <w:r>
        <w:rPr>
          <w:rFonts w:ascii="Arial" w:cs="Arial" w:eastAsia="Arial" w:hAnsi="Arial"/>
          <w:sz w:val="20"/>
          <w:szCs w:val="20"/>
          <w:u w:val="single" w:color="auto"/>
          <w:color w:val="auto"/>
        </w:rPr>
        <w:t>Letter</w:t>
      </w:r>
      <w:r>
        <w:rPr>
          <w:rFonts w:ascii="Arial" w:cs="Arial" w:eastAsia="Arial" w:hAnsi="Arial"/>
          <w:sz w:val="20"/>
          <w:szCs w:val="20"/>
          <w:color w:val="auto"/>
        </w:rPr>
        <w:t>”) that provides for accelerated or continued vesting of part or all of this Award if Participant experiences a “Qualifying Separation from Service” (as defined in the Letter), if Participant experiences a Qualifying Separation from Service and complies with the terms of the Letter so that Participant becomes entitled to “Severance Benefits” (as defined in the Letter), Participant also shall be entitled to partial or full vesting of this Award as a Restricted Stock award under the Letter and in accordance with the terms and conditions specified in the Letter. For the avoidance of doubt, any vesting provided under this Section 28 is subject to all of the terms and conditions of the Letter and, if Participant does not comply with the requirements of the Letter to qualify for Severance Benefits, Participant will not be entitled to any vesting under this Section 28.]</w:t>
      </w:r>
    </w:p>
    <w:p>
      <w:pPr>
        <w:spacing w:after="0" w:line="202" w:lineRule="exact"/>
        <w:rPr>
          <w:rFonts w:ascii="Arial" w:cs="Arial" w:eastAsia="Arial" w:hAnsi="Arial"/>
          <w:sz w:val="20"/>
          <w:szCs w:val="20"/>
          <w:color w:val="auto"/>
        </w:rPr>
      </w:pPr>
    </w:p>
    <w:p>
      <w:pPr>
        <w:jc w:val="both"/>
        <w:ind w:firstLine="656"/>
        <w:spacing w:after="0" w:line="259" w:lineRule="auto"/>
        <w:tabs>
          <w:tab w:leader="none" w:pos="1287"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1" w:lineRule="exact"/>
        <w:rPr>
          <w:sz w:val="20"/>
          <w:szCs w:val="20"/>
          <w:color w:val="auto"/>
        </w:rPr>
      </w:pPr>
    </w:p>
    <w:p>
      <w:pPr>
        <w:jc w:val="both"/>
        <w:ind w:firstLine="656"/>
        <w:spacing w:after="0" w:line="254" w:lineRule="auto"/>
        <w:tabs>
          <w:tab w:leader="none" w:pos="1287"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Country Addendum</w:t>
      </w:r>
      <w:r>
        <w:rPr>
          <w:rFonts w:ascii="Arial" w:cs="Arial" w:eastAsia="Arial" w:hAnsi="Arial"/>
          <w:sz w:val="20"/>
          <w:szCs w:val="20"/>
          <w:color w:val="auto"/>
        </w:rPr>
        <w:t>. Notwithstanding any provisions in this Award Agreement, the Restricted Stock Award shall be subject to any special terms and conditions set forth in an appendix (if any) to this Award Agreement for any country whose laws are applicable to Participant and this Award of Restricted Stock (as determined by the Committee in its sole discretion) (the “</w:t>
      </w:r>
      <w:r>
        <w:rPr>
          <w:rFonts w:ascii="Arial" w:cs="Arial" w:eastAsia="Arial" w:hAnsi="Arial"/>
          <w:sz w:val="20"/>
          <w:szCs w:val="20"/>
          <w:u w:val="single" w:color="auto"/>
          <w:color w:val="auto"/>
        </w:rPr>
        <w:t>Country Addendum</w:t>
      </w:r>
      <w:r>
        <w:rPr>
          <w:rFonts w:ascii="Arial" w:cs="Arial" w:eastAsia="Arial" w:hAnsi="Arial"/>
          <w:sz w:val="20"/>
          <w:szCs w:val="20"/>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part of this Award Agreement.</w:t>
      </w:r>
    </w:p>
    <w:p>
      <w:pPr>
        <w:spacing w:after="0" w:line="199" w:lineRule="exact"/>
        <w:rPr>
          <w:rFonts w:ascii="Arial" w:cs="Arial" w:eastAsia="Arial" w:hAnsi="Arial"/>
          <w:sz w:val="20"/>
          <w:szCs w:val="20"/>
          <w:color w:val="auto"/>
        </w:rPr>
      </w:pPr>
    </w:p>
    <w:p>
      <w:pPr>
        <w:jc w:val="both"/>
        <w:ind w:firstLine="656"/>
        <w:spacing w:after="0" w:line="251" w:lineRule="auto"/>
        <w:tabs>
          <w:tab w:leader="none" w:pos="1287"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Insider Trading/Market Abuse Laws</w:t>
      </w:r>
      <w:r>
        <w:rPr>
          <w:rFonts w:ascii="Arial" w:cs="Arial" w:eastAsia="Arial" w:hAnsi="Arial"/>
          <w:sz w:val="20"/>
          <w:szCs w:val="20"/>
          <w:color w:val="auto"/>
        </w:rPr>
        <w:t>. Participant acknowledges that he or she may be subject to insider trading restrictions and/or market abuse laws in applicable jurisdictions including, but not limited to, the United States and Participant’s country of residence, which may affect Participant’s ability to acquire or sell Shares or rights to Shares (e.g., Restricted Stock) under the Plan during such time as Participant is considered to have “inside information” regarding the Company (as defined by the laws in the applicable jurisdictions). Local insider trading laws and regulations may prohibit the cancellation or amendment of orders Participant placed before Participant possessed inside information. Furthermore, Participant could be prohibited from (i) disclosing the inside information to any third party and (ii) “tipping” third parties or causing them otherwise to buy or sell securities. Participant should keep in mind third parties includes fellow employees. Any restrictions under these laws or regulations are separate from and in addition to any restrictions that may be imposed under any applicable insider trading policy of the Company. Participant is responsible for ensuring compliance with any applicable restrictions and should consult with his or her personal legal advisor on this matter.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[Insert applicable country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40"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20"/>
          <w:szCs w:val="20"/>
          <w:color w:val="auto"/>
        </w:rPr>
        <w:t>EXHIBIT 10.4</w:t>
      </w:r>
    </w:p>
    <w:p>
      <w:pPr>
        <w:spacing w:after="0" w:line="25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TERM LOAN CREDIT AGREEMENT</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among</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MICRON TECHNOLOGY, INC.,</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Borrower</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THE LENDERS PARTY HERETO,</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WELLS FARGO BANK, NATIONAL ASSOCIATION,</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Administrative Agent</w:t>
      </w:r>
    </w:p>
    <w:p>
      <w:pPr>
        <w:spacing w:after="0" w:line="200" w:lineRule="exact"/>
        <w:rPr>
          <w:sz w:val="20"/>
          <w:szCs w:val="20"/>
          <w:color w:val="auto"/>
        </w:rPr>
      </w:pPr>
    </w:p>
    <w:p>
      <w:pPr>
        <w:spacing w:after="0" w:line="25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Dated as of November 3, 2022</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MIZUHO BANK, LTD. and TRUIST BANK,</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Syndication Agents</w:t>
      </w:r>
    </w:p>
    <w:p>
      <w:pPr>
        <w:spacing w:after="0" w:line="225" w:lineRule="exact"/>
        <w:rPr>
          <w:sz w:val="20"/>
          <w:szCs w:val="20"/>
          <w:color w:val="auto"/>
        </w:rPr>
      </w:pPr>
    </w:p>
    <w:p>
      <w:pPr>
        <w:jc w:val="center"/>
        <w:ind w:right="120"/>
        <w:spacing w:after="0" w:line="241" w:lineRule="auto"/>
        <w:rPr>
          <w:sz w:val="20"/>
          <w:szCs w:val="20"/>
          <w:color w:val="auto"/>
        </w:rPr>
      </w:pPr>
      <w:r>
        <w:rPr>
          <w:rFonts w:ascii="Arial" w:cs="Arial" w:eastAsia="Arial" w:hAnsi="Arial"/>
          <w:sz w:val="20"/>
          <w:szCs w:val="20"/>
          <w:color w:val="auto"/>
        </w:rPr>
        <w:t>DBS BANK LTD., JPMORGAN CHASE BANK, N.A., OVERSEA-CHINESE BANKING CORPORATION LIMITED, LOS ANGELES AGENCY, PNC BANK, NATIONAL ASSOCIATION and THE BANK OF NOVA SCOTIA,</w:t>
      </w:r>
    </w:p>
    <w:p>
      <w:pPr>
        <w:spacing w:after="0" w:line="2"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Documentation Agents</w:t>
      </w: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WELLS FARGO SECURITIES, LLC, MIZUHO BANK, LTD., and</w:t>
      </w:r>
    </w:p>
    <w:p>
      <w:pPr>
        <w:spacing w:after="0" w:line="4"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TRUIST SECURITIES,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Joint Bookrunners</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and</w:t>
      </w: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as Joint Lead Arrangers</w:t>
      </w:r>
    </w:p>
    <w:p>
      <w:pPr>
        <w:spacing w:after="0" w:line="200" w:lineRule="exact"/>
        <w:rPr>
          <w:sz w:val="20"/>
          <w:szCs w:val="20"/>
          <w:color w:val="auto"/>
        </w:rPr>
      </w:pPr>
    </w:p>
    <w:p>
      <w:pPr>
        <w:spacing w:after="0" w:line="267"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______________________________________________________________________</w:t>
      </w:r>
    </w:p>
    <w:p>
      <w:pPr>
        <w:sectPr>
          <w:pgSz w:w="11900" w:h="16838" w:orient="portrait"/>
          <w:cols w:equalWidth="0" w:num="1">
            <w:col w:w="10460"/>
          </w:cols>
          <w:pgMar w:left="780" w:top="1414" w:right="659" w:bottom="1440" w:gutter="0" w:footer="0" w:header="0"/>
        </w:sectPr>
      </w:pPr>
    </w:p>
    <w:bookmarkStart w:id="168" w:name="page169"/>
    <w:bookmarkEnd w:id="168"/>
    <w:p>
      <w:pPr>
        <w:spacing w:after="0" w:line="200" w:lineRule="exact"/>
        <w:rPr>
          <w:sz w:val="20"/>
          <w:szCs w:val="20"/>
          <w:color w:val="auto"/>
        </w:rPr>
      </w:pPr>
    </w:p>
    <w:p>
      <w:pPr>
        <w:spacing w:after="0" w:line="241"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20"/>
                <w:szCs w:val="20"/>
                <w:color w:val="auto"/>
              </w:rPr>
              <w:t>TABLE OF CONTENTS</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5"/>
        </w:trPr>
        <w:tc>
          <w:tcPr>
            <w:tcW w:w="374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Section 1 Definitions</w:t>
            </w:r>
          </w:p>
        </w:tc>
        <w:tc>
          <w:tcPr>
            <w:tcW w:w="2080" w:type="dxa"/>
            <w:vAlign w:val="bottom"/>
            <w:tcBorders>
              <w:top w:val="single" w:sz="8" w:color="auto"/>
            </w:tcBorders>
            <w:vMerge w:val="restart"/>
          </w:tcPr>
          <w:p>
            <w:pPr>
              <w:spacing w:after="0"/>
              <w:rPr>
                <w:sz w:val="24"/>
                <w:szCs w:val="24"/>
                <w:color w:val="auto"/>
              </w:rPr>
            </w:pPr>
          </w:p>
        </w:tc>
        <w:tc>
          <w:tcPr>
            <w:tcW w:w="1640" w:type="dxa"/>
            <w:vAlign w:val="bottom"/>
            <w:vMerge w:val="restart"/>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256"/>
        </w:trPr>
        <w:tc>
          <w:tcPr>
            <w:tcW w:w="3740" w:type="dxa"/>
            <w:vAlign w:val="bottom"/>
            <w:gridSpan w:val="3"/>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1.1</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Defined Terms</w:t>
            </w:r>
          </w:p>
        </w:tc>
        <w:tc>
          <w:tcPr>
            <w:tcW w:w="210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1.2</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Other Definitional Provisions</w:t>
            </w:r>
          </w:p>
        </w:tc>
        <w:tc>
          <w:tcPr>
            <w:tcW w:w="2100" w:type="dxa"/>
            <w:vAlign w:val="bottom"/>
          </w:tcPr>
          <w:p>
            <w:pPr>
              <w:jc w:val="right"/>
              <w:spacing w:after="0"/>
              <w:rPr>
                <w:sz w:val="20"/>
                <w:szCs w:val="20"/>
                <w:color w:val="auto"/>
              </w:rPr>
            </w:pPr>
            <w:r>
              <w:rPr>
                <w:rFonts w:ascii="Arial" w:cs="Arial" w:eastAsia="Arial" w:hAnsi="Arial"/>
                <w:sz w:val="20"/>
                <w:szCs w:val="20"/>
                <w:color w:val="auto"/>
              </w:rPr>
              <w:t>28</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1.3</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Delivery Notices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1.4</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Divisions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522"/>
        </w:trPr>
        <w:tc>
          <w:tcPr>
            <w:tcW w:w="7460" w:type="dxa"/>
            <w:vAlign w:val="bottom"/>
            <w:gridSpan w:val="5"/>
          </w:tcPr>
          <w:p>
            <w:pPr>
              <w:spacing w:after="0"/>
              <w:rPr>
                <w:sz w:val="20"/>
                <w:szCs w:val="20"/>
                <w:color w:val="auto"/>
              </w:rPr>
            </w:pPr>
            <w:r>
              <w:rPr>
                <w:rFonts w:ascii="Arial" w:cs="Arial" w:eastAsia="Arial" w:hAnsi="Arial"/>
                <w:sz w:val="20"/>
                <w:szCs w:val="20"/>
                <w:b w:val="1"/>
                <w:bCs w:val="1"/>
                <w:color w:val="auto"/>
              </w:rPr>
              <w:t>Section 2 The Credits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2.1</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Term Commitments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2.2</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Term Loans</w:t>
            </w:r>
          </w:p>
        </w:tc>
        <w:tc>
          <w:tcPr>
            <w:tcW w:w="2100" w:type="dxa"/>
            <w:vAlign w:val="bottom"/>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2.3</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Requests for Term Loan Borrowings</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2.4</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[Reserved]</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2.5</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Funding of Term Loan Borrowings</w:t>
            </w:r>
          </w:p>
        </w:tc>
        <w:tc>
          <w:tcPr>
            <w:tcW w:w="2100" w:type="dxa"/>
            <w:vAlign w:val="bottom"/>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2.6</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Termination and Reduction of Term Commitments</w:t>
            </w:r>
          </w:p>
        </w:tc>
        <w:tc>
          <w:tcPr>
            <w:tcW w:w="210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2.7</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Repayment of Term Loan; Evidence of Debt</w:t>
            </w:r>
          </w:p>
        </w:tc>
        <w:tc>
          <w:tcPr>
            <w:tcW w:w="2100" w:type="dxa"/>
            <w:vAlign w:val="bottom"/>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2.8</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Interest Rates and Payment Dates</w:t>
            </w:r>
          </w:p>
        </w:tc>
        <w:tc>
          <w:tcPr>
            <w:tcW w:w="21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2.9</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Computation of Interest and Fees</w:t>
            </w:r>
          </w:p>
        </w:tc>
        <w:tc>
          <w:tcPr>
            <w:tcW w:w="2100" w:type="dxa"/>
            <w:vAlign w:val="bottom"/>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2.10</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Benchmark Replacement Setting</w:t>
            </w:r>
          </w:p>
        </w:tc>
        <w:tc>
          <w:tcPr>
            <w:tcW w:w="2100" w:type="dxa"/>
            <w:vAlign w:val="bottom"/>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57"/>
        </w:trPr>
        <w:tc>
          <w:tcPr>
            <w:tcW w:w="7460" w:type="dxa"/>
            <w:vAlign w:val="bottom"/>
            <w:gridSpan w:val="5"/>
          </w:tcPr>
          <w:p>
            <w:pPr>
              <w:ind w:left="120"/>
              <w:spacing w:after="0"/>
              <w:rPr>
                <w:sz w:val="20"/>
                <w:szCs w:val="20"/>
                <w:color w:val="auto"/>
              </w:rPr>
            </w:pPr>
            <w:r>
              <w:rPr>
                <w:rFonts w:ascii="Arial" w:cs="Arial" w:eastAsia="Arial" w:hAnsi="Arial"/>
                <w:sz w:val="20"/>
                <w:szCs w:val="20"/>
                <w:color w:val="auto"/>
              </w:rPr>
              <w:t>2.11 Prepayment of Term Loans</w:t>
            </w:r>
          </w:p>
        </w:tc>
        <w:tc>
          <w:tcPr>
            <w:tcW w:w="21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2.12</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Conversion and Continuation of Options</w:t>
            </w:r>
          </w:p>
        </w:tc>
        <w:tc>
          <w:tcPr>
            <w:tcW w:w="2100" w:type="dxa"/>
            <w:vAlign w:val="bottom"/>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2.13</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Limitations on Adjusted Term SOFR Tranches</w:t>
            </w:r>
          </w:p>
        </w:tc>
        <w:tc>
          <w:tcPr>
            <w:tcW w:w="21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2.14</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Pro Rata Treatments, etc.</w:t>
            </w:r>
          </w:p>
        </w:tc>
        <w:tc>
          <w:tcPr>
            <w:tcW w:w="2100" w:type="dxa"/>
            <w:vAlign w:val="bottom"/>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2.15</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Requirements of Law</w:t>
            </w:r>
          </w:p>
        </w:tc>
        <w:tc>
          <w:tcPr>
            <w:tcW w:w="2100" w:type="dxa"/>
            <w:vAlign w:val="bottom"/>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2.16</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Taxes</w:t>
            </w:r>
          </w:p>
        </w:tc>
        <w:tc>
          <w:tcPr>
            <w:tcW w:w="2100" w:type="dxa"/>
            <w:vAlign w:val="bottom"/>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2.17</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Indemnity</w:t>
            </w:r>
          </w:p>
        </w:tc>
        <w:tc>
          <w:tcPr>
            <w:tcW w:w="21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2.18</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Change of Lending Office</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2.19</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Fees</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2.20</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Nature of Fees</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2.21</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Incremental Facilities</w:t>
            </w:r>
          </w:p>
        </w:tc>
        <w:tc>
          <w:tcPr>
            <w:tcW w:w="2100" w:type="dxa"/>
            <w:vAlign w:val="bottom"/>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2.22</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Replacement of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2.23</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[Reserved]</w:t>
            </w:r>
          </w:p>
        </w:tc>
        <w:tc>
          <w:tcPr>
            <w:tcW w:w="2100" w:type="dxa"/>
            <w:vAlign w:val="bottom"/>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61"/>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2.24</w:t>
            </w:r>
          </w:p>
        </w:tc>
        <w:tc>
          <w:tcPr>
            <w:tcW w:w="6920" w:type="dxa"/>
            <w:vAlign w:val="bottom"/>
            <w:gridSpan w:val="3"/>
          </w:tcPr>
          <w:p>
            <w:pPr>
              <w:ind w:left="20"/>
              <w:spacing w:after="0"/>
              <w:rPr>
                <w:sz w:val="20"/>
                <w:szCs w:val="20"/>
                <w:color w:val="auto"/>
              </w:rPr>
            </w:pPr>
            <w:r>
              <w:rPr>
                <w:rFonts w:ascii="Arial" w:cs="Arial" w:eastAsia="Arial" w:hAnsi="Arial"/>
                <w:sz w:val="20"/>
                <w:szCs w:val="20"/>
                <w:color w:val="auto"/>
              </w:rPr>
              <w:t>Defaulting Lenders</w:t>
            </w:r>
          </w:p>
        </w:tc>
        <w:tc>
          <w:tcPr>
            <w:tcW w:w="2100" w:type="dxa"/>
            <w:vAlign w:val="bottom"/>
          </w:tcPr>
          <w:p>
            <w:pPr>
              <w:jc w:val="right"/>
              <w:spacing w:after="0"/>
              <w:rPr>
                <w:sz w:val="20"/>
                <w:szCs w:val="20"/>
                <w:color w:val="auto"/>
              </w:rPr>
            </w:pPr>
            <w:r>
              <w:rPr>
                <w:rFonts w:ascii="Arial" w:cs="Arial" w:eastAsia="Arial" w:hAnsi="Arial"/>
                <w:sz w:val="20"/>
                <w:szCs w:val="20"/>
                <w:color w:val="auto"/>
              </w:rPr>
              <w:t>44</w:t>
            </w:r>
          </w:p>
        </w:tc>
        <w:tc>
          <w:tcPr>
            <w:tcW w:w="0" w:type="dxa"/>
            <w:vAlign w:val="bottom"/>
          </w:tcPr>
          <w:p>
            <w:pPr>
              <w:spacing w:after="0"/>
              <w:rPr>
                <w:sz w:val="1"/>
                <w:szCs w:val="1"/>
                <w:color w:val="auto"/>
              </w:rPr>
            </w:pPr>
          </w:p>
        </w:tc>
      </w:tr>
      <w:tr>
        <w:trPr>
          <w:trHeight w:val="522"/>
        </w:trPr>
        <w:tc>
          <w:tcPr>
            <w:tcW w:w="7460" w:type="dxa"/>
            <w:vAlign w:val="bottom"/>
            <w:gridSpan w:val="5"/>
          </w:tcPr>
          <w:p>
            <w:pPr>
              <w:spacing w:after="0"/>
              <w:rPr>
                <w:sz w:val="20"/>
                <w:szCs w:val="20"/>
                <w:color w:val="auto"/>
              </w:rPr>
            </w:pPr>
            <w:r>
              <w:rPr>
                <w:rFonts w:ascii="Arial" w:cs="Arial" w:eastAsia="Arial" w:hAnsi="Arial"/>
                <w:sz w:val="20"/>
                <w:szCs w:val="20"/>
                <w:b w:val="1"/>
                <w:bCs w:val="1"/>
                <w:color w:val="auto"/>
              </w:rPr>
              <w:t>Section 3 Representations and Warranties</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3.1</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Existence; Compliance with Law</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3.2</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Power; Authorizations; Enforceable Obligations</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3.3</w:t>
            </w:r>
          </w:p>
        </w:tc>
        <w:tc>
          <w:tcPr>
            <w:tcW w:w="7040" w:type="dxa"/>
            <w:vAlign w:val="bottom"/>
            <w:gridSpan w:val="4"/>
          </w:tcPr>
          <w:p>
            <w:pPr>
              <w:ind w:left="20"/>
              <w:spacing w:after="0"/>
              <w:rPr>
                <w:sz w:val="20"/>
                <w:szCs w:val="20"/>
                <w:color w:val="auto"/>
              </w:rPr>
            </w:pPr>
            <w:r>
              <w:rPr>
                <w:rFonts w:ascii="Arial" w:cs="Arial" w:eastAsia="Arial" w:hAnsi="Arial"/>
                <w:sz w:val="20"/>
                <w:szCs w:val="20"/>
                <w:color w:val="auto"/>
              </w:rPr>
              <w:t>No Legal Bar</w:t>
            </w:r>
          </w:p>
        </w:tc>
        <w:tc>
          <w:tcPr>
            <w:tcW w:w="2100" w:type="dxa"/>
            <w:vAlign w:val="bottom"/>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400"/>
          </w:cols>
          <w:pgMar w:left="320" w:top="1440" w:right="1179" w:bottom="1440" w:gutter="0" w:footer="0" w:header="0"/>
        </w:sectPr>
      </w:pPr>
    </w:p>
    <w:bookmarkStart w:id="169" w:name="page170"/>
    <w:bookmarkEnd w:id="169"/>
    <w:p>
      <w:pPr>
        <w:spacing w:after="0" w:line="15" w:lineRule="exact"/>
        <w:rPr>
          <w:sz w:val="20"/>
          <w:szCs w:val="20"/>
          <w:color w:val="auto"/>
        </w:rPr>
      </w:pPr>
    </w:p>
    <w:tbl>
      <w:tblPr>
        <w:tblLayout w:type="fixed"/>
        <w:tblInd w:w="840" w:type="dxa"/>
        <w:tblCellMar>
          <w:top w:w="0" w:type="dxa"/>
          <w:left w:w="0" w:type="dxa"/>
          <w:bottom w:w="0" w:type="dxa"/>
          <w:right w:w="0" w:type="dxa"/>
        </w:tblCellMar>
      </w:tblP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3.4</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Accuracy of Information</w:t>
            </w:r>
          </w:p>
        </w:tc>
        <w:tc>
          <w:tcPr>
            <w:tcW w:w="260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3.5</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No Material Adverse Effect</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3.6</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Title to Assets; Liens</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3.7</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Intellectual Property</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3.8</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Use of Proceeds</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3.9</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Litigation</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3.10</w:t>
            </w:r>
          </w:p>
        </w:tc>
        <w:tc>
          <w:tcPr>
            <w:tcW w:w="6420" w:type="dxa"/>
            <w:vAlign w:val="bottom"/>
          </w:tcPr>
          <w:p>
            <w:pPr>
              <w:ind w:left="20"/>
              <w:spacing w:after="0"/>
              <w:rPr>
                <w:sz w:val="20"/>
                <w:szCs w:val="20"/>
                <w:color w:val="auto"/>
              </w:rPr>
            </w:pPr>
            <w:r>
              <w:rPr>
                <w:rFonts w:ascii="Arial" w:cs="Arial" w:eastAsia="Arial" w:hAnsi="Arial"/>
                <w:sz w:val="20"/>
                <w:szCs w:val="20"/>
                <w:color w:val="auto"/>
              </w:rPr>
              <w:t>Federal Reserve Regulations</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6"/>
        </w:trPr>
        <w:tc>
          <w:tcPr>
            <w:tcW w:w="6960" w:type="dxa"/>
            <w:vAlign w:val="bottom"/>
            <w:gridSpan w:val="3"/>
          </w:tcPr>
          <w:p>
            <w:pPr>
              <w:ind w:left="120"/>
              <w:spacing w:after="0"/>
              <w:rPr>
                <w:sz w:val="20"/>
                <w:szCs w:val="20"/>
                <w:color w:val="auto"/>
              </w:rPr>
            </w:pPr>
            <w:r>
              <w:rPr>
                <w:rFonts w:ascii="Arial" w:cs="Arial" w:eastAsia="Arial" w:hAnsi="Arial"/>
                <w:sz w:val="20"/>
                <w:szCs w:val="20"/>
                <w:color w:val="auto"/>
              </w:rPr>
              <w:t>3.11 Solvency</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3.12</w:t>
            </w:r>
          </w:p>
        </w:tc>
        <w:tc>
          <w:tcPr>
            <w:tcW w:w="6420" w:type="dxa"/>
            <w:vAlign w:val="bottom"/>
          </w:tcPr>
          <w:p>
            <w:pPr>
              <w:ind w:left="20"/>
              <w:spacing w:after="0"/>
              <w:rPr>
                <w:sz w:val="20"/>
                <w:szCs w:val="20"/>
                <w:color w:val="auto"/>
              </w:rPr>
            </w:pPr>
            <w:r>
              <w:rPr>
                <w:rFonts w:ascii="Arial" w:cs="Arial" w:eastAsia="Arial" w:hAnsi="Arial"/>
                <w:sz w:val="20"/>
                <w:szCs w:val="20"/>
                <w:color w:val="auto"/>
              </w:rPr>
              <w:t>Taxes</w:t>
            </w:r>
          </w:p>
        </w:tc>
        <w:tc>
          <w:tcPr>
            <w:tcW w:w="2600" w:type="dxa"/>
            <w:vAlign w:val="bottom"/>
          </w:tcPr>
          <w:p>
            <w:pPr>
              <w:jc w:val="right"/>
              <w:spacing w:after="0"/>
              <w:rPr>
                <w:sz w:val="20"/>
                <w:szCs w:val="20"/>
                <w:color w:val="auto"/>
              </w:rPr>
            </w:pPr>
            <w:r>
              <w:rPr>
                <w:rFonts w:ascii="Arial" w:cs="Arial" w:eastAsia="Arial" w:hAnsi="Arial"/>
                <w:sz w:val="20"/>
                <w:szCs w:val="20"/>
                <w:color w:val="auto"/>
              </w:rPr>
              <w:t>46</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3.13</w:t>
            </w:r>
          </w:p>
        </w:tc>
        <w:tc>
          <w:tcPr>
            <w:tcW w:w="6420" w:type="dxa"/>
            <w:vAlign w:val="bottom"/>
          </w:tcPr>
          <w:p>
            <w:pPr>
              <w:ind w:left="20"/>
              <w:spacing w:after="0"/>
              <w:rPr>
                <w:sz w:val="20"/>
                <w:szCs w:val="20"/>
                <w:color w:val="auto"/>
              </w:rPr>
            </w:pPr>
            <w:r>
              <w:rPr>
                <w:rFonts w:ascii="Arial" w:cs="Arial" w:eastAsia="Arial" w:hAnsi="Arial"/>
                <w:sz w:val="20"/>
                <w:szCs w:val="20"/>
                <w:color w:val="auto"/>
              </w:rPr>
              <w:t>ERISA</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3.14</w:t>
            </w:r>
          </w:p>
        </w:tc>
        <w:tc>
          <w:tcPr>
            <w:tcW w:w="6420" w:type="dxa"/>
            <w:vAlign w:val="bottom"/>
          </w:tcPr>
          <w:p>
            <w:pPr>
              <w:ind w:left="20"/>
              <w:spacing w:after="0"/>
              <w:rPr>
                <w:sz w:val="20"/>
                <w:szCs w:val="20"/>
                <w:color w:val="auto"/>
              </w:rPr>
            </w:pPr>
            <w:r>
              <w:rPr>
                <w:rFonts w:ascii="Arial" w:cs="Arial" w:eastAsia="Arial" w:hAnsi="Arial"/>
                <w:sz w:val="20"/>
                <w:szCs w:val="20"/>
                <w:color w:val="auto"/>
              </w:rPr>
              <w:t>Environmental Matters; Hazardous Material</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3.15</w:t>
            </w:r>
          </w:p>
        </w:tc>
        <w:tc>
          <w:tcPr>
            <w:tcW w:w="6420" w:type="dxa"/>
            <w:vAlign w:val="bottom"/>
          </w:tcPr>
          <w:p>
            <w:pPr>
              <w:ind w:left="20"/>
              <w:spacing w:after="0"/>
              <w:rPr>
                <w:sz w:val="20"/>
                <w:szCs w:val="20"/>
                <w:color w:val="auto"/>
              </w:rPr>
            </w:pPr>
            <w:r>
              <w:rPr>
                <w:rFonts w:ascii="Arial" w:cs="Arial" w:eastAsia="Arial" w:hAnsi="Arial"/>
                <w:sz w:val="20"/>
                <w:szCs w:val="20"/>
                <w:color w:val="auto"/>
              </w:rPr>
              <w:t>Investment Company Act; Other Regulations</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3.16</w:t>
            </w:r>
          </w:p>
        </w:tc>
        <w:tc>
          <w:tcPr>
            <w:tcW w:w="6420" w:type="dxa"/>
            <w:vAlign w:val="bottom"/>
          </w:tcPr>
          <w:p>
            <w:pPr>
              <w:ind w:left="20"/>
              <w:spacing w:after="0"/>
              <w:rPr>
                <w:sz w:val="20"/>
                <w:szCs w:val="20"/>
                <w:color w:val="auto"/>
              </w:rPr>
            </w:pPr>
            <w:r>
              <w:rPr>
                <w:rFonts w:ascii="Arial" w:cs="Arial" w:eastAsia="Arial" w:hAnsi="Arial"/>
                <w:sz w:val="20"/>
                <w:szCs w:val="20"/>
                <w:color w:val="auto"/>
              </w:rPr>
              <w:t>Labor Matters</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3.17</w:t>
            </w:r>
          </w:p>
        </w:tc>
        <w:tc>
          <w:tcPr>
            <w:tcW w:w="6420" w:type="dxa"/>
            <w:vAlign w:val="bottom"/>
          </w:tcPr>
          <w:p>
            <w:pPr>
              <w:ind w:left="20"/>
              <w:spacing w:after="0"/>
              <w:rPr>
                <w:sz w:val="20"/>
                <w:szCs w:val="20"/>
                <w:color w:val="auto"/>
              </w:rPr>
            </w:pPr>
            <w:r>
              <w:rPr>
                <w:rFonts w:ascii="Arial" w:cs="Arial" w:eastAsia="Arial" w:hAnsi="Arial"/>
                <w:sz w:val="20"/>
                <w:szCs w:val="20"/>
                <w:color w:val="auto"/>
              </w:rPr>
              <w:t>Anti-Corruption Laws and Sanctions</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3.18</w:t>
            </w:r>
          </w:p>
        </w:tc>
        <w:tc>
          <w:tcPr>
            <w:tcW w:w="6420" w:type="dxa"/>
            <w:vAlign w:val="bottom"/>
          </w:tcPr>
          <w:p>
            <w:pPr>
              <w:ind w:left="20"/>
              <w:spacing w:after="0"/>
              <w:rPr>
                <w:sz w:val="20"/>
                <w:szCs w:val="20"/>
                <w:color w:val="auto"/>
              </w:rPr>
            </w:pPr>
            <w:r>
              <w:rPr>
                <w:rFonts w:ascii="Arial" w:cs="Arial" w:eastAsia="Arial" w:hAnsi="Arial"/>
                <w:sz w:val="20"/>
                <w:szCs w:val="20"/>
                <w:color w:val="auto"/>
              </w:rPr>
              <w:t>Affected Financial Institutions</w:t>
            </w:r>
          </w:p>
        </w:tc>
        <w:tc>
          <w:tcPr>
            <w:tcW w:w="260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3.19</w:t>
            </w:r>
          </w:p>
        </w:tc>
        <w:tc>
          <w:tcPr>
            <w:tcW w:w="6420" w:type="dxa"/>
            <w:vAlign w:val="bottom"/>
          </w:tcPr>
          <w:p>
            <w:pPr>
              <w:ind w:left="20"/>
              <w:spacing w:after="0"/>
              <w:rPr>
                <w:sz w:val="20"/>
                <w:szCs w:val="20"/>
                <w:color w:val="auto"/>
              </w:rPr>
            </w:pPr>
            <w:r>
              <w:rPr>
                <w:rFonts w:ascii="Arial" w:cs="Arial" w:eastAsia="Arial" w:hAnsi="Arial"/>
                <w:sz w:val="20"/>
                <w:szCs w:val="20"/>
                <w:color w:val="auto"/>
              </w:rPr>
              <w:t>Disclosure</w:t>
            </w:r>
          </w:p>
        </w:tc>
        <w:tc>
          <w:tcPr>
            <w:tcW w:w="2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61"/>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3.20</w:t>
            </w:r>
          </w:p>
        </w:tc>
        <w:tc>
          <w:tcPr>
            <w:tcW w:w="6420" w:type="dxa"/>
            <w:vAlign w:val="bottom"/>
          </w:tcPr>
          <w:p>
            <w:pPr>
              <w:ind w:left="20"/>
              <w:spacing w:after="0"/>
              <w:rPr>
                <w:sz w:val="20"/>
                <w:szCs w:val="20"/>
                <w:color w:val="auto"/>
              </w:rPr>
            </w:pPr>
            <w:r>
              <w:rPr>
                <w:rFonts w:ascii="Arial" w:cs="Arial" w:eastAsia="Arial" w:hAnsi="Arial"/>
                <w:sz w:val="20"/>
                <w:szCs w:val="20"/>
                <w:color w:val="auto"/>
              </w:rPr>
              <w:t>ERISA Event</w:t>
            </w:r>
          </w:p>
        </w:tc>
        <w:tc>
          <w:tcPr>
            <w:tcW w:w="2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522"/>
        </w:trPr>
        <w:tc>
          <w:tcPr>
            <w:tcW w:w="6960" w:type="dxa"/>
            <w:vAlign w:val="bottom"/>
            <w:gridSpan w:val="3"/>
          </w:tcPr>
          <w:p>
            <w:pPr>
              <w:spacing w:after="0"/>
              <w:rPr>
                <w:sz w:val="20"/>
                <w:szCs w:val="20"/>
                <w:color w:val="auto"/>
              </w:rPr>
            </w:pPr>
            <w:r>
              <w:rPr>
                <w:rFonts w:ascii="Arial" w:cs="Arial" w:eastAsia="Arial" w:hAnsi="Arial"/>
                <w:sz w:val="20"/>
                <w:szCs w:val="20"/>
                <w:b w:val="1"/>
                <w:bCs w:val="1"/>
                <w:color w:val="auto"/>
              </w:rPr>
              <w:t>Section 4 Conditions Precedent</w:t>
            </w:r>
          </w:p>
        </w:tc>
        <w:tc>
          <w:tcPr>
            <w:tcW w:w="2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4.1</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Conditions to the Closing Date</w:t>
            </w:r>
          </w:p>
        </w:tc>
        <w:tc>
          <w:tcPr>
            <w:tcW w:w="260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4.2</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Each Credit Event</w:t>
            </w:r>
          </w:p>
        </w:tc>
        <w:tc>
          <w:tcPr>
            <w:tcW w:w="26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522"/>
        </w:trPr>
        <w:tc>
          <w:tcPr>
            <w:tcW w:w="6960" w:type="dxa"/>
            <w:vAlign w:val="bottom"/>
            <w:gridSpan w:val="3"/>
          </w:tcPr>
          <w:p>
            <w:pPr>
              <w:spacing w:after="0"/>
              <w:rPr>
                <w:sz w:val="20"/>
                <w:szCs w:val="20"/>
                <w:color w:val="auto"/>
              </w:rPr>
            </w:pPr>
            <w:r>
              <w:rPr>
                <w:rFonts w:ascii="Arial" w:cs="Arial" w:eastAsia="Arial" w:hAnsi="Arial"/>
                <w:sz w:val="20"/>
                <w:szCs w:val="20"/>
                <w:b w:val="1"/>
                <w:bCs w:val="1"/>
                <w:color w:val="auto"/>
              </w:rPr>
              <w:t>Section 5 Affirmative Covenants</w:t>
            </w:r>
          </w:p>
        </w:tc>
        <w:tc>
          <w:tcPr>
            <w:tcW w:w="26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5.1</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Financial Statements, etc.</w:t>
            </w:r>
          </w:p>
        </w:tc>
        <w:tc>
          <w:tcPr>
            <w:tcW w:w="2600" w:type="dxa"/>
            <w:vAlign w:val="bottom"/>
          </w:tcPr>
          <w:p>
            <w:pPr>
              <w:jc w:val="right"/>
              <w:spacing w:after="0"/>
              <w:rPr>
                <w:sz w:val="20"/>
                <w:szCs w:val="20"/>
                <w:color w:val="auto"/>
              </w:rPr>
            </w:pPr>
            <w:r>
              <w:rPr>
                <w:rFonts w:ascii="Arial" w:cs="Arial" w:eastAsia="Arial" w:hAnsi="Arial"/>
                <w:sz w:val="20"/>
                <w:szCs w:val="20"/>
                <w:color w:val="auto"/>
              </w:rPr>
              <w:t>49</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5.2</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Compliance Certificate; Reporting</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5.3</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Maintenance of Existence</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5.4</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Maintenance of Insurance</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5.5</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Use of Proceeds</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5.6</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Compliance with Laws</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5.7</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Designation of Subsidiaries</w:t>
            </w:r>
          </w:p>
        </w:tc>
        <w:tc>
          <w:tcPr>
            <w:tcW w:w="260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522"/>
        </w:trPr>
        <w:tc>
          <w:tcPr>
            <w:tcW w:w="6960" w:type="dxa"/>
            <w:vAlign w:val="bottom"/>
            <w:gridSpan w:val="3"/>
          </w:tcPr>
          <w:p>
            <w:pPr>
              <w:spacing w:after="0"/>
              <w:rPr>
                <w:sz w:val="20"/>
                <w:szCs w:val="20"/>
                <w:color w:val="auto"/>
              </w:rPr>
            </w:pPr>
            <w:r>
              <w:rPr>
                <w:rFonts w:ascii="Arial" w:cs="Arial" w:eastAsia="Arial" w:hAnsi="Arial"/>
                <w:sz w:val="20"/>
                <w:szCs w:val="20"/>
                <w:b w:val="1"/>
                <w:bCs w:val="1"/>
                <w:color w:val="auto"/>
              </w:rPr>
              <w:t>Section 6 Negative Covenants</w:t>
            </w:r>
          </w:p>
        </w:tc>
        <w:tc>
          <w:tcPr>
            <w:tcW w:w="26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6.1</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Limitation on Indebtedness</w:t>
            </w:r>
          </w:p>
        </w:tc>
        <w:tc>
          <w:tcPr>
            <w:tcW w:w="260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6.2</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Limitation on Liens</w:t>
            </w:r>
          </w:p>
        </w:tc>
        <w:tc>
          <w:tcPr>
            <w:tcW w:w="2600" w:type="dxa"/>
            <w:vAlign w:val="bottom"/>
          </w:tcPr>
          <w:p>
            <w:pPr>
              <w:jc w:val="right"/>
              <w:spacing w:after="0"/>
              <w:rPr>
                <w:sz w:val="20"/>
                <w:szCs w:val="20"/>
                <w:color w:val="auto"/>
              </w:rPr>
            </w:pPr>
            <w:r>
              <w:rPr>
                <w:rFonts w:ascii="Arial" w:cs="Arial" w:eastAsia="Arial" w:hAnsi="Arial"/>
                <w:sz w:val="20"/>
                <w:szCs w:val="20"/>
                <w:color w:val="auto"/>
              </w:rPr>
              <w:t>52</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6.3</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Merger, Consolidation, or Sale of Assets</w:t>
            </w:r>
          </w:p>
        </w:tc>
        <w:tc>
          <w:tcPr>
            <w:tcW w:w="26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6.4</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Limitation on Sale and Leaseback Transactions</w:t>
            </w:r>
          </w:p>
        </w:tc>
        <w:tc>
          <w:tcPr>
            <w:tcW w:w="2600" w:type="dxa"/>
            <w:vAlign w:val="bottom"/>
          </w:tcPr>
          <w:p>
            <w:pPr>
              <w:jc w:val="right"/>
              <w:spacing w:after="0"/>
              <w:rPr>
                <w:sz w:val="20"/>
                <w:szCs w:val="20"/>
                <w:color w:val="auto"/>
              </w:rPr>
            </w:pPr>
            <w:r>
              <w:rPr>
                <w:rFonts w:ascii="Arial" w:cs="Arial" w:eastAsia="Arial" w:hAnsi="Arial"/>
                <w:sz w:val="20"/>
                <w:szCs w:val="20"/>
                <w:color w:val="auto"/>
              </w:rPr>
              <w:t>53</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6.5</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Anti-Corruption Laws and Sanctions</w:t>
            </w:r>
          </w:p>
        </w:tc>
        <w:tc>
          <w:tcPr>
            <w:tcW w:w="26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6.6</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Financial Covenants</w:t>
            </w:r>
          </w:p>
        </w:tc>
        <w:tc>
          <w:tcPr>
            <w:tcW w:w="26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522"/>
        </w:trPr>
        <w:tc>
          <w:tcPr>
            <w:tcW w:w="6960" w:type="dxa"/>
            <w:vAlign w:val="bottom"/>
            <w:gridSpan w:val="3"/>
          </w:tcPr>
          <w:p>
            <w:pPr>
              <w:spacing w:after="0"/>
              <w:rPr>
                <w:sz w:val="20"/>
                <w:szCs w:val="20"/>
                <w:color w:val="auto"/>
              </w:rPr>
            </w:pPr>
            <w:r>
              <w:rPr>
                <w:rFonts w:ascii="Arial" w:cs="Arial" w:eastAsia="Arial" w:hAnsi="Arial"/>
                <w:sz w:val="20"/>
                <w:szCs w:val="20"/>
                <w:b w:val="1"/>
                <w:bCs w:val="1"/>
                <w:color w:val="auto"/>
              </w:rPr>
              <w:t>Section 7 Events of Default</w:t>
            </w:r>
          </w:p>
        </w:tc>
        <w:tc>
          <w:tcPr>
            <w:tcW w:w="260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61"/>
        </w:trPr>
        <w:tc>
          <w:tcPr>
            <w:tcW w:w="420" w:type="dxa"/>
            <w:vAlign w:val="bottom"/>
          </w:tcPr>
          <w:p>
            <w:pPr>
              <w:ind w:left="120"/>
              <w:spacing w:after="0"/>
              <w:rPr>
                <w:sz w:val="20"/>
                <w:szCs w:val="20"/>
                <w:color w:val="auto"/>
              </w:rPr>
            </w:pPr>
            <w:r>
              <w:rPr>
                <w:rFonts w:ascii="Arial" w:cs="Arial" w:eastAsia="Arial" w:hAnsi="Arial"/>
                <w:sz w:val="20"/>
                <w:szCs w:val="20"/>
                <w:color w:val="auto"/>
              </w:rPr>
              <w:t>7.1</w:t>
            </w:r>
          </w:p>
        </w:tc>
        <w:tc>
          <w:tcPr>
            <w:tcW w:w="6540" w:type="dxa"/>
            <w:vAlign w:val="bottom"/>
            <w:gridSpan w:val="2"/>
          </w:tcPr>
          <w:p>
            <w:pPr>
              <w:ind w:left="20"/>
              <w:spacing w:after="0"/>
              <w:rPr>
                <w:sz w:val="20"/>
                <w:szCs w:val="20"/>
                <w:color w:val="auto"/>
              </w:rPr>
            </w:pPr>
            <w:r>
              <w:rPr>
                <w:rFonts w:ascii="Arial" w:cs="Arial" w:eastAsia="Arial" w:hAnsi="Arial"/>
                <w:sz w:val="20"/>
                <w:szCs w:val="20"/>
                <w:color w:val="auto"/>
              </w:rPr>
              <w:t>Events of Default</w:t>
            </w:r>
          </w:p>
        </w:tc>
        <w:tc>
          <w:tcPr>
            <w:tcW w:w="2600" w:type="dxa"/>
            <w:vAlign w:val="bottom"/>
          </w:tcPr>
          <w:p>
            <w:pPr>
              <w:jc w:val="right"/>
              <w:spacing w:after="0"/>
              <w:rPr>
                <w:sz w:val="20"/>
                <w:szCs w:val="20"/>
                <w:color w:val="auto"/>
              </w:rPr>
            </w:pPr>
            <w:r>
              <w:rPr>
                <w:rFonts w:ascii="Arial" w:cs="Arial" w:eastAsia="Arial" w:hAnsi="Arial"/>
                <w:sz w:val="20"/>
                <w:szCs w:val="20"/>
                <w:color w:val="auto"/>
              </w:rPr>
              <w:t>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400"/>
          </w:cols>
          <w:pgMar w:left="320" w:top="1440" w:right="1179" w:bottom="1440" w:gutter="0" w:footer="0" w:header="0"/>
        </w:sectPr>
      </w:pPr>
    </w:p>
    <w:bookmarkStart w:id="170" w:name="page171"/>
    <w:bookmarkEnd w:id="170"/>
    <w:p>
      <w:pPr>
        <w:spacing w:after="0" w:line="283" w:lineRule="exact"/>
        <w:rPr>
          <w:sz w:val="20"/>
          <w:szCs w:val="20"/>
          <w:color w:val="auto"/>
        </w:rPr>
      </w:pPr>
    </w:p>
    <w:tbl>
      <w:tblPr>
        <w:tblLayout w:type="fixed"/>
        <w:tblInd w:w="840" w:type="dxa"/>
        <w:tblCellMar>
          <w:top w:w="0" w:type="dxa"/>
          <w:left w:w="0" w:type="dxa"/>
          <w:bottom w:w="0" w:type="dxa"/>
          <w:right w:w="0" w:type="dxa"/>
        </w:tblCellMar>
      </w:tblPr>
      <w:tr>
        <w:trPr>
          <w:trHeight w:val="258"/>
        </w:trPr>
        <w:tc>
          <w:tcPr>
            <w:tcW w:w="8180" w:type="dxa"/>
            <w:vAlign w:val="bottom"/>
            <w:gridSpan w:val="3"/>
          </w:tcPr>
          <w:p>
            <w:pPr>
              <w:spacing w:after="0"/>
              <w:rPr>
                <w:sz w:val="20"/>
                <w:szCs w:val="20"/>
                <w:color w:val="auto"/>
              </w:rPr>
            </w:pPr>
            <w:r>
              <w:rPr>
                <w:rFonts w:ascii="Arial" w:cs="Arial" w:eastAsia="Arial" w:hAnsi="Arial"/>
                <w:sz w:val="20"/>
                <w:szCs w:val="20"/>
                <w:b w:val="1"/>
                <w:bCs w:val="1"/>
                <w:color w:val="auto"/>
              </w:rPr>
              <w:t>Section 8 The Agents</w:t>
            </w:r>
          </w:p>
        </w:tc>
        <w:tc>
          <w:tcPr>
            <w:tcW w:w="13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8.1</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Appointments</w:t>
            </w:r>
          </w:p>
        </w:tc>
        <w:tc>
          <w:tcPr>
            <w:tcW w:w="138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8.2</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Delegation of Duties</w:t>
            </w:r>
          </w:p>
        </w:tc>
        <w:tc>
          <w:tcPr>
            <w:tcW w:w="13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8.3</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Exculpatory Provisions</w:t>
            </w:r>
          </w:p>
        </w:tc>
        <w:tc>
          <w:tcPr>
            <w:tcW w:w="13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8.4</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Reliance by the Administrative Agent</w:t>
            </w:r>
          </w:p>
        </w:tc>
        <w:tc>
          <w:tcPr>
            <w:tcW w:w="13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8.5</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Notice of Default</w:t>
            </w:r>
          </w:p>
        </w:tc>
        <w:tc>
          <w:tcPr>
            <w:tcW w:w="13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8.6</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Non-Reliance on the Agent and Other Lenders</w:t>
            </w:r>
          </w:p>
        </w:tc>
        <w:tc>
          <w:tcPr>
            <w:tcW w:w="13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8.7</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Indemnification</w:t>
            </w:r>
          </w:p>
        </w:tc>
        <w:tc>
          <w:tcPr>
            <w:tcW w:w="138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8.8</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Agent in Its Individual Capacity</w:t>
            </w:r>
          </w:p>
        </w:tc>
        <w:tc>
          <w:tcPr>
            <w:tcW w:w="13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8.9</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Successor Administrative Agent</w:t>
            </w:r>
          </w:p>
        </w:tc>
        <w:tc>
          <w:tcPr>
            <w:tcW w:w="13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8.10</w:t>
            </w:r>
          </w:p>
        </w:tc>
        <w:tc>
          <w:tcPr>
            <w:tcW w:w="7640" w:type="dxa"/>
            <w:vAlign w:val="bottom"/>
          </w:tcPr>
          <w:p>
            <w:pPr>
              <w:ind w:left="20"/>
              <w:spacing w:after="0"/>
              <w:rPr>
                <w:sz w:val="20"/>
                <w:szCs w:val="20"/>
                <w:color w:val="auto"/>
              </w:rPr>
            </w:pPr>
            <w:r>
              <w:rPr>
                <w:rFonts w:ascii="Arial" w:cs="Arial" w:eastAsia="Arial" w:hAnsi="Arial"/>
                <w:sz w:val="20"/>
                <w:szCs w:val="20"/>
                <w:color w:val="auto"/>
              </w:rPr>
              <w:t>[Reserved]</w:t>
            </w:r>
          </w:p>
        </w:tc>
        <w:tc>
          <w:tcPr>
            <w:tcW w:w="13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6"/>
        </w:trPr>
        <w:tc>
          <w:tcPr>
            <w:tcW w:w="8180" w:type="dxa"/>
            <w:vAlign w:val="bottom"/>
            <w:gridSpan w:val="3"/>
          </w:tcPr>
          <w:p>
            <w:pPr>
              <w:ind w:left="120"/>
              <w:spacing w:after="0"/>
              <w:rPr>
                <w:sz w:val="20"/>
                <w:szCs w:val="20"/>
                <w:color w:val="auto"/>
              </w:rPr>
            </w:pPr>
            <w:r>
              <w:rPr>
                <w:rFonts w:ascii="Arial" w:cs="Arial" w:eastAsia="Arial" w:hAnsi="Arial"/>
                <w:sz w:val="20"/>
                <w:szCs w:val="20"/>
                <w:color w:val="auto"/>
              </w:rPr>
              <w:t>8.11 Payments</w:t>
            </w:r>
          </w:p>
        </w:tc>
        <w:tc>
          <w:tcPr>
            <w:tcW w:w="1380" w:type="dxa"/>
            <w:vAlign w:val="bottom"/>
          </w:tcPr>
          <w:p>
            <w:pPr>
              <w:jc w:val="right"/>
              <w:spacing w:after="0"/>
              <w:rPr>
                <w:sz w:val="20"/>
                <w:szCs w:val="20"/>
                <w:color w:val="auto"/>
              </w:rPr>
            </w:pPr>
            <w:r>
              <w:rPr>
                <w:rFonts w:ascii="Arial" w:cs="Arial" w:eastAsia="Arial" w:hAnsi="Arial"/>
                <w:sz w:val="20"/>
                <w:szCs w:val="20"/>
                <w:color w:val="auto"/>
              </w:rPr>
              <w:t>59</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8.12</w:t>
            </w:r>
          </w:p>
        </w:tc>
        <w:tc>
          <w:tcPr>
            <w:tcW w:w="7640" w:type="dxa"/>
            <w:vAlign w:val="bottom"/>
          </w:tcPr>
          <w:p>
            <w:pPr>
              <w:ind w:left="20"/>
              <w:spacing w:after="0"/>
              <w:rPr>
                <w:sz w:val="20"/>
                <w:szCs w:val="20"/>
                <w:color w:val="auto"/>
              </w:rPr>
            </w:pPr>
            <w:r>
              <w:rPr>
                <w:rFonts w:ascii="Arial" w:cs="Arial" w:eastAsia="Arial" w:hAnsi="Arial"/>
                <w:sz w:val="20"/>
                <w:szCs w:val="20"/>
                <w:color w:val="auto"/>
              </w:rPr>
              <w:t>Other Terms</w:t>
            </w:r>
          </w:p>
        </w:tc>
        <w:tc>
          <w:tcPr>
            <w:tcW w:w="13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8.13</w:t>
            </w:r>
          </w:p>
        </w:tc>
        <w:tc>
          <w:tcPr>
            <w:tcW w:w="7640" w:type="dxa"/>
            <w:vAlign w:val="bottom"/>
          </w:tcPr>
          <w:p>
            <w:pPr>
              <w:ind w:left="20"/>
              <w:spacing w:after="0"/>
              <w:rPr>
                <w:sz w:val="20"/>
                <w:szCs w:val="20"/>
                <w:color w:val="auto"/>
              </w:rPr>
            </w:pPr>
            <w:r>
              <w:rPr>
                <w:rFonts w:ascii="Arial" w:cs="Arial" w:eastAsia="Arial" w:hAnsi="Arial"/>
                <w:sz w:val="20"/>
                <w:szCs w:val="20"/>
                <w:color w:val="auto"/>
              </w:rPr>
              <w:t>Enforcement by the Administrative Agent</w:t>
            </w:r>
          </w:p>
        </w:tc>
        <w:tc>
          <w:tcPr>
            <w:tcW w:w="13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8.14</w:t>
            </w:r>
          </w:p>
        </w:tc>
        <w:tc>
          <w:tcPr>
            <w:tcW w:w="7640" w:type="dxa"/>
            <w:vAlign w:val="bottom"/>
          </w:tcPr>
          <w:p>
            <w:pPr>
              <w:ind w:left="20"/>
              <w:spacing w:after="0"/>
              <w:rPr>
                <w:sz w:val="20"/>
                <w:szCs w:val="20"/>
                <w:color w:val="auto"/>
              </w:rPr>
            </w:pPr>
            <w:r>
              <w:rPr>
                <w:rFonts w:ascii="Arial" w:cs="Arial" w:eastAsia="Arial" w:hAnsi="Arial"/>
                <w:sz w:val="20"/>
                <w:szCs w:val="20"/>
                <w:color w:val="auto"/>
              </w:rPr>
              <w:t>Withholding Tax</w:t>
            </w:r>
          </w:p>
        </w:tc>
        <w:tc>
          <w:tcPr>
            <w:tcW w:w="138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61"/>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8.15</w:t>
            </w:r>
          </w:p>
        </w:tc>
        <w:tc>
          <w:tcPr>
            <w:tcW w:w="7640" w:type="dxa"/>
            <w:vAlign w:val="bottom"/>
          </w:tcPr>
          <w:p>
            <w:pPr>
              <w:ind w:left="20"/>
              <w:spacing w:after="0"/>
              <w:rPr>
                <w:sz w:val="20"/>
                <w:szCs w:val="20"/>
                <w:color w:val="auto"/>
              </w:rPr>
            </w:pPr>
            <w:r>
              <w:rPr>
                <w:rFonts w:ascii="Arial" w:cs="Arial" w:eastAsia="Arial" w:hAnsi="Arial"/>
                <w:sz w:val="20"/>
                <w:szCs w:val="20"/>
                <w:color w:val="auto"/>
              </w:rPr>
              <w:t>Certain ERISA Matters</w:t>
            </w:r>
          </w:p>
        </w:tc>
        <w:tc>
          <w:tcPr>
            <w:tcW w:w="138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522"/>
        </w:trPr>
        <w:tc>
          <w:tcPr>
            <w:tcW w:w="8180" w:type="dxa"/>
            <w:vAlign w:val="bottom"/>
            <w:gridSpan w:val="3"/>
          </w:tcPr>
          <w:p>
            <w:pPr>
              <w:spacing w:after="0"/>
              <w:rPr>
                <w:sz w:val="20"/>
                <w:szCs w:val="20"/>
                <w:color w:val="auto"/>
              </w:rPr>
            </w:pPr>
            <w:r>
              <w:rPr>
                <w:rFonts w:ascii="Arial" w:cs="Arial" w:eastAsia="Arial" w:hAnsi="Arial"/>
                <w:sz w:val="20"/>
                <w:szCs w:val="20"/>
                <w:b w:val="1"/>
                <w:bCs w:val="1"/>
                <w:color w:val="auto"/>
              </w:rPr>
              <w:t>Section 9 Miscellaneous</w:t>
            </w:r>
          </w:p>
        </w:tc>
        <w:tc>
          <w:tcPr>
            <w:tcW w:w="13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9.1</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Amendments and Waivers</w:t>
            </w:r>
          </w:p>
        </w:tc>
        <w:tc>
          <w:tcPr>
            <w:tcW w:w="138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9.2</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Notices</w:t>
            </w:r>
          </w:p>
        </w:tc>
        <w:tc>
          <w:tcPr>
            <w:tcW w:w="138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9.3</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No Waiver; Cumulative Remedies</w:t>
            </w:r>
          </w:p>
        </w:tc>
        <w:tc>
          <w:tcPr>
            <w:tcW w:w="13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9.4</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Survival of Representations and Warranties</w:t>
            </w:r>
          </w:p>
        </w:tc>
        <w:tc>
          <w:tcPr>
            <w:tcW w:w="13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9.5</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Payment of Expenses</w:t>
            </w:r>
          </w:p>
        </w:tc>
        <w:tc>
          <w:tcPr>
            <w:tcW w:w="13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9.6</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Successors and Assigns; Participations</w:t>
            </w:r>
          </w:p>
        </w:tc>
        <w:tc>
          <w:tcPr>
            <w:tcW w:w="13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9.7</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Adjustments; Setoff</w:t>
            </w:r>
          </w:p>
        </w:tc>
        <w:tc>
          <w:tcPr>
            <w:tcW w:w="13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57"/>
        </w:trPr>
        <w:tc>
          <w:tcPr>
            <w:tcW w:w="420" w:type="dxa"/>
            <w:vAlign w:val="bottom"/>
          </w:tcPr>
          <w:p>
            <w:pPr>
              <w:ind w:left="120"/>
              <w:spacing w:after="0"/>
              <w:rPr>
                <w:sz w:val="20"/>
                <w:szCs w:val="20"/>
                <w:color w:val="auto"/>
              </w:rPr>
            </w:pPr>
            <w:r>
              <w:rPr>
                <w:rFonts w:ascii="Arial" w:cs="Arial" w:eastAsia="Arial" w:hAnsi="Arial"/>
                <w:sz w:val="20"/>
                <w:szCs w:val="20"/>
                <w:color w:val="auto"/>
              </w:rPr>
              <w:t>9.8</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Counterparts</w:t>
            </w:r>
          </w:p>
        </w:tc>
        <w:tc>
          <w:tcPr>
            <w:tcW w:w="13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6"/>
        </w:trPr>
        <w:tc>
          <w:tcPr>
            <w:tcW w:w="420" w:type="dxa"/>
            <w:vAlign w:val="bottom"/>
          </w:tcPr>
          <w:p>
            <w:pPr>
              <w:ind w:left="120"/>
              <w:spacing w:after="0"/>
              <w:rPr>
                <w:sz w:val="20"/>
                <w:szCs w:val="20"/>
                <w:color w:val="auto"/>
              </w:rPr>
            </w:pPr>
            <w:r>
              <w:rPr>
                <w:rFonts w:ascii="Arial" w:cs="Arial" w:eastAsia="Arial" w:hAnsi="Arial"/>
                <w:sz w:val="20"/>
                <w:szCs w:val="20"/>
                <w:color w:val="auto"/>
              </w:rPr>
              <w:t>9.9</w:t>
            </w:r>
          </w:p>
        </w:tc>
        <w:tc>
          <w:tcPr>
            <w:tcW w:w="7760" w:type="dxa"/>
            <w:vAlign w:val="bottom"/>
            <w:gridSpan w:val="2"/>
          </w:tcPr>
          <w:p>
            <w:pPr>
              <w:ind w:left="20"/>
              <w:spacing w:after="0"/>
              <w:rPr>
                <w:sz w:val="20"/>
                <w:szCs w:val="20"/>
                <w:color w:val="auto"/>
              </w:rPr>
            </w:pPr>
            <w:r>
              <w:rPr>
                <w:rFonts w:ascii="Arial" w:cs="Arial" w:eastAsia="Arial" w:hAnsi="Arial"/>
                <w:sz w:val="20"/>
                <w:szCs w:val="20"/>
                <w:color w:val="auto"/>
              </w:rPr>
              <w:t>Severability</w:t>
            </w:r>
          </w:p>
        </w:tc>
        <w:tc>
          <w:tcPr>
            <w:tcW w:w="13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9.10</w:t>
            </w:r>
          </w:p>
        </w:tc>
        <w:tc>
          <w:tcPr>
            <w:tcW w:w="7640" w:type="dxa"/>
            <w:vAlign w:val="bottom"/>
          </w:tcPr>
          <w:p>
            <w:pPr>
              <w:ind w:left="20"/>
              <w:spacing w:after="0"/>
              <w:rPr>
                <w:sz w:val="20"/>
                <w:szCs w:val="20"/>
                <w:color w:val="auto"/>
              </w:rPr>
            </w:pPr>
            <w:r>
              <w:rPr>
                <w:rFonts w:ascii="Arial" w:cs="Arial" w:eastAsia="Arial" w:hAnsi="Arial"/>
                <w:sz w:val="20"/>
                <w:szCs w:val="20"/>
                <w:color w:val="auto"/>
              </w:rPr>
              <w:t>Integration</w:t>
            </w:r>
          </w:p>
        </w:tc>
        <w:tc>
          <w:tcPr>
            <w:tcW w:w="13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8180" w:type="dxa"/>
            <w:vAlign w:val="bottom"/>
            <w:gridSpan w:val="3"/>
          </w:tcPr>
          <w:p>
            <w:pPr>
              <w:ind w:left="120"/>
              <w:spacing w:after="0"/>
              <w:rPr>
                <w:sz w:val="20"/>
                <w:szCs w:val="20"/>
                <w:color w:val="auto"/>
              </w:rPr>
            </w:pPr>
            <w:r>
              <w:rPr>
                <w:rFonts w:ascii="Arial" w:cs="Arial" w:eastAsia="Arial" w:hAnsi="Arial"/>
                <w:sz w:val="20"/>
                <w:szCs w:val="20"/>
                <w:color w:val="auto"/>
              </w:rPr>
              <w:t>9.11 Governing Law</w:t>
            </w:r>
          </w:p>
        </w:tc>
        <w:tc>
          <w:tcPr>
            <w:tcW w:w="13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9.12</w:t>
            </w:r>
          </w:p>
        </w:tc>
        <w:tc>
          <w:tcPr>
            <w:tcW w:w="7640" w:type="dxa"/>
            <w:vAlign w:val="bottom"/>
          </w:tcPr>
          <w:p>
            <w:pPr>
              <w:ind w:left="20"/>
              <w:spacing w:after="0"/>
              <w:rPr>
                <w:sz w:val="20"/>
                <w:szCs w:val="20"/>
                <w:color w:val="auto"/>
              </w:rPr>
            </w:pPr>
            <w:r>
              <w:rPr>
                <w:rFonts w:ascii="Arial" w:cs="Arial" w:eastAsia="Arial" w:hAnsi="Arial"/>
                <w:sz w:val="20"/>
                <w:szCs w:val="20"/>
                <w:color w:val="auto"/>
              </w:rPr>
              <w:t>Submission To Jurisdiction; Waivers</w:t>
            </w:r>
          </w:p>
        </w:tc>
        <w:tc>
          <w:tcPr>
            <w:tcW w:w="13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9.13</w:t>
            </w:r>
          </w:p>
        </w:tc>
        <w:tc>
          <w:tcPr>
            <w:tcW w:w="7640" w:type="dxa"/>
            <w:vAlign w:val="bottom"/>
          </w:tcPr>
          <w:p>
            <w:pPr>
              <w:ind w:left="20"/>
              <w:spacing w:after="0"/>
              <w:rPr>
                <w:sz w:val="20"/>
                <w:szCs w:val="20"/>
                <w:color w:val="auto"/>
              </w:rPr>
            </w:pPr>
            <w:r>
              <w:rPr>
                <w:rFonts w:ascii="Arial" w:cs="Arial" w:eastAsia="Arial" w:hAnsi="Arial"/>
                <w:sz w:val="20"/>
                <w:szCs w:val="20"/>
                <w:color w:val="auto"/>
              </w:rPr>
              <w:t>Acknowledgements</w:t>
            </w:r>
          </w:p>
        </w:tc>
        <w:tc>
          <w:tcPr>
            <w:tcW w:w="13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9.14</w:t>
            </w:r>
          </w:p>
        </w:tc>
        <w:tc>
          <w:tcPr>
            <w:tcW w:w="7640" w:type="dxa"/>
            <w:vAlign w:val="bottom"/>
          </w:tcPr>
          <w:p>
            <w:pPr>
              <w:ind w:left="20"/>
              <w:spacing w:after="0"/>
              <w:rPr>
                <w:sz w:val="20"/>
                <w:szCs w:val="20"/>
                <w:color w:val="auto"/>
              </w:rPr>
            </w:pPr>
            <w:r>
              <w:rPr>
                <w:rFonts w:ascii="Arial" w:cs="Arial" w:eastAsia="Arial" w:hAnsi="Arial"/>
                <w:sz w:val="20"/>
                <w:szCs w:val="20"/>
                <w:color w:val="auto"/>
              </w:rPr>
              <w:t>Guarantors; Release of Guarantors</w:t>
            </w:r>
          </w:p>
        </w:tc>
        <w:tc>
          <w:tcPr>
            <w:tcW w:w="13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9.15</w:t>
            </w:r>
          </w:p>
        </w:tc>
        <w:tc>
          <w:tcPr>
            <w:tcW w:w="7640" w:type="dxa"/>
            <w:vAlign w:val="bottom"/>
          </w:tcPr>
          <w:p>
            <w:pPr>
              <w:ind w:left="20"/>
              <w:spacing w:after="0"/>
              <w:rPr>
                <w:sz w:val="20"/>
                <w:szCs w:val="20"/>
                <w:color w:val="auto"/>
              </w:rPr>
            </w:pPr>
            <w:r>
              <w:rPr>
                <w:rFonts w:ascii="Arial" w:cs="Arial" w:eastAsia="Arial" w:hAnsi="Arial"/>
                <w:sz w:val="20"/>
                <w:szCs w:val="20"/>
                <w:color w:val="auto"/>
              </w:rPr>
              <w:t>Confidentiality</w:t>
            </w:r>
          </w:p>
        </w:tc>
        <w:tc>
          <w:tcPr>
            <w:tcW w:w="13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9.16</w:t>
            </w:r>
          </w:p>
        </w:tc>
        <w:tc>
          <w:tcPr>
            <w:tcW w:w="7640" w:type="dxa"/>
            <w:vAlign w:val="bottom"/>
          </w:tcPr>
          <w:p>
            <w:pPr>
              <w:ind w:left="20"/>
              <w:spacing w:after="0"/>
              <w:rPr>
                <w:sz w:val="20"/>
                <w:szCs w:val="20"/>
                <w:color w:val="auto"/>
              </w:rPr>
            </w:pPr>
            <w:r>
              <w:rPr>
                <w:rFonts w:ascii="Arial" w:cs="Arial" w:eastAsia="Arial" w:hAnsi="Arial"/>
                <w:sz w:val="20"/>
                <w:szCs w:val="20"/>
                <w:color w:val="auto"/>
              </w:rPr>
              <w:t>Waivers of Jury Trial</w:t>
            </w:r>
          </w:p>
        </w:tc>
        <w:tc>
          <w:tcPr>
            <w:tcW w:w="13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9.17</w:t>
            </w:r>
          </w:p>
        </w:tc>
        <w:tc>
          <w:tcPr>
            <w:tcW w:w="7640" w:type="dxa"/>
            <w:vAlign w:val="bottom"/>
          </w:tcPr>
          <w:p>
            <w:pPr>
              <w:ind w:left="20"/>
              <w:spacing w:after="0"/>
              <w:rPr>
                <w:sz w:val="20"/>
                <w:szCs w:val="20"/>
                <w:color w:val="auto"/>
              </w:rPr>
            </w:pPr>
            <w:r>
              <w:rPr>
                <w:rFonts w:ascii="Arial" w:cs="Arial" w:eastAsia="Arial" w:hAnsi="Arial"/>
                <w:sz w:val="20"/>
                <w:szCs w:val="20"/>
                <w:color w:val="auto"/>
              </w:rPr>
              <w:t>Patriot Act</w:t>
            </w:r>
          </w:p>
        </w:tc>
        <w:tc>
          <w:tcPr>
            <w:tcW w:w="13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6"/>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9.18</w:t>
            </w:r>
          </w:p>
        </w:tc>
        <w:tc>
          <w:tcPr>
            <w:tcW w:w="7640" w:type="dxa"/>
            <w:vAlign w:val="bottom"/>
          </w:tcPr>
          <w:p>
            <w:pPr>
              <w:ind w:left="20"/>
              <w:spacing w:after="0"/>
              <w:rPr>
                <w:sz w:val="20"/>
                <w:szCs w:val="20"/>
                <w:color w:val="auto"/>
              </w:rPr>
            </w:pPr>
            <w:r>
              <w:rPr>
                <w:rFonts w:ascii="Arial" w:cs="Arial" w:eastAsia="Arial" w:hAnsi="Arial"/>
                <w:sz w:val="20"/>
                <w:szCs w:val="20"/>
                <w:color w:val="auto"/>
              </w:rPr>
              <w:t>No Fiduciary Duty</w:t>
            </w:r>
          </w:p>
        </w:tc>
        <w:tc>
          <w:tcPr>
            <w:tcW w:w="13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57"/>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9.19</w:t>
            </w:r>
          </w:p>
        </w:tc>
        <w:tc>
          <w:tcPr>
            <w:tcW w:w="7640" w:type="dxa"/>
            <w:vAlign w:val="bottom"/>
          </w:tcPr>
          <w:p>
            <w:pPr>
              <w:ind w:left="20"/>
              <w:spacing w:after="0"/>
              <w:rPr>
                <w:sz w:val="20"/>
                <w:szCs w:val="20"/>
                <w:color w:val="auto"/>
              </w:rPr>
            </w:pPr>
            <w:r>
              <w:rPr>
                <w:rFonts w:ascii="Arial" w:cs="Arial" w:eastAsia="Arial" w:hAnsi="Arial"/>
                <w:sz w:val="20"/>
                <w:szCs w:val="20"/>
                <w:color w:val="auto"/>
              </w:rPr>
              <w:t>Acknowledgement and Consent to Bail-In of Affected Financial Institutions</w:t>
            </w:r>
          </w:p>
        </w:tc>
        <w:tc>
          <w:tcPr>
            <w:tcW w:w="1380" w:type="dxa"/>
            <w:vAlign w:val="bottom"/>
          </w:tcPr>
          <w:p>
            <w:pPr>
              <w:jc w:val="right"/>
              <w:spacing w:after="0"/>
              <w:rPr>
                <w:sz w:val="20"/>
                <w:szCs w:val="20"/>
                <w:color w:val="auto"/>
              </w:rPr>
            </w:pPr>
            <w:r>
              <w:rPr>
                <w:rFonts w:ascii="Arial" w:cs="Arial" w:eastAsia="Arial" w:hAnsi="Arial"/>
                <w:sz w:val="20"/>
                <w:szCs w:val="20"/>
                <w:color w:val="auto"/>
              </w:rPr>
              <w:t>75</w:t>
            </w:r>
          </w:p>
        </w:tc>
      </w:tr>
      <w:tr>
        <w:trPr>
          <w:trHeight w:val="261"/>
        </w:trPr>
        <w:tc>
          <w:tcPr>
            <w:tcW w:w="540" w:type="dxa"/>
            <w:vAlign w:val="bottom"/>
            <w:gridSpan w:val="2"/>
          </w:tcPr>
          <w:p>
            <w:pPr>
              <w:ind w:left="120"/>
              <w:spacing w:after="0"/>
              <w:rPr>
                <w:sz w:val="20"/>
                <w:szCs w:val="20"/>
                <w:color w:val="auto"/>
              </w:rPr>
            </w:pPr>
            <w:r>
              <w:rPr>
                <w:rFonts w:ascii="Arial" w:cs="Arial" w:eastAsia="Arial" w:hAnsi="Arial"/>
                <w:sz w:val="20"/>
                <w:szCs w:val="20"/>
                <w:color w:val="auto"/>
              </w:rPr>
              <w:t>9.20</w:t>
            </w:r>
          </w:p>
        </w:tc>
        <w:tc>
          <w:tcPr>
            <w:tcW w:w="7640" w:type="dxa"/>
            <w:vAlign w:val="bottom"/>
          </w:tcPr>
          <w:p>
            <w:pPr>
              <w:ind w:left="20"/>
              <w:spacing w:after="0"/>
              <w:rPr>
                <w:sz w:val="20"/>
                <w:szCs w:val="20"/>
                <w:color w:val="auto"/>
              </w:rPr>
            </w:pPr>
            <w:r>
              <w:rPr>
                <w:rFonts w:ascii="Arial" w:cs="Arial" w:eastAsia="Arial" w:hAnsi="Arial"/>
                <w:sz w:val="20"/>
                <w:szCs w:val="20"/>
                <w:color w:val="auto"/>
              </w:rPr>
              <w:t>Interest Rate Limitations</w:t>
            </w:r>
          </w:p>
        </w:tc>
        <w:tc>
          <w:tcPr>
            <w:tcW w:w="1380" w:type="dxa"/>
            <w:vAlign w:val="bottom"/>
          </w:tcPr>
          <w:p>
            <w:pPr>
              <w:jc w:val="right"/>
              <w:spacing w:after="0"/>
              <w:rPr>
                <w:sz w:val="20"/>
                <w:szCs w:val="20"/>
                <w:color w:val="auto"/>
              </w:rPr>
            </w:pPr>
            <w:r>
              <w:rPr>
                <w:rFonts w:ascii="Arial" w:cs="Arial" w:eastAsia="Arial" w:hAnsi="Arial"/>
                <w:sz w:val="20"/>
                <w:szCs w:val="20"/>
                <w:color w:val="auto"/>
              </w:rPr>
              <w:t>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0400"/>
          </w:cols>
          <w:pgMar w:left="320" w:top="1440" w:right="1179" w:bottom="1440" w:gutter="0" w:footer="0" w:header="0"/>
        </w:sectPr>
      </w:pPr>
    </w:p>
    <w:bookmarkStart w:id="171" w:name="page172"/>
    <w:bookmarkEnd w:id="171"/>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73"/>
        </w:trPr>
        <w:tc>
          <w:tcPr>
            <w:tcW w:w="1760" w:type="dxa"/>
            <w:vAlign w:val="bottom"/>
          </w:tcPr>
          <w:p>
            <w:pPr>
              <w:spacing w:after="0"/>
              <w:rPr>
                <w:sz w:val="20"/>
                <w:szCs w:val="20"/>
                <w:color w:val="auto"/>
              </w:rPr>
            </w:pPr>
            <w:r>
              <w:rPr>
                <w:rFonts w:ascii="Arial" w:cs="Arial" w:eastAsia="Arial" w:hAnsi="Arial"/>
                <w:sz w:val="20"/>
                <w:szCs w:val="20"/>
                <w:b w:val="1"/>
                <w:bCs w:val="1"/>
                <w:color w:val="auto"/>
              </w:rPr>
              <w:t>SCHEDULES</w:t>
            </w:r>
          </w:p>
        </w:tc>
        <w:tc>
          <w:tcPr>
            <w:tcW w:w="7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1760" w:type="dxa"/>
            <w:vAlign w:val="bottom"/>
          </w:tcPr>
          <w:p>
            <w:pPr>
              <w:ind w:left="260"/>
              <w:spacing w:after="0"/>
              <w:rPr>
                <w:sz w:val="20"/>
                <w:szCs w:val="20"/>
                <w:color w:val="auto"/>
              </w:rPr>
            </w:pPr>
            <w:r>
              <w:rPr>
                <w:rFonts w:ascii="Arial" w:cs="Arial" w:eastAsia="Arial" w:hAnsi="Arial"/>
                <w:sz w:val="20"/>
                <w:szCs w:val="20"/>
                <w:color w:val="auto"/>
              </w:rPr>
              <w:t>Schedule 1.1</w:t>
            </w:r>
          </w:p>
        </w:tc>
        <w:tc>
          <w:tcPr>
            <w:tcW w:w="7060" w:type="dxa"/>
            <w:vAlign w:val="bottom"/>
          </w:tcPr>
          <w:p>
            <w:pPr>
              <w:ind w:left="360"/>
              <w:spacing w:after="0"/>
              <w:rPr>
                <w:sz w:val="20"/>
                <w:szCs w:val="20"/>
                <w:color w:val="auto"/>
              </w:rPr>
            </w:pPr>
            <w:r>
              <w:rPr>
                <w:rFonts w:ascii="Arial" w:cs="Arial" w:eastAsia="Arial" w:hAnsi="Arial"/>
                <w:sz w:val="20"/>
                <w:szCs w:val="20"/>
                <w:color w:val="auto"/>
              </w:rPr>
              <w:t>Term Commitment Amounts</w:t>
            </w:r>
          </w:p>
        </w:tc>
        <w:tc>
          <w:tcPr>
            <w:tcW w:w="0" w:type="dxa"/>
            <w:vAlign w:val="bottom"/>
          </w:tcPr>
          <w:p>
            <w:pPr>
              <w:spacing w:after="0"/>
              <w:rPr>
                <w:sz w:val="1"/>
                <w:szCs w:val="1"/>
                <w:color w:val="auto"/>
              </w:rPr>
            </w:pPr>
          </w:p>
        </w:tc>
      </w:tr>
      <w:tr>
        <w:trPr>
          <w:trHeight w:val="270"/>
        </w:trPr>
        <w:tc>
          <w:tcPr>
            <w:tcW w:w="1760" w:type="dxa"/>
            <w:vAlign w:val="bottom"/>
          </w:tcPr>
          <w:p>
            <w:pPr>
              <w:ind w:left="260"/>
              <w:spacing w:after="0"/>
              <w:rPr>
                <w:sz w:val="20"/>
                <w:szCs w:val="20"/>
                <w:color w:val="auto"/>
              </w:rPr>
            </w:pPr>
            <w:r>
              <w:rPr>
                <w:rFonts w:ascii="Arial" w:cs="Arial" w:eastAsia="Arial" w:hAnsi="Arial"/>
                <w:sz w:val="20"/>
                <w:szCs w:val="20"/>
                <w:color w:val="auto"/>
              </w:rPr>
              <w:t>Schedule 1.2</w:t>
            </w:r>
          </w:p>
        </w:tc>
        <w:tc>
          <w:tcPr>
            <w:tcW w:w="7060" w:type="dxa"/>
            <w:vAlign w:val="bottom"/>
          </w:tcPr>
          <w:p>
            <w:pPr>
              <w:ind w:left="360"/>
              <w:spacing w:after="0"/>
              <w:rPr>
                <w:sz w:val="20"/>
                <w:szCs w:val="20"/>
                <w:color w:val="auto"/>
              </w:rPr>
            </w:pPr>
            <w:r>
              <w:rPr>
                <w:rFonts w:ascii="Arial" w:cs="Arial" w:eastAsia="Arial" w:hAnsi="Arial"/>
                <w:sz w:val="20"/>
                <w:szCs w:val="20"/>
                <w:color w:val="auto"/>
              </w:rPr>
              <w:t>Unrestricted Subsidiaries</w:t>
            </w:r>
          </w:p>
        </w:tc>
        <w:tc>
          <w:tcPr>
            <w:tcW w:w="0" w:type="dxa"/>
            <w:vAlign w:val="bottom"/>
          </w:tcPr>
          <w:p>
            <w:pPr>
              <w:spacing w:after="0"/>
              <w:rPr>
                <w:sz w:val="1"/>
                <w:szCs w:val="1"/>
                <w:color w:val="auto"/>
              </w:rPr>
            </w:pPr>
          </w:p>
        </w:tc>
      </w:tr>
      <w:tr>
        <w:trPr>
          <w:trHeight w:val="591"/>
        </w:trPr>
        <w:tc>
          <w:tcPr>
            <w:tcW w:w="1760" w:type="dxa"/>
            <w:vAlign w:val="bottom"/>
          </w:tcPr>
          <w:p>
            <w:pPr>
              <w:spacing w:after="0"/>
              <w:rPr>
                <w:sz w:val="20"/>
                <w:szCs w:val="20"/>
                <w:color w:val="auto"/>
              </w:rPr>
            </w:pPr>
            <w:r>
              <w:rPr>
                <w:rFonts w:ascii="Arial" w:cs="Arial" w:eastAsia="Arial" w:hAnsi="Arial"/>
                <w:sz w:val="20"/>
                <w:szCs w:val="20"/>
                <w:b w:val="1"/>
                <w:bCs w:val="1"/>
                <w:color w:val="auto"/>
              </w:rPr>
              <w:t>EXHIBITS</w:t>
            </w:r>
          </w:p>
        </w:tc>
        <w:tc>
          <w:tcPr>
            <w:tcW w:w="7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1760" w:type="dxa"/>
            <w:vAlign w:val="bottom"/>
          </w:tcPr>
          <w:p>
            <w:pPr>
              <w:ind w:left="260"/>
              <w:spacing w:after="0"/>
              <w:rPr>
                <w:sz w:val="20"/>
                <w:szCs w:val="20"/>
                <w:color w:val="auto"/>
              </w:rPr>
            </w:pPr>
            <w:r>
              <w:rPr>
                <w:rFonts w:ascii="Arial" w:cs="Arial" w:eastAsia="Arial" w:hAnsi="Arial"/>
                <w:sz w:val="20"/>
                <w:szCs w:val="20"/>
                <w:color w:val="auto"/>
              </w:rPr>
              <w:t>Exhibit A</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Closing Certificate for the Borrower</w:t>
            </w:r>
          </w:p>
        </w:tc>
        <w:tc>
          <w:tcPr>
            <w:tcW w:w="0" w:type="dxa"/>
            <w:vAlign w:val="bottom"/>
          </w:tcPr>
          <w:p>
            <w:pPr>
              <w:spacing w:after="0"/>
              <w:rPr>
                <w:sz w:val="1"/>
                <w:szCs w:val="1"/>
                <w:color w:val="auto"/>
              </w:rPr>
            </w:pPr>
          </w:p>
        </w:tc>
      </w:tr>
      <w:tr>
        <w:trPr>
          <w:trHeight w:val="265"/>
        </w:trPr>
        <w:tc>
          <w:tcPr>
            <w:tcW w:w="1760" w:type="dxa"/>
            <w:vAlign w:val="bottom"/>
          </w:tcPr>
          <w:p>
            <w:pPr>
              <w:ind w:left="260"/>
              <w:spacing w:after="0"/>
              <w:rPr>
                <w:sz w:val="20"/>
                <w:szCs w:val="20"/>
                <w:color w:val="auto"/>
              </w:rPr>
            </w:pPr>
            <w:r>
              <w:rPr>
                <w:rFonts w:ascii="Arial" w:cs="Arial" w:eastAsia="Arial" w:hAnsi="Arial"/>
                <w:sz w:val="20"/>
                <w:szCs w:val="20"/>
                <w:color w:val="auto"/>
              </w:rPr>
              <w:t>Exhibit B</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Borrowing Request</w:t>
            </w:r>
          </w:p>
        </w:tc>
        <w:tc>
          <w:tcPr>
            <w:tcW w:w="0" w:type="dxa"/>
            <w:vAlign w:val="bottom"/>
          </w:tcPr>
          <w:p>
            <w:pPr>
              <w:spacing w:after="0"/>
              <w:rPr>
                <w:sz w:val="1"/>
                <w:szCs w:val="1"/>
                <w:color w:val="auto"/>
              </w:rPr>
            </w:pPr>
          </w:p>
        </w:tc>
      </w:tr>
      <w:tr>
        <w:trPr>
          <w:trHeight w:val="256"/>
        </w:trPr>
        <w:tc>
          <w:tcPr>
            <w:tcW w:w="1760" w:type="dxa"/>
            <w:vAlign w:val="bottom"/>
          </w:tcPr>
          <w:p>
            <w:pPr>
              <w:ind w:left="260"/>
              <w:spacing w:after="0"/>
              <w:rPr>
                <w:sz w:val="20"/>
                <w:szCs w:val="20"/>
                <w:color w:val="auto"/>
              </w:rPr>
            </w:pPr>
            <w:r>
              <w:rPr>
                <w:rFonts w:ascii="Arial" w:cs="Arial" w:eastAsia="Arial" w:hAnsi="Arial"/>
                <w:sz w:val="20"/>
                <w:szCs w:val="20"/>
                <w:color w:val="auto"/>
              </w:rPr>
              <w:t>Exhibit C</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Compliance Certificate</w:t>
            </w:r>
          </w:p>
        </w:tc>
        <w:tc>
          <w:tcPr>
            <w:tcW w:w="0" w:type="dxa"/>
            <w:vAlign w:val="bottom"/>
          </w:tcPr>
          <w:p>
            <w:pPr>
              <w:spacing w:after="0"/>
              <w:rPr>
                <w:sz w:val="1"/>
                <w:szCs w:val="1"/>
                <w:color w:val="auto"/>
              </w:rPr>
            </w:pPr>
          </w:p>
        </w:tc>
      </w:tr>
      <w:tr>
        <w:trPr>
          <w:trHeight w:val="257"/>
        </w:trPr>
        <w:tc>
          <w:tcPr>
            <w:tcW w:w="1760" w:type="dxa"/>
            <w:vAlign w:val="bottom"/>
          </w:tcPr>
          <w:p>
            <w:pPr>
              <w:ind w:left="260"/>
              <w:spacing w:after="0"/>
              <w:rPr>
                <w:sz w:val="20"/>
                <w:szCs w:val="20"/>
                <w:color w:val="auto"/>
              </w:rPr>
            </w:pPr>
            <w:r>
              <w:rPr>
                <w:rFonts w:ascii="Arial" w:cs="Arial" w:eastAsia="Arial" w:hAnsi="Arial"/>
                <w:sz w:val="20"/>
                <w:szCs w:val="20"/>
                <w:color w:val="auto"/>
              </w:rPr>
              <w:t>Exhibit D</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Assignment and Acceptance</w:t>
            </w:r>
          </w:p>
        </w:tc>
        <w:tc>
          <w:tcPr>
            <w:tcW w:w="0" w:type="dxa"/>
            <w:vAlign w:val="bottom"/>
          </w:tcPr>
          <w:p>
            <w:pPr>
              <w:spacing w:after="0"/>
              <w:rPr>
                <w:sz w:val="1"/>
                <w:szCs w:val="1"/>
                <w:color w:val="auto"/>
              </w:rPr>
            </w:pPr>
          </w:p>
        </w:tc>
      </w:tr>
      <w:tr>
        <w:trPr>
          <w:trHeight w:val="197"/>
        </w:trPr>
        <w:tc>
          <w:tcPr>
            <w:tcW w:w="1760" w:type="dxa"/>
            <w:vAlign w:val="bottom"/>
            <w:vMerge w:val="restart"/>
          </w:tcPr>
          <w:p>
            <w:pPr>
              <w:ind w:left="260"/>
              <w:spacing w:after="0"/>
              <w:rPr>
                <w:sz w:val="20"/>
                <w:szCs w:val="20"/>
                <w:color w:val="auto"/>
              </w:rPr>
            </w:pPr>
            <w:r>
              <w:rPr>
                <w:rFonts w:ascii="Arial" w:cs="Arial" w:eastAsia="Arial" w:hAnsi="Arial"/>
                <w:sz w:val="20"/>
                <w:szCs w:val="20"/>
                <w:color w:val="auto"/>
              </w:rPr>
              <w:t>Exhibit E-1</w:t>
            </w:r>
          </w:p>
        </w:tc>
        <w:tc>
          <w:tcPr>
            <w:tcW w:w="7060" w:type="dxa"/>
            <w:vAlign w:val="bottom"/>
          </w:tcPr>
          <w:p>
            <w:pPr>
              <w:ind w:left="360"/>
              <w:spacing w:after="0" w:line="197" w:lineRule="exact"/>
              <w:rPr>
                <w:sz w:val="20"/>
                <w:szCs w:val="20"/>
                <w:color w:val="auto"/>
              </w:rPr>
            </w:pPr>
            <w:r>
              <w:rPr>
                <w:rFonts w:ascii="Arial" w:cs="Arial" w:eastAsia="Arial" w:hAnsi="Arial"/>
                <w:sz w:val="20"/>
                <w:szCs w:val="20"/>
                <w:color w:val="auto"/>
              </w:rPr>
              <w:t>Form of United States Tax Compliance Certificate (For Non-U.S. Lenders</w:t>
            </w:r>
          </w:p>
        </w:tc>
        <w:tc>
          <w:tcPr>
            <w:tcW w:w="0" w:type="dxa"/>
            <w:vAlign w:val="bottom"/>
          </w:tcPr>
          <w:p>
            <w:pPr>
              <w:spacing w:after="0"/>
              <w:rPr>
                <w:sz w:val="1"/>
                <w:szCs w:val="1"/>
                <w:color w:val="auto"/>
              </w:rPr>
            </w:pPr>
          </w:p>
        </w:tc>
      </w:tr>
      <w:tr>
        <w:trPr>
          <w:trHeight w:val="248"/>
        </w:trPr>
        <w:tc>
          <w:tcPr>
            <w:tcW w:w="1760" w:type="dxa"/>
            <w:vAlign w:val="bottom"/>
            <w:vMerge w:val="continue"/>
          </w:tcPr>
          <w:p>
            <w:pPr>
              <w:spacing w:after="0"/>
              <w:rPr>
                <w:sz w:val="21"/>
                <w:szCs w:val="21"/>
                <w:color w:val="auto"/>
              </w:rPr>
            </w:pPr>
          </w:p>
        </w:tc>
        <w:tc>
          <w:tcPr>
            <w:tcW w:w="7060" w:type="dxa"/>
            <w:vAlign w:val="bottom"/>
          </w:tcPr>
          <w:p>
            <w:pPr>
              <w:ind w:left="360"/>
              <w:spacing w:after="0"/>
              <w:rPr>
                <w:sz w:val="20"/>
                <w:szCs w:val="20"/>
                <w:color w:val="auto"/>
              </w:rPr>
            </w:pPr>
            <w:r>
              <w:rPr>
                <w:rFonts w:ascii="Arial" w:cs="Arial" w:eastAsia="Arial" w:hAnsi="Arial"/>
                <w:sz w:val="20"/>
                <w:szCs w:val="20"/>
                <w:color w:val="auto"/>
              </w:rPr>
              <w:t>That Are Not Partnerships For U.S. Federal Income Tax Purposes)</w:t>
            </w:r>
          </w:p>
        </w:tc>
        <w:tc>
          <w:tcPr>
            <w:tcW w:w="0" w:type="dxa"/>
            <w:vAlign w:val="bottom"/>
          </w:tcPr>
          <w:p>
            <w:pPr>
              <w:spacing w:after="0"/>
              <w:rPr>
                <w:sz w:val="1"/>
                <w:szCs w:val="1"/>
                <w:color w:val="auto"/>
              </w:rPr>
            </w:pPr>
          </w:p>
        </w:tc>
      </w:tr>
      <w:tr>
        <w:trPr>
          <w:trHeight w:val="197"/>
        </w:trPr>
        <w:tc>
          <w:tcPr>
            <w:tcW w:w="1760" w:type="dxa"/>
            <w:vAlign w:val="bottom"/>
            <w:vMerge w:val="restart"/>
          </w:tcPr>
          <w:p>
            <w:pPr>
              <w:ind w:left="260"/>
              <w:spacing w:after="0"/>
              <w:rPr>
                <w:sz w:val="20"/>
                <w:szCs w:val="20"/>
                <w:color w:val="auto"/>
              </w:rPr>
            </w:pPr>
            <w:r>
              <w:rPr>
                <w:rFonts w:ascii="Arial" w:cs="Arial" w:eastAsia="Arial" w:hAnsi="Arial"/>
                <w:sz w:val="20"/>
                <w:szCs w:val="20"/>
                <w:color w:val="auto"/>
              </w:rPr>
              <w:t>Exhibit E-2</w:t>
            </w:r>
          </w:p>
        </w:tc>
        <w:tc>
          <w:tcPr>
            <w:tcW w:w="7060" w:type="dxa"/>
            <w:vAlign w:val="bottom"/>
          </w:tcPr>
          <w:p>
            <w:pPr>
              <w:ind w:left="360"/>
              <w:spacing w:after="0" w:line="197" w:lineRule="exact"/>
              <w:rPr>
                <w:sz w:val="20"/>
                <w:szCs w:val="20"/>
                <w:color w:val="auto"/>
              </w:rPr>
            </w:pPr>
            <w:r>
              <w:rPr>
                <w:rFonts w:ascii="Arial" w:cs="Arial" w:eastAsia="Arial" w:hAnsi="Arial"/>
                <w:sz w:val="20"/>
                <w:szCs w:val="20"/>
                <w:color w:val="auto"/>
              </w:rPr>
              <w:t>Form of United States Tax Compliance Certificate (For Non-U.S. Lenders</w:t>
            </w:r>
          </w:p>
        </w:tc>
        <w:tc>
          <w:tcPr>
            <w:tcW w:w="0" w:type="dxa"/>
            <w:vAlign w:val="bottom"/>
          </w:tcPr>
          <w:p>
            <w:pPr>
              <w:spacing w:after="0"/>
              <w:rPr>
                <w:sz w:val="1"/>
                <w:szCs w:val="1"/>
                <w:color w:val="auto"/>
              </w:rPr>
            </w:pPr>
          </w:p>
        </w:tc>
      </w:tr>
      <w:tr>
        <w:trPr>
          <w:trHeight w:val="248"/>
        </w:trPr>
        <w:tc>
          <w:tcPr>
            <w:tcW w:w="1760" w:type="dxa"/>
            <w:vAlign w:val="bottom"/>
            <w:vMerge w:val="continue"/>
          </w:tcPr>
          <w:p>
            <w:pPr>
              <w:spacing w:after="0"/>
              <w:rPr>
                <w:sz w:val="21"/>
                <w:szCs w:val="21"/>
                <w:color w:val="auto"/>
              </w:rPr>
            </w:pPr>
          </w:p>
        </w:tc>
        <w:tc>
          <w:tcPr>
            <w:tcW w:w="7060" w:type="dxa"/>
            <w:vAlign w:val="bottom"/>
          </w:tcPr>
          <w:p>
            <w:pPr>
              <w:ind w:left="360"/>
              <w:spacing w:after="0"/>
              <w:rPr>
                <w:sz w:val="20"/>
                <w:szCs w:val="20"/>
                <w:color w:val="auto"/>
              </w:rPr>
            </w:pPr>
            <w:r>
              <w:rPr>
                <w:rFonts w:ascii="Arial" w:cs="Arial" w:eastAsia="Arial" w:hAnsi="Arial"/>
                <w:sz w:val="20"/>
                <w:szCs w:val="20"/>
                <w:color w:val="auto"/>
              </w:rPr>
              <w:t>That Are Partnerships For U.S. Federal Income Tax Purposes)</w:t>
            </w:r>
          </w:p>
        </w:tc>
        <w:tc>
          <w:tcPr>
            <w:tcW w:w="0" w:type="dxa"/>
            <w:vAlign w:val="bottom"/>
          </w:tcPr>
          <w:p>
            <w:pPr>
              <w:spacing w:after="0"/>
              <w:rPr>
                <w:sz w:val="1"/>
                <w:szCs w:val="1"/>
                <w:color w:val="auto"/>
              </w:rPr>
            </w:pPr>
          </w:p>
        </w:tc>
      </w:tr>
      <w:tr>
        <w:trPr>
          <w:trHeight w:val="197"/>
        </w:trPr>
        <w:tc>
          <w:tcPr>
            <w:tcW w:w="1760" w:type="dxa"/>
            <w:vAlign w:val="bottom"/>
            <w:vMerge w:val="restart"/>
          </w:tcPr>
          <w:p>
            <w:pPr>
              <w:ind w:left="260"/>
              <w:spacing w:after="0"/>
              <w:rPr>
                <w:sz w:val="20"/>
                <w:szCs w:val="20"/>
                <w:color w:val="auto"/>
              </w:rPr>
            </w:pPr>
            <w:r>
              <w:rPr>
                <w:rFonts w:ascii="Arial" w:cs="Arial" w:eastAsia="Arial" w:hAnsi="Arial"/>
                <w:sz w:val="20"/>
                <w:szCs w:val="20"/>
                <w:color w:val="auto"/>
              </w:rPr>
              <w:t>Exhibit E-3</w:t>
            </w:r>
          </w:p>
        </w:tc>
        <w:tc>
          <w:tcPr>
            <w:tcW w:w="7060" w:type="dxa"/>
            <w:vAlign w:val="bottom"/>
          </w:tcPr>
          <w:p>
            <w:pPr>
              <w:ind w:left="360"/>
              <w:spacing w:after="0" w:line="197" w:lineRule="exact"/>
              <w:rPr>
                <w:sz w:val="20"/>
                <w:szCs w:val="20"/>
                <w:color w:val="auto"/>
              </w:rPr>
            </w:pPr>
            <w:r>
              <w:rPr>
                <w:rFonts w:ascii="Arial" w:cs="Arial" w:eastAsia="Arial" w:hAnsi="Arial"/>
                <w:sz w:val="20"/>
                <w:szCs w:val="20"/>
                <w:color w:val="auto"/>
                <w:w w:val="98"/>
              </w:rPr>
              <w:t>Form of United States Tax Compliance Certificate (For Non-U.S. Participants</w:t>
            </w:r>
          </w:p>
        </w:tc>
        <w:tc>
          <w:tcPr>
            <w:tcW w:w="0" w:type="dxa"/>
            <w:vAlign w:val="bottom"/>
          </w:tcPr>
          <w:p>
            <w:pPr>
              <w:spacing w:after="0"/>
              <w:rPr>
                <w:sz w:val="1"/>
                <w:szCs w:val="1"/>
                <w:color w:val="auto"/>
              </w:rPr>
            </w:pPr>
          </w:p>
        </w:tc>
      </w:tr>
      <w:tr>
        <w:trPr>
          <w:trHeight w:val="248"/>
        </w:trPr>
        <w:tc>
          <w:tcPr>
            <w:tcW w:w="1760" w:type="dxa"/>
            <w:vAlign w:val="bottom"/>
            <w:vMerge w:val="continue"/>
          </w:tcPr>
          <w:p>
            <w:pPr>
              <w:spacing w:after="0"/>
              <w:rPr>
                <w:sz w:val="21"/>
                <w:szCs w:val="21"/>
                <w:color w:val="auto"/>
              </w:rPr>
            </w:pPr>
          </w:p>
        </w:tc>
        <w:tc>
          <w:tcPr>
            <w:tcW w:w="7060" w:type="dxa"/>
            <w:vAlign w:val="bottom"/>
          </w:tcPr>
          <w:p>
            <w:pPr>
              <w:ind w:left="360"/>
              <w:spacing w:after="0"/>
              <w:rPr>
                <w:sz w:val="20"/>
                <w:szCs w:val="20"/>
                <w:color w:val="auto"/>
              </w:rPr>
            </w:pPr>
            <w:r>
              <w:rPr>
                <w:rFonts w:ascii="Arial" w:cs="Arial" w:eastAsia="Arial" w:hAnsi="Arial"/>
                <w:sz w:val="20"/>
                <w:szCs w:val="20"/>
                <w:color w:val="auto"/>
              </w:rPr>
              <w:t>That Are Not Partnerships For U.S. Federal Income Tax Purposes)</w:t>
            </w:r>
          </w:p>
        </w:tc>
        <w:tc>
          <w:tcPr>
            <w:tcW w:w="0" w:type="dxa"/>
            <w:vAlign w:val="bottom"/>
          </w:tcPr>
          <w:p>
            <w:pPr>
              <w:spacing w:after="0"/>
              <w:rPr>
                <w:sz w:val="1"/>
                <w:szCs w:val="1"/>
                <w:color w:val="auto"/>
              </w:rPr>
            </w:pPr>
          </w:p>
        </w:tc>
      </w:tr>
      <w:tr>
        <w:trPr>
          <w:trHeight w:val="197"/>
        </w:trPr>
        <w:tc>
          <w:tcPr>
            <w:tcW w:w="1760" w:type="dxa"/>
            <w:vAlign w:val="bottom"/>
            <w:vMerge w:val="restart"/>
          </w:tcPr>
          <w:p>
            <w:pPr>
              <w:ind w:left="260"/>
              <w:spacing w:after="0"/>
              <w:rPr>
                <w:sz w:val="20"/>
                <w:szCs w:val="20"/>
                <w:color w:val="auto"/>
              </w:rPr>
            </w:pPr>
            <w:r>
              <w:rPr>
                <w:rFonts w:ascii="Arial" w:cs="Arial" w:eastAsia="Arial" w:hAnsi="Arial"/>
                <w:sz w:val="20"/>
                <w:szCs w:val="20"/>
                <w:color w:val="auto"/>
              </w:rPr>
              <w:t>Exhibit E-4</w:t>
            </w:r>
          </w:p>
        </w:tc>
        <w:tc>
          <w:tcPr>
            <w:tcW w:w="7060" w:type="dxa"/>
            <w:vAlign w:val="bottom"/>
          </w:tcPr>
          <w:p>
            <w:pPr>
              <w:ind w:left="360"/>
              <w:spacing w:after="0" w:line="197" w:lineRule="exact"/>
              <w:rPr>
                <w:sz w:val="20"/>
                <w:szCs w:val="20"/>
                <w:color w:val="auto"/>
              </w:rPr>
            </w:pPr>
            <w:r>
              <w:rPr>
                <w:rFonts w:ascii="Arial" w:cs="Arial" w:eastAsia="Arial" w:hAnsi="Arial"/>
                <w:sz w:val="20"/>
                <w:szCs w:val="20"/>
                <w:color w:val="auto"/>
                <w:w w:val="98"/>
              </w:rPr>
              <w:t>Form of United States Tax Compliance Certificate (For Non-U.S. Participants</w:t>
            </w:r>
          </w:p>
        </w:tc>
        <w:tc>
          <w:tcPr>
            <w:tcW w:w="0" w:type="dxa"/>
            <w:vAlign w:val="bottom"/>
          </w:tcPr>
          <w:p>
            <w:pPr>
              <w:spacing w:after="0"/>
              <w:rPr>
                <w:sz w:val="1"/>
                <w:szCs w:val="1"/>
                <w:color w:val="auto"/>
              </w:rPr>
            </w:pPr>
          </w:p>
        </w:tc>
      </w:tr>
      <w:tr>
        <w:trPr>
          <w:trHeight w:val="248"/>
        </w:trPr>
        <w:tc>
          <w:tcPr>
            <w:tcW w:w="1760" w:type="dxa"/>
            <w:vAlign w:val="bottom"/>
            <w:vMerge w:val="continue"/>
          </w:tcPr>
          <w:p>
            <w:pPr>
              <w:spacing w:after="0"/>
              <w:rPr>
                <w:sz w:val="21"/>
                <w:szCs w:val="21"/>
                <w:color w:val="auto"/>
              </w:rPr>
            </w:pPr>
          </w:p>
        </w:tc>
        <w:tc>
          <w:tcPr>
            <w:tcW w:w="7060" w:type="dxa"/>
            <w:vAlign w:val="bottom"/>
          </w:tcPr>
          <w:p>
            <w:pPr>
              <w:ind w:left="360"/>
              <w:spacing w:after="0"/>
              <w:rPr>
                <w:sz w:val="20"/>
                <w:szCs w:val="20"/>
                <w:color w:val="auto"/>
              </w:rPr>
            </w:pPr>
            <w:r>
              <w:rPr>
                <w:rFonts w:ascii="Arial" w:cs="Arial" w:eastAsia="Arial" w:hAnsi="Arial"/>
                <w:sz w:val="20"/>
                <w:szCs w:val="20"/>
                <w:color w:val="auto"/>
              </w:rPr>
              <w:t>That Are Partnerships For U.S. Federal Income Tax Purposes)</w:t>
            </w:r>
          </w:p>
        </w:tc>
        <w:tc>
          <w:tcPr>
            <w:tcW w:w="0" w:type="dxa"/>
            <w:vAlign w:val="bottom"/>
          </w:tcPr>
          <w:p>
            <w:pPr>
              <w:spacing w:after="0"/>
              <w:rPr>
                <w:sz w:val="1"/>
                <w:szCs w:val="1"/>
                <w:color w:val="auto"/>
              </w:rPr>
            </w:pPr>
          </w:p>
        </w:tc>
      </w:tr>
      <w:tr>
        <w:trPr>
          <w:trHeight w:val="257"/>
        </w:trPr>
        <w:tc>
          <w:tcPr>
            <w:tcW w:w="1760" w:type="dxa"/>
            <w:vAlign w:val="bottom"/>
          </w:tcPr>
          <w:p>
            <w:pPr>
              <w:ind w:left="260"/>
              <w:spacing w:after="0"/>
              <w:rPr>
                <w:sz w:val="20"/>
                <w:szCs w:val="20"/>
                <w:color w:val="auto"/>
              </w:rPr>
            </w:pPr>
            <w:r>
              <w:rPr>
                <w:rFonts w:ascii="Arial" w:cs="Arial" w:eastAsia="Arial" w:hAnsi="Arial"/>
                <w:sz w:val="20"/>
                <w:szCs w:val="20"/>
                <w:color w:val="auto"/>
              </w:rPr>
              <w:t>Exhibit F</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Notice of Continuation/Conversion</w:t>
            </w:r>
          </w:p>
        </w:tc>
        <w:tc>
          <w:tcPr>
            <w:tcW w:w="0" w:type="dxa"/>
            <w:vAlign w:val="bottom"/>
          </w:tcPr>
          <w:p>
            <w:pPr>
              <w:spacing w:after="0"/>
              <w:rPr>
                <w:sz w:val="1"/>
                <w:szCs w:val="1"/>
                <w:color w:val="auto"/>
              </w:rPr>
            </w:pPr>
          </w:p>
        </w:tc>
      </w:tr>
      <w:tr>
        <w:trPr>
          <w:trHeight w:val="261"/>
        </w:trPr>
        <w:tc>
          <w:tcPr>
            <w:tcW w:w="1760" w:type="dxa"/>
            <w:vAlign w:val="bottom"/>
          </w:tcPr>
          <w:p>
            <w:pPr>
              <w:ind w:left="260"/>
              <w:spacing w:after="0"/>
              <w:rPr>
                <w:sz w:val="20"/>
                <w:szCs w:val="20"/>
                <w:color w:val="auto"/>
              </w:rPr>
            </w:pPr>
            <w:r>
              <w:rPr>
                <w:rFonts w:ascii="Arial" w:cs="Arial" w:eastAsia="Arial" w:hAnsi="Arial"/>
                <w:sz w:val="20"/>
                <w:szCs w:val="20"/>
                <w:color w:val="auto"/>
              </w:rPr>
              <w:t>Exhibit G</w:t>
            </w:r>
          </w:p>
        </w:tc>
        <w:tc>
          <w:tcPr>
            <w:tcW w:w="7060" w:type="dxa"/>
            <w:vAlign w:val="bottom"/>
          </w:tcPr>
          <w:p>
            <w:pPr>
              <w:ind w:left="360"/>
              <w:spacing w:after="0"/>
              <w:rPr>
                <w:sz w:val="20"/>
                <w:szCs w:val="20"/>
                <w:color w:val="auto"/>
              </w:rPr>
            </w:pPr>
            <w:r>
              <w:rPr>
                <w:rFonts w:ascii="Arial" w:cs="Arial" w:eastAsia="Arial" w:hAnsi="Arial"/>
                <w:sz w:val="20"/>
                <w:szCs w:val="20"/>
                <w:color w:val="auto"/>
              </w:rPr>
              <w:t>Form of Acceptance and Prepayment Notice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139"/>
          </w:cols>
          <w:pgMar w:left="320" w:top="1440" w:right="1440" w:bottom="1440" w:gutter="0" w:footer="0" w:header="0"/>
        </w:sectPr>
      </w:pPr>
    </w:p>
    <w:bookmarkStart w:id="172" w:name="page173"/>
    <w:bookmarkEnd w:id="172"/>
    <w:p>
      <w:pPr>
        <w:spacing w:after="0" w:line="200" w:lineRule="exact"/>
        <w:rPr>
          <w:sz w:val="20"/>
          <w:szCs w:val="20"/>
          <w:color w:val="auto"/>
        </w:rPr>
      </w:pPr>
    </w:p>
    <w:p>
      <w:pPr>
        <w:spacing w:after="0" w:line="26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9"/>
          <w:szCs w:val="19"/>
          <w:color w:val="auto"/>
        </w:rPr>
        <w:t>THIS TERM LOAN CREDIT AGREEMENT, dated as of November 3, 2022, among MICRON TECHNOLOGY,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WELLS FARGO BANK, NATIONAL ASSOCIATION (“</w:t>
      </w:r>
      <w:r>
        <w:rPr>
          <w:rFonts w:ascii="Arial" w:cs="Arial" w:eastAsia="Arial" w:hAnsi="Arial"/>
          <w:sz w:val="19"/>
          <w:szCs w:val="19"/>
          <w:u w:val="single" w:color="auto"/>
          <w:color w:val="auto"/>
        </w:rPr>
        <w:t>Wells Fargo</w:t>
      </w:r>
      <w:r>
        <w:rPr>
          <w:rFonts w:ascii="Arial" w:cs="Arial" w:eastAsia="Arial" w:hAnsi="Arial"/>
          <w:sz w:val="19"/>
          <w:szCs w:val="19"/>
          <w:color w:val="auto"/>
        </w:rPr>
        <w:t>”), as administrative agent (in such capacity and including any successors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or the “</w:t>
      </w:r>
      <w:r>
        <w:rPr>
          <w:rFonts w:ascii="Arial" w:cs="Arial" w:eastAsia="Arial" w:hAnsi="Arial"/>
          <w:sz w:val="19"/>
          <w:szCs w:val="19"/>
          <w:u w:val="single" w:color="auto"/>
          <w:color w:val="auto"/>
        </w:rPr>
        <w:t>Agent</w:t>
      </w:r>
      <w:r>
        <w:rPr>
          <w:rFonts w:ascii="Arial" w:cs="Arial" w:eastAsia="Arial" w:hAnsi="Arial"/>
          <w:sz w:val="19"/>
          <w:szCs w:val="19"/>
          <w:color w:val="auto"/>
        </w:rPr>
        <w:t>”), the other agents party hereto and each of the financial institutions from time to time party hereto (collectively, the “</w:t>
      </w:r>
      <w:r>
        <w:rPr>
          <w:rFonts w:ascii="Arial" w:cs="Arial" w:eastAsia="Arial" w:hAnsi="Arial"/>
          <w:sz w:val="19"/>
          <w:szCs w:val="19"/>
          <w:u w:val="single" w:color="auto"/>
          <w:color w:val="auto"/>
        </w:rPr>
        <w:t>Lenders</w:t>
      </w:r>
      <w:r>
        <w:rPr>
          <w:rFonts w:ascii="Arial" w:cs="Arial" w:eastAsia="Arial" w:hAnsi="Arial"/>
          <w:sz w:val="19"/>
          <w:szCs w:val="19"/>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W I T N E S S E T H</w:t>
      </w:r>
      <w:r>
        <w:rPr>
          <w:rFonts w:ascii="Arial" w:cs="Arial" w:eastAsia="Arial" w:hAnsi="Arial"/>
          <w:sz w:val="20"/>
          <w:szCs w:val="20"/>
          <w:color w:val="auto"/>
        </w:rPr>
        <w:t>:</w:t>
      </w:r>
    </w:p>
    <w:p>
      <w:pPr>
        <w:spacing w:after="0" w:line="243" w:lineRule="exact"/>
        <w:rPr>
          <w:sz w:val="20"/>
          <w:szCs w:val="20"/>
          <w:color w:val="auto"/>
        </w:rPr>
      </w:pPr>
    </w:p>
    <w:p>
      <w:pPr>
        <w:ind w:right="1360" w:firstLine="648"/>
        <w:spacing w:after="0" w:line="257" w:lineRule="auto"/>
        <w:rPr>
          <w:sz w:val="20"/>
          <w:szCs w:val="20"/>
          <w:color w:val="auto"/>
        </w:rPr>
      </w:pPr>
      <w:r>
        <w:rPr>
          <w:rFonts w:ascii="Arial" w:cs="Arial" w:eastAsia="Arial" w:hAnsi="Arial"/>
          <w:sz w:val="20"/>
          <w:szCs w:val="20"/>
          <w:color w:val="auto"/>
        </w:rPr>
        <w:t>WHEREAS, the Borrower intends to use the Term Loans for general corporate purposes, including capital expenditures.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hereby agree as follows:</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SECTION 1</w:t>
      </w:r>
    </w:p>
    <w:p>
      <w:pPr>
        <w:spacing w:after="0" w:line="4" w:lineRule="exact"/>
        <w:rPr>
          <w:sz w:val="20"/>
          <w:szCs w:val="20"/>
          <w:color w:val="auto"/>
        </w:rPr>
      </w:pPr>
    </w:p>
    <w:p>
      <w:pPr>
        <w:ind w:left="5480"/>
        <w:spacing w:after="0"/>
        <w:rPr>
          <w:sz w:val="20"/>
          <w:szCs w:val="20"/>
          <w:color w:val="auto"/>
        </w:rPr>
      </w:pPr>
      <w:r>
        <w:rPr>
          <w:rFonts w:ascii="Arial" w:cs="Arial" w:eastAsia="Arial" w:hAnsi="Arial"/>
          <w:sz w:val="20"/>
          <w:szCs w:val="20"/>
          <w:u w:val="single" w:color="auto"/>
          <w:color w:val="auto"/>
        </w:rPr>
        <w:t>Definitions</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Agreement, the following terms shall have the meanings specified below:</w:t>
      </w:r>
    </w:p>
    <w:p>
      <w:pPr>
        <w:spacing w:after="0" w:line="229" w:lineRule="exact"/>
        <w:rPr>
          <w:sz w:val="20"/>
          <w:szCs w:val="20"/>
          <w:color w:val="auto"/>
        </w:rPr>
      </w:pPr>
    </w:p>
    <w:p>
      <w:pPr>
        <w:ind w:right="10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Term SOFR</w:t>
      </w:r>
      <w:r>
        <w:rPr>
          <w:rFonts w:ascii="Arial" w:cs="Arial" w:eastAsia="Arial" w:hAnsi="Arial"/>
          <w:sz w:val="20"/>
          <w:szCs w:val="20"/>
          <w:color w:val="auto"/>
        </w:rPr>
        <w:t xml:space="preserve">”: for purposes of any calculation, the rate per annum equal to (a) Term SOFR for such calculation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Term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Adjusted Term SOFR as so determined shall ever be less than the Floor, then Adjusted Term SOFR shall be deemed to be the Floor.</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the meaning set forth in the preamble to this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(a) any EEA Financial Institution or (b) any UK Financial Institution.</w:t>
      </w:r>
    </w:p>
    <w:p>
      <w:pPr>
        <w:spacing w:after="0" w:line="229" w:lineRule="exact"/>
        <w:rPr>
          <w:sz w:val="20"/>
          <w:szCs w:val="20"/>
          <w:color w:val="auto"/>
        </w:rPr>
      </w:pPr>
    </w:p>
    <w:p>
      <w:pPr>
        <w:ind w:right="20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as to any Person, any other Person which, directly or indirectly, is in control of, is controlled by, or is under common control with, such Person. For purposes of this definition, “control” of a Person means the power, directly or indirectly, to direct or cause the direction of the management and policies of such Person whether through the ownership of voting securities, by contract or otherwise.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the meaning set forth in the preamble to this Agreement.</w:t>
      </w:r>
    </w:p>
    <w:p>
      <w:pPr>
        <w:spacing w:after="0" w:line="243" w:lineRule="exact"/>
        <w:rPr>
          <w:sz w:val="20"/>
          <w:szCs w:val="20"/>
          <w:color w:val="auto"/>
        </w:rPr>
      </w:pPr>
    </w:p>
    <w:p>
      <w:pPr>
        <w:ind w:right="7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this Term Loan Credit Agreement, as the same may be amended, restated, amended and restated, supplemented or otherwise modified from time to time.</w:t>
      </w:r>
    </w:p>
    <w:p>
      <w:pPr>
        <w:spacing w:after="0" w:line="182" w:lineRule="exact"/>
        <w:rPr>
          <w:sz w:val="20"/>
          <w:szCs w:val="20"/>
          <w:color w:val="auto"/>
        </w:rPr>
      </w:pPr>
    </w:p>
    <w:p>
      <w:pPr>
        <w:jc w:val="both"/>
        <w:ind w:right="2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Borrower or any of its Subsidiaries from time to time concerning or relating to bribery or corruption, including, without limitation, the Foreign Corrupt Practices Act of 1977, as amended.</w:t>
      </w:r>
    </w:p>
    <w:p>
      <w:pPr>
        <w:spacing w:after="0" w:line="20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all applicable provisions of constitutions, laws, statutes, ordinances, rules, treaties, regulations,</w:t>
      </w:r>
    </w:p>
    <w:p>
      <w:pPr>
        <w:spacing w:after="0" w:line="4"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permits, licenses, approvals, interpretations and orders of Governmental Authorities and all orders and decrees of all courts and arbitrators.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Margin</w:t>
      </w:r>
      <w:r>
        <w:rPr>
          <w:rFonts w:ascii="Arial" w:cs="Arial" w:eastAsia="Arial" w:hAnsi="Arial"/>
          <w:sz w:val="20"/>
          <w:szCs w:val="20"/>
          <w:color w:val="auto"/>
        </w:rPr>
        <w:t>”:</w:t>
      </w:r>
    </w:p>
    <w:p>
      <w:pPr>
        <w:spacing w:after="0" w:line="229" w:lineRule="exact"/>
        <w:rPr>
          <w:sz w:val="20"/>
          <w:szCs w:val="20"/>
          <w:color w:val="auto"/>
        </w:rPr>
      </w:pPr>
    </w:p>
    <w:p>
      <w:pPr>
        <w:ind w:firstLine="656"/>
        <w:spacing w:after="0" w:line="271" w:lineRule="auto"/>
        <w:tabs>
          <w:tab w:leader="none" w:pos="94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with respect to the Term A-1 Loans, for any day, with respect to any SOFR Loan or any Base Rate Loan, as the case may be, the applicable rate per annum set forth below under the caption “Adjusted Term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type w:val="continuous"/>
        </w:sectPr>
      </w:pPr>
    </w:p>
    <w:bookmarkStart w:id="173" w:name="page174"/>
    <w:bookmarkEnd w:id="173"/>
    <w:p>
      <w:pPr>
        <w:spacing w:after="0" w:line="257" w:lineRule="auto"/>
        <w:rPr>
          <w:sz w:val="20"/>
          <w:szCs w:val="20"/>
          <w:color w:val="auto"/>
        </w:rPr>
      </w:pPr>
      <w:r>
        <w:rPr>
          <w:rFonts w:ascii="Arial" w:cs="Arial" w:eastAsia="Arial" w:hAnsi="Arial"/>
          <w:sz w:val="20"/>
          <w:szCs w:val="20"/>
          <w:color w:val="auto"/>
        </w:rPr>
        <w:t>SOFR Spread” or “Base Rate Spread”, as the case may be, corresponding to the applicable Corporate Ratings from the Rating Agencies on such date:</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1820" w:type="dxa"/>
            <w:vAlign w:val="bottom"/>
          </w:tcPr>
          <w:p>
            <w:pPr>
              <w:spacing w:after="0"/>
              <w:rPr>
                <w:sz w:val="22"/>
                <w:szCs w:val="22"/>
                <w:color w:val="auto"/>
              </w:rPr>
            </w:pPr>
          </w:p>
        </w:tc>
        <w:tc>
          <w:tcPr>
            <w:tcW w:w="5380" w:type="dxa"/>
            <w:vAlign w:val="bottom"/>
            <w:gridSpan w:val="2"/>
          </w:tcPr>
          <w:p>
            <w:pPr>
              <w:ind w:left="1880"/>
              <w:spacing w:after="0"/>
              <w:rPr>
                <w:sz w:val="20"/>
                <w:szCs w:val="20"/>
                <w:color w:val="auto"/>
              </w:rPr>
            </w:pPr>
            <w:r>
              <w:rPr>
                <w:rFonts w:ascii="Arial" w:cs="Arial" w:eastAsia="Arial" w:hAnsi="Arial"/>
                <w:sz w:val="20"/>
                <w:szCs w:val="20"/>
                <w:b w:val="1"/>
                <w:bCs w:val="1"/>
                <w:color w:val="auto"/>
              </w:rPr>
              <w:t>Term A-1 Loans</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1820" w:type="dxa"/>
            <w:vAlign w:val="bottom"/>
            <w:vMerge w:val="restart"/>
          </w:tcPr>
          <w:p>
            <w:pPr>
              <w:jc w:val="center"/>
              <w:ind w:right="481"/>
              <w:spacing w:after="0"/>
              <w:rPr>
                <w:sz w:val="20"/>
                <w:szCs w:val="20"/>
                <w:color w:val="auto"/>
              </w:rPr>
            </w:pPr>
            <w:r>
              <w:rPr>
                <w:rFonts w:ascii="Arial" w:cs="Arial" w:eastAsia="Arial" w:hAnsi="Arial"/>
                <w:sz w:val="20"/>
                <w:szCs w:val="20"/>
                <w:b w:val="1"/>
                <w:bCs w:val="1"/>
                <w:color w:val="auto"/>
                <w:w w:val="99"/>
              </w:rPr>
              <w:t>Pricing Level</w:t>
            </w:r>
          </w:p>
        </w:tc>
        <w:tc>
          <w:tcPr>
            <w:tcW w:w="2800" w:type="dxa"/>
            <w:vAlign w:val="bottom"/>
            <w:vMerge w:val="restart"/>
          </w:tcPr>
          <w:p>
            <w:pPr>
              <w:jc w:val="center"/>
              <w:ind w:left="101"/>
              <w:spacing w:after="0"/>
              <w:rPr>
                <w:sz w:val="20"/>
                <w:szCs w:val="20"/>
                <w:color w:val="auto"/>
              </w:rPr>
            </w:pPr>
            <w:r>
              <w:rPr>
                <w:rFonts w:ascii="Arial" w:cs="Arial" w:eastAsia="Arial" w:hAnsi="Arial"/>
                <w:sz w:val="20"/>
                <w:szCs w:val="20"/>
                <w:b w:val="1"/>
                <w:bCs w:val="1"/>
                <w:color w:val="auto"/>
                <w:w w:val="98"/>
              </w:rPr>
              <w:t>Corporate Ratings</w:t>
            </w:r>
          </w:p>
        </w:tc>
        <w:tc>
          <w:tcPr>
            <w:tcW w:w="2580" w:type="dxa"/>
            <w:vAlign w:val="bottom"/>
          </w:tcPr>
          <w:p>
            <w:pPr>
              <w:jc w:val="center"/>
              <w:ind w:left="101"/>
              <w:spacing w:after="0" w:line="203" w:lineRule="exact"/>
              <w:rPr>
                <w:sz w:val="20"/>
                <w:szCs w:val="20"/>
                <w:color w:val="auto"/>
              </w:rPr>
            </w:pPr>
            <w:r>
              <w:rPr>
                <w:rFonts w:ascii="Arial" w:cs="Arial" w:eastAsia="Arial" w:hAnsi="Arial"/>
                <w:sz w:val="20"/>
                <w:szCs w:val="20"/>
                <w:b w:val="1"/>
                <w:bCs w:val="1"/>
                <w:color w:val="auto"/>
                <w:w w:val="98"/>
              </w:rPr>
              <w:t>Adjusted Term SOFR</w:t>
            </w:r>
          </w:p>
        </w:tc>
        <w:tc>
          <w:tcPr>
            <w:tcW w:w="1900" w:type="dxa"/>
            <w:vAlign w:val="bottom"/>
            <w:vMerge w:val="restart"/>
          </w:tcPr>
          <w:p>
            <w:pPr>
              <w:jc w:val="center"/>
              <w:ind w:left="101"/>
              <w:spacing w:after="0"/>
              <w:rPr>
                <w:sz w:val="20"/>
                <w:szCs w:val="20"/>
                <w:color w:val="auto"/>
              </w:rPr>
            </w:pPr>
            <w:r>
              <w:rPr>
                <w:rFonts w:ascii="Arial" w:cs="Arial" w:eastAsia="Arial" w:hAnsi="Arial"/>
                <w:sz w:val="20"/>
                <w:szCs w:val="20"/>
                <w:b w:val="1"/>
                <w:bCs w:val="1"/>
                <w:color w:val="auto"/>
                <w:w w:val="99"/>
              </w:rPr>
              <w:t>Base Rate Spread</w:t>
            </w:r>
          </w:p>
        </w:tc>
        <w:tc>
          <w:tcPr>
            <w:tcW w:w="0" w:type="dxa"/>
            <w:vAlign w:val="bottom"/>
          </w:tcPr>
          <w:p>
            <w:pPr>
              <w:spacing w:after="0"/>
              <w:rPr>
                <w:sz w:val="1"/>
                <w:szCs w:val="1"/>
                <w:color w:val="auto"/>
              </w:rPr>
            </w:pPr>
          </w:p>
        </w:tc>
      </w:tr>
      <w:tr>
        <w:trPr>
          <w:trHeight w:val="245"/>
        </w:trPr>
        <w:tc>
          <w:tcPr>
            <w:tcW w:w="182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580" w:type="dxa"/>
            <w:vAlign w:val="bottom"/>
          </w:tcPr>
          <w:p>
            <w:pPr>
              <w:jc w:val="center"/>
              <w:ind w:left="121"/>
              <w:spacing w:after="0"/>
              <w:rPr>
                <w:sz w:val="20"/>
                <w:szCs w:val="20"/>
                <w:color w:val="auto"/>
              </w:rPr>
            </w:pPr>
            <w:r>
              <w:rPr>
                <w:rFonts w:ascii="Arial" w:cs="Arial" w:eastAsia="Arial" w:hAnsi="Arial"/>
                <w:sz w:val="20"/>
                <w:szCs w:val="20"/>
                <w:b w:val="1"/>
                <w:bCs w:val="1"/>
                <w:color w:val="auto"/>
              </w:rPr>
              <w:t>Spread</w:t>
            </w:r>
          </w:p>
        </w:tc>
        <w:tc>
          <w:tcPr>
            <w:tcW w:w="1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820" w:type="dxa"/>
            <w:vAlign w:val="bottom"/>
          </w:tcPr>
          <w:p>
            <w:pPr>
              <w:jc w:val="center"/>
              <w:ind w:right="481"/>
              <w:spacing w:after="0"/>
              <w:rPr>
                <w:sz w:val="20"/>
                <w:szCs w:val="20"/>
                <w:color w:val="auto"/>
              </w:rPr>
            </w:pPr>
            <w:r>
              <w:rPr>
                <w:rFonts w:ascii="Arial" w:cs="Arial" w:eastAsia="Arial" w:hAnsi="Arial"/>
                <w:sz w:val="20"/>
                <w:szCs w:val="20"/>
                <w:color w:val="auto"/>
                <w:w w:val="99"/>
              </w:rPr>
              <w:t>Level 1</w:t>
            </w:r>
          </w:p>
        </w:tc>
        <w:tc>
          <w:tcPr>
            <w:tcW w:w="2800" w:type="dxa"/>
            <w:vAlign w:val="bottom"/>
          </w:tcPr>
          <w:p>
            <w:pPr>
              <w:jc w:val="center"/>
              <w:ind w:left="101"/>
              <w:spacing w:after="0"/>
              <w:rPr>
                <w:sz w:val="20"/>
                <w:szCs w:val="20"/>
                <w:color w:val="auto"/>
              </w:rPr>
            </w:pPr>
            <w:r>
              <w:rPr>
                <w:rFonts w:ascii="Arial" w:cs="Arial" w:eastAsia="Arial" w:hAnsi="Arial"/>
                <w:sz w:val="20"/>
                <w:szCs w:val="20"/>
                <w:color w:val="auto"/>
                <w:w w:val="97"/>
              </w:rPr>
              <w:t>≥ A- / A3 / A-</w:t>
            </w:r>
          </w:p>
        </w:tc>
        <w:tc>
          <w:tcPr>
            <w:tcW w:w="2580" w:type="dxa"/>
            <w:vAlign w:val="bottom"/>
          </w:tcPr>
          <w:p>
            <w:pPr>
              <w:jc w:val="center"/>
              <w:ind w:left="121"/>
              <w:spacing w:after="0"/>
              <w:rPr>
                <w:sz w:val="20"/>
                <w:szCs w:val="20"/>
                <w:color w:val="auto"/>
              </w:rPr>
            </w:pPr>
            <w:r>
              <w:rPr>
                <w:rFonts w:ascii="Arial" w:cs="Arial" w:eastAsia="Arial" w:hAnsi="Arial"/>
                <w:sz w:val="20"/>
                <w:szCs w:val="20"/>
                <w:color w:val="auto"/>
              </w:rPr>
              <w:t>1.000%</w:t>
            </w:r>
          </w:p>
        </w:tc>
        <w:tc>
          <w:tcPr>
            <w:tcW w:w="1900" w:type="dxa"/>
            <w:vAlign w:val="bottom"/>
          </w:tcPr>
          <w:p>
            <w:pPr>
              <w:jc w:val="center"/>
              <w:ind w:left="101"/>
              <w:spacing w:after="0"/>
              <w:rPr>
                <w:sz w:val="20"/>
                <w:szCs w:val="20"/>
                <w:color w:val="auto"/>
              </w:rPr>
            </w:pPr>
            <w:r>
              <w:rPr>
                <w:rFonts w:ascii="Arial" w:cs="Arial" w:eastAsia="Arial" w:hAnsi="Arial"/>
                <w:sz w:val="20"/>
                <w:szCs w:val="20"/>
                <w:color w:val="auto"/>
                <w:w w:val="97"/>
              </w:rPr>
              <w:t>0.000%</w:t>
            </w:r>
          </w:p>
        </w:tc>
        <w:tc>
          <w:tcPr>
            <w:tcW w:w="0" w:type="dxa"/>
            <w:vAlign w:val="bottom"/>
          </w:tcPr>
          <w:p>
            <w:pPr>
              <w:spacing w:after="0"/>
              <w:rPr>
                <w:sz w:val="1"/>
                <w:szCs w:val="1"/>
                <w:color w:val="auto"/>
              </w:rPr>
            </w:pPr>
          </w:p>
        </w:tc>
      </w:tr>
      <w:tr>
        <w:trPr>
          <w:trHeight w:val="257"/>
        </w:trPr>
        <w:tc>
          <w:tcPr>
            <w:tcW w:w="1820" w:type="dxa"/>
            <w:vAlign w:val="bottom"/>
          </w:tcPr>
          <w:p>
            <w:pPr>
              <w:jc w:val="center"/>
              <w:ind w:right="481"/>
              <w:spacing w:after="0"/>
              <w:rPr>
                <w:sz w:val="20"/>
                <w:szCs w:val="20"/>
                <w:color w:val="auto"/>
              </w:rPr>
            </w:pPr>
            <w:r>
              <w:rPr>
                <w:rFonts w:ascii="Arial" w:cs="Arial" w:eastAsia="Arial" w:hAnsi="Arial"/>
                <w:sz w:val="20"/>
                <w:szCs w:val="20"/>
                <w:color w:val="auto"/>
                <w:w w:val="99"/>
              </w:rPr>
              <w:t>Level 2</w:t>
            </w:r>
          </w:p>
        </w:tc>
        <w:tc>
          <w:tcPr>
            <w:tcW w:w="2800" w:type="dxa"/>
            <w:vAlign w:val="bottom"/>
          </w:tcPr>
          <w:p>
            <w:pPr>
              <w:jc w:val="center"/>
              <w:ind w:left="81"/>
              <w:spacing w:after="0"/>
              <w:rPr>
                <w:sz w:val="20"/>
                <w:szCs w:val="20"/>
                <w:color w:val="auto"/>
              </w:rPr>
            </w:pPr>
            <w:r>
              <w:rPr>
                <w:rFonts w:ascii="Arial" w:cs="Arial" w:eastAsia="Arial" w:hAnsi="Arial"/>
                <w:sz w:val="20"/>
                <w:szCs w:val="20"/>
                <w:color w:val="auto"/>
                <w:w w:val="99"/>
              </w:rPr>
              <w:t>BBB+ / Baa1 / BBB+</w:t>
            </w:r>
          </w:p>
        </w:tc>
        <w:tc>
          <w:tcPr>
            <w:tcW w:w="2580" w:type="dxa"/>
            <w:vAlign w:val="bottom"/>
          </w:tcPr>
          <w:p>
            <w:pPr>
              <w:jc w:val="center"/>
              <w:ind w:left="121"/>
              <w:spacing w:after="0"/>
              <w:rPr>
                <w:sz w:val="20"/>
                <w:szCs w:val="20"/>
                <w:color w:val="auto"/>
              </w:rPr>
            </w:pPr>
            <w:r>
              <w:rPr>
                <w:rFonts w:ascii="Arial" w:cs="Arial" w:eastAsia="Arial" w:hAnsi="Arial"/>
                <w:sz w:val="20"/>
                <w:szCs w:val="20"/>
                <w:color w:val="auto"/>
              </w:rPr>
              <w:t>1.125%</w:t>
            </w:r>
          </w:p>
        </w:tc>
        <w:tc>
          <w:tcPr>
            <w:tcW w:w="1900" w:type="dxa"/>
            <w:vAlign w:val="bottom"/>
          </w:tcPr>
          <w:p>
            <w:pPr>
              <w:jc w:val="center"/>
              <w:ind w:left="101"/>
              <w:spacing w:after="0"/>
              <w:rPr>
                <w:sz w:val="20"/>
                <w:szCs w:val="20"/>
                <w:color w:val="auto"/>
              </w:rPr>
            </w:pPr>
            <w:r>
              <w:rPr>
                <w:rFonts w:ascii="Arial" w:cs="Arial" w:eastAsia="Arial" w:hAnsi="Arial"/>
                <w:sz w:val="20"/>
                <w:szCs w:val="20"/>
                <w:color w:val="auto"/>
                <w:w w:val="97"/>
              </w:rPr>
              <w:t>0.125%</w:t>
            </w:r>
          </w:p>
        </w:tc>
        <w:tc>
          <w:tcPr>
            <w:tcW w:w="0" w:type="dxa"/>
            <w:vAlign w:val="bottom"/>
          </w:tcPr>
          <w:p>
            <w:pPr>
              <w:spacing w:after="0"/>
              <w:rPr>
                <w:sz w:val="1"/>
                <w:szCs w:val="1"/>
                <w:color w:val="auto"/>
              </w:rPr>
            </w:pPr>
          </w:p>
        </w:tc>
      </w:tr>
      <w:tr>
        <w:trPr>
          <w:trHeight w:val="257"/>
        </w:trPr>
        <w:tc>
          <w:tcPr>
            <w:tcW w:w="1820" w:type="dxa"/>
            <w:vAlign w:val="bottom"/>
          </w:tcPr>
          <w:p>
            <w:pPr>
              <w:jc w:val="center"/>
              <w:ind w:right="481"/>
              <w:spacing w:after="0"/>
              <w:rPr>
                <w:sz w:val="20"/>
                <w:szCs w:val="20"/>
                <w:color w:val="auto"/>
              </w:rPr>
            </w:pPr>
            <w:r>
              <w:rPr>
                <w:rFonts w:ascii="Arial" w:cs="Arial" w:eastAsia="Arial" w:hAnsi="Arial"/>
                <w:sz w:val="20"/>
                <w:szCs w:val="20"/>
                <w:color w:val="auto"/>
                <w:w w:val="99"/>
              </w:rPr>
              <w:t>Level 3</w:t>
            </w:r>
          </w:p>
        </w:tc>
        <w:tc>
          <w:tcPr>
            <w:tcW w:w="2800" w:type="dxa"/>
            <w:vAlign w:val="bottom"/>
          </w:tcPr>
          <w:p>
            <w:pPr>
              <w:jc w:val="center"/>
              <w:ind w:left="81"/>
              <w:spacing w:after="0"/>
              <w:rPr>
                <w:sz w:val="20"/>
                <w:szCs w:val="20"/>
                <w:color w:val="auto"/>
              </w:rPr>
            </w:pPr>
            <w:r>
              <w:rPr>
                <w:rFonts w:ascii="Arial" w:cs="Arial" w:eastAsia="Arial" w:hAnsi="Arial"/>
                <w:sz w:val="20"/>
                <w:szCs w:val="20"/>
                <w:color w:val="auto"/>
                <w:w w:val="98"/>
              </w:rPr>
              <w:t>BBB / Baa2 / BBB</w:t>
            </w:r>
          </w:p>
        </w:tc>
        <w:tc>
          <w:tcPr>
            <w:tcW w:w="2580" w:type="dxa"/>
            <w:vAlign w:val="bottom"/>
          </w:tcPr>
          <w:p>
            <w:pPr>
              <w:jc w:val="center"/>
              <w:ind w:left="121"/>
              <w:spacing w:after="0"/>
              <w:rPr>
                <w:sz w:val="20"/>
                <w:szCs w:val="20"/>
                <w:color w:val="auto"/>
              </w:rPr>
            </w:pPr>
            <w:r>
              <w:rPr>
                <w:rFonts w:ascii="Arial" w:cs="Arial" w:eastAsia="Arial" w:hAnsi="Arial"/>
                <w:sz w:val="20"/>
                <w:szCs w:val="20"/>
                <w:color w:val="auto"/>
              </w:rPr>
              <w:t>1.250%</w:t>
            </w:r>
          </w:p>
        </w:tc>
        <w:tc>
          <w:tcPr>
            <w:tcW w:w="1900" w:type="dxa"/>
            <w:vAlign w:val="bottom"/>
          </w:tcPr>
          <w:p>
            <w:pPr>
              <w:jc w:val="center"/>
              <w:ind w:left="101"/>
              <w:spacing w:after="0"/>
              <w:rPr>
                <w:sz w:val="20"/>
                <w:szCs w:val="20"/>
                <w:color w:val="auto"/>
              </w:rPr>
            </w:pPr>
            <w:r>
              <w:rPr>
                <w:rFonts w:ascii="Arial" w:cs="Arial" w:eastAsia="Arial" w:hAnsi="Arial"/>
                <w:sz w:val="20"/>
                <w:szCs w:val="20"/>
                <w:color w:val="auto"/>
                <w:w w:val="97"/>
              </w:rPr>
              <w:t>0.250%</w:t>
            </w:r>
          </w:p>
        </w:tc>
        <w:tc>
          <w:tcPr>
            <w:tcW w:w="0" w:type="dxa"/>
            <w:vAlign w:val="bottom"/>
          </w:tcPr>
          <w:p>
            <w:pPr>
              <w:spacing w:after="0"/>
              <w:rPr>
                <w:sz w:val="1"/>
                <w:szCs w:val="1"/>
                <w:color w:val="auto"/>
              </w:rPr>
            </w:pPr>
          </w:p>
        </w:tc>
      </w:tr>
      <w:tr>
        <w:trPr>
          <w:trHeight w:val="257"/>
        </w:trPr>
        <w:tc>
          <w:tcPr>
            <w:tcW w:w="1820" w:type="dxa"/>
            <w:vAlign w:val="bottom"/>
          </w:tcPr>
          <w:p>
            <w:pPr>
              <w:jc w:val="center"/>
              <w:ind w:right="481"/>
              <w:spacing w:after="0"/>
              <w:rPr>
                <w:sz w:val="20"/>
                <w:szCs w:val="20"/>
                <w:color w:val="auto"/>
              </w:rPr>
            </w:pPr>
            <w:r>
              <w:rPr>
                <w:rFonts w:ascii="Arial" w:cs="Arial" w:eastAsia="Arial" w:hAnsi="Arial"/>
                <w:sz w:val="20"/>
                <w:szCs w:val="20"/>
                <w:color w:val="auto"/>
                <w:w w:val="99"/>
              </w:rPr>
              <w:t>Level 4</w:t>
            </w:r>
          </w:p>
        </w:tc>
        <w:tc>
          <w:tcPr>
            <w:tcW w:w="2800" w:type="dxa"/>
            <w:vAlign w:val="bottom"/>
          </w:tcPr>
          <w:p>
            <w:pPr>
              <w:jc w:val="center"/>
              <w:ind w:left="101"/>
              <w:spacing w:after="0"/>
              <w:rPr>
                <w:sz w:val="20"/>
                <w:szCs w:val="20"/>
                <w:color w:val="auto"/>
              </w:rPr>
            </w:pPr>
            <w:r>
              <w:rPr>
                <w:rFonts w:ascii="Arial" w:cs="Arial" w:eastAsia="Arial" w:hAnsi="Arial"/>
                <w:sz w:val="20"/>
                <w:szCs w:val="20"/>
                <w:color w:val="auto"/>
                <w:w w:val="99"/>
              </w:rPr>
              <w:t>BBB- / Baa3 / BBB-</w:t>
            </w:r>
          </w:p>
        </w:tc>
        <w:tc>
          <w:tcPr>
            <w:tcW w:w="2580" w:type="dxa"/>
            <w:vAlign w:val="bottom"/>
          </w:tcPr>
          <w:p>
            <w:pPr>
              <w:jc w:val="center"/>
              <w:ind w:left="121"/>
              <w:spacing w:after="0"/>
              <w:rPr>
                <w:sz w:val="20"/>
                <w:szCs w:val="20"/>
                <w:color w:val="auto"/>
              </w:rPr>
            </w:pPr>
            <w:r>
              <w:rPr>
                <w:rFonts w:ascii="Arial" w:cs="Arial" w:eastAsia="Arial" w:hAnsi="Arial"/>
                <w:sz w:val="20"/>
                <w:szCs w:val="20"/>
                <w:color w:val="auto"/>
              </w:rPr>
              <w:t>1.500%</w:t>
            </w:r>
          </w:p>
        </w:tc>
        <w:tc>
          <w:tcPr>
            <w:tcW w:w="1900" w:type="dxa"/>
            <w:vAlign w:val="bottom"/>
          </w:tcPr>
          <w:p>
            <w:pPr>
              <w:jc w:val="center"/>
              <w:ind w:left="101"/>
              <w:spacing w:after="0"/>
              <w:rPr>
                <w:sz w:val="20"/>
                <w:szCs w:val="20"/>
                <w:color w:val="auto"/>
              </w:rPr>
            </w:pPr>
            <w:r>
              <w:rPr>
                <w:rFonts w:ascii="Arial" w:cs="Arial" w:eastAsia="Arial" w:hAnsi="Arial"/>
                <w:sz w:val="20"/>
                <w:szCs w:val="20"/>
                <w:color w:val="auto"/>
                <w:w w:val="97"/>
              </w:rPr>
              <w:t>0.500%</w:t>
            </w:r>
          </w:p>
        </w:tc>
        <w:tc>
          <w:tcPr>
            <w:tcW w:w="0" w:type="dxa"/>
            <w:vAlign w:val="bottom"/>
          </w:tcPr>
          <w:p>
            <w:pPr>
              <w:spacing w:after="0"/>
              <w:rPr>
                <w:sz w:val="1"/>
                <w:szCs w:val="1"/>
                <w:color w:val="auto"/>
              </w:rPr>
            </w:pPr>
          </w:p>
        </w:tc>
      </w:tr>
      <w:tr>
        <w:trPr>
          <w:trHeight w:val="261"/>
        </w:trPr>
        <w:tc>
          <w:tcPr>
            <w:tcW w:w="1820" w:type="dxa"/>
            <w:vAlign w:val="bottom"/>
          </w:tcPr>
          <w:p>
            <w:pPr>
              <w:jc w:val="center"/>
              <w:ind w:right="481"/>
              <w:spacing w:after="0"/>
              <w:rPr>
                <w:sz w:val="20"/>
                <w:szCs w:val="20"/>
                <w:color w:val="auto"/>
              </w:rPr>
            </w:pPr>
            <w:r>
              <w:rPr>
                <w:rFonts w:ascii="Arial" w:cs="Arial" w:eastAsia="Arial" w:hAnsi="Arial"/>
                <w:sz w:val="20"/>
                <w:szCs w:val="20"/>
                <w:color w:val="auto"/>
                <w:w w:val="99"/>
              </w:rPr>
              <w:t>Level 5</w:t>
            </w:r>
          </w:p>
        </w:tc>
        <w:tc>
          <w:tcPr>
            <w:tcW w:w="2800" w:type="dxa"/>
            <w:vAlign w:val="bottom"/>
          </w:tcPr>
          <w:p>
            <w:pPr>
              <w:jc w:val="center"/>
              <w:ind w:left="101"/>
              <w:spacing w:after="0"/>
              <w:rPr>
                <w:sz w:val="20"/>
                <w:szCs w:val="20"/>
                <w:color w:val="auto"/>
              </w:rPr>
            </w:pPr>
            <w:r>
              <w:rPr>
                <w:rFonts w:ascii="Arial" w:cs="Arial" w:eastAsia="Arial" w:hAnsi="Arial"/>
                <w:sz w:val="20"/>
                <w:szCs w:val="20"/>
                <w:color w:val="auto"/>
                <w:w w:val="98"/>
              </w:rPr>
              <w:t>≤ BB+ / Ba1 / BB+</w:t>
            </w:r>
          </w:p>
        </w:tc>
        <w:tc>
          <w:tcPr>
            <w:tcW w:w="2580" w:type="dxa"/>
            <w:vAlign w:val="bottom"/>
          </w:tcPr>
          <w:p>
            <w:pPr>
              <w:jc w:val="center"/>
              <w:ind w:left="121"/>
              <w:spacing w:after="0"/>
              <w:rPr>
                <w:sz w:val="20"/>
                <w:szCs w:val="20"/>
                <w:color w:val="auto"/>
              </w:rPr>
            </w:pPr>
            <w:r>
              <w:rPr>
                <w:rFonts w:ascii="Arial" w:cs="Arial" w:eastAsia="Arial" w:hAnsi="Arial"/>
                <w:sz w:val="20"/>
                <w:szCs w:val="20"/>
                <w:color w:val="auto"/>
              </w:rPr>
              <w:t>1.750%</w:t>
            </w:r>
          </w:p>
        </w:tc>
        <w:tc>
          <w:tcPr>
            <w:tcW w:w="1900" w:type="dxa"/>
            <w:vAlign w:val="bottom"/>
          </w:tcPr>
          <w:p>
            <w:pPr>
              <w:jc w:val="center"/>
              <w:ind w:left="101"/>
              <w:spacing w:after="0"/>
              <w:rPr>
                <w:sz w:val="20"/>
                <w:szCs w:val="20"/>
                <w:color w:val="auto"/>
              </w:rPr>
            </w:pPr>
            <w:r>
              <w:rPr>
                <w:rFonts w:ascii="Arial" w:cs="Arial" w:eastAsia="Arial" w:hAnsi="Arial"/>
                <w:sz w:val="20"/>
                <w:szCs w:val="20"/>
                <w:color w:val="auto"/>
                <w:w w:val="97"/>
              </w:rPr>
              <w:t>0.750%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ind w:firstLine="656"/>
        <w:spacing w:after="0" w:line="241" w:lineRule="auto"/>
        <w:tabs>
          <w:tab w:leader="none" w:pos="949" w:val="left"/>
        </w:tabs>
        <w:numPr>
          <w:ilvl w:val="0"/>
          <w:numId w:val="165"/>
        </w:numPr>
        <w:rPr>
          <w:rFonts w:ascii="Arial" w:cs="Arial" w:eastAsia="Arial" w:hAnsi="Arial"/>
          <w:sz w:val="20"/>
          <w:szCs w:val="20"/>
          <w:color w:val="auto"/>
        </w:rPr>
      </w:pPr>
      <w:r>
        <w:rPr>
          <w:rFonts w:ascii="Arial" w:cs="Arial" w:eastAsia="Arial" w:hAnsi="Arial"/>
          <w:sz w:val="20"/>
          <w:szCs w:val="20"/>
          <w:color w:val="auto"/>
        </w:rPr>
        <w:t>with respect to the Term A-2 Loans, for any day, with respect to any SOFR Loan or any Base Rate Loan, as the case may be, the applicable rate per annum set forth below under the caption “Adjusted Term SOFR Spread” or “Base Rate Spread”, as the case may be, corresponding to the applicable Corporate Ratings from the Rating Agencies on such date:</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1800" w:type="dxa"/>
            <w:vAlign w:val="bottom"/>
          </w:tcPr>
          <w:p>
            <w:pPr>
              <w:spacing w:after="0"/>
              <w:rPr>
                <w:sz w:val="22"/>
                <w:szCs w:val="22"/>
                <w:color w:val="auto"/>
              </w:rPr>
            </w:pPr>
          </w:p>
        </w:tc>
        <w:tc>
          <w:tcPr>
            <w:tcW w:w="5320" w:type="dxa"/>
            <w:vAlign w:val="bottom"/>
            <w:gridSpan w:val="2"/>
          </w:tcPr>
          <w:p>
            <w:pPr>
              <w:ind w:left="1860"/>
              <w:spacing w:after="0"/>
              <w:rPr>
                <w:sz w:val="20"/>
                <w:szCs w:val="20"/>
                <w:color w:val="auto"/>
              </w:rPr>
            </w:pPr>
            <w:r>
              <w:rPr>
                <w:rFonts w:ascii="Arial" w:cs="Arial" w:eastAsia="Arial" w:hAnsi="Arial"/>
                <w:sz w:val="20"/>
                <w:szCs w:val="20"/>
                <w:b w:val="1"/>
                <w:bCs w:val="1"/>
                <w:color w:val="auto"/>
              </w:rPr>
              <w:t>Term A-2 Loans</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800" w:type="dxa"/>
            <w:vAlign w:val="bottom"/>
            <w:vMerge w:val="restart"/>
          </w:tcPr>
          <w:p>
            <w:pPr>
              <w:jc w:val="center"/>
              <w:ind w:right="461"/>
              <w:spacing w:after="0"/>
              <w:rPr>
                <w:sz w:val="20"/>
                <w:szCs w:val="20"/>
                <w:color w:val="auto"/>
              </w:rPr>
            </w:pPr>
            <w:r>
              <w:rPr>
                <w:rFonts w:ascii="Arial" w:cs="Arial" w:eastAsia="Arial" w:hAnsi="Arial"/>
                <w:sz w:val="20"/>
                <w:szCs w:val="20"/>
                <w:b w:val="1"/>
                <w:bCs w:val="1"/>
                <w:color w:val="auto"/>
                <w:w w:val="99"/>
              </w:rPr>
              <w:t>Pricing Level</w:t>
            </w:r>
          </w:p>
        </w:tc>
        <w:tc>
          <w:tcPr>
            <w:tcW w:w="2760" w:type="dxa"/>
            <w:vAlign w:val="bottom"/>
            <w:vMerge w:val="restart"/>
          </w:tcPr>
          <w:p>
            <w:pPr>
              <w:jc w:val="center"/>
              <w:ind w:left="81"/>
              <w:spacing w:after="0"/>
              <w:rPr>
                <w:sz w:val="20"/>
                <w:szCs w:val="20"/>
                <w:color w:val="auto"/>
              </w:rPr>
            </w:pPr>
            <w:r>
              <w:rPr>
                <w:rFonts w:ascii="Arial" w:cs="Arial" w:eastAsia="Arial" w:hAnsi="Arial"/>
                <w:sz w:val="20"/>
                <w:szCs w:val="20"/>
                <w:b w:val="1"/>
                <w:bCs w:val="1"/>
                <w:color w:val="auto"/>
                <w:w w:val="99"/>
              </w:rPr>
              <w:t>Corporate Ratings</w:t>
            </w:r>
          </w:p>
        </w:tc>
        <w:tc>
          <w:tcPr>
            <w:tcW w:w="2560" w:type="dxa"/>
            <w:vAlign w:val="bottom"/>
          </w:tcPr>
          <w:p>
            <w:pPr>
              <w:jc w:val="center"/>
              <w:ind w:left="61"/>
              <w:spacing w:after="0" w:line="199" w:lineRule="exact"/>
              <w:rPr>
                <w:sz w:val="20"/>
                <w:szCs w:val="20"/>
                <w:color w:val="auto"/>
              </w:rPr>
            </w:pPr>
            <w:r>
              <w:rPr>
                <w:rFonts w:ascii="Arial" w:cs="Arial" w:eastAsia="Arial" w:hAnsi="Arial"/>
                <w:sz w:val="20"/>
                <w:szCs w:val="20"/>
                <w:b w:val="1"/>
                <w:bCs w:val="1"/>
                <w:color w:val="auto"/>
                <w:w w:val="97"/>
              </w:rPr>
              <w:t>Adjusted Term SOFR</w:t>
            </w:r>
          </w:p>
        </w:tc>
        <w:tc>
          <w:tcPr>
            <w:tcW w:w="1880" w:type="dxa"/>
            <w:vAlign w:val="bottom"/>
            <w:vMerge w:val="restart"/>
          </w:tcPr>
          <w:p>
            <w:pPr>
              <w:jc w:val="center"/>
              <w:ind w:left="101"/>
              <w:spacing w:after="0"/>
              <w:rPr>
                <w:sz w:val="20"/>
                <w:szCs w:val="20"/>
                <w:color w:val="auto"/>
              </w:rPr>
            </w:pPr>
            <w:r>
              <w:rPr>
                <w:rFonts w:ascii="Arial" w:cs="Arial" w:eastAsia="Arial" w:hAnsi="Arial"/>
                <w:sz w:val="20"/>
                <w:szCs w:val="20"/>
                <w:b w:val="1"/>
                <w:bCs w:val="1"/>
                <w:color w:val="auto"/>
                <w:w w:val="98"/>
              </w:rPr>
              <w:t>Base Rate Spread</w:t>
            </w:r>
          </w:p>
        </w:tc>
        <w:tc>
          <w:tcPr>
            <w:tcW w:w="0" w:type="dxa"/>
            <w:vAlign w:val="bottom"/>
          </w:tcPr>
          <w:p>
            <w:pPr>
              <w:spacing w:after="0"/>
              <w:rPr>
                <w:sz w:val="1"/>
                <w:szCs w:val="1"/>
                <w:color w:val="auto"/>
              </w:rPr>
            </w:pPr>
          </w:p>
        </w:tc>
      </w:tr>
      <w:tr>
        <w:trPr>
          <w:trHeight w:val="248"/>
        </w:trPr>
        <w:tc>
          <w:tcPr>
            <w:tcW w:w="1800" w:type="dxa"/>
            <w:vAlign w:val="bottom"/>
            <w:vMerge w:val="continue"/>
          </w:tcPr>
          <w:p>
            <w:pPr>
              <w:spacing w:after="0"/>
              <w:rPr>
                <w:sz w:val="21"/>
                <w:szCs w:val="21"/>
                <w:color w:val="auto"/>
              </w:rPr>
            </w:pPr>
          </w:p>
        </w:tc>
        <w:tc>
          <w:tcPr>
            <w:tcW w:w="2760" w:type="dxa"/>
            <w:vAlign w:val="bottom"/>
            <w:vMerge w:val="continue"/>
          </w:tcPr>
          <w:p>
            <w:pPr>
              <w:spacing w:after="0"/>
              <w:rPr>
                <w:sz w:val="21"/>
                <w:szCs w:val="21"/>
                <w:color w:val="auto"/>
              </w:rPr>
            </w:pPr>
          </w:p>
        </w:tc>
        <w:tc>
          <w:tcPr>
            <w:tcW w:w="2560" w:type="dxa"/>
            <w:vAlign w:val="bottom"/>
          </w:tcPr>
          <w:p>
            <w:pPr>
              <w:jc w:val="center"/>
              <w:ind w:left="61"/>
              <w:spacing w:after="0"/>
              <w:rPr>
                <w:sz w:val="20"/>
                <w:szCs w:val="20"/>
                <w:color w:val="auto"/>
              </w:rPr>
            </w:pPr>
            <w:r>
              <w:rPr>
                <w:rFonts w:ascii="Arial" w:cs="Arial" w:eastAsia="Arial" w:hAnsi="Arial"/>
                <w:sz w:val="20"/>
                <w:szCs w:val="20"/>
                <w:b w:val="1"/>
                <w:bCs w:val="1"/>
                <w:color w:val="auto"/>
              </w:rPr>
              <w:t>Spread</w:t>
            </w: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1</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 A- / A3 / A-</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1.125%</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0.125%</w:t>
            </w:r>
          </w:p>
        </w:tc>
        <w:tc>
          <w:tcPr>
            <w:tcW w:w="0" w:type="dxa"/>
            <w:vAlign w:val="bottom"/>
          </w:tcPr>
          <w:p>
            <w:pPr>
              <w:spacing w:after="0"/>
              <w:rPr>
                <w:sz w:val="1"/>
                <w:szCs w:val="1"/>
                <w:color w:val="auto"/>
              </w:rPr>
            </w:pPr>
          </w:p>
        </w:tc>
      </w:tr>
      <w:tr>
        <w:trPr>
          <w:trHeight w:val="256"/>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2</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BBB+ / Baa1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1.250%</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0.250%</w:t>
            </w:r>
          </w:p>
        </w:tc>
        <w:tc>
          <w:tcPr>
            <w:tcW w:w="0" w:type="dxa"/>
            <w:vAlign w:val="bottom"/>
          </w:tcPr>
          <w:p>
            <w:pPr>
              <w:spacing w:after="0"/>
              <w:rPr>
                <w:sz w:val="1"/>
                <w:szCs w:val="1"/>
                <w:color w:val="auto"/>
              </w:rPr>
            </w:pPr>
          </w:p>
        </w:tc>
      </w:tr>
      <w:tr>
        <w:trPr>
          <w:trHeight w:val="257"/>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3</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8"/>
              </w:rPr>
              <w:t>BBB / Baa2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1.375%</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0.375%</w:t>
            </w:r>
          </w:p>
        </w:tc>
        <w:tc>
          <w:tcPr>
            <w:tcW w:w="0" w:type="dxa"/>
            <w:vAlign w:val="bottom"/>
          </w:tcPr>
          <w:p>
            <w:pPr>
              <w:spacing w:after="0"/>
              <w:rPr>
                <w:sz w:val="1"/>
                <w:szCs w:val="1"/>
                <w:color w:val="auto"/>
              </w:rPr>
            </w:pPr>
          </w:p>
        </w:tc>
      </w:tr>
      <w:tr>
        <w:trPr>
          <w:trHeight w:val="257"/>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4</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7"/>
              </w:rPr>
              <w:t>BBB- / Baa3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1.625%</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0.625%</w:t>
            </w:r>
          </w:p>
        </w:tc>
        <w:tc>
          <w:tcPr>
            <w:tcW w:w="0" w:type="dxa"/>
            <w:vAlign w:val="bottom"/>
          </w:tcPr>
          <w:p>
            <w:pPr>
              <w:spacing w:after="0"/>
              <w:rPr>
                <w:sz w:val="1"/>
                <w:szCs w:val="1"/>
                <w:color w:val="auto"/>
              </w:rPr>
            </w:pPr>
          </w:p>
        </w:tc>
      </w:tr>
      <w:tr>
        <w:trPr>
          <w:trHeight w:val="261"/>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5</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 BB+ / Ba1 / 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1.875%</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0.875%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56"/>
        <w:spacing w:after="0" w:line="248" w:lineRule="auto"/>
        <w:tabs>
          <w:tab w:leader="none" w:pos="938" w:val="left"/>
        </w:tabs>
        <w:numPr>
          <w:ilvl w:val="0"/>
          <w:numId w:val="166"/>
        </w:numPr>
        <w:rPr>
          <w:rFonts w:ascii="Arial" w:cs="Arial" w:eastAsia="Arial" w:hAnsi="Arial"/>
          <w:sz w:val="20"/>
          <w:szCs w:val="20"/>
          <w:color w:val="auto"/>
        </w:rPr>
      </w:pPr>
      <w:r>
        <w:rPr>
          <w:rFonts w:ascii="Arial" w:cs="Arial" w:eastAsia="Arial" w:hAnsi="Arial"/>
          <w:sz w:val="20"/>
          <w:szCs w:val="20"/>
          <w:color w:val="auto"/>
        </w:rPr>
        <w:t>with respect to the Term A-3 Loans, for any day, with respect to any SOFR Loan or any Base Rate Loan, as the case may be, the applicable rate per annum set forth below under the caption “Adjusted Term SOFR Spread” or “Base Rate Spread”, as the case may be, corresponding to the applicable Corporate Ratings from the Rating Agencies on such date:</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257"/>
        </w:trPr>
        <w:tc>
          <w:tcPr>
            <w:tcW w:w="1800" w:type="dxa"/>
            <w:vAlign w:val="bottom"/>
          </w:tcPr>
          <w:p>
            <w:pPr>
              <w:spacing w:after="0"/>
              <w:rPr>
                <w:sz w:val="22"/>
                <w:szCs w:val="22"/>
                <w:color w:val="auto"/>
              </w:rPr>
            </w:pPr>
          </w:p>
        </w:tc>
        <w:tc>
          <w:tcPr>
            <w:tcW w:w="5320" w:type="dxa"/>
            <w:vAlign w:val="bottom"/>
            <w:gridSpan w:val="2"/>
          </w:tcPr>
          <w:p>
            <w:pPr>
              <w:ind w:left="1860"/>
              <w:spacing w:after="0"/>
              <w:rPr>
                <w:sz w:val="20"/>
                <w:szCs w:val="20"/>
                <w:color w:val="auto"/>
              </w:rPr>
            </w:pPr>
            <w:r>
              <w:rPr>
                <w:rFonts w:ascii="Arial" w:cs="Arial" w:eastAsia="Arial" w:hAnsi="Arial"/>
                <w:sz w:val="20"/>
                <w:szCs w:val="20"/>
                <w:b w:val="1"/>
                <w:bCs w:val="1"/>
                <w:color w:val="auto"/>
              </w:rPr>
              <w:t>Term A-3 Loans</w:t>
            </w: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1800" w:type="dxa"/>
            <w:vAlign w:val="bottom"/>
            <w:vMerge w:val="restart"/>
          </w:tcPr>
          <w:p>
            <w:pPr>
              <w:jc w:val="center"/>
              <w:ind w:right="461"/>
              <w:spacing w:after="0"/>
              <w:rPr>
                <w:sz w:val="20"/>
                <w:szCs w:val="20"/>
                <w:color w:val="auto"/>
              </w:rPr>
            </w:pPr>
            <w:r>
              <w:rPr>
                <w:rFonts w:ascii="Arial" w:cs="Arial" w:eastAsia="Arial" w:hAnsi="Arial"/>
                <w:sz w:val="20"/>
                <w:szCs w:val="20"/>
                <w:b w:val="1"/>
                <w:bCs w:val="1"/>
                <w:color w:val="auto"/>
                <w:w w:val="99"/>
              </w:rPr>
              <w:t>Pricing Level</w:t>
            </w:r>
          </w:p>
        </w:tc>
        <w:tc>
          <w:tcPr>
            <w:tcW w:w="2760" w:type="dxa"/>
            <w:vAlign w:val="bottom"/>
            <w:vMerge w:val="restart"/>
          </w:tcPr>
          <w:p>
            <w:pPr>
              <w:jc w:val="center"/>
              <w:ind w:left="81"/>
              <w:spacing w:after="0"/>
              <w:rPr>
                <w:sz w:val="20"/>
                <w:szCs w:val="20"/>
                <w:color w:val="auto"/>
              </w:rPr>
            </w:pPr>
            <w:r>
              <w:rPr>
                <w:rFonts w:ascii="Arial" w:cs="Arial" w:eastAsia="Arial" w:hAnsi="Arial"/>
                <w:sz w:val="20"/>
                <w:szCs w:val="20"/>
                <w:b w:val="1"/>
                <w:bCs w:val="1"/>
                <w:color w:val="auto"/>
                <w:w w:val="99"/>
              </w:rPr>
              <w:t>Corporate Ratings</w:t>
            </w:r>
          </w:p>
        </w:tc>
        <w:tc>
          <w:tcPr>
            <w:tcW w:w="2560" w:type="dxa"/>
            <w:vAlign w:val="bottom"/>
          </w:tcPr>
          <w:p>
            <w:pPr>
              <w:jc w:val="center"/>
              <w:ind w:left="61"/>
              <w:spacing w:after="0" w:line="199" w:lineRule="exact"/>
              <w:rPr>
                <w:sz w:val="20"/>
                <w:szCs w:val="20"/>
                <w:color w:val="auto"/>
              </w:rPr>
            </w:pPr>
            <w:r>
              <w:rPr>
                <w:rFonts w:ascii="Arial" w:cs="Arial" w:eastAsia="Arial" w:hAnsi="Arial"/>
                <w:sz w:val="20"/>
                <w:szCs w:val="20"/>
                <w:b w:val="1"/>
                <w:bCs w:val="1"/>
                <w:color w:val="auto"/>
                <w:w w:val="97"/>
              </w:rPr>
              <w:t>Adjusted Term SOFR</w:t>
            </w:r>
          </w:p>
        </w:tc>
        <w:tc>
          <w:tcPr>
            <w:tcW w:w="1880" w:type="dxa"/>
            <w:vAlign w:val="bottom"/>
            <w:vMerge w:val="restart"/>
          </w:tcPr>
          <w:p>
            <w:pPr>
              <w:jc w:val="center"/>
              <w:ind w:left="101"/>
              <w:spacing w:after="0"/>
              <w:rPr>
                <w:sz w:val="20"/>
                <w:szCs w:val="20"/>
                <w:color w:val="auto"/>
              </w:rPr>
            </w:pPr>
            <w:r>
              <w:rPr>
                <w:rFonts w:ascii="Arial" w:cs="Arial" w:eastAsia="Arial" w:hAnsi="Arial"/>
                <w:sz w:val="20"/>
                <w:szCs w:val="20"/>
                <w:b w:val="1"/>
                <w:bCs w:val="1"/>
                <w:color w:val="auto"/>
                <w:w w:val="98"/>
              </w:rPr>
              <w:t>Base Rate Spread</w:t>
            </w:r>
          </w:p>
        </w:tc>
        <w:tc>
          <w:tcPr>
            <w:tcW w:w="0" w:type="dxa"/>
            <w:vAlign w:val="bottom"/>
          </w:tcPr>
          <w:p>
            <w:pPr>
              <w:spacing w:after="0"/>
              <w:rPr>
                <w:sz w:val="1"/>
                <w:szCs w:val="1"/>
                <w:color w:val="auto"/>
              </w:rPr>
            </w:pPr>
          </w:p>
        </w:tc>
      </w:tr>
      <w:tr>
        <w:trPr>
          <w:trHeight w:val="248"/>
        </w:trPr>
        <w:tc>
          <w:tcPr>
            <w:tcW w:w="1800" w:type="dxa"/>
            <w:vAlign w:val="bottom"/>
            <w:vMerge w:val="continue"/>
          </w:tcPr>
          <w:p>
            <w:pPr>
              <w:spacing w:after="0"/>
              <w:rPr>
                <w:sz w:val="21"/>
                <w:szCs w:val="21"/>
                <w:color w:val="auto"/>
              </w:rPr>
            </w:pPr>
          </w:p>
        </w:tc>
        <w:tc>
          <w:tcPr>
            <w:tcW w:w="2760" w:type="dxa"/>
            <w:vAlign w:val="bottom"/>
            <w:vMerge w:val="continue"/>
          </w:tcPr>
          <w:p>
            <w:pPr>
              <w:spacing w:after="0"/>
              <w:rPr>
                <w:sz w:val="21"/>
                <w:szCs w:val="21"/>
                <w:color w:val="auto"/>
              </w:rPr>
            </w:pPr>
          </w:p>
        </w:tc>
        <w:tc>
          <w:tcPr>
            <w:tcW w:w="2560" w:type="dxa"/>
            <w:vAlign w:val="bottom"/>
          </w:tcPr>
          <w:p>
            <w:pPr>
              <w:jc w:val="center"/>
              <w:ind w:left="61"/>
              <w:spacing w:after="0"/>
              <w:rPr>
                <w:sz w:val="20"/>
                <w:szCs w:val="20"/>
                <w:color w:val="auto"/>
              </w:rPr>
            </w:pPr>
            <w:r>
              <w:rPr>
                <w:rFonts w:ascii="Arial" w:cs="Arial" w:eastAsia="Arial" w:hAnsi="Arial"/>
                <w:sz w:val="20"/>
                <w:szCs w:val="20"/>
                <w:b w:val="1"/>
                <w:bCs w:val="1"/>
                <w:color w:val="auto"/>
              </w:rPr>
              <w:t>Spread</w:t>
            </w: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1</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 A- / A3 / A-</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1.250%</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0.250%</w:t>
            </w:r>
          </w:p>
        </w:tc>
        <w:tc>
          <w:tcPr>
            <w:tcW w:w="0" w:type="dxa"/>
            <w:vAlign w:val="bottom"/>
          </w:tcPr>
          <w:p>
            <w:pPr>
              <w:spacing w:after="0"/>
              <w:rPr>
                <w:sz w:val="1"/>
                <w:szCs w:val="1"/>
                <w:color w:val="auto"/>
              </w:rPr>
            </w:pPr>
          </w:p>
        </w:tc>
      </w:tr>
      <w:tr>
        <w:trPr>
          <w:trHeight w:val="256"/>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2</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BBB+ / Baa1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1.375%</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0.375%</w:t>
            </w:r>
          </w:p>
        </w:tc>
        <w:tc>
          <w:tcPr>
            <w:tcW w:w="0" w:type="dxa"/>
            <w:vAlign w:val="bottom"/>
          </w:tcPr>
          <w:p>
            <w:pPr>
              <w:spacing w:after="0"/>
              <w:rPr>
                <w:sz w:val="1"/>
                <w:szCs w:val="1"/>
                <w:color w:val="auto"/>
              </w:rPr>
            </w:pPr>
          </w:p>
        </w:tc>
      </w:tr>
      <w:tr>
        <w:trPr>
          <w:trHeight w:val="257"/>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3</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8"/>
              </w:rPr>
              <w:t>BBB / Baa2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1.500%</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0.500%</w:t>
            </w:r>
          </w:p>
        </w:tc>
        <w:tc>
          <w:tcPr>
            <w:tcW w:w="0" w:type="dxa"/>
            <w:vAlign w:val="bottom"/>
          </w:tcPr>
          <w:p>
            <w:pPr>
              <w:spacing w:after="0"/>
              <w:rPr>
                <w:sz w:val="1"/>
                <w:szCs w:val="1"/>
                <w:color w:val="auto"/>
              </w:rPr>
            </w:pPr>
          </w:p>
        </w:tc>
      </w:tr>
      <w:tr>
        <w:trPr>
          <w:trHeight w:val="256"/>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4</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7"/>
              </w:rPr>
              <w:t>BBB- / Baa3 / BBB-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1.750%</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0.750%</w:t>
            </w:r>
          </w:p>
        </w:tc>
        <w:tc>
          <w:tcPr>
            <w:tcW w:w="0" w:type="dxa"/>
            <w:vAlign w:val="bottom"/>
          </w:tcPr>
          <w:p>
            <w:pPr>
              <w:spacing w:after="0"/>
              <w:rPr>
                <w:sz w:val="1"/>
                <w:szCs w:val="1"/>
                <w:color w:val="auto"/>
              </w:rPr>
            </w:pPr>
          </w:p>
        </w:tc>
      </w:tr>
      <w:tr>
        <w:trPr>
          <w:trHeight w:val="261"/>
        </w:trPr>
        <w:tc>
          <w:tcPr>
            <w:tcW w:w="1800" w:type="dxa"/>
            <w:vAlign w:val="bottom"/>
          </w:tcPr>
          <w:p>
            <w:pPr>
              <w:jc w:val="center"/>
              <w:ind w:right="461"/>
              <w:spacing w:after="0"/>
              <w:rPr>
                <w:sz w:val="20"/>
                <w:szCs w:val="20"/>
                <w:color w:val="auto"/>
              </w:rPr>
            </w:pPr>
            <w:r>
              <w:rPr>
                <w:rFonts w:ascii="Arial" w:cs="Arial" w:eastAsia="Arial" w:hAnsi="Arial"/>
                <w:sz w:val="20"/>
                <w:szCs w:val="20"/>
                <w:color w:val="auto"/>
                <w:w w:val="99"/>
              </w:rPr>
              <w:t>Level 5</w:t>
            </w:r>
          </w:p>
        </w:tc>
        <w:tc>
          <w:tcPr>
            <w:tcW w:w="2760" w:type="dxa"/>
            <w:vAlign w:val="bottom"/>
          </w:tcPr>
          <w:p>
            <w:pPr>
              <w:jc w:val="center"/>
              <w:ind w:left="81"/>
              <w:spacing w:after="0"/>
              <w:rPr>
                <w:sz w:val="20"/>
                <w:szCs w:val="20"/>
                <w:color w:val="auto"/>
              </w:rPr>
            </w:pPr>
            <w:r>
              <w:rPr>
                <w:rFonts w:ascii="Arial" w:cs="Arial" w:eastAsia="Arial" w:hAnsi="Arial"/>
                <w:sz w:val="20"/>
                <w:szCs w:val="20"/>
                <w:color w:val="auto"/>
                <w:w w:val="99"/>
              </w:rPr>
              <w:t>≤ BB+ / Ba1 / BB+</w:t>
            </w:r>
          </w:p>
        </w:tc>
        <w:tc>
          <w:tcPr>
            <w:tcW w:w="2560" w:type="dxa"/>
            <w:vAlign w:val="bottom"/>
          </w:tcPr>
          <w:p>
            <w:pPr>
              <w:jc w:val="center"/>
              <w:ind w:left="61"/>
              <w:spacing w:after="0"/>
              <w:rPr>
                <w:sz w:val="20"/>
                <w:szCs w:val="20"/>
                <w:color w:val="auto"/>
              </w:rPr>
            </w:pPr>
            <w:r>
              <w:rPr>
                <w:rFonts w:ascii="Arial" w:cs="Arial" w:eastAsia="Arial" w:hAnsi="Arial"/>
                <w:sz w:val="20"/>
                <w:szCs w:val="20"/>
                <w:color w:val="auto"/>
              </w:rPr>
              <w:t>2.000%</w:t>
            </w:r>
          </w:p>
        </w:tc>
        <w:tc>
          <w:tcPr>
            <w:tcW w:w="1880" w:type="dxa"/>
            <w:vAlign w:val="bottom"/>
          </w:tcPr>
          <w:p>
            <w:pPr>
              <w:jc w:val="center"/>
              <w:ind w:left="101"/>
              <w:spacing w:after="0"/>
              <w:rPr>
                <w:sz w:val="20"/>
                <w:szCs w:val="20"/>
                <w:color w:val="auto"/>
              </w:rPr>
            </w:pPr>
            <w:r>
              <w:rPr>
                <w:rFonts w:ascii="Arial" w:cs="Arial" w:eastAsia="Arial" w:hAnsi="Arial"/>
                <w:sz w:val="20"/>
                <w:szCs w:val="20"/>
                <w:color w:val="auto"/>
              </w:rPr>
              <w:t>1.000%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For purposes of the foregoing, (i) if only one Corporate Rating is in effect, the Applicable Margin shall be determined by reference to such available Corporate Rating, (ii) if two or three Corporate Ratings are in effect, the Applicable Margin shall be determined by reference to the highest of the two or three,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4" w:right="339" w:bottom="1440" w:gutter="0" w:footer="0" w:header="0"/>
        </w:sectPr>
      </w:pPr>
    </w:p>
    <w:bookmarkStart w:id="174" w:name="page175"/>
    <w:bookmarkEnd w:id="174"/>
    <w:p>
      <w:pPr>
        <w:jc w:val="both"/>
        <w:spacing w:after="0" w:line="236" w:lineRule="auto"/>
        <w:rPr>
          <w:sz w:val="20"/>
          <w:szCs w:val="20"/>
          <w:color w:val="auto"/>
        </w:rPr>
      </w:pPr>
      <w:r>
        <w:rPr>
          <w:rFonts w:ascii="Arial" w:cs="Arial" w:eastAsia="Arial" w:hAnsi="Arial"/>
          <w:sz w:val="20"/>
          <w:szCs w:val="20"/>
          <w:color w:val="auto"/>
        </w:rPr>
        <w:t>Corporate Ratings unless the other Corporate Rating(s) are more than one notch lower than the highest Corporate Rating, in which case, the Applicable Margin shall be one notch lower than such highest Corporate Rating; (iii) if no Corporate Rating is in effect, the Applicable Margin shall be Level 5; and (iv) if the Corporate Ratings established by the relevant Rating Agencies shall be changed (other than as a result of a change in the rating system of any relevant Rating Agency), such change shall be effective as of the date on which it is first announced by the applicable rating agency, irrespective of when notice of such change shall have been furnished by the Borrower to the Administrative Agent. Within five Business Days of any change in a Corporate Rating, the Borrower shall use reasonable best efforts to notify Administrative Agent in writing (which may be by facsimile or email transmission) of such new Corporate Rating and the date of such change.</w:t>
      </w:r>
    </w:p>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Each change in the Applicable Margin shall apply during the period commencing on the effective date of such change and ending on the date immediately preceding the effective date of the next Corporate Rating change.</w:t>
      </w:r>
    </w:p>
    <w:p>
      <w:pPr>
        <w:spacing w:after="0" w:line="169" w:lineRule="exact"/>
        <w:rPr>
          <w:sz w:val="20"/>
          <w:szCs w:val="20"/>
          <w:color w:val="auto"/>
        </w:rPr>
      </w:pPr>
    </w:p>
    <w:p>
      <w:pPr>
        <w:ind w:right="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Electronic Communication</w:t>
      </w:r>
      <w:r>
        <w:rPr>
          <w:rFonts w:ascii="Arial" w:cs="Arial" w:eastAsia="Arial" w:hAnsi="Arial"/>
          <w:sz w:val="20"/>
          <w:szCs w:val="20"/>
          <w:color w:val="auto"/>
        </w:rPr>
        <w:t xml:space="preserve">”: any notice, demand, communication, information, document or other material that any Loan Party provides to the Administrative Agent pursuant to any Loan Document or the transactions contemplated therein which is distributed to the Agent or to the Lenders by means of electronic communications pursuant to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9.6(b)(ii)</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Arrangers</w:t>
      </w:r>
      <w:r>
        <w:rPr>
          <w:rFonts w:ascii="Arial" w:cs="Arial" w:eastAsia="Arial" w:hAnsi="Arial"/>
          <w:sz w:val="20"/>
          <w:szCs w:val="20"/>
          <w:color w:val="auto"/>
        </w:rPr>
        <w:t>”: the Joint Lead Arrangers.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as defined in </w:t>
      </w:r>
      <w:r>
        <w:rPr>
          <w:rFonts w:ascii="Arial" w:cs="Arial" w:eastAsia="Arial" w:hAnsi="Arial"/>
          <w:sz w:val="20"/>
          <w:szCs w:val="20"/>
          <w:u w:val="single" w:color="auto"/>
          <w:color w:val="auto"/>
        </w:rPr>
        <w:t>Section 9.6(b)(i)</w:t>
      </w:r>
      <w:r>
        <w:rPr>
          <w:rFonts w:ascii="Arial" w:cs="Arial" w:eastAsia="Arial" w:hAnsi="Arial"/>
          <w:sz w:val="20"/>
          <w:szCs w:val="20"/>
          <w:color w:val="auto"/>
        </w:rPr>
        <w:t>.</w:t>
      </w:r>
    </w:p>
    <w:p>
      <w:pPr>
        <w:spacing w:after="0" w:line="243" w:lineRule="exact"/>
        <w:rPr>
          <w:sz w:val="20"/>
          <w:szCs w:val="20"/>
          <w:color w:val="auto"/>
        </w:rPr>
      </w:pPr>
    </w:p>
    <w:p>
      <w:pPr>
        <w:ind w:right="12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Acceptance</w:t>
      </w:r>
      <w:r>
        <w:rPr>
          <w:rFonts w:ascii="Arial" w:cs="Arial" w:eastAsia="Arial" w:hAnsi="Arial"/>
          <w:sz w:val="19"/>
          <w:szCs w:val="19"/>
          <w:color w:val="auto"/>
        </w:rPr>
        <w:t xml:space="preserve">”: an assignment and acceptance entered into by a Lender and an Assignee and accepted by the Administrative Agent to the extent required pursuant to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w:t>
      </w:r>
    </w:p>
    <w:p>
      <w:pPr>
        <w:spacing w:after="0" w:line="171" w:lineRule="exact"/>
        <w:rPr>
          <w:sz w:val="20"/>
          <w:szCs w:val="20"/>
          <w:color w:val="auto"/>
        </w:rPr>
      </w:pPr>
    </w:p>
    <w:p>
      <w:pPr>
        <w:ind w:right="14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Attributable Debt</w:t>
      </w:r>
      <w:r>
        <w:rPr>
          <w:rFonts w:ascii="Arial" w:cs="Arial" w:eastAsia="Arial" w:hAnsi="Arial"/>
          <w:sz w:val="20"/>
          <w:szCs w:val="20"/>
          <w:color w:val="auto"/>
        </w:rPr>
        <w:t>”: in connection with a sale and lease-back transaction the lesser of: (1) the fair value of the assets subject to such transaction, as determined in good faith by a Responsible Officer of the Borrower;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214" w:lineRule="exact"/>
        <w:rPr>
          <w:sz w:val="20"/>
          <w:szCs w:val="20"/>
          <w:color w:val="auto"/>
        </w:rPr>
      </w:pPr>
    </w:p>
    <w:p>
      <w:pPr>
        <w:ind w:right="20" w:firstLine="648"/>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2.10(f)</w:t>
      </w:r>
      <w:r>
        <w:rPr>
          <w:rFonts w:ascii="Arial" w:cs="Arial" w:eastAsia="Arial" w:hAnsi="Arial"/>
          <w:sz w:val="19"/>
          <w:szCs w:val="19"/>
          <w:color w:val="auto"/>
        </w:rPr>
        <w:t>.</w:t>
      </w:r>
    </w:p>
    <w:p>
      <w:pPr>
        <w:spacing w:after="0" w:line="190" w:lineRule="exact"/>
        <w:rPr>
          <w:sz w:val="20"/>
          <w:szCs w:val="20"/>
          <w:color w:val="auto"/>
        </w:rPr>
      </w:pPr>
    </w:p>
    <w:p>
      <w:pPr>
        <w:ind w:right="70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the exercise of any Write-Down and Conversion Powers by the applicable Resolution Authority in respect of any liability of an Affected Financial Institution.</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4" w:right="339" w:bottom="1440" w:gutter="0" w:footer="0" w:header="0"/>
        </w:sectPr>
      </w:pPr>
    </w:p>
    <w:bookmarkStart w:id="175" w:name="page176"/>
    <w:bookmarkEnd w:id="175"/>
    <w:p>
      <w:pPr>
        <w:ind w:right="180"/>
        <w:spacing w:after="0" w:line="257" w:lineRule="auto"/>
        <w:rPr>
          <w:sz w:val="20"/>
          <w:szCs w:val="20"/>
          <w:color w:val="auto"/>
        </w:rPr>
      </w:pPr>
      <w:r>
        <w:rPr>
          <w:rFonts w:ascii="Arial" w:cs="Arial" w:eastAsia="Arial" w:hAnsi="Arial"/>
          <w:sz w:val="20"/>
          <w:szCs w:val="20"/>
          <w:color w:val="auto"/>
        </w:rPr>
        <w:t>relating to the resolution of unsound or failing banks, investment firms or other financial institutions or their affiliates (other than through liquidation, administration or other insolvency proceedings).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the United States Bankruptcy Code, codified as Title 11, U.S. Code §101-1330, as amended.</w:t>
      </w:r>
    </w:p>
    <w:p>
      <w:pPr>
        <w:spacing w:after="0" w:line="229" w:lineRule="exact"/>
        <w:rPr>
          <w:sz w:val="20"/>
          <w:szCs w:val="20"/>
          <w:color w:val="auto"/>
        </w:rPr>
      </w:pPr>
    </w:p>
    <w:p>
      <w:pPr>
        <w:ind w:right="10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w:t>
      </w:r>
      <w:r>
        <w:rPr>
          <w:rFonts w:ascii="Arial" w:cs="Arial" w:eastAsia="Arial" w:hAnsi="Arial"/>
          <w:sz w:val="20"/>
          <w:szCs w:val="20"/>
          <w:color w:val="auto"/>
        </w:rPr>
        <w:t xml:space="preserve">”: for any day, a rate per annum equal to the greatest of (a) the Prime Rate in effect on such day, (b) the NYFRB Rate in effect on such day plus ½ of 1% and (c) Adjusted Term SOFR for a one month Interest Period on such day plus 1%. Any change in the Base Rate due to a change in the Prime Rate, the NYFRB Rate or the Adjusted Term SOFR shall be effective from and including the effective date of such change in the Prime Rate, the NYFRB Rate or the Adjusted Term SOFR, respectively. If the Base Rate is being used as an alternate rate of interest pursuant to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hereof, then the Base Rate shall be the greater of clauses (a) and (b) above and shall be determined without reference to clause (c) above. For the avoidance of doubt, if the Base Rate as so determined would be less than zero, such rate shall be deemed to be zero for purposes of this Agreement.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Loans</w:t>
      </w:r>
      <w:r>
        <w:rPr>
          <w:rFonts w:ascii="Arial" w:cs="Arial" w:eastAsia="Arial" w:hAnsi="Arial"/>
          <w:sz w:val="20"/>
          <w:szCs w:val="20"/>
          <w:color w:val="auto"/>
        </w:rPr>
        <w:t>”: Term Loans the rate of interest applicable to which is based upon the Base Rate.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Term Borrowing</w:t>
      </w:r>
      <w:r>
        <w:rPr>
          <w:rFonts w:ascii="Arial" w:cs="Arial" w:eastAsia="Arial" w:hAnsi="Arial"/>
          <w:sz w:val="20"/>
          <w:szCs w:val="20"/>
          <w:color w:val="auto"/>
        </w:rPr>
        <w:t>”: a Borrowing of Term Loans that are Base Rate Loans.</w:t>
      </w:r>
    </w:p>
    <w:p>
      <w:pPr>
        <w:spacing w:after="0" w:line="229" w:lineRule="exact"/>
        <w:rPr>
          <w:sz w:val="20"/>
          <w:szCs w:val="20"/>
          <w:color w:val="auto"/>
        </w:rPr>
      </w:pPr>
    </w:p>
    <w:p>
      <w:pPr>
        <w:jc w:val="both"/>
        <w:ind w:right="100" w:firstLine="648"/>
        <w:spacing w:after="0" w:line="25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xml:space="preserve">”: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19"/>
          <w:szCs w:val="19"/>
          <w:u w:val="single" w:color="auto"/>
          <w:color w:val="auto"/>
        </w:rPr>
        <w:t>Section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2.10(c)</w:t>
      </w:r>
      <w:r>
        <w:rPr>
          <w:rFonts w:ascii="Arial" w:cs="Arial" w:eastAsia="Arial" w:hAnsi="Arial"/>
          <w:sz w:val="20"/>
          <w:szCs w:val="20"/>
          <w:color w:val="auto"/>
        </w:rPr>
        <w:t>.</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99" w:lineRule="exact"/>
        <w:rPr>
          <w:sz w:val="20"/>
          <w:szCs w:val="20"/>
          <w:color w:val="auto"/>
        </w:rPr>
      </w:pPr>
    </w:p>
    <w:p>
      <w:pPr>
        <w:ind w:right="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the earliest to occur of the following events with respect to the then-current Benchmark:</w:t>
      </w:r>
    </w:p>
    <w:p>
      <w:pPr>
        <w:spacing w:after="0" w:line="241" w:lineRule="exact"/>
        <w:rPr>
          <w:sz w:val="20"/>
          <w:szCs w:val="20"/>
          <w:color w:val="auto"/>
        </w:rPr>
      </w:pPr>
    </w:p>
    <w:p>
      <w:pPr>
        <w:jc w:val="both"/>
        <w:ind w:left="660" w:right="20" w:hanging="4"/>
        <w:spacing w:after="0" w:line="248" w:lineRule="auto"/>
        <w:tabs>
          <w:tab w:leader="none" w:pos="1122"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4" w:right="339" w:bottom="1440" w:gutter="0" w:footer="0" w:header="0"/>
        </w:sectPr>
      </w:pPr>
    </w:p>
    <w:bookmarkStart w:id="176" w:name="page177"/>
    <w:bookmarkEnd w:id="176"/>
    <w:p>
      <w:pPr>
        <w:ind w:left="660"/>
        <w:spacing w:after="0"/>
        <w:rPr>
          <w:sz w:val="20"/>
          <w:szCs w:val="20"/>
          <w:color w:val="auto"/>
        </w:rPr>
      </w:pPr>
      <w:r>
        <w:rPr>
          <w:rFonts w:ascii="Arial" w:cs="Arial" w:eastAsia="Arial" w:hAnsi="Arial"/>
          <w:sz w:val="20"/>
          <w:szCs w:val="20"/>
          <w:color w:val="auto"/>
        </w:rPr>
        <w:t>permanently or indefinitely ceases to provide all Available Tenors of such Benchmark (or such component thereof); or</w:t>
      </w:r>
    </w:p>
    <w:p>
      <w:pPr>
        <w:spacing w:after="0" w:line="229" w:lineRule="exact"/>
        <w:rPr>
          <w:sz w:val="20"/>
          <w:szCs w:val="20"/>
          <w:color w:val="auto"/>
        </w:rPr>
      </w:pPr>
    </w:p>
    <w:p>
      <w:pPr>
        <w:ind w:left="660" w:right="80" w:hanging="4"/>
        <w:spacing w:after="0"/>
        <w:tabs>
          <w:tab w:leader="none" w:pos="1122" w:val="left"/>
        </w:tabs>
        <w:numPr>
          <w:ilvl w:val="0"/>
          <w:numId w:val="168"/>
        </w:numPr>
        <w:rPr>
          <w:rFonts w:ascii="Arial" w:cs="Arial" w:eastAsia="Arial" w:hAnsi="Arial"/>
          <w:sz w:val="20"/>
          <w:szCs w:val="20"/>
          <w:color w:val="auto"/>
        </w:rPr>
      </w:pPr>
      <w:r>
        <w:rPr>
          <w:rFonts w:ascii="Arial" w:cs="Arial" w:eastAsia="Arial" w:hAnsi="Arial"/>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avoidance of doubt, the “Benchmark Replacement Date” will be deemed to have occurred in the case of clause</w:t>
      </w:r>
    </w:p>
    <w:p>
      <w:pPr>
        <w:spacing w:after="0" w:line="4" w:lineRule="exact"/>
        <w:rPr>
          <w:sz w:val="20"/>
          <w:szCs w:val="20"/>
          <w:color w:val="auto"/>
        </w:rPr>
      </w:pPr>
    </w:p>
    <w:p>
      <w:pPr>
        <w:ind w:right="140" w:firstLine="8"/>
        <w:spacing w:after="0" w:line="253" w:lineRule="auto"/>
        <w:tabs>
          <w:tab w:leader="none" w:pos="297" w:val="left"/>
        </w:tabs>
        <w:numPr>
          <w:ilvl w:val="0"/>
          <w:numId w:val="169"/>
        </w:numPr>
        <w:rPr>
          <w:rFonts w:ascii="Arial" w:cs="Arial" w:eastAsia="Arial" w:hAnsi="Arial"/>
          <w:sz w:val="20"/>
          <w:szCs w:val="20"/>
          <w:color w:val="auto"/>
        </w:rPr>
      </w:pPr>
      <w:r>
        <w:rPr>
          <w:rFonts w:ascii="Arial" w:cs="Arial" w:eastAsia="Arial" w:hAnsi="Arial"/>
          <w:sz w:val="20"/>
          <w:szCs w:val="20"/>
          <w:color w:val="auto"/>
        </w:rPr>
        <w:t>or (b) with respect to any Benchmark upon the occurrence of the applicable event or events set forth therein with respect to all then-current Available Tenors of such Benchmark (or the published component used in the calculation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the occurrence of one or more of the following events with respect to the then-current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Benchmark:</w:t>
      </w:r>
    </w:p>
    <w:p>
      <w:pPr>
        <w:spacing w:after="0" w:line="211" w:lineRule="exact"/>
        <w:rPr>
          <w:sz w:val="20"/>
          <w:szCs w:val="20"/>
          <w:color w:val="auto"/>
        </w:rPr>
      </w:pPr>
    </w:p>
    <w:p>
      <w:pPr>
        <w:ind w:left="660" w:right="120" w:hanging="4"/>
        <w:spacing w:after="0"/>
        <w:tabs>
          <w:tab w:leader="none" w:pos="112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200" w:lineRule="exact"/>
        <w:rPr>
          <w:rFonts w:ascii="Arial" w:cs="Arial" w:eastAsia="Arial" w:hAnsi="Arial"/>
          <w:sz w:val="20"/>
          <w:szCs w:val="20"/>
          <w:color w:val="auto"/>
        </w:rPr>
      </w:pPr>
    </w:p>
    <w:p>
      <w:pPr>
        <w:ind w:left="660" w:right="40" w:hanging="4"/>
        <w:spacing w:after="0" w:line="236" w:lineRule="auto"/>
        <w:tabs>
          <w:tab w:leader="none" w:pos="1122" w:val="left"/>
        </w:tabs>
        <w:numPr>
          <w:ilvl w:val="0"/>
          <w:numId w:val="170"/>
        </w:numPr>
        <w:rPr>
          <w:rFonts w:ascii="Arial" w:cs="Arial" w:eastAsia="Arial" w:hAnsi="Arial"/>
          <w:sz w:val="20"/>
          <w:szCs w:val="20"/>
          <w:color w:val="auto"/>
        </w:rPr>
      </w:pPr>
      <w:r>
        <w:rPr>
          <w:rFonts w:ascii="Arial" w:cs="Arial" w:eastAsia="Arial" w:hAnsi="Arial"/>
          <w:sz w:val="20"/>
          <w:szCs w:val="20"/>
          <w:color w:val="auto"/>
        </w:rPr>
        <w:t xml:space="preserve">a public statement or publication of information by the regulatory supervisor for the administrator of such Benchmark (or the published component used in the calculation thereof), the FRB,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205" w:lineRule="exact"/>
        <w:rPr>
          <w:rFonts w:ascii="Arial" w:cs="Arial" w:eastAsia="Arial" w:hAnsi="Arial"/>
          <w:sz w:val="20"/>
          <w:szCs w:val="20"/>
          <w:color w:val="auto"/>
        </w:rPr>
      </w:pPr>
    </w:p>
    <w:p>
      <w:pPr>
        <w:ind w:left="660" w:right="320" w:hanging="4"/>
        <w:spacing w:after="0" w:line="248" w:lineRule="auto"/>
        <w:tabs>
          <w:tab w:leader="none" w:pos="1111" w:val="left"/>
        </w:tabs>
        <w:numPr>
          <w:ilvl w:val="0"/>
          <w:numId w:val="170"/>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the avoidance of doubt, a “Benchmark Transition Event” will be deemed to have occurred with respect to any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w:t>
      </w:r>
    </w:p>
    <w:p>
      <w:pPr>
        <w:spacing w:after="0"/>
        <w:rPr>
          <w:sz w:val="20"/>
          <w:szCs w:val="20"/>
          <w:color w:val="auto"/>
        </w:rPr>
      </w:pPr>
      <w:r>
        <w:rPr>
          <w:rFonts w:ascii="Arial" w:cs="Arial" w:eastAsia="Arial" w:hAnsi="Arial"/>
          <w:sz w:val="20"/>
          <w:szCs w:val="20"/>
          <w:color w:val="auto"/>
        </w:rPr>
        <w:t>Available Tenor of such Benchmark (or the published component used in the calculation thereof).</w:t>
      </w:r>
    </w:p>
    <w:p>
      <w:pPr>
        <w:spacing w:after="0" w:line="225"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Start Date</w:t>
      </w:r>
      <w:r>
        <w:rPr>
          <w:rFonts w:ascii="Arial" w:cs="Arial" w:eastAsia="Arial" w:hAnsi="Arial"/>
          <w:sz w:val="20"/>
          <w:szCs w:val="20"/>
          <w:color w:val="auto"/>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00"/>
          </w:cols>
          <w:pgMar w:left="320" w:top="1414" w:right="379" w:bottom="1440" w:gutter="0" w:footer="0" w:header="0"/>
        </w:sectPr>
      </w:pPr>
    </w:p>
    <w:bookmarkStart w:id="177" w:name="page178"/>
    <w:bookmarkEnd w:id="177"/>
    <w:p>
      <w:pPr>
        <w:ind w:right="40" w:firstLine="648"/>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19"/>
          <w:szCs w:val="19"/>
          <w:u w:val="single" w:color="auto"/>
          <w:color w:val="auto"/>
        </w:rPr>
        <w:t>Section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2.10</w:t>
      </w:r>
      <w:r>
        <w:rPr>
          <w:rFonts w:ascii="Arial" w:cs="Arial" w:eastAsia="Arial" w:hAnsi="Arial"/>
          <w:sz w:val="20"/>
          <w:szCs w:val="20"/>
          <w:color w:val="auto"/>
        </w:rPr>
        <w:t>.</w:t>
      </w:r>
    </w:p>
    <w:p>
      <w:pPr>
        <w:spacing w:after="0" w:line="211" w:lineRule="exact"/>
        <w:rPr>
          <w:sz w:val="20"/>
          <w:szCs w:val="20"/>
          <w:color w:val="auto"/>
        </w:rPr>
      </w:pPr>
    </w:p>
    <w:p>
      <w:pPr>
        <w:ind w:right="8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a certification regarding beneficial ownership as required by the Beneficial Ownership Regulation.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31 C.F.R. § 1010.230.</w:t>
      </w:r>
    </w:p>
    <w:p>
      <w:pPr>
        <w:spacing w:after="0" w:line="229" w:lineRule="exact"/>
        <w:rPr>
          <w:sz w:val="20"/>
          <w:szCs w:val="20"/>
          <w:color w:val="auto"/>
        </w:rPr>
      </w:pPr>
    </w:p>
    <w:p>
      <w:pPr>
        <w:ind w:right="10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9.7(a)</w:t>
      </w:r>
      <w:r>
        <w:rPr>
          <w:rFonts w:ascii="Arial" w:cs="Arial" w:eastAsia="Arial" w:hAnsi="Arial"/>
          <w:sz w:val="20"/>
          <w:szCs w:val="20"/>
          <w:color w:val="auto"/>
        </w:rPr>
        <w:t>.</w:t>
      </w:r>
    </w:p>
    <w:p>
      <w:pPr>
        <w:spacing w:after="0" w:line="229" w:lineRule="exact"/>
        <w:rPr>
          <w:sz w:val="20"/>
          <w:szCs w:val="20"/>
          <w:color w:val="auto"/>
        </w:rPr>
      </w:pPr>
    </w:p>
    <w:p>
      <w:pPr>
        <w:ind w:right="16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 of Directors</w:t>
      </w:r>
      <w:r>
        <w:rPr>
          <w:rFonts w:ascii="Arial" w:cs="Arial" w:eastAsia="Arial" w:hAnsi="Arial"/>
          <w:sz w:val="20"/>
          <w:szCs w:val="20"/>
          <w:color w:val="auto"/>
        </w:rPr>
        <w:t>”: the board of directors of the Borrower or any committee thereof duly authorized to act on behalf of such board.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the meaning set forth in the preamble to this Agreement.</w:t>
      </w:r>
    </w:p>
    <w:p>
      <w:pPr>
        <w:spacing w:after="0" w:line="243"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Term Loans of the same Type, made, converted or continued on the same date and, in the case of SOFR Loans, as to which a single Interest Period is in effect.</w:t>
      </w:r>
    </w:p>
    <w:p>
      <w:pPr>
        <w:spacing w:after="0" w:line="196" w:lineRule="exact"/>
        <w:rPr>
          <w:sz w:val="20"/>
          <w:szCs w:val="20"/>
          <w:color w:val="auto"/>
        </w:rPr>
      </w:pPr>
    </w:p>
    <w:p>
      <w:pPr>
        <w:ind w:right="4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Date</w:t>
      </w:r>
      <w:r>
        <w:rPr>
          <w:rFonts w:ascii="Arial" w:cs="Arial" w:eastAsia="Arial" w:hAnsi="Arial"/>
          <w:sz w:val="20"/>
          <w:szCs w:val="20"/>
          <w:color w:val="auto"/>
        </w:rPr>
        <w:t>”: the Business Day specified in a Borrowing Request as a date on which the Borrower requests the making of Term Loans hereunder.</w:t>
      </w:r>
    </w:p>
    <w:p>
      <w:pPr>
        <w:spacing w:after="0" w:line="182" w:lineRule="exact"/>
        <w:rPr>
          <w:sz w:val="20"/>
          <w:szCs w:val="20"/>
          <w:color w:val="auto"/>
        </w:rPr>
      </w:pPr>
    </w:p>
    <w:p>
      <w:pPr>
        <w:ind w:right="860"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xml:space="preserve">”: a request by the Borrower for a Borrowing in accordance with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or any other form approved by the Administrative Agent.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any day other than a Legal Holiday.</w:t>
      </w:r>
    </w:p>
    <w:p>
      <w:pPr>
        <w:spacing w:after="0" w:line="225" w:lineRule="exact"/>
        <w:rPr>
          <w:sz w:val="20"/>
          <w:szCs w:val="20"/>
          <w:color w:val="auto"/>
        </w:rPr>
      </w:pPr>
    </w:p>
    <w:p>
      <w:pPr>
        <w:ind w:right="10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Stock</w:t>
      </w:r>
      <w:r>
        <w:rPr>
          <w:rFonts w:ascii="Arial" w:cs="Arial" w:eastAsia="Arial" w:hAnsi="Arial"/>
          <w:sz w:val="20"/>
          <w:szCs w:val="20"/>
          <w:color w:val="auto"/>
        </w:rPr>
        <w:t>”: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92"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Captive Insurance Subsidiary</w:t>
      </w:r>
      <w:r>
        <w:rPr>
          <w:rFonts w:ascii="Arial" w:cs="Arial" w:eastAsia="Arial" w:hAnsi="Arial"/>
          <w:sz w:val="20"/>
          <w:szCs w:val="20"/>
          <w:color w:val="auto"/>
        </w:rPr>
        <w:t>”: any Restricted Subsidiary of the Borrower that is subject to regulation as an insurance company (or any Restricted Subsidiary thereof).</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any controlled foreign corporation within the meaning of Section 957 of the Code.</w:t>
      </w:r>
    </w:p>
    <w:p>
      <w:pPr>
        <w:spacing w:after="0" w:line="229"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any “person” or “group” (as such terms are used in Sections 13(d) and 14(d) of the Exchange Act), other than the Borrower, its Subsidiaries or any employee benefit plan of the Borrower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Borrower,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 except that a person will be deemed to have beneficial ownership of all shares that such person</w:t>
      </w:r>
    </w:p>
    <w:p>
      <w:pPr>
        <w:sectPr>
          <w:pgSz w:w="11900" w:h="16838" w:orient="portrait"/>
          <w:cols w:equalWidth="0" w:num="1">
            <w:col w:w="11200"/>
          </w:cols>
          <w:pgMar w:left="320" w:top="14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00"/>
          </w:cols>
          <w:pgMar w:left="320" w:top="1414" w:right="379" w:bottom="1440" w:gutter="0" w:footer="0" w:header="0"/>
          <w:type w:val="continuous"/>
        </w:sectPr>
      </w:pPr>
    </w:p>
    <w:bookmarkStart w:id="178" w:name="page179"/>
    <w:bookmarkEnd w:id="178"/>
    <w:p>
      <w:pPr>
        <w:ind w:right="100"/>
        <w:spacing w:after="0" w:line="238" w:lineRule="auto"/>
        <w:rPr>
          <w:sz w:val="20"/>
          <w:szCs w:val="20"/>
          <w:color w:val="auto"/>
        </w:rPr>
      </w:pPr>
      <w:r>
        <w:rPr>
          <w:rFonts w:ascii="Arial" w:cs="Arial" w:eastAsia="Arial" w:hAnsi="Arial"/>
          <w:sz w:val="20"/>
          <w:szCs w:val="20"/>
          <w:color w:val="auto"/>
        </w:rPr>
        <w:t xml:space="preserve">has the right to acquire irrespective of whether that right is exercisable immediately or only after the passage of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transaction will not be deemed to involve a Change of Control if (a) the Borrower becomes a direct or indirect wholly owned subsidiary of a holding company, and (b) (i) the direct or indirect holders of the Voting Stock of such holding company immediately following that transaction are substantially the same as the holders of the Borrower’s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any charge, expense, cost, accrual or reserve of any kind.</w:t>
      </w:r>
    </w:p>
    <w:p>
      <w:pPr>
        <w:spacing w:after="0" w:line="229" w:lineRule="exact"/>
        <w:rPr>
          <w:sz w:val="20"/>
          <w:szCs w:val="20"/>
          <w:color w:val="auto"/>
        </w:rPr>
      </w:pPr>
    </w:p>
    <w:p>
      <w:pPr>
        <w:ind w:right="22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the date on which the conditions precedent set forth in </w:t>
      </w:r>
      <w:r>
        <w:rPr>
          <w:rFonts w:ascii="Arial" w:cs="Arial" w:eastAsia="Arial" w:hAnsi="Arial"/>
          <w:sz w:val="20"/>
          <w:szCs w:val="20"/>
          <w:u w:val="single" w:color="auto"/>
          <w:color w:val="auto"/>
        </w:rPr>
        <w:t>Section 4.1</w:t>
      </w:r>
      <w:r>
        <w:rPr>
          <w:rFonts w:ascii="Arial" w:cs="Arial" w:eastAsia="Arial" w:hAnsi="Arial"/>
          <w:sz w:val="20"/>
          <w:szCs w:val="20"/>
          <w:color w:val="auto"/>
        </w:rPr>
        <w:t xml:space="preserve"> shall have been satisfied or waived, which date is November 3, 2022.</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the Internal Revenue Code of 1986, as amended from time to time.</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Letter</w:t>
      </w:r>
      <w:r>
        <w:rPr>
          <w:rFonts w:ascii="Arial" w:cs="Arial" w:eastAsia="Arial" w:hAnsi="Arial"/>
          <w:sz w:val="20"/>
          <w:szCs w:val="20"/>
          <w:color w:val="auto"/>
        </w:rPr>
        <w:t>”: that certain commitment letter dated October 24, 2022 among the Borrower and the Arrangers.</w:t>
      </w:r>
    </w:p>
    <w:p>
      <w:pPr>
        <w:spacing w:after="0" w:line="229" w:lineRule="exact"/>
        <w:rPr>
          <w:sz w:val="20"/>
          <w:szCs w:val="20"/>
          <w:color w:val="auto"/>
        </w:rPr>
      </w:pPr>
    </w:p>
    <w:p>
      <w:pPr>
        <w:ind w:right="16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Commonly Controlled Entity</w:t>
      </w:r>
      <w:r>
        <w:rPr>
          <w:rFonts w:ascii="Arial" w:cs="Arial" w:eastAsia="Arial" w:hAnsi="Arial"/>
          <w:sz w:val="20"/>
          <w:szCs w:val="20"/>
          <w:color w:val="auto"/>
        </w:rPr>
        <w:t>”: an entity, whether or not incorporated, that is under common control with the Borrower within the meaning of Section 4001 of ERISA or is part of a controlled group that includes the Borrower and that is treated as a single employer under Section 414 of the Code.</w:t>
      </w:r>
    </w:p>
    <w:p>
      <w:pPr>
        <w:spacing w:after="0" w:line="192" w:lineRule="exact"/>
        <w:rPr>
          <w:sz w:val="20"/>
          <w:szCs w:val="20"/>
          <w:color w:val="auto"/>
        </w:rPr>
      </w:pPr>
    </w:p>
    <w:p>
      <w:pPr>
        <w:ind w:right="1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a compliance certificate to be delivered pursuant to </w:t>
      </w:r>
      <w:r>
        <w:rPr>
          <w:rFonts w:ascii="Arial" w:cs="Arial" w:eastAsia="Arial" w:hAnsi="Arial"/>
          <w:sz w:val="20"/>
          <w:szCs w:val="20"/>
          <w:u w:val="single" w:color="auto"/>
          <w:color w:val="auto"/>
        </w:rPr>
        <w:t>Section 5.2(a)</w:t>
      </w:r>
      <w:r>
        <w:rPr>
          <w:rFonts w:ascii="Arial" w:cs="Arial" w:eastAsia="Arial" w:hAnsi="Arial"/>
          <w:sz w:val="20"/>
          <w:szCs w:val="20"/>
          <w:color w:val="auto"/>
        </w:rPr>
        <w:t xml:space="preserve">,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w:t>
      </w:r>
    </w:p>
    <w:p>
      <w:pPr>
        <w:spacing w:after="0" w:line="169" w:lineRule="exact"/>
        <w:rPr>
          <w:sz w:val="20"/>
          <w:szCs w:val="20"/>
          <w:color w:val="auto"/>
        </w:rPr>
      </w:pPr>
    </w:p>
    <w:p>
      <w:pPr>
        <w:ind w:right="20"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Conforming Changes</w:t>
      </w:r>
      <w:r>
        <w:rPr>
          <w:rFonts w:ascii="Arial" w:cs="Arial" w:eastAsia="Arial" w:hAnsi="Arial"/>
          <w:sz w:val="20"/>
          <w:szCs w:val="20"/>
          <w:color w:val="auto"/>
        </w:rPr>
        <w:t xml:space="preserve">”: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200"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with respect to any Person for any Measurement Period, the sum of, without duplication, the amounts for such period, taken as a single accounting period, of (1) Consolidated Net Income; excluding (to the extent deducted or otherwise excluded in calculating Consolidated Net Income in such Measurement Period), the following amounts (or, to the extent attributable to a non-wholly owned consolidated entity, a portion of the following amounts proportionate to the Borrower’s allocable interest in such entity): (2) Consolidated Non-cash Charges; (3)(A) extraordinary Charges and (B) unusual or nonrecurring Charges, in each case, to the extent not of a type described in clause (2), (4) Consolidated Interest Expense; (5) Consolidated Income Tax Expense; (6) restructuring expenses and charges; (7) any expenses or charges related to any equity offering, Investment, recapitalization or incurrence of Indebtedness not prohibited under this Agreement (whether or not successful) or related to the entry into this Agreement; and (8) any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414" w:right="359" w:bottom="1440" w:gutter="0" w:footer="0" w:header="0"/>
        </w:sectPr>
      </w:pPr>
    </w:p>
    <w:bookmarkStart w:id="179" w:name="page180"/>
    <w:bookmarkEnd w:id="179"/>
    <w:p>
      <w:pPr>
        <w:spacing w:after="0"/>
        <w:rPr>
          <w:sz w:val="20"/>
          <w:szCs w:val="20"/>
          <w:color w:val="auto"/>
        </w:rPr>
      </w:pPr>
      <w:r>
        <w:rPr>
          <w:rFonts w:ascii="Arial" w:cs="Arial" w:eastAsia="Arial" w:hAnsi="Arial"/>
          <w:sz w:val="20"/>
          <w:szCs w:val="20"/>
          <w:color w:val="auto"/>
        </w:rPr>
        <w:t>expenses or costs incurred in connection or associated with mergers, acquisitions or divestitures after the Closing Date.</w:t>
      </w:r>
    </w:p>
    <w:p>
      <w:pPr>
        <w:spacing w:after="0" w:line="229"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Consolidated Subsidiaries (1) that have occurred during such Measurement Period or at any time subsequent to the last day of such Measurement Period and on or prior to the date of the transaction in respect of which Consolidated EBITDA is being determined and (2) that the Borrower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required to give pro forma effect to any transaction that it does not in good faith deem material. Such pro forma calculations shall be made in good faith by a responsible financial or accounting officer of the Borrower.</w:t>
      </w:r>
    </w:p>
    <w:p>
      <w:pPr>
        <w:spacing w:after="0" w:line="214" w:lineRule="exact"/>
        <w:rPr>
          <w:sz w:val="20"/>
          <w:szCs w:val="20"/>
          <w:color w:val="auto"/>
        </w:rPr>
      </w:pPr>
    </w:p>
    <w:p>
      <w:pPr>
        <w:ind w:right="24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Income Tax Expense</w:t>
      </w:r>
      <w:r>
        <w:rPr>
          <w:rFonts w:ascii="Arial" w:cs="Arial" w:eastAsia="Arial" w:hAnsi="Arial"/>
          <w:sz w:val="20"/>
          <w:szCs w:val="20"/>
          <w:color w:val="auto"/>
        </w:rPr>
        <w:t>”: with respect to any Person for any period, the provision for (or benefit of) federal, state, local and foreign income taxes of such Person and its Consolidated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pacing w:after="0" w:line="214"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Interest Expense</w:t>
      </w:r>
      <w:r>
        <w:rPr>
          <w:rFonts w:ascii="Arial" w:cs="Arial" w:eastAsia="Arial" w:hAnsi="Arial"/>
          <w:sz w:val="20"/>
          <w:szCs w:val="20"/>
          <w:color w:val="auto"/>
        </w:rPr>
        <w:t>”: with respect to any Person, for any period, (a) the sum of all interest expense (including imputed interest charges with respect to finance lease obligations) of such Person and its Consolidated Subsidiaries payable in cash for such period determined on a consolidated basis in accordance with GAAP but excluding (i) any non-cash interest expense attributable to the movement in the mark to market valuation of hedging obligations or other derivative instruments pursuant to GAAP, amortization of deferred financing fees, debt issuance costs, commissions, fees and expenses, (ii) any expensing of bridge, commitment and other financing fees, (iii) any annual administrative or other agency fees, (iv) any premiums, fees or other charges incurred in connection with the refinancing, incurrence, purchase or redemption of Indebtedness, (v) any amortization of debt discounts, including discounts on convertible notes, and (vi) amortization of other costs, including imputed interest charges on liabilities other than finance lease obligations and premiums and discounts on investments, minus (b) interest income of such Person and its Consolidated Subsidiaries for such period determined on a consolidated basis in accordance with GAAP.</w:t>
      </w:r>
    </w:p>
    <w:p>
      <w:pPr>
        <w:spacing w:after="0" w:line="220" w:lineRule="exact"/>
        <w:rPr>
          <w:sz w:val="20"/>
          <w:szCs w:val="20"/>
          <w:color w:val="auto"/>
        </w:rPr>
      </w:pPr>
    </w:p>
    <w:p>
      <w:pPr>
        <w:ind w:right="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with respect to any Person, for any period, the consolidated net income (or loss) of such Person and its Consolidated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Borrower’s allocable interest in such entity): (1) all extraordinary, unusual or nonrecurring gains or losses (net of fees and expense relating to the transaction giving rise thereto); (2) gains or losses in respect of any asset impairments, write-offs or sales (net of fees and expenses relating to the transaction giving rise thereto); (3) any expenses, losses or charges incurred related to lower of cost or market write-downs for work in process or finished goods inventories; (4) any expenses, losses or charges incurred related to excess or obsolete inventories; (5) the net income (loss) from any disposed or discontinued operations or any net gains or losses on disposed or discontinued operations; (6) any gain or loss realized as a result of the cumulative effect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4" w:right="339" w:bottom="1440" w:gutter="0" w:footer="0" w:header="0"/>
        </w:sectPr>
      </w:pPr>
    </w:p>
    <w:bookmarkStart w:id="180" w:name="page181"/>
    <w:bookmarkEnd w:id="180"/>
    <w:p>
      <w:pPr>
        <w:ind w:right="20"/>
        <w:spacing w:after="0" w:line="236" w:lineRule="auto"/>
        <w:rPr>
          <w:sz w:val="20"/>
          <w:szCs w:val="20"/>
          <w:color w:val="auto"/>
        </w:rPr>
      </w:pPr>
      <w:r>
        <w:rPr>
          <w:rFonts w:ascii="Arial" w:cs="Arial" w:eastAsia="Arial" w:hAnsi="Arial"/>
          <w:sz w:val="20"/>
          <w:szCs w:val="20"/>
          <w:color w:val="auto"/>
        </w:rPr>
        <w:t>change in accounting principles; (7) any net gains or losses attributable to the early extinguishment or conversion of Indebtedness, derivative instruments, embedded derivatives or other similar obligations; (8) equity in net income (loss) of equity method investees; (9) gains, losses, income and expenses resulting from the application of fair value accounting to derivative instruments; and (10) gains or losses resulting from currency fluctuations. In addition, to the extent not already included in Consolidated Net Income of such Person and its Consolidated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Agreement.</w:t>
      </w:r>
    </w:p>
    <w:p>
      <w:pPr>
        <w:spacing w:after="0" w:line="202" w:lineRule="exact"/>
        <w:rPr>
          <w:sz w:val="20"/>
          <w:szCs w:val="20"/>
          <w:color w:val="auto"/>
        </w:rPr>
      </w:pPr>
    </w:p>
    <w:p>
      <w:pPr>
        <w:ind w:right="2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Tangible Assets</w:t>
      </w:r>
      <w:r>
        <w:rPr>
          <w:rFonts w:ascii="Arial" w:cs="Arial" w:eastAsia="Arial" w:hAnsi="Arial"/>
          <w:sz w:val="20"/>
          <w:szCs w:val="20"/>
          <w:color w:val="auto"/>
        </w:rPr>
        <w:t>”: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206" w:lineRule="exact"/>
        <w:rPr>
          <w:sz w:val="20"/>
          <w:szCs w:val="20"/>
          <w:color w:val="auto"/>
        </w:rPr>
      </w:pPr>
    </w:p>
    <w:p>
      <w:pPr>
        <w:ind w:right="40" w:firstLine="648"/>
        <w:spacing w:after="0" w:line="23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Non-cash Charges</w:t>
      </w:r>
      <w:r>
        <w:rPr>
          <w:rFonts w:ascii="Arial" w:cs="Arial" w:eastAsia="Arial" w:hAnsi="Arial"/>
          <w:sz w:val="20"/>
          <w:szCs w:val="20"/>
          <w:color w:val="auto"/>
        </w:rPr>
        <w:t>”: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Consolidated Subsidiary; and other non-cash expenses of such Person and its Subsidiaries reducing Consolidated Net Income of such Person and its Consolidated Subsidiaries for such period (excluding any such charge which requires an accrual of or a reserve for cash charges for any future period).</w:t>
      </w:r>
    </w:p>
    <w:p>
      <w:pPr>
        <w:spacing w:after="0" w:line="199" w:lineRule="exact"/>
        <w:rPr>
          <w:sz w:val="20"/>
          <w:szCs w:val="20"/>
          <w:color w:val="auto"/>
        </w:rPr>
      </w:pPr>
    </w:p>
    <w:p>
      <w:pPr>
        <w:ind w:right="22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Subsidiaries</w:t>
      </w:r>
      <w:r>
        <w:rPr>
          <w:rFonts w:ascii="Arial" w:cs="Arial" w:eastAsia="Arial" w:hAnsi="Arial"/>
          <w:sz w:val="20"/>
          <w:szCs w:val="20"/>
          <w:color w:val="auto"/>
        </w:rPr>
        <w:t>”: as of any date of determination and with respect to any Person, those Subsidiaries of that Person whose financial data is, in accordance with GAAP, reflected in that Person’s consolidated financial statements.</w:t>
      </w:r>
    </w:p>
    <w:p>
      <w:pPr>
        <w:spacing w:after="0" w:line="169" w:lineRule="exact"/>
        <w:rPr>
          <w:sz w:val="20"/>
          <w:szCs w:val="20"/>
          <w:color w:val="auto"/>
        </w:rPr>
      </w:pPr>
    </w:p>
    <w:p>
      <w:pPr>
        <w:ind w:right="34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Contractual Obligation</w:t>
      </w:r>
      <w:r>
        <w:rPr>
          <w:rFonts w:ascii="Arial" w:cs="Arial" w:eastAsia="Arial" w:hAnsi="Arial"/>
          <w:sz w:val="20"/>
          <w:szCs w:val="20"/>
          <w:color w:val="auto"/>
        </w:rPr>
        <w:t>”: as to any Person, any provision of any security issued by such Person or of any agreement, instrument or other undertaking to which such Person is a party or by which it or any of its property is bound.</w:t>
      </w:r>
    </w:p>
    <w:p>
      <w:pPr>
        <w:spacing w:after="0" w:line="196"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(i) all copyrights, database rights, design rights, mask works and works of authorship arising under the laws of the United States, any other country or any political subdivision thereof, whether registered or unregistered and whether published or unpublished, all registrations and recordings thereof, and all applications in connection therewith, including, without limitation, all registrations, recordings and applications in the United States Copyright Office, and (ii) the right to obtain all renewals thereof.</w:t>
      </w:r>
    </w:p>
    <w:p>
      <w:pPr>
        <w:spacing w:after="0" w:line="200" w:lineRule="exact"/>
        <w:rPr>
          <w:sz w:val="20"/>
          <w:szCs w:val="20"/>
          <w:color w:val="auto"/>
        </w:rPr>
      </w:pPr>
    </w:p>
    <w:p>
      <w:pPr>
        <w:ind w:right="1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Licenses</w:t>
      </w:r>
      <w:r>
        <w:rPr>
          <w:rFonts w:ascii="Arial" w:cs="Arial" w:eastAsia="Arial" w:hAnsi="Arial"/>
          <w:sz w:val="20"/>
          <w:szCs w:val="20"/>
          <w:color w:val="auto"/>
        </w:rPr>
        <w:t>”: any written agreement naming the Borrower or any Guarantor as a party, granting any right under any Copyright, including, without limitation, the grant of rights to reproduce, prepare derivative works based upon, perform, display, manufacture, distribute, exploit and sell materials derived from any Copyright.</w:t>
      </w:r>
    </w:p>
    <w:p>
      <w:pPr>
        <w:spacing w:after="0" w:line="192" w:lineRule="exact"/>
        <w:rPr>
          <w:sz w:val="20"/>
          <w:szCs w:val="20"/>
          <w:color w:val="auto"/>
        </w:rPr>
      </w:pPr>
    </w:p>
    <w:p>
      <w:pPr>
        <w:ind w:right="90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Corporate Rating</w:t>
      </w:r>
      <w:r>
        <w:rPr>
          <w:rFonts w:ascii="Arial" w:cs="Arial" w:eastAsia="Arial" w:hAnsi="Arial"/>
          <w:sz w:val="20"/>
          <w:szCs w:val="20"/>
          <w:color w:val="auto"/>
        </w:rPr>
        <w:t>”: the Borrower’s “corporate rating” or “corporate family rating” from S&amp;P or Moody’s or Fitch, respectively, including any successor term for such rating adopted by such rating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20" w:top="1414" w:right="359" w:bottom="1440" w:gutter="0" w:footer="0" w:header="0"/>
        </w:sectPr>
      </w:pPr>
    </w:p>
    <w:bookmarkStart w:id="181" w:name="page182"/>
    <w:bookmarkEnd w:id="181"/>
    <w:p>
      <w:pPr>
        <w:ind w:right="26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Debtor Relief Laws</w:t>
      </w:r>
      <w:r>
        <w:rPr>
          <w:rFonts w:ascii="Arial" w:cs="Arial" w:eastAsia="Arial" w:hAnsi="Arial"/>
          <w:sz w:val="20"/>
          <w:szCs w:val="20"/>
          <w:color w:val="auto"/>
        </w:rPr>
        <w:t>”: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214" w:lineRule="exact"/>
        <w:rPr>
          <w:sz w:val="20"/>
          <w:szCs w:val="20"/>
          <w:color w:val="auto"/>
        </w:rPr>
      </w:pPr>
    </w:p>
    <w:p>
      <w:pPr>
        <w:ind w:right="88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whether or not any requirement for the giving of notice, the expiration of applicable cure or grace periods, or both, has been satisfied.</w:t>
      </w:r>
    </w:p>
    <w:p>
      <w:pPr>
        <w:spacing w:after="0" w:line="196" w:lineRule="exact"/>
        <w:rPr>
          <w:sz w:val="20"/>
          <w:szCs w:val="20"/>
          <w:color w:val="auto"/>
        </w:rPr>
      </w:pPr>
    </w:p>
    <w:p>
      <w:pPr>
        <w:ind w:firstLine="648"/>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to (i) fund all or any portion of its Term Loans within one Business Day of the date such Term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writing) has not been satisfied, or (ii) pay to the Administrative Agent or any other Lender any other amount required to be paid by it hereunder within one Business Day of the date when due, (b) has notified the Borrower and the Administrative Agent in writing that it does not intend to comply with its funding obligations hereunder (unless such writing relates to such Lender’s obligation to fund a Term Loan hereunder and states that such position is based on such Lender’s determination that a condition precedent to funding (which condition precedent, together with any applicable default, shall be specifically identified in such writing) cannot be satisfied), (c) has failed, within two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after the Closing Date, (i) become the subject to any bankruptcy event, (ii) had appointed for it a receiver, liquidator, examiner,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in consultation with the Borrower that a Lender is a Defaulting Lender under any one or more of clauses (a) through (d) above shall be conclusive and binding absent manifest error, and such Lender shall be deemed to be a Defaulting Lender (subject to </w:t>
      </w:r>
      <w:r>
        <w:rPr>
          <w:rFonts w:ascii="Arial" w:cs="Arial" w:eastAsia="Arial" w:hAnsi="Arial"/>
          <w:sz w:val="19"/>
          <w:szCs w:val="19"/>
          <w:u w:val="single" w:color="auto"/>
          <w:color w:val="auto"/>
        </w:rPr>
        <w:t>Section 2.24(b)</w:t>
      </w:r>
      <w:r>
        <w:rPr>
          <w:rFonts w:ascii="Arial" w:cs="Arial" w:eastAsia="Arial" w:hAnsi="Arial"/>
          <w:sz w:val="19"/>
          <w:szCs w:val="19"/>
          <w:color w:val="auto"/>
        </w:rPr>
        <w:t>) upon delivery of written notice of such determination to the Borrower and each Lender.</w:t>
      </w:r>
    </w:p>
    <w:p>
      <w:pPr>
        <w:spacing w:after="0" w:line="200" w:lineRule="exact"/>
        <w:rPr>
          <w:sz w:val="20"/>
          <w:szCs w:val="20"/>
          <w:color w:val="auto"/>
        </w:rPr>
      </w:pP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DBS Bank Ltd., JPMorgan Chase Bank, N.A., Oversea-Chinese Banking Corporation Limited, Los Angeles Agency, PNC Bank, National Association and The Bank of Nova Scotia.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dollars in lawful currency of the United States.</w:t>
      </w:r>
    </w:p>
    <w:p>
      <w:pPr>
        <w:spacing w:after="0" w:line="229" w:lineRule="exact"/>
        <w:rPr>
          <w:sz w:val="20"/>
          <w:szCs w:val="20"/>
          <w:color w:val="auto"/>
        </w:rPr>
      </w:pPr>
    </w:p>
    <w:p>
      <w:pPr>
        <w:ind w:right="1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14" w:right="339" w:bottom="1440" w:gutter="0" w:footer="0" w:header="0"/>
        </w:sectPr>
      </w:pPr>
    </w:p>
    <w:bookmarkStart w:id="182" w:name="page183"/>
    <w:bookmarkEnd w:id="182"/>
    <w:p>
      <w:pPr>
        <w:ind w:right="5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92"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Laws</w:t>
      </w:r>
      <w:r>
        <w:rPr>
          <w:rFonts w:ascii="Arial" w:cs="Arial" w:eastAsia="Arial" w:hAnsi="Arial"/>
          <w:sz w:val="20"/>
          <w:szCs w:val="20"/>
          <w:color w:val="auto"/>
        </w:rPr>
        <w:t>”: any and all applicable foreign, federal, state, local or municipal laws, rules, orders, regulations, statutes, ordinances, codes, decrees, legally binding requirements of any Governmental Authority or other Requirements of Law (including common law) regulating, relating to or imposing liability or standards of conduct concerning protection of the environment or of human health (to the extent related to exposure to Materials of Environmental Concern), as now or may at any time hereafter be in effect.</w:t>
      </w:r>
    </w:p>
    <w:p>
      <w:pPr>
        <w:spacing w:after="0" w:line="200" w:lineRule="exact"/>
        <w:rPr>
          <w:sz w:val="20"/>
          <w:szCs w:val="20"/>
          <w:color w:val="auto"/>
        </w:rPr>
      </w:pPr>
    </w:p>
    <w:p>
      <w:pPr>
        <w:ind w:right="10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all Capital Stock and all warrants or options with respect to, or other rights to purchase, Capital Stock, but excluding Indebtedness convertible into or exchangeable for equity.</w:t>
      </w:r>
    </w:p>
    <w:p>
      <w:pPr>
        <w:spacing w:after="0" w:line="169" w:lineRule="exact"/>
        <w:rPr>
          <w:sz w:val="20"/>
          <w:szCs w:val="20"/>
          <w:color w:val="auto"/>
        </w:rPr>
      </w:pPr>
    </w:p>
    <w:p>
      <w:pPr>
        <w:ind w:right="46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the Employee Retirement Income Security Act of 1974, as amended from time to time, and the regulations promulgated and rulings issued thereunder.</w:t>
      </w:r>
    </w:p>
    <w:p>
      <w:pPr>
        <w:spacing w:after="0" w:line="169" w:lineRule="exact"/>
        <w:rPr>
          <w:sz w:val="20"/>
          <w:szCs w:val="20"/>
          <w:color w:val="auto"/>
        </w:rPr>
      </w:pPr>
    </w:p>
    <w:p>
      <w:pPr>
        <w:ind w:right="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(a) any Reportable Event; (b) the failure by any Plan to satisfy the minimum funding standards (within the meaning of Section 412 of the Code or Section 302 of ERISA) applicable to such Plan, whether or not waived in accordance with Section 412(c) of the Code or Section 302(c) of ERISA; (c) the filing pursuant to Section 412(d) of the Code or Section 303(d) of ERISA of an application for a waiver of the minimum funding standard with respect to any Plan; (d) the incurrence by the Borrower or any of its ERISA Affiliates of any liability under Title IV of ERISA with respect to the termination of any Plan; (e) the receipt by the Borrower or any ERISA Affiliate from the PBGC or a plan administrator of any notice relating to an intention to terminate any Plan or Plans or to appoint a trustee to administer any Plan; (f) the incurrence by the Borrower or any of its ERISA Affiliates of any liability with respect to the withdrawal or partial withdrawal from any Plan or Multiemployer Plan; or (g) the receipt by the Borrower or any Commonly Controlled Entity of any notice, or the receipt by any Multiemployer Plan from the Borrower or any Commonly Controlled Entity of any notice, concerning the imposition of withdrawal liability under ERISA or a determination that a Multiemployer Plan is, or is expected to be, Insolvent, within the meaning of Title IV of ERISA.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8.11(d)</w:t>
      </w:r>
      <w:r>
        <w:rPr>
          <w:rFonts w:ascii="Arial" w:cs="Arial" w:eastAsia="Arial" w:hAnsi="Arial"/>
          <w:sz w:val="20"/>
          <w:szCs w:val="20"/>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the EU Bail-In Legislation Schedule published by the Loan Market Association (or any successor person), as in effect from time to time.</w:t>
      </w:r>
    </w:p>
    <w:p>
      <w:pPr>
        <w:spacing w:after="0" w:line="196" w:lineRule="exact"/>
        <w:rPr>
          <w:sz w:val="20"/>
          <w:szCs w:val="20"/>
          <w:color w:val="auto"/>
        </w:rPr>
      </w:pPr>
    </w:p>
    <w:p>
      <w:pPr>
        <w:ind w:right="2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any of the events specified in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requirement for the giving of notice, the lapse of time, or both, has been satisfied.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the Securities Exchange Act of 1934, as amended, or any successor statute or statutes thereto.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Taxes</w:t>
      </w:r>
      <w:r>
        <w:rPr>
          <w:rFonts w:ascii="Arial" w:cs="Arial" w:eastAsia="Arial" w:hAnsi="Arial"/>
          <w:sz w:val="20"/>
          <w:szCs w:val="20"/>
          <w:color w:val="auto"/>
        </w:rPr>
        <w:t xml:space="preserve">”: those Taxes referenced in </w:t>
      </w:r>
      <w:r>
        <w:rPr>
          <w:rFonts w:ascii="Arial" w:cs="Arial" w:eastAsia="Arial" w:hAnsi="Arial"/>
          <w:sz w:val="20"/>
          <w:szCs w:val="20"/>
          <w:u w:val="single" w:color="auto"/>
          <w:color w:val="auto"/>
        </w:rPr>
        <w:t>Section 2.16(a)(i)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2.16(a)(v)</w:t>
      </w:r>
      <w:r>
        <w:rPr>
          <w:rFonts w:ascii="Arial" w:cs="Arial" w:eastAsia="Arial" w:hAnsi="Arial"/>
          <w:sz w:val="20"/>
          <w:szCs w:val="20"/>
          <w:color w:val="auto"/>
        </w:rPr>
        <w:t>.</w:t>
      </w:r>
    </w:p>
    <w:p>
      <w:pPr>
        <w:spacing w:after="0" w:line="243" w:lineRule="exact"/>
        <w:rPr>
          <w:sz w:val="20"/>
          <w:szCs w:val="20"/>
          <w:color w:val="auto"/>
        </w:rPr>
      </w:pPr>
    </w:p>
    <w:p>
      <w:pPr>
        <w:ind w:right="12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FATCA</w:t>
      </w:r>
      <w:r>
        <w:rPr>
          <w:rFonts w:ascii="Arial" w:cs="Arial" w:eastAsia="Arial" w:hAnsi="Arial"/>
          <w:sz w:val="20"/>
          <w:szCs w:val="20"/>
          <w:color w:val="auto"/>
        </w:rPr>
        <w:t>”: Sections 1471 through 1474 of the Code as in existence on the date hereof (and any amended or successor version that is substantively comparable and not materially more onerous to comply with), any current or future Treasury regulations thereunder or published administrative guidance implementing such Sections, any agreement entered into pursuant to current Section 1471(b)(1) of the Code (or any amended or</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1240"/>
          </w:cols>
          <w:pgMar w:left="320" w:top="1414" w:right="339" w:bottom="1440" w:gutter="0" w:footer="0" w:header="0"/>
          <w:type w:val="continuous"/>
        </w:sectPr>
      </w:pPr>
    </w:p>
    <w:bookmarkStart w:id="183" w:name="page184"/>
    <w:bookmarkEnd w:id="183"/>
    <w:p>
      <w:pPr>
        <w:ind w:right="420"/>
        <w:spacing w:after="0" w:line="257" w:lineRule="auto"/>
        <w:rPr>
          <w:sz w:val="20"/>
          <w:szCs w:val="20"/>
          <w:color w:val="auto"/>
        </w:rPr>
      </w:pPr>
      <w:r>
        <w:rPr>
          <w:rFonts w:ascii="Arial" w:cs="Arial" w:eastAsia="Arial" w:hAnsi="Arial"/>
          <w:sz w:val="20"/>
          <w:szCs w:val="20"/>
          <w:color w:val="auto"/>
        </w:rPr>
        <w:t>successor version described above) and any intergovernmental agreements (and related legislation or official administrative guidance) implementing the foregoing.</w:t>
      </w:r>
    </w:p>
    <w:p>
      <w:pPr>
        <w:spacing w:after="0" w:line="196" w:lineRule="exact"/>
        <w:rPr>
          <w:sz w:val="20"/>
          <w:szCs w:val="20"/>
          <w:color w:val="auto"/>
        </w:rPr>
      </w:pPr>
    </w:p>
    <w:p>
      <w:pPr>
        <w:ind w:right="3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effective federal funds rate, provided that if the Federal Funds Effective Rate as so determined would be less than zero, such rate shall be deemed to zero for the purposes of this Agreement.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Letters</w:t>
      </w:r>
      <w:r>
        <w:rPr>
          <w:rFonts w:ascii="Arial" w:cs="Arial" w:eastAsia="Arial" w:hAnsi="Arial"/>
          <w:sz w:val="20"/>
          <w:szCs w:val="20"/>
          <w:color w:val="auto"/>
        </w:rPr>
        <w:t>”: collectively, those certain fee letters as defined in the Commitment Letter.</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Fees</w:t>
      </w:r>
      <w:r>
        <w:rPr>
          <w:rFonts w:ascii="Arial" w:cs="Arial" w:eastAsia="Arial" w:hAnsi="Arial"/>
          <w:sz w:val="20"/>
          <w:szCs w:val="20"/>
          <w:color w:val="auto"/>
        </w:rPr>
        <w:t xml:space="preserve">”: collectively, the fees pursuant to Commitment Letter, Fee Letters and </w:t>
      </w:r>
      <w:r>
        <w:rPr>
          <w:rFonts w:ascii="Arial" w:cs="Arial" w:eastAsia="Arial" w:hAnsi="Arial"/>
          <w:sz w:val="20"/>
          <w:szCs w:val="20"/>
          <w:u w:val="single" w:color="auto"/>
          <w:color w:val="auto"/>
        </w:rPr>
        <w:t>Section 2.19</w:t>
      </w:r>
      <w:r>
        <w:rPr>
          <w:rFonts w:ascii="Arial" w:cs="Arial" w:eastAsia="Arial" w:hAnsi="Arial"/>
          <w:sz w:val="20"/>
          <w:szCs w:val="20"/>
          <w:color w:val="auto"/>
        </w:rPr>
        <w:t xml:space="preserve">, the fees referred to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9.5</w:t>
      </w:r>
      <w:r>
        <w:rPr>
          <w:rFonts w:ascii="Arial" w:cs="Arial" w:eastAsia="Arial" w:hAnsi="Arial"/>
          <w:sz w:val="20"/>
          <w:szCs w:val="20"/>
          <w:color w:val="auto"/>
        </w:rPr>
        <w:t xml:space="preserve"> and any other fees payable by any Loan Party pursuant to this Agreement or any other Loan Document.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a rate of interest equal to 0.00%.</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Officer</w:t>
      </w:r>
      <w:r>
        <w:rPr>
          <w:rFonts w:ascii="Arial" w:cs="Arial" w:eastAsia="Arial" w:hAnsi="Arial"/>
          <w:sz w:val="20"/>
          <w:szCs w:val="20"/>
          <w:color w:val="auto"/>
        </w:rPr>
        <w:t>”: the Chief Financial Officer, Principal Accounting Officer, Controller or Treasurer of the Borrower.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Fitch</w:t>
      </w:r>
      <w:r>
        <w:rPr>
          <w:rFonts w:ascii="Arial" w:cs="Arial" w:eastAsia="Arial" w:hAnsi="Arial"/>
          <w:sz w:val="20"/>
          <w:szCs w:val="20"/>
          <w:color w:val="auto"/>
        </w:rPr>
        <w:t>”: Fitch, Inc. and any successor to its rating agency business.</w:t>
      </w:r>
    </w:p>
    <w:p>
      <w:pPr>
        <w:spacing w:after="0" w:line="229" w:lineRule="exact"/>
        <w:rPr>
          <w:sz w:val="20"/>
          <w:szCs w:val="20"/>
          <w:color w:val="auto"/>
        </w:rPr>
      </w:pPr>
    </w:p>
    <w:p>
      <w:pPr>
        <w:ind w:right="50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with respect to any Person, any Subsidiary of such Person other than one that is organized or existing under the laws of the United States, any state thereof or the District of Columbia.</w:t>
      </w:r>
    </w:p>
    <w:p>
      <w:pPr>
        <w:spacing w:after="0" w:line="169"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the Board of Governors of the Federal Reserve System of the United States or any Governmental Authority which succeeds to the powers and functions thereof.</w:t>
      </w:r>
    </w:p>
    <w:p>
      <w:pPr>
        <w:spacing w:after="0" w:line="169" w:lineRule="exact"/>
        <w:rPr>
          <w:sz w:val="20"/>
          <w:szCs w:val="20"/>
          <w:color w:val="auto"/>
        </w:rPr>
      </w:pPr>
    </w:p>
    <w:p>
      <w:pPr>
        <w:ind w:right="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FSHCO</w:t>
      </w:r>
      <w:r>
        <w:rPr>
          <w:rFonts w:ascii="Arial" w:cs="Arial" w:eastAsia="Arial" w:hAnsi="Arial"/>
          <w:sz w:val="20"/>
          <w:szCs w:val="20"/>
          <w:color w:val="auto"/>
        </w:rPr>
        <w:t>”: with respect to any Person, any Subsidiary substantially all the assets of which consist of Equity Interests of, and/or intercompany debt obligations owed or treated as owed by, one or more (i) CFCs and/or (ii) Subsidiaries described in this definition.</w:t>
      </w:r>
    </w:p>
    <w:p>
      <w:pPr>
        <w:spacing w:after="0" w:line="192" w:lineRule="exact"/>
        <w:rPr>
          <w:sz w:val="20"/>
          <w:szCs w:val="20"/>
          <w:color w:val="auto"/>
        </w:rPr>
      </w:pPr>
    </w:p>
    <w:p>
      <w:pPr>
        <w:ind w:right="28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Funding Office</w:t>
      </w:r>
      <w:r>
        <w:rPr>
          <w:rFonts w:ascii="Arial" w:cs="Arial" w:eastAsia="Arial" w:hAnsi="Arial"/>
          <w:sz w:val="19"/>
          <w:szCs w:val="19"/>
          <w:color w:val="auto"/>
        </w:rPr>
        <w:t xml:space="preserve">”: the office of the Administrative Agent specified in </w:t>
      </w:r>
      <w:r>
        <w:rPr>
          <w:rFonts w:ascii="Arial" w:cs="Arial" w:eastAsia="Arial" w:hAnsi="Arial"/>
          <w:sz w:val="19"/>
          <w:szCs w:val="19"/>
          <w:u w:val="single" w:color="auto"/>
          <w:color w:val="auto"/>
        </w:rPr>
        <w:t>Section 9.2(a)</w:t>
      </w:r>
      <w:r>
        <w:rPr>
          <w:rFonts w:ascii="Arial" w:cs="Arial" w:eastAsia="Arial" w:hAnsi="Arial"/>
          <w:sz w:val="19"/>
          <w:szCs w:val="19"/>
          <w:color w:val="auto"/>
        </w:rPr>
        <w:t xml:space="preserve"> or such other office as may be specified from time to time by the Administrative Agent as its funding office by written notice to the Borrower and the Lenders.</w:t>
      </w:r>
    </w:p>
    <w:p>
      <w:pPr>
        <w:spacing w:after="0" w:line="146" w:lineRule="exact"/>
        <w:rPr>
          <w:sz w:val="20"/>
          <w:szCs w:val="20"/>
          <w:color w:val="auto"/>
        </w:rPr>
      </w:pPr>
    </w:p>
    <w:p>
      <w:pPr>
        <w:ind w:right="20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205" w:lineRule="exact"/>
        <w:rPr>
          <w:sz w:val="20"/>
          <w:szCs w:val="20"/>
          <w:color w:val="auto"/>
        </w:rPr>
      </w:pPr>
    </w:p>
    <w:p>
      <w:pPr>
        <w:ind w:right="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201" w:lineRule="exact"/>
        <w:rPr>
          <w:sz w:val="20"/>
          <w:szCs w:val="20"/>
          <w:color w:val="auto"/>
        </w:rPr>
      </w:pPr>
    </w:p>
    <w:p>
      <w:pPr>
        <w:ind w:right="10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w:t>
      </w:r>
      <w:r>
        <w:rPr>
          <w:rFonts w:ascii="Arial" w:cs="Arial" w:eastAsia="Arial" w:hAnsi="Arial"/>
          <w:sz w:val="20"/>
          <w:szCs w:val="20"/>
          <w:color w:val="auto"/>
        </w:rPr>
        <w:t xml:space="preserve">”: any obligation, contingent or otherwise, of any Person directly or indirectly guaranteeing any Indebtedness of any other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obligations pursuant to commercial transactions on arm’s-length terms entered into in the ordinary course of business that are not primarily for the purpose of guaranteeing any Indebtedness of another Person shall not constitute a Guarantee, and (2) for avoidance of doubt, an agreement or arrangement or series of related agreements or arrangements providing for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14" w:right="339" w:bottom="1440" w:gutter="0" w:footer="0" w:header="0"/>
        </w:sectPr>
      </w:pPr>
    </w:p>
    <w:bookmarkStart w:id="184" w:name="page185"/>
    <w:bookmarkEnd w:id="184"/>
    <w:p>
      <w:pPr>
        <w:ind w:right="80"/>
        <w:spacing w:after="0" w:line="238" w:lineRule="auto"/>
        <w:rPr>
          <w:sz w:val="20"/>
          <w:szCs w:val="20"/>
          <w:color w:val="auto"/>
        </w:rPr>
      </w:pPr>
      <w:r>
        <w:rPr>
          <w:rFonts w:ascii="Arial" w:cs="Arial" w:eastAsia="Arial" w:hAnsi="Arial"/>
          <w:sz w:val="20"/>
          <w:szCs w:val="20"/>
          <w:color w:val="auto"/>
        </w:rPr>
        <w:t xml:space="preserve">connection with the purchase or sale of assets, securities, services or rights that is entered into in connection with the business of the Borrower or any Subsidiary (including any consent or acknowledgement of assignment, including any assignment of payment obligations, warranties, indemnities, performance guarantees and related obligations, and related waivers), shall not constitute a Guarantee,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payment obligations, warranties, indemnities, performance guarantees and related obligations provided for under such agreements or arrangements are limited to payments for assets, securities, services and rights and other ancillary obligations customary in such transactions. The term “Guarantee” used as a verb has a corresponding meaning.</w:t>
      </w:r>
    </w:p>
    <w:p>
      <w:pPr>
        <w:spacing w:after="0" w:line="199" w:lineRule="exact"/>
        <w:rPr>
          <w:sz w:val="20"/>
          <w:szCs w:val="20"/>
          <w:color w:val="auto"/>
        </w:rPr>
      </w:pPr>
    </w:p>
    <w:p>
      <w:pPr>
        <w:ind w:right="16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any Subsidiary that is a party to a Subsidiary Guaranty, and its successors and assigns, in each case, until the Guarantee of such Person under the Subsidiary Guaranty has been released in accordance with the provisions of this Agreement or the Subsidiary Guaranty.</w:t>
      </w:r>
    </w:p>
    <w:p>
      <w:pPr>
        <w:spacing w:after="0" w:line="192" w:lineRule="exact"/>
        <w:rPr>
          <w:sz w:val="20"/>
          <w:szCs w:val="20"/>
          <w:color w:val="auto"/>
        </w:rPr>
      </w:pPr>
    </w:p>
    <w:p>
      <w:pPr>
        <w:ind w:right="14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Assumption Amendment</w:t>
      </w:r>
      <w:r>
        <w:rPr>
          <w:rFonts w:ascii="Arial" w:cs="Arial" w:eastAsia="Arial" w:hAnsi="Arial"/>
          <w:sz w:val="20"/>
          <w:szCs w:val="20"/>
          <w:color w:val="auto"/>
        </w:rPr>
        <w:t xml:space="preserve">”: an Incremental Assumption Amendment in form and substance reasonably satisfactory to the Administrative Agent and the Borrower, among the Borrower, the Administrative Agent and each Incremental Term Lender amending this Agreement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a Lender with an Incremental Term Loan Commitment or an outstanding Incremental Term</w:t>
      </w:r>
    </w:p>
    <w:p>
      <w:pPr>
        <w:spacing w:after="0"/>
        <w:rPr>
          <w:sz w:val="20"/>
          <w:szCs w:val="20"/>
          <w:color w:val="auto"/>
        </w:rPr>
      </w:pPr>
      <w:r>
        <w:rPr>
          <w:rFonts w:ascii="Arial" w:cs="Arial" w:eastAsia="Arial" w:hAnsi="Arial"/>
          <w:sz w:val="20"/>
          <w:szCs w:val="20"/>
          <w:color w:val="auto"/>
        </w:rPr>
        <w:t>Loan.</w:t>
      </w:r>
    </w:p>
    <w:p>
      <w:pPr>
        <w:spacing w:after="0" w:line="211" w:lineRule="exact"/>
        <w:rPr>
          <w:sz w:val="20"/>
          <w:szCs w:val="20"/>
          <w:color w:val="auto"/>
        </w:rPr>
      </w:pPr>
    </w:p>
    <w:p>
      <w:pPr>
        <w:ind w:right="36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Commitment</w:t>
      </w:r>
      <w:r>
        <w:rPr>
          <w:rFonts w:ascii="Arial" w:cs="Arial" w:eastAsia="Arial" w:hAnsi="Arial"/>
          <w:sz w:val="20"/>
          <w:szCs w:val="20"/>
          <w:color w:val="auto"/>
        </w:rPr>
        <w:t xml:space="preserve">”: the commitment of any Lender, established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to make Incremental Term Loans to the Borrower.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Loans</w:t>
      </w:r>
      <w:r>
        <w:rPr>
          <w:rFonts w:ascii="Arial" w:cs="Arial" w:eastAsia="Arial" w:hAnsi="Arial"/>
          <w:sz w:val="20"/>
          <w:szCs w:val="20"/>
          <w:color w:val="auto"/>
        </w:rPr>
        <w:t>”: term loans made by one or more Lenders to the Borrower pursuant to an Incremental Assumption Amendment. Incremental Term Loans may be made in the form of additional Term A-1 Loans, Term A-2 Loans or Term A-3 Loans.</w:t>
      </w:r>
    </w:p>
    <w:p>
      <w:pPr>
        <w:spacing w:after="0" w:line="192"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Indebtedness</w:t>
      </w:r>
      <w:r>
        <w:rPr>
          <w:rFonts w:ascii="Arial" w:cs="Arial" w:eastAsia="Arial" w:hAnsi="Arial"/>
          <w:sz w:val="20"/>
          <w:szCs w:val="20"/>
          <w:color w:val="auto"/>
        </w:rPr>
        <w:t>”: indebtedness for borrowed money. For the avoidance of doubt, Indebtedness with respect to a Person only includes indebtedness for the repayment of money provided to such Person,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amount of any Indebtedness outstanding as of any date will be:</w:t>
      </w:r>
    </w:p>
    <w:p>
      <w:pPr>
        <w:spacing w:after="0" w:line="229" w:lineRule="exact"/>
        <w:rPr>
          <w:sz w:val="20"/>
          <w:szCs w:val="20"/>
          <w:color w:val="auto"/>
        </w:rPr>
      </w:pPr>
    </w:p>
    <w:p>
      <w:pPr>
        <w:ind w:left="660" w:right="280" w:firstLine="644"/>
        <w:spacing w:after="0" w:line="271" w:lineRule="auto"/>
        <w:tabs>
          <w:tab w:leader="none" w:pos="177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accreted value of the Indebtedness, in the case of any Indebtedness that does not require the current payment of interest;</w:t>
      </w:r>
    </w:p>
    <w:p>
      <w:pPr>
        <w:spacing w:after="0" w:line="169" w:lineRule="exact"/>
        <w:rPr>
          <w:rFonts w:ascii="Arial" w:cs="Arial" w:eastAsia="Arial" w:hAnsi="Arial"/>
          <w:sz w:val="20"/>
          <w:szCs w:val="20"/>
          <w:color w:val="auto"/>
        </w:rPr>
      </w:pPr>
    </w:p>
    <w:p>
      <w:pPr>
        <w:ind w:left="1760" w:hanging="456"/>
        <w:spacing w:after="0"/>
        <w:tabs>
          <w:tab w:leader="none" w:pos="17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principal amount of the Indebtedness, in the case of any other Indebtedness;</w:t>
      </w:r>
    </w:p>
    <w:p>
      <w:pPr>
        <w:spacing w:after="0" w:line="242" w:lineRule="exact"/>
        <w:rPr>
          <w:rFonts w:ascii="Arial" w:cs="Arial" w:eastAsia="Arial" w:hAnsi="Arial"/>
          <w:sz w:val="20"/>
          <w:szCs w:val="20"/>
          <w:color w:val="auto"/>
        </w:rPr>
      </w:pPr>
    </w:p>
    <w:p>
      <w:pPr>
        <w:ind w:left="660" w:right="160" w:firstLine="644"/>
        <w:spacing w:after="0"/>
        <w:tabs>
          <w:tab w:leader="none" w:pos="177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 respect of Indebtedness of another Person secured by a Lien on the assets of the specified Person (and not otherwise Guaranteed by the specified Person), the lesser of: (a) the fair value (as determined in good faith by a Responsible Officer of the Borrower) of such assets at the date of determination; and (b) the principal amount of the Indebtedness of the other Person;</w:t>
      </w:r>
    </w:p>
    <w:p>
      <w:pPr>
        <w:spacing w:after="0" w:line="200" w:lineRule="exact"/>
        <w:rPr>
          <w:rFonts w:ascii="Arial" w:cs="Arial" w:eastAsia="Arial" w:hAnsi="Arial"/>
          <w:sz w:val="20"/>
          <w:szCs w:val="20"/>
          <w:color w:val="auto"/>
        </w:rPr>
      </w:pPr>
    </w:p>
    <w:p>
      <w:pPr>
        <w:ind w:left="660" w:right="260" w:firstLine="644"/>
        <w:spacing w:after="0" w:line="245" w:lineRule="auto"/>
        <w:tabs>
          <w:tab w:leader="none" w:pos="177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in respect of any Indebtedness of another Person Guaranteed by the specified Person or one or more of such Persons, the lesser of: (a) the principal amount of such Indebtedness of such other Person and (b) the maximum amount of such Indebtedness payable under the Guarantee or Guarantees (without duplication in the case of one or more Guarantees of the same Indebtedness by Restricted Subsidiaries); and</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414" w:right="339" w:bottom="1440" w:gutter="0" w:footer="0" w:header="0"/>
          <w:type w:val="continuous"/>
        </w:sectPr>
      </w:pPr>
    </w:p>
    <w:bookmarkStart w:id="185" w:name="page186"/>
    <w:bookmarkEnd w:id="185"/>
    <w:p>
      <w:pPr>
        <w:ind w:left="660" w:right="180" w:firstLine="644"/>
        <w:spacing w:after="0" w:line="248" w:lineRule="auto"/>
        <w:tabs>
          <w:tab w:leader="none" w:pos="177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in the case of obligations under any sale and lease-back transaction that are included in any calculation of Indebtedness pursuant to this Agreement (whether or not Indebtedness), an amount calculated in accordance with clause (2) of the definition of Attributable Debt.</w:t>
      </w:r>
    </w:p>
    <w:p>
      <w:pPr>
        <w:spacing w:after="0" w:line="192" w:lineRule="exact"/>
        <w:rPr>
          <w:sz w:val="20"/>
          <w:szCs w:val="20"/>
          <w:color w:val="auto"/>
        </w:rPr>
      </w:pPr>
    </w:p>
    <w:p>
      <w:pPr>
        <w:spacing w:after="0" w:line="235" w:lineRule="auto"/>
        <w:rPr>
          <w:sz w:val="20"/>
          <w:szCs w:val="20"/>
          <w:color w:val="auto"/>
        </w:rPr>
      </w:pPr>
      <w:r>
        <w:rPr>
          <w:rFonts w:ascii="Arial" w:cs="Arial" w:eastAsia="Arial" w:hAnsi="Arial"/>
          <w:sz w:val="20"/>
          <w:szCs w:val="20"/>
          <w:color w:val="auto"/>
        </w:rPr>
        <w:t xml:space="preserve">In no event will the amount of any Indebtedness (including Guarantees of such Indebtedness) be required to be included in the calculation of Indebtedness more than once despite the fact more than one Person is liable with respect to such Indebtedness and despite the fact that such Indebtedness is secured by the assets of more than one Person (for example, and for avoidance of doubt, in the case where more than one Restricted Subsidiary has Guaranteed or otherwise become liable for such Indebtedness or in the case where there are Liens on assets of one or more of the Borrower and its Restricted Subsidiaries securing such Indebtedness or one or more Guarantees thereof, the amount of Indebtedness so Guaranteed or secured shall only be included once in the calculation of Indebtedness). In addition, accrual of interest and accretion or amortization of original issue discount will not be deemed to be an incurrence of Indebtedness for any purpose hereunder. For the avoidance of doubt, the inclusion of specific obligations in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or the definition of Permitted Liens or the inclusion of Attributable Debt in any calculation of Indebtedness shall not create any implication that any such obligations constitute Indebtedness.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29" w:lineRule="exact"/>
        <w:rPr>
          <w:sz w:val="20"/>
          <w:szCs w:val="20"/>
          <w:color w:val="auto"/>
        </w:rPr>
      </w:pPr>
    </w:p>
    <w:p>
      <w:pPr>
        <w:ind w:right="4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w:t>
      </w:r>
      <w:r>
        <w:rPr>
          <w:rFonts w:ascii="Arial" w:cs="Arial" w:eastAsia="Arial" w:hAnsi="Arial"/>
          <w:sz w:val="20"/>
          <w:szCs w:val="20"/>
          <w:color w:val="auto"/>
        </w:rPr>
        <w:t>”: with respect to any Multiemployer Plan, the condition that such Plan is insolvent within the meaning of Section 4245 of ERISA.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Insolvent</w:t>
      </w:r>
      <w:r>
        <w:rPr>
          <w:rFonts w:ascii="Arial" w:cs="Arial" w:eastAsia="Arial" w:hAnsi="Arial"/>
          <w:sz w:val="20"/>
          <w:szCs w:val="20"/>
          <w:color w:val="auto"/>
        </w:rPr>
        <w:t>”: pertaining to a condition of Insolvency.</w:t>
      </w:r>
    </w:p>
    <w:p>
      <w:pPr>
        <w:spacing w:after="0" w:line="243" w:lineRule="exact"/>
        <w:rPr>
          <w:sz w:val="20"/>
          <w:szCs w:val="20"/>
          <w:color w:val="auto"/>
        </w:rPr>
      </w:pPr>
    </w:p>
    <w:p>
      <w:pPr>
        <w:ind w:right="1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trade secrets, and any transferable rights to sue at law or in equity for any infringement or other impairment thereof, including the right to receive all proceeds and damages therefrom.</w:t>
      </w:r>
    </w:p>
    <w:p>
      <w:pPr>
        <w:spacing w:after="0" w:line="214" w:lineRule="exact"/>
        <w:rPr>
          <w:sz w:val="20"/>
          <w:szCs w:val="20"/>
          <w:color w:val="auto"/>
        </w:rPr>
      </w:pPr>
    </w:p>
    <w:p>
      <w:pPr>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(a) as to any Base Rate Loan, the last Business Day of each March, June, September and December to occur while such Base Rate Loan is outstanding and the final maturity date of such Base Rate Loan, (b) as to any SOFR Loan having an Interest Period of three months or less, the last day of such Interest Period, (c) as to any SOFR Loan having an Interest Period longer than three months, each day that is three months, or a whole multiple thereof, after the first day of such Interest Period and the last day of such Interest Period and (d) as to any SOFR Loan, the date of any repayment or prepayment made in respect thereof.</w:t>
      </w:r>
    </w:p>
    <w:p>
      <w:pPr>
        <w:spacing w:after="0" w:line="203" w:lineRule="exact"/>
        <w:rPr>
          <w:sz w:val="20"/>
          <w:szCs w:val="20"/>
          <w:color w:val="auto"/>
        </w:rPr>
      </w:pPr>
    </w:p>
    <w:p>
      <w:pPr>
        <w:ind w:right="4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as to any SOFR Loan, the period commencing on the date such SOFR Loan is disbursed or converted to or continued as a SOFR Loan and ending on the date one (1), three (3) or six (6) months thereafter, in each case as selected by the Borrower in its irrevocable notice to the Administrative Agent; provided that, all of the foregoing provisions relating to Interest Periods are subject to the following:</w:t>
      </w:r>
    </w:p>
    <w:p>
      <w:pPr>
        <w:spacing w:after="0" w:line="195" w:lineRule="exact"/>
        <w:rPr>
          <w:sz w:val="20"/>
          <w:szCs w:val="20"/>
          <w:color w:val="auto"/>
        </w:rPr>
      </w:pPr>
    </w:p>
    <w:p>
      <w:pPr>
        <w:ind w:left="660" w:right="80" w:hanging="4"/>
        <w:spacing w:after="0" w:line="248" w:lineRule="auto"/>
        <w:tabs>
          <w:tab w:leader="none" w:pos="112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Interest Period shall commence on the date of advance of or conversion to any SOFR Loan and, in the case of immediately successive Interest Periods, each successive Interest Period shall commence on the date on which the immediately preceding Interest Period expires;</w:t>
      </w:r>
    </w:p>
    <w:p>
      <w:pPr>
        <w:spacing w:after="0" w:line="191" w:lineRule="exact"/>
        <w:rPr>
          <w:rFonts w:ascii="Arial" w:cs="Arial" w:eastAsia="Arial" w:hAnsi="Arial"/>
          <w:sz w:val="20"/>
          <w:szCs w:val="20"/>
          <w:color w:val="auto"/>
        </w:rPr>
      </w:pPr>
    </w:p>
    <w:p>
      <w:pPr>
        <w:jc w:val="both"/>
        <w:ind w:left="660" w:right="140" w:hanging="4"/>
        <w:spacing w:after="0" w:line="248" w:lineRule="auto"/>
        <w:tabs>
          <w:tab w:leader="none" w:pos="1122"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if any Interest Period would otherwise expire on a day that is not a Business Day, such Interest Period shall expire on the next succeeding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Interest Period would otherwise expire on a day that is not a Business Day but is a day of the month after which no further</w:t>
      </w:r>
    </w:p>
    <w:p>
      <w:pPr>
        <w:sectPr>
          <w:pgSz w:w="11900" w:h="16838" w:orient="portrait"/>
          <w:cols w:equalWidth="0" w:num="1">
            <w:col w:w="11200"/>
          </w:cols>
          <w:pgMar w:left="320" w:top="14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00"/>
          </w:cols>
          <w:pgMar w:left="320" w:top="1414" w:right="379" w:bottom="1440" w:gutter="0" w:footer="0" w:header="0"/>
          <w:type w:val="continuous"/>
        </w:sectPr>
      </w:pPr>
    </w:p>
    <w:bookmarkStart w:id="186" w:name="page187"/>
    <w:bookmarkEnd w:id="186"/>
    <w:p>
      <w:pPr>
        <w:ind w:left="660"/>
        <w:spacing w:after="0"/>
        <w:rPr>
          <w:sz w:val="20"/>
          <w:szCs w:val="20"/>
          <w:color w:val="auto"/>
        </w:rPr>
      </w:pPr>
      <w:r>
        <w:rPr>
          <w:rFonts w:ascii="Arial" w:cs="Arial" w:eastAsia="Arial" w:hAnsi="Arial"/>
          <w:sz w:val="20"/>
          <w:szCs w:val="20"/>
          <w:color w:val="auto"/>
        </w:rPr>
        <w:t>Business Day occurs in such month, such Interest Period shall expire on the immediately preceding Business Day;</w:t>
      </w:r>
    </w:p>
    <w:p>
      <w:pPr>
        <w:spacing w:after="0" w:line="229" w:lineRule="exact"/>
        <w:rPr>
          <w:sz w:val="20"/>
          <w:szCs w:val="20"/>
          <w:color w:val="auto"/>
        </w:rPr>
      </w:pPr>
    </w:p>
    <w:p>
      <w:pPr>
        <w:ind w:left="660" w:right="200" w:hanging="4"/>
        <w:spacing w:after="0" w:line="248" w:lineRule="auto"/>
        <w:tabs>
          <w:tab w:leader="none" w:pos="1111" w:val="left"/>
        </w:tabs>
        <w:numPr>
          <w:ilvl w:val="0"/>
          <w:numId w:val="174"/>
        </w:numPr>
        <w:rPr>
          <w:rFonts w:ascii="Arial" w:cs="Arial" w:eastAsia="Arial" w:hAnsi="Arial"/>
          <w:sz w:val="20"/>
          <w:szCs w:val="20"/>
          <w:color w:val="auto"/>
        </w:rPr>
      </w:pPr>
      <w:r>
        <w:rPr>
          <w:rFonts w:ascii="Arial" w:cs="Arial" w:eastAsia="Arial" w:hAnsi="Arial"/>
          <w:sz w:val="20"/>
          <w:szCs w:val="20"/>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205" w:lineRule="exact"/>
        <w:rPr>
          <w:rFonts w:ascii="Arial" w:cs="Arial" w:eastAsia="Arial" w:hAnsi="Arial"/>
          <w:sz w:val="20"/>
          <w:szCs w:val="20"/>
          <w:color w:val="auto"/>
        </w:rPr>
      </w:pPr>
    </w:p>
    <w:p>
      <w:pPr>
        <w:ind w:left="660" w:right="160" w:hanging="4"/>
        <w:spacing w:after="0" w:line="248" w:lineRule="auto"/>
        <w:tabs>
          <w:tab w:leader="none" w:pos="112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no Interest Period shall extend beyond the applicable Term Loan Maturity Date and Interest Periods shall be selected by the Borrower so as to permit the Borrower to make the quarterly principal installment payments pursuant to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without payment of any amounts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and</w:t>
      </w:r>
    </w:p>
    <w:p>
      <w:pPr>
        <w:spacing w:after="0" w:line="200" w:lineRule="exact"/>
        <w:rPr>
          <w:rFonts w:ascii="Arial" w:cs="Arial" w:eastAsia="Arial" w:hAnsi="Arial"/>
          <w:sz w:val="20"/>
          <w:szCs w:val="20"/>
          <w:color w:val="auto"/>
        </w:rPr>
      </w:pPr>
    </w:p>
    <w:p>
      <w:pPr>
        <w:spacing w:after="0" w:line="234" w:lineRule="exact"/>
        <w:rPr>
          <w:rFonts w:ascii="Arial" w:cs="Arial" w:eastAsia="Arial" w:hAnsi="Arial"/>
          <w:sz w:val="20"/>
          <w:szCs w:val="20"/>
          <w:color w:val="auto"/>
        </w:rPr>
      </w:pPr>
    </w:p>
    <w:p>
      <w:pPr>
        <w:ind w:left="660" w:right="20" w:hanging="4"/>
        <w:spacing w:after="0" w:line="257" w:lineRule="auto"/>
        <w:tabs>
          <w:tab w:leader="none" w:pos="1122" w:val="left"/>
        </w:tabs>
        <w:numPr>
          <w:ilvl w:val="0"/>
          <w:numId w:val="174"/>
        </w:numPr>
        <w:rPr>
          <w:rFonts w:ascii="Arial" w:cs="Arial" w:eastAsia="Arial" w:hAnsi="Arial"/>
          <w:sz w:val="20"/>
          <w:szCs w:val="20"/>
          <w:color w:val="auto"/>
        </w:rPr>
      </w:pPr>
      <w:r>
        <w:rPr>
          <w:rFonts w:ascii="Arial" w:cs="Arial" w:eastAsia="Arial" w:hAnsi="Arial"/>
          <w:sz w:val="20"/>
          <w:szCs w:val="20"/>
          <w:color w:val="auto"/>
        </w:rPr>
        <w:t xml:space="preserve">no tenor that has been removed from this definition pursuant to </w:t>
      </w:r>
      <w:r>
        <w:rPr>
          <w:rFonts w:ascii="Arial" w:cs="Arial" w:eastAsia="Arial" w:hAnsi="Arial"/>
          <w:sz w:val="20"/>
          <w:szCs w:val="20"/>
          <w:u w:val="single" w:color="auto"/>
          <w:color w:val="auto"/>
        </w:rPr>
        <w:t>Section 2.10(f)</w:t>
      </w:r>
      <w:r>
        <w:rPr>
          <w:rFonts w:ascii="Arial" w:cs="Arial" w:eastAsia="Arial" w:hAnsi="Arial"/>
          <w:sz w:val="20"/>
          <w:szCs w:val="20"/>
          <w:color w:val="auto"/>
        </w:rPr>
        <w:t xml:space="preserve"> shall be available for specification in any irrevocable notice to the Administrative Agent.</w:t>
      </w:r>
    </w:p>
    <w:p>
      <w:pPr>
        <w:spacing w:after="0" w:line="196"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Investment</w:t>
      </w:r>
      <w:r>
        <w:rPr>
          <w:rFonts w:ascii="Arial" w:cs="Arial" w:eastAsia="Arial" w:hAnsi="Arial"/>
          <w:sz w:val="20"/>
          <w:szCs w:val="20"/>
          <w:color w:val="auto"/>
        </w:rPr>
        <w:t>”: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pacing w:after="0" w:line="214" w:lineRule="exact"/>
        <w:rPr>
          <w:sz w:val="20"/>
          <w:szCs w:val="20"/>
          <w:color w:val="auto"/>
        </w:rPr>
      </w:pPr>
    </w:p>
    <w:p>
      <w:pPr>
        <w:ind w:right="140" w:firstLine="648"/>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ISDA Definitions</w:t>
      </w:r>
      <w:r>
        <w:rPr>
          <w:rFonts w:ascii="Arial" w:cs="Arial" w:eastAsia="Arial" w:hAnsi="Arial"/>
          <w:sz w:val="19"/>
          <w:szCs w:val="19"/>
          <w:color w:val="auto"/>
        </w:rPr>
        <w:t>”: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Lead Arrangers</w:t>
      </w:r>
      <w:r>
        <w:rPr>
          <w:rFonts w:ascii="Arial" w:cs="Arial" w:eastAsia="Arial" w:hAnsi="Arial"/>
          <w:sz w:val="20"/>
          <w:szCs w:val="20"/>
          <w:color w:val="auto"/>
        </w:rPr>
        <w:t>”: Wells Fargo Securities, LLC, Mizuho Bank, Ltd., and Truist Securities, Inc.</w:t>
      </w:r>
    </w:p>
    <w:p>
      <w:pPr>
        <w:spacing w:after="0" w:line="243" w:lineRule="exact"/>
        <w:rPr>
          <w:sz w:val="20"/>
          <w:szCs w:val="20"/>
          <w:color w:val="auto"/>
        </w:rPr>
      </w:pPr>
    </w:p>
    <w:p>
      <w:pPr>
        <w:ind w:right="4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Joint Venture</w:t>
      </w:r>
      <w:r>
        <w:rPr>
          <w:rFonts w:ascii="Arial" w:cs="Arial" w:eastAsia="Arial" w:hAnsi="Arial"/>
          <w:sz w:val="20"/>
          <w:szCs w:val="20"/>
          <w:color w:val="auto"/>
        </w:rPr>
        <w:t>”: with respect to any Person, any partnership, corporation or other entity in which up to and including 50% of the Equity Interests is owned, directly or indirectly, by such Person and/or one or more of its Subsidiaries.</w:t>
      </w:r>
    </w:p>
    <w:p>
      <w:pPr>
        <w:spacing w:after="0" w:line="182"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Legal Holiday</w:t>
      </w:r>
      <w:r>
        <w:rPr>
          <w:rFonts w:ascii="Arial" w:cs="Arial" w:eastAsia="Arial" w:hAnsi="Arial"/>
          <w:sz w:val="20"/>
          <w:szCs w:val="20"/>
          <w:color w:val="auto"/>
        </w:rPr>
        <w:t>”: a Saturday, a Sunday or a day on which banking institutions in the City of New York or at a place of payment are authorized by law, regulation or executive order to remain closed. If a payment date is a Legal Holiday at a place of payment, payment may be made at that place on the next succeeding day that is not a Legal Holiday.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the meaning set forth in the preamble to this Agreement.</w:t>
      </w:r>
    </w:p>
    <w:p>
      <w:pPr>
        <w:spacing w:after="0" w:line="229" w:lineRule="exact"/>
        <w:rPr>
          <w:sz w:val="20"/>
          <w:szCs w:val="20"/>
          <w:color w:val="auto"/>
        </w:rPr>
      </w:pPr>
    </w:p>
    <w:p>
      <w:pPr>
        <w:jc w:val="both"/>
        <w:ind w:right="3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xml:space="preserve">”: any lien, security interest, mortgage, charge or similar encumbrance, </w:t>
      </w:r>
      <w:r>
        <w:rPr>
          <w:rFonts w:ascii="Arial" w:cs="Arial" w:eastAsia="Arial" w:hAnsi="Arial"/>
          <w:sz w:val="20"/>
          <w:szCs w:val="20"/>
          <w:u w:val="single" w:color="auto"/>
          <w:color w:val="auto"/>
        </w:rPr>
        <w:t>provided</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no event shall either (i) any legal or equitable encumbrances deemed to exist by reason of a negative pledge or (ii) an operating lease or a non-exclusive license be deemed to constitute a Lien.</w:t>
      </w:r>
    </w:p>
    <w:p>
      <w:pPr>
        <w:spacing w:after="0" w:line="192" w:lineRule="exact"/>
        <w:rPr>
          <w:sz w:val="20"/>
          <w:szCs w:val="20"/>
          <w:color w:val="auto"/>
        </w:rPr>
      </w:pPr>
    </w:p>
    <w:p>
      <w:pPr>
        <w:ind w:right="6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this Agreement, any Subsidiary Guaranty, each Incremental Assumption Amendment and, after execution and delivery thereof pursuant to the terms of this Agreement, each Note, and any amendment, waiver, supplement or other modification to any of the foregoing.</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the Borrower and any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00"/>
          </w:cols>
          <w:pgMar w:left="320" w:top="1414" w:right="379" w:bottom="1440" w:gutter="0" w:footer="0" w:header="0"/>
        </w:sectPr>
      </w:pPr>
    </w:p>
    <w:bookmarkStart w:id="187" w:name="page188"/>
    <w:bookmarkEnd w:id="187"/>
    <w:p>
      <w:pPr>
        <w:ind w:right="12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a material adverse effect on (a) the business, financial condition, results of operations or properties of the Borrower and its Subsidiaries taken as a whole, (b) the ability of the Loan Parties taken as a whole, to perform their obligations under the Loan Documents, (c) the validity or enforceability of the Loan Documents taken as a whole or (d) the material rights and remedies available to, or conferred upon, the Lenders and the Administrative Agent under the other Loan Documents, taken as a whole.</w:t>
      </w:r>
    </w:p>
    <w:p>
      <w:pPr>
        <w:spacing w:after="0" w:line="200" w:lineRule="exact"/>
        <w:rPr>
          <w:sz w:val="20"/>
          <w:szCs w:val="20"/>
          <w:color w:val="auto"/>
        </w:rPr>
      </w:pPr>
    </w:p>
    <w:p>
      <w:pPr>
        <w:ind w:right="6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each Restricted Subsidiary that, as of the last day of the fiscal quarter of the Borrower most recently ended for which financial statements are available, had total assets (based on book value after intercompany eliminations) as of the end of such quarter in excess of $200,000,000 or that is designated by the Borrower as a “Material Subsidiary.”</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Materials of Environmental Concern</w:t>
      </w:r>
      <w:r>
        <w:rPr>
          <w:rFonts w:ascii="Arial" w:cs="Arial" w:eastAsia="Arial" w:hAnsi="Arial"/>
          <w:sz w:val="20"/>
          <w:szCs w:val="20"/>
          <w:color w:val="auto"/>
        </w:rPr>
        <w:t>”: any gasoline or petroleum (including crude oil or any fraction thereof) or petroleum products, or asbestos, or polychlorinated biphenyls or any other chemicals, substances, materials, wastes, pollutants or contaminants in any form, regulated under any Environmental Law.</w:t>
      </w:r>
    </w:p>
    <w:p>
      <w:pPr>
        <w:spacing w:after="0" w:line="192" w:lineRule="exact"/>
        <w:rPr>
          <w:sz w:val="20"/>
          <w:szCs w:val="20"/>
          <w:color w:val="auto"/>
        </w:rPr>
      </w:pPr>
    </w:p>
    <w:p>
      <w:pPr>
        <w:ind w:right="400"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Facility Amount</w:t>
      </w:r>
      <w:r>
        <w:rPr>
          <w:rFonts w:ascii="Arial" w:cs="Arial" w:eastAsia="Arial" w:hAnsi="Arial"/>
          <w:sz w:val="20"/>
          <w:szCs w:val="20"/>
          <w:color w:val="auto"/>
        </w:rPr>
        <w:t>”: at any time, the excess, if any, of (a) $3,900,000,000 minus (b) the aggregate amount of Term Loans outstanding under this Agreement.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9.20</w:t>
      </w:r>
      <w:r>
        <w:rPr>
          <w:rFonts w:ascii="Arial" w:cs="Arial" w:eastAsia="Arial" w:hAnsi="Arial"/>
          <w:sz w:val="20"/>
          <w:szCs w:val="20"/>
          <w:color w:val="auto"/>
        </w:rPr>
        <w:t>.</w:t>
      </w:r>
    </w:p>
    <w:p>
      <w:pPr>
        <w:spacing w:after="0" w:line="2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at any date of determination, the most recently completed four fiscal quarters of the Borrower for which financial statements have been filed with the SEC.</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Moody’s Investors Service, Inc. and any successor to its rating agency business.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a Plan that is a multiemployer plan as defined in Section 4001(a)(3) of ERISA.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Non-Excluded Taxes</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2.16(a)</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Notes</w:t>
      </w:r>
      <w:r>
        <w:rPr>
          <w:rFonts w:ascii="Arial" w:cs="Arial" w:eastAsia="Arial" w:hAnsi="Arial"/>
          <w:sz w:val="20"/>
          <w:szCs w:val="20"/>
          <w:color w:val="auto"/>
        </w:rPr>
        <w:t>”: the collective reference to any promissory note evidencing Term Loans.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the Federal Reserve Bank of New York.</w:t>
      </w:r>
    </w:p>
    <w:p>
      <w:pPr>
        <w:spacing w:after="0" w:line="229" w:lineRule="exact"/>
        <w:rPr>
          <w:sz w:val="20"/>
          <w:szCs w:val="20"/>
          <w:color w:val="auto"/>
        </w:rPr>
      </w:pPr>
    </w:p>
    <w:p>
      <w:pPr>
        <w:ind w:right="2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 provided, further, that if any of the aforesaid rates as so determined would be less than zero, such rate shall be deemed to be zero for purposes of this Agreement.</w:t>
      </w:r>
    </w:p>
    <w:p>
      <w:pPr>
        <w:spacing w:after="0" w:line="217" w:lineRule="exact"/>
        <w:rPr>
          <w:sz w:val="20"/>
          <w:szCs w:val="20"/>
          <w:color w:val="auto"/>
        </w:rPr>
      </w:pPr>
    </w:p>
    <w:p>
      <w:pPr>
        <w:ind w:right="80" w:firstLine="648"/>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the unpaid principal of and interest on (including interest accruing after the maturity of the Term Loans and interest accruing after the filing of any petition in bankruptcy, or the commencement of any insolvency, reorganization or like proceeding, relating to the Borrower, whether or not a claim for post-filing or post-petition interest is allowed in such proceeding) the Term Loans and all other obligations and liabilities of the Borrower to the Administrative Agent or to any Lender, whether direct or indirect, absolute or contingent, due or to become due, or now existing or hereafter incurred, which may arise under, out of, or in connection with, this Agreement, any other Loan Document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240"/>
          </w:cols>
          <w:pgMar w:left="320" w:top="1414" w:right="339" w:bottom="1440" w:gutter="0" w:footer="0" w:header="0"/>
          <w:type w:val="continuous"/>
        </w:sectPr>
      </w:pPr>
    </w:p>
    <w:bookmarkStart w:id="188" w:name="page189"/>
    <w:bookmarkEnd w:id="188"/>
    <w:p>
      <w:pPr>
        <w:ind w:right="8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all present or future stamp, court or documentary, intangible, recording, filing or similar Taxes arising from any payment made hereunder or under any other Loan Document or from the execution, delivery or enforcement of, or otherwise with respect to, this Agreement or any other Loan Document, except any such Taxes imposed with respect to an assignment (other than an assignment pursuant to </w:t>
      </w:r>
      <w:r>
        <w:rPr>
          <w:rFonts w:ascii="Arial" w:cs="Arial" w:eastAsia="Arial" w:hAnsi="Arial"/>
          <w:sz w:val="20"/>
          <w:szCs w:val="20"/>
          <w:u w:val="single" w:color="auto"/>
          <w:color w:val="auto"/>
        </w:rPr>
        <w:t>Section 2.22</w:t>
      </w:r>
      <w:r>
        <w:rPr>
          <w:rFonts w:ascii="Arial" w:cs="Arial" w:eastAsia="Arial" w:hAnsi="Arial"/>
          <w:sz w:val="20"/>
          <w:szCs w:val="20"/>
          <w:color w:val="auto"/>
        </w:rPr>
        <w:t xml:space="preserve"> (Replacement of Lenders)) as a result of the Administrative Agent, Lender or assignee having a present or former connection with the applicable taxing jurisdiction (other than any such connection arising solely from the Administrative Agent or such Lender or assignee having executed, delivered, become a party to, or performed its obligations or received a payment under, or enforced, and/or engaged in any activities contemplated with respect to this Agreement or any other Loan Document).</w:t>
      </w:r>
    </w:p>
    <w:p>
      <w:pPr>
        <w:spacing w:after="0" w:line="202" w:lineRule="exact"/>
        <w:rPr>
          <w:sz w:val="20"/>
          <w:szCs w:val="20"/>
          <w:color w:val="auto"/>
        </w:rPr>
      </w:pPr>
    </w:p>
    <w:p>
      <w:pPr>
        <w:ind w:right="100" w:firstLine="648"/>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Overnight Bank Funding Rate</w:t>
      </w:r>
      <w:r>
        <w:rPr>
          <w:rFonts w:ascii="Arial" w:cs="Arial" w:eastAsia="Arial" w:hAnsi="Arial"/>
          <w:sz w:val="20"/>
          <w:szCs w:val="20"/>
          <w:color w:val="auto"/>
        </w:rPr>
        <w:t>”: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9.6(c)(ii)</w:t>
      </w:r>
      <w:r>
        <w:rPr>
          <w:rFonts w:ascii="Arial" w:cs="Arial" w:eastAsia="Arial" w:hAnsi="Arial"/>
          <w:sz w:val="20"/>
          <w:szCs w:val="20"/>
          <w:color w:val="auto"/>
        </w:rPr>
        <w:t>.</w:t>
      </w:r>
    </w:p>
    <w:p>
      <w:pPr>
        <w:spacing w:after="0" w:line="243"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(i) all letters patent and patent rights of the United States, any other country or any political subdivision thereof, all reissues, reexaminations, and extensions thereof, (ii) all applications for letters patent of the United States or any other country and all divisionals, continuations and continuations-in-part thereof, and (iii) all rights to obtain any reissues or extensions of the foregoing.</w:t>
      </w:r>
    </w:p>
    <w:p>
      <w:pPr>
        <w:spacing w:after="0" w:line="214" w:lineRule="exact"/>
        <w:rPr>
          <w:sz w:val="20"/>
          <w:szCs w:val="20"/>
          <w:color w:val="auto"/>
        </w:rPr>
      </w:pPr>
    </w:p>
    <w:p>
      <w:pPr>
        <w:ind w:right="60"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 License</w:t>
      </w:r>
      <w:r>
        <w:rPr>
          <w:rFonts w:ascii="Arial" w:cs="Arial" w:eastAsia="Arial" w:hAnsi="Arial"/>
          <w:sz w:val="20"/>
          <w:szCs w:val="20"/>
          <w:color w:val="auto"/>
        </w:rPr>
        <w:t>”: all agreements, whether written or oral, providing for the grant by or to Borrower or any Guarantor of any right to make, have made, manufacture, use, sell, offer to sell, have sold, import or export any invention covered in whole or in part by a Patent.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the USA Patriot Act, Title III of Pub. L. 107-56, signed into law on October 26, 2001, as amended.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8.11(b)</w:t>
      </w:r>
      <w:r>
        <w:rPr>
          <w:rFonts w:ascii="Arial" w:cs="Arial" w:eastAsia="Arial" w:hAnsi="Arial"/>
          <w:sz w:val="20"/>
          <w:szCs w:val="20"/>
          <w:color w:val="auto"/>
        </w:rPr>
        <w:t>.</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the meaning assigned to it in </w:t>
      </w:r>
      <w:r>
        <w:rPr>
          <w:rFonts w:ascii="Arial" w:cs="Arial" w:eastAsia="Arial" w:hAnsi="Arial"/>
          <w:sz w:val="20"/>
          <w:szCs w:val="20"/>
          <w:u w:val="single" w:color="auto"/>
          <w:color w:val="auto"/>
        </w:rPr>
        <w:t>Section 8.11(a)</w:t>
      </w:r>
      <w:r>
        <w:rPr>
          <w:rFonts w:ascii="Arial" w:cs="Arial" w:eastAsia="Arial" w:hAnsi="Arial"/>
          <w:sz w:val="20"/>
          <w:szCs w:val="20"/>
          <w:color w:val="auto"/>
        </w:rPr>
        <w:t>.</w:t>
      </w:r>
    </w:p>
    <w:p>
      <w:pPr>
        <w:spacing w:after="0" w:line="229" w:lineRule="exact"/>
        <w:rPr>
          <w:sz w:val="20"/>
          <w:szCs w:val="20"/>
          <w:color w:val="auto"/>
        </w:rPr>
      </w:pPr>
    </w:p>
    <w:p>
      <w:pPr>
        <w:ind w:right="6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the Pension Benefit Guaranty Corporation established pursuant to Subtitle A of Title IV of ERISA (or any successor).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229" w:lineRule="exact"/>
        <w:rPr>
          <w:sz w:val="20"/>
          <w:szCs w:val="20"/>
          <w:color w:val="auto"/>
        </w:rPr>
      </w:pPr>
    </w:p>
    <w:p>
      <w:pPr>
        <w:ind w:left="660" w:right="100" w:hanging="4"/>
        <w:spacing w:after="0" w:line="271" w:lineRule="auto"/>
        <w:tabs>
          <w:tab w:leader="none" w:pos="112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Liens existing as of the Closing Date or arising thereafter pursuant to related agreements existing as of the Closing Date;</w:t>
      </w:r>
    </w:p>
    <w:p>
      <w:pPr>
        <w:spacing w:after="0" w:line="169" w:lineRule="exact"/>
        <w:rPr>
          <w:rFonts w:ascii="Arial" w:cs="Arial" w:eastAsia="Arial" w:hAnsi="Arial"/>
          <w:sz w:val="20"/>
          <w:szCs w:val="20"/>
          <w:color w:val="auto"/>
        </w:rPr>
      </w:pPr>
    </w:p>
    <w:p>
      <w:pPr>
        <w:ind w:left="660" w:right="120" w:hanging="4"/>
        <w:spacing w:after="0" w:line="236" w:lineRule="auto"/>
        <w:tabs>
          <w:tab w:leader="none" w:pos="1122" w:val="left"/>
        </w:tabs>
        <w:numPr>
          <w:ilvl w:val="0"/>
          <w:numId w:val="175"/>
        </w:numPr>
        <w:rPr>
          <w:rFonts w:ascii="Arial" w:cs="Arial" w:eastAsia="Arial" w:hAnsi="Arial"/>
          <w:sz w:val="20"/>
          <w:szCs w:val="20"/>
          <w:color w:val="auto"/>
        </w:rPr>
      </w:pPr>
      <w:r>
        <w:rPr>
          <w:rFonts w:ascii="Arial" w:cs="Arial" w:eastAsia="Arial" w:hAnsi="Arial"/>
          <w:sz w:val="20"/>
          <w:szCs w:val="20"/>
          <w:color w:val="auto"/>
        </w:rPr>
        <w:t xml:space="preserve">Liens on property given to secure all or any part of the payment of or financing of all or any part of the purchase price thereof, or the cost of development, operation, construction, alteration, repair or improvement of all or any part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property and/or the completion of any such development, operation, construction, alteration, repair or improvement, whichever is later and (ii) the placing into commercial operation of such property after the acquisition or completion of any such development, operation, construction, alteration, repair or improvement and shall attach solely to the property acquired, or constructed, altered</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14" w:right="339" w:bottom="1440" w:gutter="0" w:footer="0" w:header="0"/>
          <w:type w:val="continuous"/>
        </w:sectPr>
      </w:pPr>
    </w:p>
    <w:bookmarkStart w:id="189" w:name="page190"/>
    <w:bookmarkEnd w:id="189"/>
    <w:p>
      <w:pPr>
        <w:ind w:left="660" w:right="600"/>
        <w:spacing w:after="0" w:line="257" w:lineRule="auto"/>
        <w:rPr>
          <w:sz w:val="20"/>
          <w:szCs w:val="20"/>
          <w:color w:val="auto"/>
        </w:rPr>
      </w:pPr>
      <w:r>
        <w:rPr>
          <w:rFonts w:ascii="Arial" w:cs="Arial" w:eastAsia="Arial" w:hAnsi="Arial"/>
          <w:sz w:val="20"/>
          <w:szCs w:val="20"/>
          <w:color w:val="auto"/>
        </w:rPr>
        <w:t>or repaired and any improvements then or thereafter placed thereon and the capital stock of any Person formed to acquire such property, and any proceeds thereof, accessions thereto and insurance proceeds thereof;</w:t>
      </w:r>
    </w:p>
    <w:p>
      <w:pPr>
        <w:spacing w:after="0" w:line="196" w:lineRule="exact"/>
        <w:rPr>
          <w:sz w:val="20"/>
          <w:szCs w:val="20"/>
          <w:color w:val="auto"/>
        </w:rPr>
      </w:pPr>
    </w:p>
    <w:p>
      <w:pPr>
        <w:ind w:left="660" w:hanging="4"/>
        <w:spacing w:after="0" w:line="252" w:lineRule="auto"/>
        <w:tabs>
          <w:tab w:leader="none" w:pos="112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Liens existing on any property at the time of acquisition of such property or Liens existing on assets of a Person and its Restricted Subsidiaries prior to the time such Person becomes a Restricted Subsidiary (or arising thereafter pursuant to contractual commitments entered into prior to acquiring such property) (including acquisition through merger or consolidation) or at the time of such acquisition (or arising thereafter pursuant to contractual commitments entered into prior to such Person becoming a Restricted Subsidiary) by the Borrower or any Restricted Subsidiary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Liens do not extend to other assets of the Borrower or its other Restricted Subsidiaries;</w:t>
      </w:r>
    </w:p>
    <w:p>
      <w:pPr>
        <w:spacing w:after="0" w:line="189" w:lineRule="exact"/>
        <w:rPr>
          <w:rFonts w:ascii="Arial" w:cs="Arial" w:eastAsia="Arial" w:hAnsi="Arial"/>
          <w:sz w:val="19"/>
          <w:szCs w:val="19"/>
          <w:color w:val="auto"/>
        </w:rPr>
      </w:pPr>
    </w:p>
    <w:p>
      <w:pPr>
        <w:ind w:left="660" w:right="140" w:hanging="4"/>
        <w:spacing w:after="0" w:line="236" w:lineRule="auto"/>
        <w:tabs>
          <w:tab w:leader="none" w:pos="112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(a) Liens on the Equity Interests of any Person, including any Joint Venture, and its Restricted Subsidiaries which, when such Liens arise, concurrently becomes a Restricted Subsidiary or Liens on all or substantially all of the assets of such Person, including any Joint Venture, and its Subsidiaries arising in connection with the purchase or acquisition thereof or of an interest therein by the Borrower or a Subsidiary and (b) Liens on Equity Interests in any Joint Venture of the Borrower or any of its Subsidiaries, or in any Subsidiary of the Borrower that owns an Equity Interest in a Joint Venture to secure Indebtedness contributed or advanced solely to that Joint Venture;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each of the preceding clauses (a) and (b), such Liens do not extend to other assets of the Borrower or its other Restricted Subsidiaries;</w:t>
      </w:r>
    </w:p>
    <w:p>
      <w:pPr>
        <w:spacing w:after="0" w:line="215" w:lineRule="exact"/>
        <w:rPr>
          <w:rFonts w:ascii="Arial" w:cs="Arial" w:eastAsia="Arial" w:hAnsi="Arial"/>
          <w:sz w:val="20"/>
          <w:szCs w:val="20"/>
          <w:color w:val="auto"/>
        </w:rPr>
      </w:pPr>
    </w:p>
    <w:p>
      <w:pPr>
        <w:ind w:left="660" w:right="160" w:hanging="4"/>
        <w:spacing w:after="0" w:line="268" w:lineRule="auto"/>
        <w:tabs>
          <w:tab w:leader="none" w:pos="112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Liens securing Indebtedness of up to 5.0% of Consolidated Net Tangible Assets to any strategic partner of the Borrower and/or one or more of its Restricted Subsidiaries incurred in connection with joint technology efforts between such partner and the Borrower and/or one or more of its Subsidiaries and/or the financing of manufacturing of products;</w:t>
      </w:r>
    </w:p>
    <w:p>
      <w:pPr>
        <w:spacing w:after="0" w:line="172" w:lineRule="exact"/>
        <w:rPr>
          <w:rFonts w:ascii="Arial" w:cs="Arial" w:eastAsia="Arial" w:hAnsi="Arial"/>
          <w:sz w:val="19"/>
          <w:szCs w:val="19"/>
          <w:color w:val="auto"/>
        </w:rPr>
      </w:pPr>
    </w:p>
    <w:p>
      <w:pPr>
        <w:ind w:left="1120" w:hanging="464"/>
        <w:spacing w:after="0"/>
        <w:tabs>
          <w:tab w:leader="none" w:pos="11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in favor of the Borrower or a Restricted Subsidiary of the Borrower;</w:t>
      </w:r>
    </w:p>
    <w:p>
      <w:pPr>
        <w:spacing w:after="0" w:line="229" w:lineRule="exact"/>
        <w:rPr>
          <w:rFonts w:ascii="Arial" w:cs="Arial" w:eastAsia="Arial" w:hAnsi="Arial"/>
          <w:sz w:val="20"/>
          <w:szCs w:val="20"/>
          <w:color w:val="auto"/>
        </w:rPr>
      </w:pPr>
    </w:p>
    <w:p>
      <w:pPr>
        <w:ind w:left="660" w:right="200" w:hanging="4"/>
        <w:spacing w:after="0" w:line="245" w:lineRule="auto"/>
        <w:tabs>
          <w:tab w:leader="none" w:pos="112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94" w:lineRule="exact"/>
        <w:rPr>
          <w:rFonts w:ascii="Arial" w:cs="Arial" w:eastAsia="Arial" w:hAnsi="Arial"/>
          <w:sz w:val="20"/>
          <w:szCs w:val="20"/>
          <w:color w:val="auto"/>
        </w:rPr>
      </w:pPr>
    </w:p>
    <w:p>
      <w:pPr>
        <w:ind w:left="660" w:right="200" w:hanging="4"/>
        <w:spacing w:after="0"/>
        <w:tabs>
          <w:tab w:leader="none" w:pos="112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for taxes, assessments or other governmental charges not yet overdue for a period of more than 30 days or subject to penalties for non-payment or which are being contested in good faith by appropriate proceedings and for which adequate reserves with respect thereto are maintained on the books of the Borrower or the affected Restricted Subsidiary, as the case may be, in accordance with GAAP;</w:t>
      </w:r>
    </w:p>
    <w:p>
      <w:pPr>
        <w:spacing w:after="0" w:line="214" w:lineRule="exact"/>
        <w:rPr>
          <w:rFonts w:ascii="Arial" w:cs="Arial" w:eastAsia="Arial" w:hAnsi="Arial"/>
          <w:sz w:val="20"/>
          <w:szCs w:val="20"/>
          <w:color w:val="auto"/>
        </w:rPr>
      </w:pPr>
    </w:p>
    <w:p>
      <w:pPr>
        <w:ind w:left="660" w:right="40" w:hanging="4"/>
        <w:spacing w:after="0" w:line="236" w:lineRule="auto"/>
        <w:tabs>
          <w:tab w:leader="none" w:pos="112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212" w:lineRule="exact"/>
        <w:rPr>
          <w:rFonts w:ascii="Arial" w:cs="Arial" w:eastAsia="Arial" w:hAnsi="Arial"/>
          <w:sz w:val="20"/>
          <w:szCs w:val="20"/>
          <w:color w:val="auto"/>
        </w:rPr>
      </w:pPr>
    </w:p>
    <w:p>
      <w:pPr>
        <w:ind w:left="660" w:right="320" w:hanging="4"/>
        <w:spacing w:after="0" w:line="257" w:lineRule="auto"/>
        <w:tabs>
          <w:tab w:leader="none" w:pos="1232" w:val="left"/>
        </w:tabs>
        <w:numPr>
          <w:ilvl w:val="0"/>
          <w:numId w:val="176"/>
        </w:numPr>
        <w:rPr>
          <w:rFonts w:ascii="Arial" w:cs="Arial" w:eastAsia="Arial" w:hAnsi="Arial"/>
          <w:sz w:val="20"/>
          <w:szCs w:val="20"/>
          <w:color w:val="auto"/>
        </w:rPr>
      </w:pPr>
      <w:r>
        <w:rPr>
          <w:rFonts w:ascii="Arial" w:cs="Arial" w:eastAsia="Arial" w:hAnsi="Arial"/>
          <w:sz w:val="20"/>
          <w:szCs w:val="20"/>
          <w:color w:val="auto"/>
        </w:rPr>
        <w:t>Liens in favor of any customer arising in respect of and not exceeding the amount of performance deposits and partial, progress, advance or other payments by the customer for goods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14" w:right="339" w:bottom="1440" w:gutter="0" w:footer="0" w:header="0"/>
        </w:sectPr>
      </w:pPr>
    </w:p>
    <w:bookmarkStart w:id="190" w:name="page191"/>
    <w:bookmarkEnd w:id="190"/>
    <w:p>
      <w:pPr>
        <w:ind w:left="660" w:right="780"/>
        <w:spacing w:after="0" w:line="257" w:lineRule="auto"/>
        <w:rPr>
          <w:sz w:val="20"/>
          <w:szCs w:val="20"/>
          <w:color w:val="auto"/>
        </w:rPr>
      </w:pPr>
      <w:r>
        <w:rPr>
          <w:rFonts w:ascii="Arial" w:cs="Arial" w:eastAsia="Arial" w:hAnsi="Arial"/>
          <w:sz w:val="20"/>
          <w:szCs w:val="20"/>
          <w:color w:val="auto"/>
        </w:rPr>
        <w:t>produced or services rendered (or to be produced or rendered) to that customer and consignment arrangements (whether as consignor or consignee) or similar arrangements for the sale or purchase of goods;</w:t>
      </w:r>
    </w:p>
    <w:p>
      <w:pPr>
        <w:spacing w:after="0" w:line="196" w:lineRule="exact"/>
        <w:rPr>
          <w:sz w:val="20"/>
          <w:szCs w:val="20"/>
          <w:color w:val="auto"/>
        </w:rPr>
      </w:pPr>
    </w:p>
    <w:p>
      <w:pPr>
        <w:ind w:left="660" w:hanging="4"/>
        <w:spacing w:after="0" w:line="268" w:lineRule="auto"/>
        <w:tabs>
          <w:tab w:leader="none" w:pos="121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Liens upon specific items of inventory or other goods, documents of title and proceeds of any Person securing such Person’s obligation in respect of letters of credit or banker’s acceptances issued or created in the ordinary course of business for the account of such Person to facilitate the purchase, shipment, or storage of such inventory or other goods;</w:t>
      </w:r>
    </w:p>
    <w:p>
      <w:pPr>
        <w:spacing w:after="0" w:line="172" w:lineRule="exact"/>
        <w:rPr>
          <w:rFonts w:ascii="Arial" w:cs="Arial" w:eastAsia="Arial" w:hAnsi="Arial"/>
          <w:sz w:val="19"/>
          <w:szCs w:val="19"/>
          <w:color w:val="auto"/>
        </w:rPr>
      </w:pPr>
    </w:p>
    <w:p>
      <w:pPr>
        <w:jc w:val="both"/>
        <w:ind w:left="660" w:right="660" w:hanging="4"/>
        <w:spacing w:after="0" w:line="248" w:lineRule="auto"/>
        <w:tabs>
          <w:tab w:leader="none" w:pos="12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91" w:lineRule="exact"/>
        <w:rPr>
          <w:rFonts w:ascii="Arial" w:cs="Arial" w:eastAsia="Arial" w:hAnsi="Arial"/>
          <w:sz w:val="20"/>
          <w:szCs w:val="20"/>
          <w:color w:val="auto"/>
        </w:rPr>
      </w:pPr>
    </w:p>
    <w:p>
      <w:pPr>
        <w:ind w:left="1220" w:hanging="564"/>
        <w:spacing w:after="0"/>
        <w:tabs>
          <w:tab w:leader="none" w:pos="12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Liens on, and consisting of, deposits made by the Borrower to discharge or defease any other Indebtedness;</w:t>
      </w:r>
    </w:p>
    <w:p>
      <w:pPr>
        <w:spacing w:after="0" w:line="242" w:lineRule="exact"/>
        <w:rPr>
          <w:rFonts w:ascii="Arial" w:cs="Arial" w:eastAsia="Arial" w:hAnsi="Arial"/>
          <w:sz w:val="20"/>
          <w:szCs w:val="20"/>
          <w:color w:val="auto"/>
        </w:rPr>
      </w:pPr>
    </w:p>
    <w:p>
      <w:pPr>
        <w:ind w:left="660" w:right="440" w:hanging="4"/>
        <w:spacing w:after="0" w:line="248" w:lineRule="auto"/>
        <w:tabs>
          <w:tab w:leader="none" w:pos="12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Liens on insurance policies and the proceeds thereof (i) incurred in connection with the financing of insurance premiums or (ii) with respect to any Subsidiary that is not a Restricted Subsidiary to the extent of such Subsidiary’s interest as an insured under such policies;</w:t>
      </w:r>
    </w:p>
    <w:p>
      <w:pPr>
        <w:spacing w:after="0" w:line="191" w:lineRule="exact"/>
        <w:rPr>
          <w:rFonts w:ascii="Arial" w:cs="Arial" w:eastAsia="Arial" w:hAnsi="Arial"/>
          <w:sz w:val="20"/>
          <w:szCs w:val="20"/>
          <w:color w:val="auto"/>
        </w:rPr>
      </w:pPr>
    </w:p>
    <w:p>
      <w:pPr>
        <w:ind w:left="660" w:right="160" w:hanging="4"/>
        <w:spacing w:after="0" w:line="248" w:lineRule="auto"/>
        <w:tabs>
          <w:tab w:leader="none" w:pos="12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 and Liens deemed to exist in connection with Investments in repurchase agreements;</w:t>
      </w:r>
    </w:p>
    <w:p>
      <w:pPr>
        <w:spacing w:after="0" w:line="191" w:lineRule="exact"/>
        <w:rPr>
          <w:rFonts w:ascii="Arial" w:cs="Arial" w:eastAsia="Arial" w:hAnsi="Arial"/>
          <w:sz w:val="20"/>
          <w:szCs w:val="20"/>
          <w:color w:val="auto"/>
        </w:rPr>
      </w:pPr>
    </w:p>
    <w:p>
      <w:pPr>
        <w:ind w:left="660" w:right="360" w:hanging="4"/>
        <w:spacing w:after="0" w:line="248" w:lineRule="auto"/>
        <w:tabs>
          <w:tab w:leader="none" w:pos="12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Liens securing Indebtedness or other obligations in an aggregate amount, together with all other Indebtedness and other obligations secured by Liens pursuant to this clause (16), not to exceed $100,000,000 at any one time outstanding; or</w:t>
      </w:r>
    </w:p>
    <w:p>
      <w:pPr>
        <w:spacing w:after="0" w:line="205" w:lineRule="exact"/>
        <w:rPr>
          <w:rFonts w:ascii="Arial" w:cs="Arial" w:eastAsia="Arial" w:hAnsi="Arial"/>
          <w:sz w:val="20"/>
          <w:szCs w:val="20"/>
          <w:color w:val="auto"/>
        </w:rPr>
      </w:pPr>
    </w:p>
    <w:p>
      <w:pPr>
        <w:ind w:left="660" w:right="80" w:hanging="4"/>
        <w:spacing w:after="0" w:line="236" w:lineRule="auto"/>
        <w:tabs>
          <w:tab w:leader="none" w:pos="1232"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any extension, renewal, substitution or replacement (or successive extensions, renewals, substitutions or replacements), in whole or in part, of any Lien referred to in this clause (17) or the preceding clauses (1) through (16), or any Liens that secure an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(17) or the preceding clauses (1) through (16).</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For the avoidance of doubt, the inclusion of specific Liens in the definition of Permitted Liens shall not create any implication that the obligations secured by such Liens constitute Indebtedness. Terms used in the foregoing definition of Permitted Liens that are defined in the UCC, including the terms accounts, consignee, consignment, consignor, deposit accounts, goods, inventory, securities accounts, security interest and proceeds shall have the meanings set forth in the UCC.</w:t>
      </w:r>
    </w:p>
    <w:p>
      <w:pPr>
        <w:spacing w:after="0" w:line="214" w:lineRule="exact"/>
        <w:rPr>
          <w:sz w:val="20"/>
          <w:szCs w:val="20"/>
          <w:color w:val="auto"/>
        </w:rPr>
      </w:pPr>
    </w:p>
    <w:p>
      <w:pPr>
        <w:ind w:right="28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any individual, corporation, partnership, joint venture, association, joint stock company, trust, unincorporated organization, joint venture, limited liability company, Governmental Authority or other entity of whatever nature.</w:t>
      </w:r>
    </w:p>
    <w:p>
      <w:pPr>
        <w:spacing w:after="0" w:line="171" w:lineRule="exact"/>
        <w:rPr>
          <w:sz w:val="20"/>
          <w:szCs w:val="20"/>
          <w:color w:val="auto"/>
        </w:rPr>
      </w:pPr>
    </w:p>
    <w:p>
      <w:pPr>
        <w:jc w:val="both"/>
        <w:ind w:right="120" w:firstLine="648"/>
        <w:spacing w:after="0" w:line="24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at a particular time, any employee benefit plan that is covered by ERISA and in respect of which the Borrower or a Commonly Controlled Entity is (or, if such plan were terminated at such time, would under Section 4069 of ERISA be deemed to be) an “employer” as defined in Section 3(5)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14" w:right="339" w:bottom="1440" w:gutter="0" w:footer="0" w:header="0"/>
        </w:sectPr>
      </w:pPr>
    </w:p>
    <w:bookmarkStart w:id="191" w:name="page192"/>
    <w:bookmarkEnd w:id="191"/>
    <w:p>
      <w:pPr>
        <w:ind w:right="18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Regulations</w:t>
      </w:r>
      <w:r>
        <w:rPr>
          <w:rFonts w:ascii="Arial" w:cs="Arial" w:eastAsia="Arial" w:hAnsi="Arial"/>
          <w:sz w:val="20"/>
          <w:szCs w:val="20"/>
          <w:color w:val="auto"/>
        </w:rPr>
        <w:t xml:space="preserve">”: 29 CFR § 2510.3-101 </w:t>
      </w:r>
      <w:r>
        <w:rPr>
          <w:rFonts w:ascii="Arial" w:cs="Arial" w:eastAsia="Arial" w:hAnsi="Arial"/>
          <w:sz w:val="20"/>
          <w:szCs w:val="20"/>
          <w:i w:val="1"/>
          <w:iCs w:val="1"/>
          <w:color w:val="auto"/>
        </w:rPr>
        <w:t>et seq.</w:t>
      </w:r>
      <w:r>
        <w:rPr>
          <w:rFonts w:ascii="Arial" w:cs="Arial" w:eastAsia="Arial" w:hAnsi="Arial"/>
          <w:sz w:val="20"/>
          <w:szCs w:val="20"/>
          <w:color w:val="auto"/>
        </w:rPr>
        <w:t>, as modified by Section 3(42) of ERISA, as amended from time to time.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9.2(b)</w:t>
      </w:r>
      <w:r>
        <w:rPr>
          <w:rFonts w:ascii="Arial" w:cs="Arial" w:eastAsia="Arial" w:hAnsi="Arial"/>
          <w:sz w:val="20"/>
          <w:szCs w:val="20"/>
          <w:color w:val="auto"/>
        </w:rPr>
        <w:t>.</w:t>
      </w:r>
    </w:p>
    <w:p>
      <w:pPr>
        <w:spacing w:after="0" w:line="229" w:lineRule="exact"/>
        <w:rPr>
          <w:sz w:val="20"/>
          <w:szCs w:val="20"/>
          <w:color w:val="auto"/>
        </w:rPr>
      </w:pPr>
    </w:p>
    <w:p>
      <w:pPr>
        <w:ind w:right="4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Each change in the Prime Rate shall be effective from and including the date such change is publicly announced or quoted as being effective.</w:t>
      </w:r>
    </w:p>
    <w:p>
      <w:pPr>
        <w:spacing w:after="0" w:line="217" w:lineRule="exact"/>
        <w:rPr>
          <w:sz w:val="20"/>
          <w:szCs w:val="20"/>
          <w:color w:val="auto"/>
        </w:rPr>
      </w:pPr>
    </w:p>
    <w:p>
      <w:pPr>
        <w:ind w:right="1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Property</w:t>
      </w:r>
      <w:r>
        <w:rPr>
          <w:rFonts w:ascii="Arial" w:cs="Arial" w:eastAsia="Arial" w:hAnsi="Arial"/>
          <w:sz w:val="20"/>
          <w:szCs w:val="20"/>
          <w:color w:val="auto"/>
        </w:rPr>
        <w:t>”: with respect to any Person, all of such Person’s interests in any kind of property, assets (including the capital stock in and other securities of any other Person) or revenues.</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a prohibited transaction class exemption issued by the U.S. Department of Labor, as any such exemption may be amended from time to time.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w:t>
      </w:r>
    </w:p>
    <w:p>
      <w:pPr>
        <w:spacing w:after="0" w:line="243" w:lineRule="exact"/>
        <w:rPr>
          <w:sz w:val="20"/>
          <w:szCs w:val="20"/>
          <w:color w:val="auto"/>
        </w:rPr>
      </w:pPr>
    </w:p>
    <w:p>
      <w:pPr>
        <w:ind w:right="80" w:firstLine="648"/>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Acquisition</w:t>
      </w:r>
      <w:r>
        <w:rPr>
          <w:rFonts w:ascii="Arial" w:cs="Arial" w:eastAsia="Arial" w:hAnsi="Arial"/>
          <w:sz w:val="19"/>
          <w:szCs w:val="19"/>
          <w:color w:val="auto"/>
        </w:rPr>
        <w:t>”: any acquisition (directly or through the acquisition of equity interests) of all or substantially all or any significant portion of the assets of a Person, an operating unit, division or line of business, or other bulk purchase transaction not prohibited under this Agreement so long as (i) the consideration, which shall be cash consideration and/or other non-equity consideration (including any assumed liabilities), equals or exceeds $400,000,000 and (ii) that the Borrower notifies the Administrative Agent in writing at least five Business Days (or such shorter period as may be reasonably acceptable to the Administrative Agent) prior to the consummation of such acquisition that such acquisition shall be a “Qualified Acquisition” for purposes of this Agreement along with a certificate signed by a Responsible Officer of the Borrower setting forth a calculation of</w:t>
      </w:r>
    </w:p>
    <w:p>
      <w:pPr>
        <w:spacing w:after="0" w:line="3" w:lineRule="exact"/>
        <w:rPr>
          <w:sz w:val="20"/>
          <w:szCs w:val="20"/>
          <w:color w:val="auto"/>
        </w:rPr>
      </w:pPr>
    </w:p>
    <w:p>
      <w:pPr>
        <w:ind w:right="120" w:firstLine="8"/>
        <w:spacing w:after="0" w:line="236" w:lineRule="auto"/>
        <w:tabs>
          <w:tab w:leader="none" w:pos="28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the Total Leverage Ratio immediately prior to such Qualified Acquisition and (y) the Total Leverage Ratio after giving pro forma effect to such Qualified Acquisition; provided that if the Borrower publicly announces such Qualified Acquisition later than five Business Days prior to consummation of the Qualified Acquisition, the Borrower shall deliver such notice (and certificate, if applicable) on the date of announcement.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Rating Agencies</w:t>
      </w:r>
      <w:r>
        <w:rPr>
          <w:rFonts w:ascii="Arial" w:cs="Arial" w:eastAsia="Arial" w:hAnsi="Arial"/>
          <w:sz w:val="20"/>
          <w:szCs w:val="20"/>
          <w:color w:val="auto"/>
        </w:rPr>
        <w:t>”: each of Moody’s, S&amp;P and Fitch.</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the FRB or the NYFRB, or a committee officially endorsed or convened by the FRB or the NYFRB, or any successor thereto.</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9.6(b)(iv)</w:t>
      </w:r>
      <w:r>
        <w:rPr>
          <w:rFonts w:ascii="Arial" w:cs="Arial" w:eastAsia="Arial" w:hAnsi="Arial"/>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Regulation U of the FRB as in effect from time to time.</w:t>
      </w:r>
    </w:p>
    <w:p>
      <w:pPr>
        <w:spacing w:after="0" w:line="243"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Persons</w:t>
      </w:r>
      <w:r>
        <w:rPr>
          <w:rFonts w:ascii="Arial" w:cs="Arial" w:eastAsia="Arial" w:hAnsi="Arial"/>
          <w:sz w:val="20"/>
          <w:szCs w:val="20"/>
          <w:color w:val="auto"/>
        </w:rPr>
        <w:t>”: with respect to any Indemnitee, any Affiliate of such Indemnitee and any officer, director, employee, representative or agent of such Indemnitee or Affiliate thereof, in each case that has provided any services in connection with the transactions contemplated under this Agreement and the other Loan Documents.</w:t>
      </w:r>
    </w:p>
    <w:p>
      <w:pPr>
        <w:spacing w:after="0" w:line="192" w:lineRule="exact"/>
        <w:rPr>
          <w:sz w:val="20"/>
          <w:szCs w:val="20"/>
          <w:color w:val="auto"/>
        </w:rPr>
      </w:pPr>
    </w:p>
    <w:p>
      <w:pPr>
        <w:ind w:right="46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any of the events set forth in Section 4043(c) of ERISA, other than those events as to which the thirty (30) day notice period is waived under any regulation promulgated by the PBGC.</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240"/>
          </w:cols>
          <w:pgMar w:left="320" w:top="1414" w:right="339" w:bottom="1440" w:gutter="0" w:footer="0" w:header="0"/>
          <w:type w:val="continuous"/>
        </w:sectPr>
      </w:pPr>
    </w:p>
    <w:bookmarkStart w:id="192" w:name="page193"/>
    <w:bookmarkEnd w:id="192"/>
    <w:p>
      <w:pPr>
        <w:ind w:right="6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at any time, Lenders holding more than 50% of the aggregate unpaid principal amount of the Term Loans then outstanding and unused Term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whenever there are one or more Defaulting Lenders, the total outstanding Term Loans and unused Term Commitments of each Defaulting Lender shall be excluded for purposes of making any determination of Required Lenders.</w:t>
      </w:r>
    </w:p>
    <w:p>
      <w:pPr>
        <w:spacing w:after="0" w:line="214" w:lineRule="exact"/>
        <w:rPr>
          <w:sz w:val="20"/>
          <w:szCs w:val="20"/>
          <w:color w:val="auto"/>
        </w:rPr>
      </w:pPr>
    </w:p>
    <w:p>
      <w:pPr>
        <w:ind w:right="1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01" w:lineRule="exact"/>
        <w:rPr>
          <w:sz w:val="20"/>
          <w:szCs w:val="20"/>
          <w:color w:val="auto"/>
        </w:rPr>
      </w:pPr>
    </w:p>
    <w:p>
      <w:pPr>
        <w:ind w:right="46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an EEA Resolution Authority or, with respect to any UK Financial Institution, a UK Resolution Authority.</w:t>
      </w:r>
    </w:p>
    <w:p>
      <w:pPr>
        <w:spacing w:after="0" w:line="169" w:lineRule="exact"/>
        <w:rPr>
          <w:sz w:val="20"/>
          <w:szCs w:val="20"/>
          <w:color w:val="auto"/>
        </w:rPr>
      </w:pPr>
    </w:p>
    <w:p>
      <w:pPr>
        <w:ind w:right="7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the chief executive officer, any president, any vice president, the chief financial officer, the treasurer, any assistant treasurer, the secretary or any assistant secretary of the Borrower.</w:t>
      </w:r>
    </w:p>
    <w:p>
      <w:pPr>
        <w:spacing w:after="0" w:line="169"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Subsidiary</w:t>
      </w:r>
      <w:r>
        <w:rPr>
          <w:rFonts w:ascii="Arial" w:cs="Arial" w:eastAsia="Arial" w:hAnsi="Arial"/>
          <w:sz w:val="20"/>
          <w:szCs w:val="20"/>
          <w:color w:val="auto"/>
        </w:rPr>
        <w:t xml:space="preserve">”: each Subsidiary of the Borrower, (i) at least 80% of the Voting Stock of which is owned by the Borrower or one or more Subsidiaries of which at least 80% of the Voting Stock is owned directly or indirectly by the Borrower and (ii) is not an Unrestricted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for purposes of clause (i), any Voting Stock owned by a Subsidiary of the Borrower that is not a Restricted Subsidiary based on the foregoing clause shall be excluded.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Standard &amp; Poor’s Ratings Services, and any successor to its rating agency business.</w:t>
      </w:r>
    </w:p>
    <w:p>
      <w:pPr>
        <w:spacing w:after="0" w:line="229" w:lineRule="exact"/>
        <w:rPr>
          <w:sz w:val="20"/>
          <w:szCs w:val="20"/>
          <w:color w:val="auto"/>
        </w:rPr>
      </w:pPr>
    </w:p>
    <w:p>
      <w:pPr>
        <w:ind w:right="1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at any time, a country, region or territory which is itself the subject or target of any Sanctions (at the time of this Agreement, the so-called Donetsk People’s Republic, the so-called Luhansk People’s Republic, and the Crimea regions of Ukraine, Cuba, Iran, North Korea and Syria).</w:t>
      </w:r>
    </w:p>
    <w:p>
      <w:pPr>
        <w:spacing w:after="0" w:line="192" w:lineRule="exact"/>
        <w:rPr>
          <w:sz w:val="20"/>
          <w:szCs w:val="20"/>
          <w:color w:val="auto"/>
        </w:rPr>
      </w:pPr>
    </w:p>
    <w:p>
      <w:pPr>
        <w:ind w:right="16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at any time, (a) any Person listed in any Sanctions-related list of designated Persons maintained by the Office of Foreign Assets Control of the U.S. Department of the Treasury, the U.S. Department of State, by the United Nations Security Council, the European Union, any European Union member state, HM Treasury of the United Kingdom, the Hong Kong Monetary Authority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200" w:lineRule="exact"/>
        <w:rPr>
          <w:sz w:val="20"/>
          <w:szCs w:val="20"/>
          <w:color w:val="auto"/>
        </w:rPr>
      </w:pPr>
    </w:p>
    <w:p>
      <w:pPr>
        <w:jc w:val="both"/>
        <w:ind w:right="40"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HM Treasury of the United Kingdom.</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the Securities and Exchange Commission, any successor thereto and any analogous Governmental Authority.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the Securities Act of 1933, as amended, or any successor statute or statutes thereto.</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Significant Subsidiary</w:t>
      </w:r>
      <w:r>
        <w:rPr>
          <w:rFonts w:ascii="Arial" w:cs="Arial" w:eastAsia="Arial" w:hAnsi="Arial"/>
          <w:sz w:val="20"/>
          <w:szCs w:val="20"/>
          <w:color w:val="auto"/>
        </w:rPr>
        <w:t>”: any Subsidiary that is a “significant subsidiary” of the Borrower as defined under clauses (1) or</w:t>
      </w:r>
    </w:p>
    <w:p>
      <w:pPr>
        <w:ind w:right="80" w:firstLine="8"/>
        <w:spacing w:after="0" w:line="239" w:lineRule="auto"/>
        <w:tabs>
          <w:tab w:leader="none" w:pos="29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of Rule 1-02(w) of Regulation S-X under the Exchange Act;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references to “10 percent” in clauses (1) and (2) of such definition shall be replaced with “20 percent”.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Single Employer Plan</w:t>
      </w:r>
      <w:r>
        <w:rPr>
          <w:rFonts w:ascii="Arial" w:cs="Arial" w:eastAsia="Arial" w:hAnsi="Arial"/>
          <w:sz w:val="20"/>
          <w:szCs w:val="20"/>
          <w:color w:val="auto"/>
        </w:rPr>
        <w:t>”: any Plan that is covered by Title IV of ERISA, but that is not a Multiemployer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20" w:top="1414" w:right="359" w:bottom="1440" w:gutter="0" w:footer="0" w:header="0"/>
        </w:sectPr>
      </w:pPr>
    </w:p>
    <w:bookmarkStart w:id="193" w:name="page194"/>
    <w:bookmarkEnd w:id="193"/>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a rate equal to the secured overnight financing rate as administered by the SOFR Administrator.</w:t>
      </w:r>
    </w:p>
    <w:p>
      <w:pPr>
        <w:spacing w:after="0" w:line="229" w:lineRule="exact"/>
        <w:rPr>
          <w:sz w:val="20"/>
          <w:szCs w:val="20"/>
          <w:color w:val="auto"/>
        </w:rPr>
      </w:pPr>
    </w:p>
    <w:p>
      <w:pPr>
        <w:ind w:right="34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the Federal Reserve Bank of New York (or a successor administrator of the secured overnight financing rate).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Loan</w:t>
      </w:r>
      <w:r>
        <w:rPr>
          <w:rFonts w:ascii="Arial" w:cs="Arial" w:eastAsia="Arial" w:hAnsi="Arial"/>
          <w:sz w:val="20"/>
          <w:szCs w:val="20"/>
          <w:color w:val="auto"/>
        </w:rPr>
        <w:t>”: Term Loans the rate of interest applicable to which is based upon the Adjusted Term SOFR.</w:t>
      </w:r>
    </w:p>
    <w:p>
      <w:pPr>
        <w:spacing w:after="0" w:line="243" w:lineRule="exact"/>
        <w:rPr>
          <w:sz w:val="20"/>
          <w:szCs w:val="20"/>
          <w:color w:val="auto"/>
        </w:rPr>
      </w:pPr>
    </w:p>
    <w:p>
      <w:pPr>
        <w:ind w:firstLine="648"/>
        <w:spacing w:after="0" w:line="23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when used with respect to any Person and its Subsidiaries, means that, as of any date of determination, (a) the amount of the “present fair saleable value” of the assets of such Person and its Subsidiaries on a consolidated basis will, as of such date, exceed the amount of all “liabilities of such Person and its Subsidiaries on a consolidated basis, contingent or otherwise”, as of such date, as such quoted terms are determined in accordance with applicable federal and state laws governing determinations of the insolvency of debtors, (b) the present fair saleable value of the assets of such Person and its Subsidiaries will, as of such date, be greater than the amount that will be required to pay the probable liability of such Person and its Subsidiaries on a consolidated basis on its debts as such debts become absolute and matured, (c) such Person and its Subsidiaries on a consolidated basis will not have, as of such date, an unreasonably small amount of capital with which to conduct their business, and (d) such Person and its Subsidiaries will be able to pay their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222" w:lineRule="exact"/>
        <w:rPr>
          <w:sz w:val="20"/>
          <w:szCs w:val="20"/>
          <w:color w:val="auto"/>
        </w:rPr>
      </w:pPr>
    </w:p>
    <w:p>
      <w:pPr>
        <w:ind w:right="14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Stated Maturity</w:t>
      </w:r>
      <w:r>
        <w:rPr>
          <w:rFonts w:ascii="Arial" w:cs="Arial" w:eastAsia="Arial" w:hAnsi="Arial"/>
          <w:sz w:val="20"/>
          <w:szCs w:val="20"/>
          <w:color w:val="auto"/>
        </w:rPr>
        <w:t>”: (a) with respect to the Term A-1 Loans, the Term A-1 Stated Maturity, (b) with respect to the Term A-2 Loans, the Term A-2 Stated Maturity and (c) with respect to the Term A-3 Loans, the Term A-3 Stated Maturity.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with respect to any specified Person:</w:t>
      </w:r>
    </w:p>
    <w:p>
      <w:pPr>
        <w:spacing w:after="0" w:line="243" w:lineRule="exact"/>
        <w:rPr>
          <w:sz w:val="20"/>
          <w:szCs w:val="20"/>
          <w:color w:val="auto"/>
        </w:rPr>
      </w:pPr>
    </w:p>
    <w:p>
      <w:pPr>
        <w:ind w:left="660" w:right="100" w:hanging="4"/>
        <w:spacing w:after="0" w:line="256" w:lineRule="auto"/>
        <w:tabs>
          <w:tab w:leader="none" w:pos="112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84" w:lineRule="exact"/>
        <w:rPr>
          <w:rFonts w:ascii="Arial" w:cs="Arial" w:eastAsia="Arial" w:hAnsi="Arial"/>
          <w:sz w:val="19"/>
          <w:szCs w:val="19"/>
          <w:color w:val="auto"/>
        </w:rPr>
      </w:pPr>
    </w:p>
    <w:p>
      <w:pPr>
        <w:ind w:left="660" w:right="200" w:hanging="4"/>
        <w:spacing w:after="0" w:line="248" w:lineRule="auto"/>
        <w:tabs>
          <w:tab w:leader="none" w:pos="1122"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92" w:lineRule="exact"/>
        <w:rPr>
          <w:sz w:val="20"/>
          <w:szCs w:val="20"/>
          <w:color w:val="auto"/>
        </w:rPr>
      </w:pPr>
    </w:p>
    <w:p>
      <w:pPr>
        <w:ind w:right="2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 Guaranty</w:t>
      </w:r>
      <w:r>
        <w:rPr>
          <w:rFonts w:ascii="Arial" w:cs="Arial" w:eastAsia="Arial" w:hAnsi="Arial"/>
          <w:sz w:val="20"/>
          <w:szCs w:val="20"/>
          <w:color w:val="auto"/>
        </w:rPr>
        <w:t>”: a guarantee agreement between a Subsidiary and Administrative Agent providing for a Guarantee of the Obligations by such Subsidiary, in such form as the Administrative Agent, the Borrower and such Subsidiary shall deem appropriate.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Agents</w:t>
      </w:r>
      <w:r>
        <w:rPr>
          <w:rFonts w:ascii="Arial" w:cs="Arial" w:eastAsia="Arial" w:hAnsi="Arial"/>
          <w:sz w:val="20"/>
          <w:szCs w:val="20"/>
          <w:color w:val="auto"/>
        </w:rPr>
        <w:t>”: Mizuho Bank, Ltd. and Truist Bank.</w:t>
      </w:r>
    </w:p>
    <w:p>
      <w:pPr>
        <w:spacing w:after="0" w:line="229" w:lineRule="exact"/>
        <w:rPr>
          <w:sz w:val="20"/>
          <w:szCs w:val="20"/>
          <w:color w:val="auto"/>
        </w:rPr>
      </w:pPr>
    </w:p>
    <w:p>
      <w:pPr>
        <w:ind w:right="260"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all present or future taxes, levies, imposts, duties, deductions, charges, assessments, fees, withholdings or other charges imposed by any Governmental Authority, including any interest, additions to tax or penalties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00"/>
          </w:cols>
          <w:pgMar w:left="320" w:top="1414" w:right="379" w:bottom="1440" w:gutter="0" w:footer="0" w:header="0"/>
        </w:sectPr>
      </w:pPr>
    </w:p>
    <w:bookmarkStart w:id="194" w:name="page195"/>
    <w:bookmarkEnd w:id="194"/>
    <w:p>
      <w:pPr>
        <w:spacing w:after="0" w:line="21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A-1 Lender</w:t>
      </w:r>
      <w:r>
        <w:rPr>
          <w:rFonts w:ascii="Arial" w:cs="Arial" w:eastAsia="Arial" w:hAnsi="Arial"/>
          <w:sz w:val="20"/>
          <w:szCs w:val="20"/>
          <w:color w:val="auto"/>
        </w:rPr>
        <w:t>”: a Lender with an outstanding Term A-1 Loan.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A-1 Loan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2.1(a)</w:t>
      </w:r>
      <w:r>
        <w:rPr>
          <w:rFonts w:ascii="Arial" w:cs="Arial" w:eastAsia="Arial" w:hAnsi="Arial"/>
          <w:sz w:val="20"/>
          <w:szCs w:val="20"/>
          <w:color w:val="auto"/>
        </w:rPr>
        <w:t>.</w:t>
      </w:r>
    </w:p>
    <w:p>
      <w:pPr>
        <w:spacing w:after="0" w:line="18" w:lineRule="exact"/>
        <w:rPr>
          <w:sz w:val="20"/>
          <w:szCs w:val="20"/>
          <w:color w:val="auto"/>
        </w:rPr>
      </w:pPr>
    </w:p>
    <w:p>
      <w:pPr>
        <w:ind w:right="120" w:firstLine="648"/>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A-1 Loan Commitment</w:t>
      </w:r>
      <w:r>
        <w:rPr>
          <w:rFonts w:ascii="Arial" w:cs="Arial" w:eastAsia="Arial" w:hAnsi="Arial"/>
          <w:sz w:val="20"/>
          <w:szCs w:val="20"/>
          <w:color w:val="auto"/>
        </w:rPr>
        <w:t xml:space="preserve">”: as to any Lender, its obligation to make a Term A-1 Loan to the Borrower on the Closing Date, expressed as an amount representing the maximum principal amount of the Term A-1 Loans to be made by such Lender hereunder, as such Term Commitment may be changed from time to time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The initial amount of such Lender’s Term A-1 Loan Commitment is set forth opposite such Lender’s name in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under the heading “Term A-1 Loan Commitment”. As of the Closing Date, the initial aggregate amount of the Term A-1 Loan Commitments is $926,666,666.66.</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A-1 Stated Maturity</w:t>
      </w:r>
      <w:r>
        <w:rPr>
          <w:rFonts w:ascii="Arial" w:cs="Arial" w:eastAsia="Arial" w:hAnsi="Arial"/>
          <w:sz w:val="20"/>
          <w:szCs w:val="20"/>
          <w:color w:val="auto"/>
        </w:rPr>
        <w:t>”: November 3, 2025.</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A-2 Lender</w:t>
      </w:r>
      <w:r>
        <w:rPr>
          <w:rFonts w:ascii="Arial" w:cs="Arial" w:eastAsia="Arial" w:hAnsi="Arial"/>
          <w:sz w:val="20"/>
          <w:szCs w:val="20"/>
          <w:color w:val="auto"/>
        </w:rPr>
        <w:t>”: a Lender with an outstanding Term A-2 Loan.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A-2 Loan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2.1(b)</w:t>
      </w:r>
      <w:r>
        <w:rPr>
          <w:rFonts w:ascii="Arial" w:cs="Arial" w:eastAsia="Arial" w:hAnsi="Arial"/>
          <w:sz w:val="20"/>
          <w:szCs w:val="20"/>
          <w:color w:val="auto"/>
        </w:rPr>
        <w:t>.</w:t>
      </w:r>
    </w:p>
    <w:p>
      <w:pPr>
        <w:spacing w:after="0" w:line="243"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A-2 Loan Commitment</w:t>
      </w:r>
      <w:r>
        <w:rPr>
          <w:rFonts w:ascii="Arial" w:cs="Arial" w:eastAsia="Arial" w:hAnsi="Arial"/>
          <w:sz w:val="20"/>
          <w:szCs w:val="20"/>
          <w:color w:val="auto"/>
        </w:rPr>
        <w:t xml:space="preserve">”: means, as to any Lender, its obligation to make a Term A-2 Loan to the Borrower on the Closing Date, expressed as an amount representing the maximum principal amount of the Term A-2 Loans to be made by such Lender hereunder, as such Term Commitment may be changed from time to time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The initial amount of such Lender’s Term A-2 Loan Commitment is set forth opposite such Lender’s name in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under the heading “Term A-2 Loan Commitment”. As of the Closing Date, the initial aggregate amount of the Term A-2 Loan Commitments is $746,666,666.67.</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A-2 Stated Maturity</w:t>
      </w:r>
      <w:r>
        <w:rPr>
          <w:rFonts w:ascii="Arial" w:cs="Arial" w:eastAsia="Arial" w:hAnsi="Arial"/>
          <w:sz w:val="20"/>
          <w:szCs w:val="20"/>
          <w:color w:val="auto"/>
        </w:rPr>
        <w:t>”: November 3, 2026.</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A-3 Lender</w:t>
      </w:r>
      <w:r>
        <w:rPr>
          <w:rFonts w:ascii="Arial" w:cs="Arial" w:eastAsia="Arial" w:hAnsi="Arial"/>
          <w:sz w:val="20"/>
          <w:szCs w:val="20"/>
          <w:color w:val="auto"/>
        </w:rPr>
        <w:t>”: a Lender with an outstanding Term A-3 Loan.</w:t>
      </w:r>
    </w:p>
    <w:p>
      <w:pPr>
        <w:ind w:left="660"/>
        <w:spacing w:after="0" w:line="22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A-3 Loan</w:t>
      </w:r>
      <w:r>
        <w:rPr>
          <w:rFonts w:ascii="Arial" w:cs="Arial" w:eastAsia="Arial" w:hAnsi="Arial"/>
          <w:sz w:val="20"/>
          <w:szCs w:val="20"/>
          <w:color w:val="auto"/>
        </w:rPr>
        <w:t xml:space="preserve">”: the meaning set forth in </w:t>
      </w:r>
      <w:r>
        <w:rPr>
          <w:rFonts w:ascii="Arial" w:cs="Arial" w:eastAsia="Arial" w:hAnsi="Arial"/>
          <w:sz w:val="20"/>
          <w:szCs w:val="20"/>
          <w:u w:val="single" w:color="auto"/>
          <w:color w:val="auto"/>
        </w:rPr>
        <w:t>Section 2.1(c)</w:t>
      </w:r>
      <w:r>
        <w:rPr>
          <w:rFonts w:ascii="Arial" w:cs="Arial" w:eastAsia="Arial" w:hAnsi="Arial"/>
          <w:sz w:val="20"/>
          <w:szCs w:val="20"/>
          <w:color w:val="auto"/>
        </w:rPr>
        <w:t>.</w:t>
      </w:r>
    </w:p>
    <w:p>
      <w:pPr>
        <w:ind w:right="1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A-3 Loan Commitment</w:t>
      </w:r>
      <w:r>
        <w:rPr>
          <w:rFonts w:ascii="Arial" w:cs="Arial" w:eastAsia="Arial" w:hAnsi="Arial"/>
          <w:sz w:val="20"/>
          <w:szCs w:val="20"/>
          <w:color w:val="auto"/>
        </w:rPr>
        <w:t xml:space="preserve">”: as to any Lender, its obligation to make a Term A-3 Loan to the Borrower on the Closing Date, expressed as an amount representing the maximum principal amount of the Term A-3 Loans to be made by such Lender hereunder, as such Term Commitment may be changed from time to time pursuant to </w:t>
      </w:r>
      <w:r>
        <w:rPr>
          <w:rFonts w:ascii="Arial" w:cs="Arial" w:eastAsia="Arial" w:hAnsi="Arial"/>
          <w:sz w:val="20"/>
          <w:szCs w:val="20"/>
          <w:u w:val="single" w:color="auto"/>
          <w:color w:val="auto"/>
        </w:rPr>
        <w:t>Section 2.21</w:t>
      </w:r>
      <w:r>
        <w:rPr>
          <w:rFonts w:ascii="Arial" w:cs="Arial" w:eastAsia="Arial" w:hAnsi="Arial"/>
          <w:sz w:val="20"/>
          <w:szCs w:val="20"/>
          <w:color w:val="auto"/>
        </w:rPr>
        <w:t xml:space="preserve">. The initial amount of such Lender’s Term A-3 Loan Commitment is set forth opposite such Lender’s name in </w:t>
      </w:r>
      <w:r>
        <w:rPr>
          <w:rFonts w:ascii="Arial" w:cs="Arial" w:eastAsia="Arial" w:hAnsi="Arial"/>
          <w:sz w:val="20"/>
          <w:szCs w:val="20"/>
          <w:u w:val="single" w:color="auto"/>
          <w:color w:val="auto"/>
        </w:rPr>
        <w:t>Schedule 1.1</w:t>
      </w:r>
      <w:r>
        <w:rPr>
          <w:rFonts w:ascii="Arial" w:cs="Arial" w:eastAsia="Arial" w:hAnsi="Arial"/>
          <w:sz w:val="20"/>
          <w:szCs w:val="20"/>
          <w:color w:val="auto"/>
        </w:rPr>
        <w:t xml:space="preserve"> under the heading “Term A-3 Loan Commitment”. As of the Closing Date, the initial aggregate amount of the Term A-3 Loan Commitments is $926,666,666.67.</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A-3 Stated Maturity</w:t>
      </w:r>
      <w:r>
        <w:rPr>
          <w:rFonts w:ascii="Arial" w:cs="Arial" w:eastAsia="Arial" w:hAnsi="Arial"/>
          <w:sz w:val="20"/>
          <w:szCs w:val="20"/>
          <w:color w:val="auto"/>
        </w:rPr>
        <w:t>”: November 3, 2027.</w:t>
      </w:r>
    </w:p>
    <w:p>
      <w:pPr>
        <w:spacing w:after="0" w:line="229" w:lineRule="exact"/>
        <w:rPr>
          <w:sz w:val="20"/>
          <w:szCs w:val="20"/>
          <w:color w:val="auto"/>
        </w:rPr>
      </w:pPr>
    </w:p>
    <w:p>
      <w:pPr>
        <w:ind w:right="4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Commitment</w:t>
      </w:r>
      <w:r>
        <w:rPr>
          <w:rFonts w:ascii="Arial" w:cs="Arial" w:eastAsia="Arial" w:hAnsi="Arial"/>
          <w:sz w:val="20"/>
          <w:szCs w:val="20"/>
          <w:color w:val="auto"/>
        </w:rPr>
        <w:t>”: collectively, the Term A-1 Loan Commitment, the Term A-2 Loan Commitment and the Term A-3 Loan Commitment. Unless the context shall otherwise require, the term “Term Commitment” shall include any Incremental Term Loan Commitments.</w:t>
      </w:r>
    </w:p>
    <w:p>
      <w:pPr>
        <w:spacing w:after="0" w:line="205" w:lineRule="exact"/>
        <w:rPr>
          <w:sz w:val="20"/>
          <w:szCs w:val="20"/>
          <w:color w:val="auto"/>
        </w:rPr>
      </w:pPr>
    </w:p>
    <w:p>
      <w:pPr>
        <w:ind w:right="46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collectively, Term A-1 Loans, Term A-2 Loans and Term A-3 Loans. Unless the context shall otherwise require, the term “Term Loans” shall include any Incremental Term Loans.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Maturity Date</w:t>
      </w:r>
      <w:r>
        <w:rPr>
          <w:rFonts w:ascii="Arial" w:cs="Arial" w:eastAsia="Arial" w:hAnsi="Arial"/>
          <w:sz w:val="19"/>
          <w:szCs w:val="19"/>
          <w:color w:val="auto"/>
        </w:rPr>
        <w:t>”: the earlier to occur of (a) the applicable Stated Maturity and (b) the acceleration of the Term</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211" w:lineRule="exact"/>
        <w:rPr>
          <w:sz w:val="20"/>
          <w:szCs w:val="20"/>
          <w:color w:val="auto"/>
        </w:rPr>
      </w:pPr>
    </w:p>
    <w:p>
      <w:pPr>
        <w:ind w:right="88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Percentage</w:t>
      </w:r>
      <w:r>
        <w:rPr>
          <w:rFonts w:ascii="Arial" w:cs="Arial" w:eastAsia="Arial" w:hAnsi="Arial"/>
          <w:sz w:val="20"/>
          <w:szCs w:val="20"/>
          <w:color w:val="auto"/>
        </w:rPr>
        <w:t>”: as to any Lender at any time, the percentage which such Lender’s Term Commitment then constitutes of the aggregate Term Commitments (or, at any time after the making of the Term</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180"/>
          </w:cols>
          <w:pgMar w:left="320" w:top="1440" w:right="399" w:bottom="1440" w:gutter="0" w:footer="0" w:header="0"/>
          <w:type w:val="continuous"/>
        </w:sectPr>
      </w:pPr>
    </w:p>
    <w:bookmarkStart w:id="195" w:name="page196"/>
    <w:bookmarkEnd w:id="195"/>
    <w:p>
      <w:pPr>
        <w:spacing w:after="0" w:line="257" w:lineRule="auto"/>
        <w:rPr>
          <w:sz w:val="20"/>
          <w:szCs w:val="20"/>
          <w:color w:val="auto"/>
        </w:rPr>
      </w:pPr>
      <w:r>
        <w:rPr>
          <w:rFonts w:ascii="Arial" w:cs="Arial" w:eastAsia="Arial" w:hAnsi="Arial"/>
          <w:sz w:val="20"/>
          <w:szCs w:val="20"/>
          <w:color w:val="auto"/>
        </w:rPr>
        <w:t>Loans on the Closing Date, the percentage which the aggregate principal amount of such Lender’s Term Loans then outstanding constitutes of the aggregate principal amount of all Term Loans then outstanding).</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a percentage equal to 0.10% per annum.</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CME Group Benchmark Administration Limited (CBA) (or a successor administrator of the Term SOFR Reference Rate selected by the Administrative Agent in its reasonable discretion).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the forward-looking term rate based on SOFR.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w:t>
      </w:r>
    </w:p>
    <w:p>
      <w:pPr>
        <w:spacing w:after="0" w:line="229" w:lineRule="exact"/>
        <w:rPr>
          <w:sz w:val="20"/>
          <w:szCs w:val="20"/>
          <w:color w:val="auto"/>
        </w:rPr>
      </w:pPr>
    </w:p>
    <w:p>
      <w:pPr>
        <w:ind w:left="660" w:right="20" w:hanging="4"/>
        <w:spacing w:after="0" w:line="234" w:lineRule="auto"/>
        <w:tabs>
          <w:tab w:leader="none" w:pos="112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for any calculation with respect to a SOFR Loan, the Term SOFR Reference Rate for a tenor comparable to the applicable Interest Period on the day (such day, the “</w:t>
      </w:r>
      <w:r>
        <w:rPr>
          <w:rFonts w:ascii="Arial" w:cs="Arial" w:eastAsia="Arial" w:hAnsi="Arial"/>
          <w:sz w:val="20"/>
          <w:szCs w:val="20"/>
          <w:u w:val="single" w:color="auto"/>
          <w:color w:val="auto"/>
        </w:rPr>
        <w:t>Periodic Term SOFR Determination Day</w:t>
      </w:r>
      <w:r>
        <w:rPr>
          <w:rFonts w:ascii="Arial" w:cs="Arial" w:eastAsia="Arial" w:hAnsi="Arial"/>
          <w:sz w:val="20"/>
          <w:szCs w:val="20"/>
          <w:color w:val="auto"/>
        </w:rPr>
        <w:t xml:space="preserve">”) that is two (2) U.S. Government Securities Business Days prior to the first day of such Interest Period, as such rate is published by the Term SOFR Administrator;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219" w:lineRule="exact"/>
        <w:rPr>
          <w:rFonts w:ascii="Arial" w:cs="Arial" w:eastAsia="Arial" w:hAnsi="Arial"/>
          <w:sz w:val="20"/>
          <w:szCs w:val="20"/>
          <w:color w:val="auto"/>
        </w:rPr>
      </w:pPr>
    </w:p>
    <w:p>
      <w:pPr>
        <w:ind w:left="660" w:right="20" w:hanging="4"/>
        <w:spacing w:after="0" w:line="234" w:lineRule="auto"/>
        <w:tabs>
          <w:tab w:leader="none" w:pos="1122" w:val="left"/>
        </w:tabs>
        <w:numPr>
          <w:ilvl w:val="0"/>
          <w:numId w:val="181"/>
        </w:numPr>
        <w:rPr>
          <w:rFonts w:ascii="Arial" w:cs="Arial" w:eastAsia="Arial" w:hAnsi="Arial"/>
          <w:sz w:val="20"/>
          <w:szCs w:val="20"/>
          <w:color w:val="auto"/>
        </w:rPr>
      </w:pPr>
      <w:r>
        <w:rPr>
          <w:rFonts w:ascii="Arial" w:cs="Arial" w:eastAsia="Arial" w:hAnsi="Arial"/>
          <w:sz w:val="20"/>
          <w:szCs w:val="20"/>
          <w:color w:val="auto"/>
        </w:rPr>
        <w:t>for any calculation with respect to a Base Rate Loan on any day, the Term SOFR Reference Rate for a tenor of one month on the day (such day, the “</w:t>
      </w:r>
      <w:r>
        <w:rPr>
          <w:rFonts w:ascii="Arial" w:cs="Arial" w:eastAsia="Arial" w:hAnsi="Arial"/>
          <w:sz w:val="20"/>
          <w:szCs w:val="20"/>
          <w:u w:val="single" w:color="auto"/>
          <w:color w:val="auto"/>
        </w:rPr>
        <w:t>Base Rate Term SOFR Determination Day</w:t>
      </w:r>
      <w:r>
        <w:rPr>
          <w:rFonts w:ascii="Arial" w:cs="Arial" w:eastAsia="Arial" w:hAnsi="Arial"/>
          <w:sz w:val="20"/>
          <w:szCs w:val="20"/>
          <w:color w:val="auto"/>
        </w:rPr>
        <w:t xml:space="preserve">”) that is two (2) U.S. Government Securities Business Days prior to such day, as such rate is published by the Term SOFR Administrator;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SOFR Determination Day.</w:t>
      </w:r>
    </w:p>
    <w:p>
      <w:pPr>
        <w:spacing w:after="0" w:line="215" w:lineRule="exact"/>
        <w:rPr>
          <w:sz w:val="20"/>
          <w:szCs w:val="20"/>
          <w:color w:val="auto"/>
        </w:rPr>
      </w:pPr>
    </w:p>
    <w:p>
      <w:pPr>
        <w:ind w:right="30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Leverage Ratio</w:t>
      </w:r>
      <w:r>
        <w:rPr>
          <w:rFonts w:ascii="Arial" w:cs="Arial" w:eastAsia="Arial" w:hAnsi="Arial"/>
          <w:sz w:val="20"/>
          <w:szCs w:val="20"/>
          <w:color w:val="auto"/>
        </w:rPr>
        <w:t>”: as of the of the date of determination thereof, the ratio of Indebtedness of the Borrower and its Consolidated Subsidiaries as of such date to Consolidated EBITDA of the Borrower for such Measurement Period.</w:t>
      </w:r>
    </w:p>
    <w:p>
      <w:pPr>
        <w:spacing w:after="0" w:line="196" w:lineRule="exact"/>
        <w:rPr>
          <w:sz w:val="20"/>
          <w:szCs w:val="20"/>
          <w:color w:val="auto"/>
        </w:rPr>
      </w:pPr>
    </w:p>
    <w:p>
      <w:pPr>
        <w:ind w:right="2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Trademarks</w:t>
      </w:r>
      <w:r>
        <w:rPr>
          <w:rFonts w:ascii="Arial" w:cs="Arial" w:eastAsia="Arial" w:hAnsi="Arial"/>
          <w:sz w:val="20"/>
          <w:szCs w:val="20"/>
          <w:color w:val="auto"/>
        </w:rPr>
        <w:t>”: (i) all trademarks, service marks, trade names, corporate names, company names, business names, fictitious business names, trade styles, service marks, logos, domain names, and other source or business identifiers, and all goodwill associated therewith, all registrations and recordings thereof, and all applications in connection therewith (other than “intent to use” applications), whether in the United States Patent and Trademark Office or in any similar office or agency of the United States, any state thereof or any other country or any political subdivision thereof, or otherwise, and all common-law rights related thereto, and (ii) the right to obtain all renewals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14" w:right="339" w:bottom="1440" w:gutter="0" w:footer="0" w:header="0"/>
        </w:sectPr>
      </w:pPr>
    </w:p>
    <w:bookmarkStart w:id="196" w:name="page197"/>
    <w:bookmarkEnd w:id="196"/>
    <w:p>
      <w:pPr>
        <w:ind w:right="12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any agreement, whether written or oral, providing for the grant by or to Borrower or any Guarantor of any right to use any Trademark.</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Transferee</w:t>
      </w:r>
      <w:r>
        <w:rPr>
          <w:rFonts w:ascii="Arial" w:cs="Arial" w:eastAsia="Arial" w:hAnsi="Arial"/>
          <w:sz w:val="20"/>
          <w:szCs w:val="20"/>
          <w:color w:val="auto"/>
        </w:rPr>
        <w:t>”: any Assignee or Participant.</w:t>
      </w:r>
    </w:p>
    <w:p>
      <w:pPr>
        <w:spacing w:after="0" w:line="229" w:lineRule="exact"/>
        <w:rPr>
          <w:sz w:val="20"/>
          <w:szCs w:val="20"/>
          <w:color w:val="auto"/>
        </w:rPr>
      </w:pPr>
    </w:p>
    <w:p>
      <w:pPr>
        <w:ind w:right="6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Term Loan or Borrowing, refers to whether the rate of interest on such Term Loan, or on the Term Loans comprising such Borrowing, is determined by reference to the Base Rate or Adjusted Term SOFR.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the Uniform Commercial Code as in effect from time to time in the State of New York.</w:t>
      </w:r>
    </w:p>
    <w:p>
      <w:pPr>
        <w:spacing w:after="0" w:line="243"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1" w:lineRule="exact"/>
        <w:rPr>
          <w:sz w:val="20"/>
          <w:szCs w:val="20"/>
          <w:color w:val="auto"/>
        </w:rPr>
      </w:pPr>
    </w:p>
    <w:p>
      <w:pPr>
        <w:ind w:right="240" w:firstLine="648"/>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the Bank of England or any other public administrative authority having responsibility for the resolution of any UK Financial Institution.</w:t>
      </w:r>
    </w:p>
    <w:p>
      <w:pPr>
        <w:spacing w:after="0" w:line="169" w:lineRule="exact"/>
        <w:rPr>
          <w:sz w:val="20"/>
          <w:szCs w:val="20"/>
          <w:color w:val="auto"/>
        </w:rPr>
      </w:pPr>
    </w:p>
    <w:p>
      <w:pPr>
        <w:ind w:right="640" w:firstLine="648"/>
        <w:spacing w:after="0" w:line="25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the applicable Benchmark Replacement excluding the related Benchmark Replacement Adjustment.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the United States of America.</w:t>
      </w:r>
    </w:p>
    <w:p>
      <w:pPr>
        <w:spacing w:after="0" w:line="229" w:lineRule="exact"/>
        <w:rPr>
          <w:sz w:val="20"/>
          <w:szCs w:val="20"/>
          <w:color w:val="auto"/>
        </w:rPr>
      </w:pPr>
    </w:p>
    <w:p>
      <w:pPr>
        <w:ind w:right="180" w:firstLine="648"/>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Unrestricted Subsidiary</w:t>
      </w:r>
      <w:r>
        <w:rPr>
          <w:rFonts w:ascii="Arial" w:cs="Arial" w:eastAsia="Arial" w:hAnsi="Arial"/>
          <w:sz w:val="20"/>
          <w:szCs w:val="20"/>
          <w:color w:val="auto"/>
        </w:rPr>
        <w:t xml:space="preserve">”: (1) any Subsidiary of the Borrower listed on </w:t>
      </w:r>
      <w:r>
        <w:rPr>
          <w:rFonts w:ascii="Arial" w:cs="Arial" w:eastAsia="Arial" w:hAnsi="Arial"/>
          <w:sz w:val="20"/>
          <w:szCs w:val="20"/>
          <w:u w:val="single" w:color="auto"/>
          <w:color w:val="auto"/>
        </w:rPr>
        <w:t>Schedule 1.2</w:t>
      </w:r>
      <w:r>
        <w:rPr>
          <w:rFonts w:ascii="Arial" w:cs="Arial" w:eastAsia="Arial" w:hAnsi="Arial"/>
          <w:sz w:val="20"/>
          <w:szCs w:val="20"/>
          <w:color w:val="auto"/>
        </w:rPr>
        <w:t xml:space="preserve">, (2) any Subsidiary of the Borrower designated by the Borrower as an Unrestricted Subsidiary pursuant to </w:t>
      </w:r>
      <w:r>
        <w:rPr>
          <w:rFonts w:ascii="Arial" w:cs="Arial" w:eastAsia="Arial" w:hAnsi="Arial"/>
          <w:sz w:val="20"/>
          <w:szCs w:val="20"/>
          <w:u w:val="single" w:color="auto"/>
          <w:color w:val="auto"/>
        </w:rPr>
        <w:t>Section 5.7</w:t>
      </w:r>
      <w:r>
        <w:rPr>
          <w:rFonts w:ascii="Arial" w:cs="Arial" w:eastAsia="Arial" w:hAnsi="Arial"/>
          <w:sz w:val="20"/>
          <w:szCs w:val="20"/>
          <w:color w:val="auto"/>
        </w:rPr>
        <w:t xml:space="preserve"> subsequent to the Closing Date, until such Person ceases to be an Unrestricted Subsidiary of the Borrower in accordance with </w:t>
      </w:r>
      <w:r>
        <w:rPr>
          <w:rFonts w:ascii="Arial" w:cs="Arial" w:eastAsia="Arial" w:hAnsi="Arial"/>
          <w:sz w:val="20"/>
          <w:szCs w:val="20"/>
          <w:u w:val="single" w:color="auto"/>
          <w:color w:val="auto"/>
        </w:rPr>
        <w:t>Section 5.7</w:t>
      </w:r>
      <w:r>
        <w:rPr>
          <w:rFonts w:ascii="Arial" w:cs="Arial" w:eastAsia="Arial" w:hAnsi="Arial"/>
          <w:sz w:val="20"/>
          <w:szCs w:val="20"/>
          <w:color w:val="auto"/>
        </w:rPr>
        <w:t xml:space="preserve"> and (3) any Subsidiary of an Unrestricted Subsidiary.</w:t>
      </w:r>
    </w:p>
    <w:p>
      <w:pPr>
        <w:spacing w:after="0" w:line="1"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xml:space="preserve">”: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w:t>
      </w:r>
      <w:r>
        <w:rPr>
          <w:rFonts w:ascii="Arial" w:cs="Arial" w:eastAsia="Arial" w:hAnsi="Arial"/>
          <w:sz w:val="20"/>
          <w:szCs w:val="20"/>
          <w:color w:val="auto"/>
        </w:rPr>
        <w:t>, in each case, such day is also a Business Day.</w:t>
      </w:r>
    </w:p>
    <w:p>
      <w:pPr>
        <w:spacing w:after="0" w:line="211" w:lineRule="exact"/>
        <w:rPr>
          <w:sz w:val="20"/>
          <w:szCs w:val="20"/>
          <w:color w:val="auto"/>
        </w:rPr>
      </w:pPr>
    </w:p>
    <w:p>
      <w:pPr>
        <w:ind w:right="20" w:firstLine="648"/>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Voting Stock</w:t>
      </w:r>
      <w:r>
        <w:rPr>
          <w:rFonts w:ascii="Arial" w:cs="Arial" w:eastAsia="Arial" w:hAnsi="Arial"/>
          <w:sz w:val="20"/>
          <w:szCs w:val="20"/>
          <w:color w:val="auto"/>
        </w:rPr>
        <w:t>”: all classes of capital stock or other interests (including partnership interests) of a Person then outstanding and normally entitled (without regard to the occurrence of any contingency) to vote in the election of directors, managers or trustees thereof.</w:t>
      </w:r>
    </w:p>
    <w:p>
      <w:pPr>
        <w:spacing w:after="0" w:line="192"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14" w:right="339" w:bottom="1440" w:gutter="0" w:footer="0" w:header="0"/>
        </w:sectPr>
      </w:pPr>
    </w:p>
    <w:bookmarkStart w:id="197" w:name="page198"/>
    <w:bookmarkEnd w:id="197"/>
    <w:p>
      <w:pPr>
        <w:ind w:right="20" w:firstLine="656"/>
        <w:spacing w:after="0" w:line="257" w:lineRule="auto"/>
        <w:tabs>
          <w:tab w:leader="none" w:pos="111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95" w:lineRule="exact"/>
        <w:rPr>
          <w:rFonts w:ascii="Arial" w:cs="Arial" w:eastAsia="Arial" w:hAnsi="Arial"/>
          <w:sz w:val="20"/>
          <w:szCs w:val="20"/>
          <w:color w:val="auto"/>
        </w:rPr>
      </w:pPr>
    </w:p>
    <w:p>
      <w:pPr>
        <w:ind w:right="20" w:firstLine="656"/>
        <w:spacing w:after="0" w:line="237" w:lineRule="auto"/>
        <w:tabs>
          <w:tab w:leader="none" w:pos="1099"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As used herein and in the other Loan Documents, and any certificate or other document made or delivered pursuant hereto or thereto, (i) the words “include”, “includes” and “including” shall be deemed to be followed by the phrase “without limitation”, (ii) the word “incur” shall be construed to mean incur, create, issue, assume, become liable in respect of or suffer to exist (and the words “incurred” and “incurrence” shall have correlative meanings) and (iii) the words “asset” and “property” shall be construed to have the same meaning and effect and to refer to any and all tangible and intangible assets and properties, including cash, Capital Stock, securities, revenues, accounts, leasehold interests and contract rights.</w:t>
      </w:r>
    </w:p>
    <w:p>
      <w:pPr>
        <w:spacing w:after="0" w:line="203" w:lineRule="exact"/>
        <w:rPr>
          <w:rFonts w:ascii="Arial" w:cs="Arial" w:eastAsia="Arial" w:hAnsi="Arial"/>
          <w:sz w:val="20"/>
          <w:szCs w:val="20"/>
          <w:color w:val="auto"/>
        </w:rPr>
      </w:pPr>
    </w:p>
    <w:p>
      <w:pPr>
        <w:ind w:right="100" w:firstLine="656"/>
        <w:spacing w:after="0" w:line="248" w:lineRule="auto"/>
        <w:tabs>
          <w:tab w:leader="none" w:pos="1095"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words “hereof”, “herein” and “hereunder” and words of similar import, when used in this Agreement, shall refer to this Agreement as a whole and not to any particular provision of this Agreement, and Section, Schedule and Exhibit references are to this Agreement unless otherwise specified.</w:t>
      </w:r>
    </w:p>
    <w:p>
      <w:pPr>
        <w:spacing w:after="0" w:line="205" w:lineRule="exact"/>
        <w:rPr>
          <w:rFonts w:ascii="Arial" w:cs="Arial" w:eastAsia="Arial" w:hAnsi="Arial"/>
          <w:sz w:val="20"/>
          <w:szCs w:val="20"/>
          <w:color w:val="auto"/>
        </w:rPr>
      </w:pPr>
    </w:p>
    <w:p>
      <w:pPr>
        <w:ind w:right="60" w:firstLine="656"/>
        <w:spacing w:after="0" w:line="237" w:lineRule="auto"/>
        <w:tabs>
          <w:tab w:leader="none" w:pos="1106"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 References to agreements or other Contractual Obligations shall, unless otherwise specified, be deemed to refer to such agreements or Contractual Obligations as amended, supplemented, restated or otherwise modified from time to time to the extent permitted herein.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Except as otherwise provided herein, all terms of an accounting or financial nature shall be construed in accordance with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GAAP.</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u w:val="single" w:color="auto"/>
          <w:color w:val="auto"/>
        </w:rPr>
        <w:t>Delivery of Notices</w:t>
      </w:r>
      <w:r>
        <w:rPr>
          <w:rFonts w:ascii="Arial" w:cs="Arial" w:eastAsia="Arial" w:hAnsi="Arial"/>
          <w:sz w:val="20"/>
          <w:szCs w:val="20"/>
          <w:color w:val="auto"/>
        </w:rPr>
        <w:t>. Any reference to a delivery or notice date that is not a Business Day shall be deemed to mean the next succeeding day that is a Business Day.</w:t>
      </w:r>
    </w:p>
    <w:p>
      <w:pPr>
        <w:spacing w:after="0" w:line="19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9"/>
          <w:szCs w:val="19"/>
          <w:color w:val="auto"/>
        </w:rPr>
        <w:t xml:space="preserve">1.4. </w:t>
      </w:r>
      <w:r>
        <w:rPr>
          <w:rFonts w:ascii="Arial" w:cs="Arial" w:eastAsia="Arial" w:hAnsi="Arial"/>
          <w:sz w:val="19"/>
          <w:szCs w:val="19"/>
          <w:u w:val="single" w:color="auto"/>
          <w:color w:val="auto"/>
        </w:rPr>
        <w:t>Divisions</w:t>
      </w:r>
      <w:r>
        <w:rPr>
          <w:rFonts w:ascii="Arial" w:cs="Arial" w:eastAsia="Arial" w:hAnsi="Arial"/>
          <w:sz w:val="19"/>
          <w:szCs w:val="19"/>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SECTION 2</w:t>
      </w:r>
    </w:p>
    <w:p>
      <w:pPr>
        <w:spacing w:after="0" w:line="18" w:lineRule="exact"/>
        <w:rPr>
          <w:sz w:val="20"/>
          <w:szCs w:val="20"/>
          <w:color w:val="auto"/>
        </w:rPr>
      </w:pPr>
    </w:p>
    <w:p>
      <w:pPr>
        <w:ind w:left="5440"/>
        <w:spacing w:after="0"/>
        <w:rPr>
          <w:sz w:val="20"/>
          <w:szCs w:val="20"/>
          <w:color w:val="auto"/>
        </w:rPr>
      </w:pPr>
      <w:r>
        <w:rPr>
          <w:rFonts w:ascii="Arial" w:cs="Arial" w:eastAsia="Arial" w:hAnsi="Arial"/>
          <w:sz w:val="20"/>
          <w:szCs w:val="20"/>
          <w:u w:val="single" w:color="auto"/>
          <w:color w:val="auto"/>
        </w:rPr>
        <w:t>The Credits</w:t>
      </w:r>
    </w:p>
    <w:p>
      <w:pPr>
        <w:spacing w:after="0" w:line="21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9"/>
          <w:szCs w:val="19"/>
          <w:u w:val="single" w:color="auto"/>
          <w:color w:val="auto"/>
        </w:rPr>
        <w:t>Term Commitments</w:t>
      </w:r>
      <w:r>
        <w:rPr>
          <w:rFonts w:ascii="Arial" w:cs="Arial" w:eastAsia="Arial" w:hAnsi="Arial"/>
          <w:sz w:val="19"/>
          <w:szCs w:val="19"/>
          <w:color w:val="auto"/>
        </w:rPr>
        <w:t>.</w:t>
      </w:r>
    </w:p>
    <w:p>
      <w:pPr>
        <w:spacing w:after="0" w:line="243" w:lineRule="exact"/>
        <w:rPr>
          <w:sz w:val="20"/>
          <w:szCs w:val="20"/>
          <w:color w:val="auto"/>
        </w:rPr>
      </w:pPr>
    </w:p>
    <w:p>
      <w:pPr>
        <w:ind w:right="340" w:firstLine="656"/>
        <w:spacing w:after="0" w:line="236" w:lineRule="auto"/>
        <w:tabs>
          <w:tab w:leader="none" w:pos="111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Lender severally agrees to make a term loan (each, a “</w:t>
      </w:r>
      <w:r>
        <w:rPr>
          <w:rFonts w:ascii="Arial" w:cs="Arial" w:eastAsia="Arial" w:hAnsi="Arial"/>
          <w:sz w:val="20"/>
          <w:szCs w:val="20"/>
          <w:u w:val="single" w:color="auto"/>
          <w:color w:val="auto"/>
        </w:rPr>
        <w:t>Term A-1 Loan</w:t>
      </w:r>
      <w:r>
        <w:rPr>
          <w:rFonts w:ascii="Arial" w:cs="Arial" w:eastAsia="Arial" w:hAnsi="Arial"/>
          <w:sz w:val="20"/>
          <w:szCs w:val="20"/>
          <w:color w:val="auto"/>
        </w:rPr>
        <w:t xml:space="preserve">”) to the Borrower on the Closing Date in a principal amount in Dollars not exceeding its Term A-1 Loan Commitment. Amounts borrowed under this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and subsequently repaid or prepaid may not be reborrowed.</w:t>
      </w:r>
    </w:p>
    <w:p>
      <w:pPr>
        <w:spacing w:after="0" w:line="1" w:lineRule="exact"/>
        <w:rPr>
          <w:rFonts w:ascii="Arial" w:cs="Arial" w:eastAsia="Arial" w:hAnsi="Arial"/>
          <w:sz w:val="20"/>
          <w:szCs w:val="20"/>
          <w:color w:val="auto"/>
        </w:rPr>
      </w:pPr>
    </w:p>
    <w:p>
      <w:pPr>
        <w:ind w:left="960" w:hanging="304"/>
        <w:spacing w:after="0" w:line="225" w:lineRule="auto"/>
        <w:tabs>
          <w:tab w:leader="none" w:pos="9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Lender severally agrees to make a term loan (each, a</w:t>
      </w:r>
    </w:p>
    <w:p>
      <w:pPr>
        <w:jc w:val="both"/>
        <w:ind w:right="780"/>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A-2 Loan</w:t>
      </w:r>
      <w:r>
        <w:rPr>
          <w:rFonts w:ascii="Arial" w:cs="Arial" w:eastAsia="Arial" w:hAnsi="Arial"/>
          <w:sz w:val="19"/>
          <w:szCs w:val="19"/>
          <w:color w:val="auto"/>
        </w:rPr>
        <w:t xml:space="preserve">”) to the Borrower on the Closing Date in a principal amount in Dollars not exceeding its Term A-2 Loan Commitment. Amounts borrowed under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and subsequently repaid or prepaid may not be reborrowed.</w:t>
      </w:r>
    </w:p>
    <w:p>
      <w:pPr>
        <w:spacing w:after="0" w:line="1" w:lineRule="exact"/>
        <w:rPr>
          <w:sz w:val="20"/>
          <w:szCs w:val="20"/>
          <w:color w:val="auto"/>
        </w:rPr>
      </w:pPr>
    </w:p>
    <w:p>
      <w:pPr>
        <w:ind w:right="520" w:firstLine="656"/>
        <w:spacing w:after="0" w:line="253" w:lineRule="auto"/>
        <w:tabs>
          <w:tab w:leader="none" w:pos="93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Subject to the terms and conditions set forth herein, each Lender severally agrees to make a term loan (each, a “</w:t>
      </w:r>
      <w:r>
        <w:rPr>
          <w:rFonts w:ascii="Arial" w:cs="Arial" w:eastAsia="Arial" w:hAnsi="Arial"/>
          <w:sz w:val="20"/>
          <w:szCs w:val="20"/>
          <w:u w:val="single" w:color="auto"/>
          <w:color w:val="auto"/>
        </w:rPr>
        <w:t>Term A-3 Loan</w:t>
      </w:r>
      <w:r>
        <w:rPr>
          <w:rFonts w:ascii="Arial" w:cs="Arial" w:eastAsia="Arial" w:hAnsi="Arial"/>
          <w:sz w:val="20"/>
          <w:szCs w:val="20"/>
          <w:color w:val="auto"/>
        </w:rPr>
        <w:t>”) to the Borrower on the Closing Date in a principal amount in Dollars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00"/>
          </w:cols>
          <w:pgMar w:left="320" w:top="1414" w:right="379" w:bottom="1440" w:gutter="0" w:footer="0" w:header="0"/>
        </w:sectPr>
      </w:pPr>
    </w:p>
    <w:bookmarkStart w:id="198" w:name="page199"/>
    <w:bookmarkEnd w:id="198"/>
    <w:p>
      <w:pPr>
        <w:ind w:right="400"/>
        <w:spacing w:after="0" w:line="257" w:lineRule="auto"/>
        <w:rPr>
          <w:sz w:val="20"/>
          <w:szCs w:val="20"/>
          <w:color w:val="auto"/>
        </w:rPr>
      </w:pPr>
      <w:r>
        <w:rPr>
          <w:rFonts w:ascii="Arial" w:cs="Arial" w:eastAsia="Arial" w:hAnsi="Arial"/>
          <w:sz w:val="20"/>
          <w:szCs w:val="20"/>
          <w:color w:val="auto"/>
        </w:rPr>
        <w:t xml:space="preserve">exceeding its Term A-3 Loan Commitment. Amounts borrowed under this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and subsequently repaid or prepaid may not be reborrowed.</w:t>
      </w:r>
    </w:p>
    <w:p>
      <w:pPr>
        <w:spacing w:after="0" w:line="196" w:lineRule="exact"/>
        <w:rPr>
          <w:sz w:val="20"/>
          <w:szCs w:val="20"/>
          <w:color w:val="auto"/>
        </w:rPr>
      </w:pPr>
    </w:p>
    <w:p>
      <w:pPr>
        <w:ind w:firstLine="648"/>
        <w:spacing w:after="0" w:line="257" w:lineRule="auto"/>
        <w:rPr>
          <w:sz w:val="20"/>
          <w:szCs w:val="20"/>
          <w:color w:val="auto"/>
        </w:rPr>
      </w:pPr>
      <w:r>
        <w:rPr>
          <w:rFonts w:ascii="Arial" w:cs="Arial" w:eastAsia="Arial" w:hAnsi="Arial"/>
          <w:sz w:val="20"/>
          <w:szCs w:val="20"/>
          <w:color w:val="auto"/>
        </w:rPr>
        <w:t xml:space="preserve">The Term Loans may from time to time be SOFR Loans or Base Rate Loans, as determined by the Borrower and notified to the Administrative Agent in accordance with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w:t>
      </w:r>
      <w:r>
        <w:rPr>
          <w:rFonts w:ascii="Arial" w:cs="Arial" w:eastAsia="Arial" w:hAnsi="Arial"/>
          <w:sz w:val="20"/>
          <w:szCs w:val="20"/>
          <w:color w:val="auto"/>
        </w:rPr>
        <w:t>.</w:t>
      </w:r>
    </w:p>
    <w:p>
      <w:pPr>
        <w:spacing w:after="0" w:line="196" w:lineRule="exact"/>
        <w:rPr>
          <w:sz w:val="20"/>
          <w:szCs w:val="20"/>
          <w:color w:val="auto"/>
        </w:rPr>
      </w:pPr>
    </w:p>
    <w:p>
      <w:pPr>
        <w:jc w:val="both"/>
        <w:ind w:right="200" w:firstLine="648"/>
        <w:spacing w:after="0"/>
        <w:rPr>
          <w:sz w:val="20"/>
          <w:szCs w:val="20"/>
          <w:color w:val="auto"/>
        </w:rPr>
      </w:pPr>
      <w:r>
        <w:rPr>
          <w:rFonts w:ascii="Arial" w:cs="Arial" w:eastAsia="Arial" w:hAnsi="Arial"/>
          <w:sz w:val="20"/>
          <w:szCs w:val="20"/>
          <w:color w:val="auto"/>
        </w:rPr>
        <w:t xml:space="preserve">2.2. </w:t>
      </w:r>
      <w:r>
        <w:rPr>
          <w:rFonts w:ascii="Arial" w:cs="Arial" w:eastAsia="Arial" w:hAnsi="Arial"/>
          <w:sz w:val="20"/>
          <w:szCs w:val="20"/>
          <w:u w:val="single" w:color="auto"/>
          <w:color w:val="auto"/>
        </w:rPr>
        <w:t>Term Loans</w:t>
      </w:r>
      <w:r>
        <w:rPr>
          <w:rFonts w:ascii="Arial" w:cs="Arial" w:eastAsia="Arial" w:hAnsi="Arial"/>
          <w:sz w:val="20"/>
          <w:szCs w:val="20"/>
          <w:color w:val="auto"/>
        </w:rPr>
        <w:t xml:space="preserve">. Each Lender at its option may make any SOFR Loan by causing any domestic or foreign branch or Affiliate of such Lender to make such Term Loan by designating such branch or Affiliate as its lending office;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exercise of such option shall not affect the obligation of the Borrower to repay such Term Loan in accordance with the terms of this Agreement.</w:t>
      </w:r>
    </w:p>
    <w:p>
      <w:pPr>
        <w:spacing w:after="0" w:line="201" w:lineRule="exact"/>
        <w:rPr>
          <w:sz w:val="20"/>
          <w:szCs w:val="20"/>
          <w:color w:val="auto"/>
        </w:rPr>
      </w:pPr>
    </w:p>
    <w:p>
      <w:pPr>
        <w:ind w:right="20" w:firstLine="648"/>
        <w:spacing w:after="0" w:line="238"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Requests for Term Loan Borrowings</w:t>
      </w:r>
      <w:r>
        <w:rPr>
          <w:rFonts w:ascii="Arial" w:cs="Arial" w:eastAsia="Arial" w:hAnsi="Arial"/>
          <w:sz w:val="20"/>
          <w:szCs w:val="20"/>
          <w:color w:val="auto"/>
        </w:rPr>
        <w:t xml:space="preserve">. The Borrower shall give the Administrative Agent irrevocable notice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 (which notice must be received by the Administrative Agent (a) in the case of a SOFR Borrowing, not later than 1:00 p.m., New York City time two (2) Business Days prior to the proposed Borrowing, or (b) in the case of a Base Rate Borrowing, not later than 12:00 p.m., New York City time, on the date of the proposed Borrowing (which shall be a Business Day)) requesting that the applicable Lenders make the Term Loans on the requested Borrowing Date. Each such Borrowing Request shall be irrevocable and shall be signed by a Responsible Officer of the Borrower. Each such Borrowing Request shall specify the following information:</w:t>
      </w:r>
    </w:p>
    <w:p>
      <w:pPr>
        <w:spacing w:after="0" w:line="199" w:lineRule="exact"/>
        <w:rPr>
          <w:sz w:val="20"/>
          <w:szCs w:val="20"/>
          <w:color w:val="auto"/>
        </w:rPr>
      </w:pPr>
    </w:p>
    <w:p>
      <w:pPr>
        <w:ind w:left="1540" w:hanging="236"/>
        <w:spacing w:after="0"/>
        <w:tabs>
          <w:tab w:leader="none" w:pos="15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aggregate amount of the requested Borrowing;</w:t>
      </w:r>
    </w:p>
    <w:p>
      <w:pPr>
        <w:spacing w:after="0" w:line="242" w:lineRule="exact"/>
        <w:rPr>
          <w:rFonts w:ascii="Arial" w:cs="Arial" w:eastAsia="Arial" w:hAnsi="Arial"/>
          <w:sz w:val="20"/>
          <w:szCs w:val="20"/>
          <w:color w:val="auto"/>
        </w:rPr>
      </w:pPr>
    </w:p>
    <w:p>
      <w:pPr>
        <w:ind w:left="1580" w:hanging="276"/>
        <w:spacing w:after="0"/>
        <w:tabs>
          <w:tab w:leader="none" w:pos="15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Borrowing Date;</w:t>
      </w:r>
    </w:p>
    <w:p>
      <w:pPr>
        <w:spacing w:after="0" w:line="229" w:lineRule="exact"/>
        <w:rPr>
          <w:rFonts w:ascii="Arial" w:cs="Arial" w:eastAsia="Arial" w:hAnsi="Arial"/>
          <w:sz w:val="20"/>
          <w:szCs w:val="20"/>
          <w:color w:val="auto"/>
        </w:rPr>
      </w:pPr>
    </w:p>
    <w:p>
      <w:pPr>
        <w:ind w:left="1620" w:hanging="316"/>
        <w:spacing w:after="0"/>
        <w:tabs>
          <w:tab w:leader="none" w:pos="16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whether such Borrowing is to be a Base Rate Borrowing or a SOFR Borrowing;</w:t>
      </w:r>
    </w:p>
    <w:p>
      <w:pPr>
        <w:spacing w:after="0" w:line="242" w:lineRule="exact"/>
        <w:rPr>
          <w:rFonts w:ascii="Arial" w:cs="Arial" w:eastAsia="Arial" w:hAnsi="Arial"/>
          <w:sz w:val="20"/>
          <w:szCs w:val="20"/>
          <w:color w:val="auto"/>
        </w:rPr>
      </w:pPr>
    </w:p>
    <w:p>
      <w:pPr>
        <w:jc w:val="both"/>
        <w:ind w:left="1300" w:right="160" w:firstLine="4"/>
        <w:spacing w:after="0"/>
        <w:tabs>
          <w:tab w:leader="none" w:pos="162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in the case of a SOFR Borrowing, the initial Interest Period to be applicable thereto, which shall be a period contemplated by the definition of the term “Interest Period” or, in the case of the initial Interest Period applicable on the Closing Date, shall be a period commencing on the Closing Date and ending on the last Business Day of November 2022;</w:t>
      </w:r>
    </w:p>
    <w:p>
      <w:pPr>
        <w:spacing w:after="0" w:line="200" w:lineRule="exact"/>
        <w:rPr>
          <w:rFonts w:ascii="Arial" w:cs="Arial" w:eastAsia="Arial" w:hAnsi="Arial"/>
          <w:sz w:val="20"/>
          <w:szCs w:val="20"/>
          <w:color w:val="auto"/>
        </w:rPr>
      </w:pPr>
    </w:p>
    <w:p>
      <w:pPr>
        <w:ind w:left="1300" w:right="380" w:firstLine="4"/>
        <w:spacing w:after="0" w:line="271" w:lineRule="auto"/>
        <w:tabs>
          <w:tab w:leader="none" w:pos="1586" w:val="left"/>
        </w:tabs>
        <w:numPr>
          <w:ilvl w:val="0"/>
          <w:numId w:val="185"/>
        </w:numPr>
        <w:rPr>
          <w:rFonts w:ascii="Arial" w:cs="Arial" w:eastAsia="Arial" w:hAnsi="Arial"/>
          <w:sz w:val="20"/>
          <w:szCs w:val="20"/>
          <w:color w:val="auto"/>
        </w:rPr>
      </w:pPr>
      <w:r>
        <w:rPr>
          <w:rFonts w:ascii="Arial" w:cs="Arial" w:eastAsia="Arial" w:hAnsi="Arial"/>
          <w:sz w:val="20"/>
          <w:szCs w:val="20"/>
          <w:color w:val="auto"/>
        </w:rPr>
        <w:t xml:space="preserve">the location and number of the Borrower’s account to which funds are to be disbursed, which shall comply with the requirements of </w:t>
      </w:r>
      <w:r>
        <w:rPr>
          <w:rFonts w:ascii="Arial" w:cs="Arial" w:eastAsia="Arial" w:hAnsi="Arial"/>
          <w:sz w:val="20"/>
          <w:szCs w:val="20"/>
          <w:u w:val="single" w:color="auto"/>
          <w:color w:val="auto"/>
        </w:rPr>
        <w:t>Section 2.5</w:t>
      </w:r>
      <w:r>
        <w:rPr>
          <w:rFonts w:ascii="Arial" w:cs="Arial" w:eastAsia="Arial" w:hAnsi="Arial"/>
          <w:sz w:val="20"/>
          <w:szCs w:val="20"/>
          <w:color w:val="auto"/>
        </w:rPr>
        <w:t>; and</w:t>
      </w:r>
    </w:p>
    <w:p>
      <w:pPr>
        <w:spacing w:after="0" w:line="169" w:lineRule="exact"/>
        <w:rPr>
          <w:rFonts w:ascii="Arial" w:cs="Arial" w:eastAsia="Arial" w:hAnsi="Arial"/>
          <w:sz w:val="20"/>
          <w:szCs w:val="20"/>
          <w:color w:val="auto"/>
        </w:rPr>
      </w:pPr>
    </w:p>
    <w:p>
      <w:pPr>
        <w:ind w:left="1640" w:hanging="336"/>
        <w:spacing w:after="0"/>
        <w:tabs>
          <w:tab w:leader="none" w:pos="16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whether such Borrowing is to be of Term A-1 Loans, Term A-2 Loans or Term A-3 Loans.</w:t>
      </w:r>
    </w:p>
    <w:p>
      <w:pPr>
        <w:spacing w:after="0" w:line="24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color w:val="auto"/>
        </w:rPr>
        <w:t>If no election as to the Type of Term Loan Borrowing is specified, then the requested Term Loan Borrowing shall be a Base Rate Borrowing. If no Interest Period is specified with respect to any requested Adjusted Term SOFR Term Loan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Term Loan to be made as part of the requested Borrowing.</w:t>
      </w:r>
    </w:p>
    <w:p>
      <w:pPr>
        <w:spacing w:after="0" w:line="21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9"/>
          <w:szCs w:val="19"/>
          <w:u w:val="single" w:color="auto"/>
          <w:color w:val="auto"/>
        </w:rPr>
        <w:t>Funding of Term Loan Borrowings</w:t>
      </w:r>
      <w:r>
        <w:rPr>
          <w:rFonts w:ascii="Arial" w:cs="Arial" w:eastAsia="Arial" w:hAnsi="Arial"/>
          <w:sz w:val="19"/>
          <w:szCs w:val="19"/>
          <w:color w:val="auto"/>
        </w:rPr>
        <w:t>.</w:t>
      </w:r>
    </w:p>
    <w:p>
      <w:pPr>
        <w:spacing w:after="0" w:line="18" w:lineRule="exact"/>
        <w:rPr>
          <w:sz w:val="20"/>
          <w:szCs w:val="20"/>
          <w:color w:val="auto"/>
        </w:rPr>
      </w:pPr>
    </w:p>
    <w:p>
      <w:pPr>
        <w:ind w:firstLine="656"/>
        <w:spacing w:after="0" w:line="236" w:lineRule="auto"/>
        <w:tabs>
          <w:tab w:leader="none" w:pos="111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Each Lender shall make each Term Loan to be made by it hereunder on the proposed date thereof by wire transfer of immediately available funds by 2:00 p.m., New York City time, to the account of the Administrative Agent most recently designated by it for such purpose by notice to the Lenders. The Administrative Agent will make such Term Loans available to the Borrower by promptly crediting the amounts so</w:t>
      </w:r>
    </w:p>
    <w:p>
      <w:pPr>
        <w:sectPr>
          <w:pgSz w:w="11900" w:h="16838" w:orient="portrait"/>
          <w:cols w:equalWidth="0" w:num="1">
            <w:col w:w="11220"/>
          </w:cols>
          <w:pgMar w:left="320" w:top="141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1220"/>
          </w:cols>
          <w:pgMar w:left="320" w:top="1414" w:right="359" w:bottom="1440" w:gutter="0" w:footer="0" w:header="0"/>
          <w:type w:val="continuous"/>
        </w:sectPr>
      </w:pPr>
    </w:p>
    <w:bookmarkStart w:id="199" w:name="page200"/>
    <w:bookmarkEnd w:id="199"/>
    <w:p>
      <w:pPr>
        <w:ind w:right="960"/>
        <w:spacing w:after="0" w:line="257" w:lineRule="auto"/>
        <w:rPr>
          <w:sz w:val="20"/>
          <w:szCs w:val="20"/>
          <w:color w:val="auto"/>
        </w:rPr>
      </w:pPr>
      <w:r>
        <w:rPr>
          <w:rFonts w:ascii="Arial" w:cs="Arial" w:eastAsia="Arial" w:hAnsi="Arial"/>
          <w:sz w:val="20"/>
          <w:szCs w:val="20"/>
          <w:color w:val="auto"/>
        </w:rPr>
        <w:t>received, in like funds, to an account of the Borrower maintained at a financial institution reasonably acceptable to the Administrative Agent and designated by the Borrower in the applicable Borrowing Request.</w:t>
      </w:r>
    </w:p>
    <w:p>
      <w:pPr>
        <w:spacing w:after="0" w:line="196" w:lineRule="exact"/>
        <w:rPr>
          <w:sz w:val="20"/>
          <w:szCs w:val="20"/>
          <w:color w:val="auto"/>
        </w:rPr>
      </w:pPr>
    </w:p>
    <w:p>
      <w:pPr>
        <w:ind w:right="140" w:firstLine="656"/>
        <w:spacing w:after="0" w:line="247" w:lineRule="auto"/>
        <w:tabs>
          <w:tab w:leader="none" w:pos="111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Term Loan to be made as part of the requested Borrowing, the Administrative Agent may assume that such Lender has made such Term Loan available on such date in accordance with paragraph (a) of this Section and may, in reliance upon such assumption, make available to the Borrower a corresponding amount. In such event, if a Lender has not in fact made its Term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NYFRB Rate and a rate determined by the Administrative Agent in accordance with banking industry rules on interbank compensation or (ii) in the case of the Borrower, the interest rate applicable to Base Rate Loans. If such Lender pays such amount to the Administrative Agent, then such amount shall constitute such Lender’s Term Loan included in such Borrowing.</w:t>
      </w:r>
    </w:p>
    <w:p>
      <w:pPr>
        <w:spacing w:after="0" w:line="200" w:lineRule="exact"/>
        <w:rPr>
          <w:sz w:val="20"/>
          <w:szCs w:val="20"/>
          <w:color w:val="auto"/>
        </w:rPr>
      </w:pPr>
    </w:p>
    <w:p>
      <w:pPr>
        <w:jc w:val="both"/>
        <w:ind w:right="320" w:firstLine="648"/>
        <w:spacing w:after="0" w:line="268"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Termination and Reduction of Term Commitments</w:t>
      </w:r>
      <w:r>
        <w:rPr>
          <w:rFonts w:ascii="Arial" w:cs="Arial" w:eastAsia="Arial" w:hAnsi="Arial"/>
          <w:sz w:val="19"/>
          <w:szCs w:val="19"/>
          <w:color w:val="auto"/>
        </w:rPr>
        <w:t>. Unless previously terminated, the Term Commitments (other than any Incremental Term Loan Commitments) shall terminate upon the making of the Term Loans on the Closing Date. Any Incremental Term Loan Commitment shall terminate as provided in the applicable Incremental Assumption Amendment.</w:t>
      </w:r>
    </w:p>
    <w:p>
      <w:pPr>
        <w:spacing w:after="0" w:line="18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9"/>
          <w:szCs w:val="19"/>
          <w:u w:val="single" w:color="auto"/>
          <w:color w:val="auto"/>
        </w:rPr>
        <w:t>Repayment of Term Loans; Evidence of Debt</w:t>
      </w:r>
      <w:r>
        <w:rPr>
          <w:rFonts w:ascii="Arial" w:cs="Arial" w:eastAsia="Arial" w:hAnsi="Arial"/>
          <w:sz w:val="19"/>
          <w:szCs w:val="19"/>
          <w:color w:val="auto"/>
        </w:rPr>
        <w:t>.</w:t>
      </w:r>
    </w:p>
    <w:p>
      <w:pPr>
        <w:spacing w:after="0" w:line="229" w:lineRule="exact"/>
        <w:rPr>
          <w:sz w:val="20"/>
          <w:szCs w:val="20"/>
          <w:color w:val="auto"/>
        </w:rPr>
      </w:pPr>
    </w:p>
    <w:p>
      <w:pPr>
        <w:ind w:right="180" w:firstLine="656"/>
        <w:spacing w:after="0" w:line="271" w:lineRule="auto"/>
        <w:tabs>
          <w:tab w:leader="none" w:pos="110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Borrower hereby unconditionally promises to pay the Administrative Agent for the account of each Lender the then unpaid principal amount of each Term Loan made by such Lender on the applicable Term Loan Maturity Date.</w:t>
      </w:r>
    </w:p>
    <w:p>
      <w:pPr>
        <w:spacing w:after="0" w:line="169" w:lineRule="exact"/>
        <w:rPr>
          <w:rFonts w:ascii="Arial" w:cs="Arial" w:eastAsia="Arial" w:hAnsi="Arial"/>
          <w:sz w:val="20"/>
          <w:szCs w:val="20"/>
          <w:color w:val="auto"/>
        </w:rPr>
      </w:pPr>
    </w:p>
    <w:p>
      <w:pPr>
        <w:ind w:right="160" w:firstLine="656"/>
        <w:spacing w:after="0" w:line="248" w:lineRule="auto"/>
        <w:tabs>
          <w:tab w:leader="none" w:pos="111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Indebtedness of the Borrower to such Lender resulting from each Term Loan of such Lender from time to time, including the amounts of principal and interest payable and paid to such Lender from time to time under this Agreement.</w:t>
      </w:r>
    </w:p>
    <w:p>
      <w:pPr>
        <w:spacing w:after="0" w:line="191" w:lineRule="exact"/>
        <w:rPr>
          <w:rFonts w:ascii="Arial" w:cs="Arial" w:eastAsia="Arial" w:hAnsi="Arial"/>
          <w:sz w:val="20"/>
          <w:szCs w:val="20"/>
          <w:color w:val="auto"/>
        </w:rPr>
      </w:pPr>
    </w:p>
    <w:p>
      <w:pPr>
        <w:jc w:val="both"/>
        <w:ind w:right="100" w:firstLine="656"/>
        <w:spacing w:after="0" w:line="245" w:lineRule="auto"/>
        <w:tabs>
          <w:tab w:leader="none" w:pos="1095"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The Administrative Agent shall, in respect of this Agreement, record in the Register, with separate sub-accounts for each Lender, (i) the amount and Borrowing Date of each Term Loan made hereunder, (ii) the amount of any principal or interest due and payable or to become due and payable from the Borrower to each Lender hereunder and (iii) both the amount of any payment received by the Administrative Agent hereunder from the Borrower and each Lender’s share thereof.</w:t>
      </w:r>
    </w:p>
    <w:p>
      <w:pPr>
        <w:spacing w:after="0" w:line="194" w:lineRule="exact"/>
        <w:rPr>
          <w:rFonts w:ascii="Arial" w:cs="Arial" w:eastAsia="Arial" w:hAnsi="Arial"/>
          <w:sz w:val="20"/>
          <w:szCs w:val="20"/>
          <w:color w:val="auto"/>
        </w:rPr>
      </w:pPr>
    </w:p>
    <w:p>
      <w:pPr>
        <w:ind w:firstLine="656"/>
        <w:spacing w:after="0" w:line="237" w:lineRule="auto"/>
        <w:tabs>
          <w:tab w:leader="none" w:pos="110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 xml:space="preserve">The entries made in the Register and the accounts of each Lender maintained pursuant to </w:t>
      </w:r>
      <w:r>
        <w:rPr>
          <w:rFonts w:ascii="Arial" w:cs="Arial" w:eastAsia="Arial" w:hAnsi="Arial"/>
          <w:sz w:val="20"/>
          <w:szCs w:val="20"/>
          <w:u w:val="single" w:color="auto"/>
          <w:color w:val="auto"/>
        </w:rPr>
        <w:t>Sections 2.7(b)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shall, to the extent permitted by applicable law, be prima facie evidence of the existence and amounts of the obligations of the Borrower therein recorded absent manifest error;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failure of any Lender or the Administrative Agent to maintain the Register or any such account, or any error therein, shall not in any manner affect the obligation of the Borrower to repay (with applicable interest) the Term Loans made to the Borrower by such Lender in accordance with the terms of this Agreement.</w:t>
      </w:r>
    </w:p>
    <w:p>
      <w:pPr>
        <w:spacing w:after="0" w:line="216" w:lineRule="exact"/>
        <w:rPr>
          <w:rFonts w:ascii="Arial" w:cs="Arial" w:eastAsia="Arial" w:hAnsi="Arial"/>
          <w:sz w:val="20"/>
          <w:szCs w:val="20"/>
          <w:color w:val="auto"/>
        </w:rPr>
      </w:pPr>
    </w:p>
    <w:p>
      <w:pPr>
        <w:ind w:right="20" w:firstLine="656"/>
        <w:spacing w:after="0"/>
        <w:tabs>
          <w:tab w:leader="none" w:pos="111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If so requested after the Closing Date by any Lender by written notice to the Borrower (with a copy to the Administrative Agent), the Borrower will execute and deliver to such Lender, promptly after the Borrower’s receipt of such notice, a Note to evidence such Lender’s Term A-1 Loans, Term A-2 Loans, or Term A-3 Loans in form and substance reasonably satisfactory to the Lender and the Borrower.</w:t>
      </w:r>
    </w:p>
    <w:p>
      <w:pPr>
        <w:spacing w:after="0" w:line="200" w:lineRule="exact"/>
        <w:rPr>
          <w:rFonts w:ascii="Arial" w:cs="Arial" w:eastAsia="Arial" w:hAnsi="Arial"/>
          <w:sz w:val="20"/>
          <w:szCs w:val="20"/>
          <w:color w:val="auto"/>
        </w:rPr>
      </w:pPr>
    </w:p>
    <w:p>
      <w:pPr>
        <w:ind w:left="1060" w:hanging="404"/>
        <w:spacing w:after="0"/>
        <w:tabs>
          <w:tab w:leader="none" w:pos="1060" w:val="left"/>
        </w:tabs>
        <w:numPr>
          <w:ilvl w:val="0"/>
          <w:numId w:val="188"/>
        </w:numPr>
        <w:rPr>
          <w:rFonts w:ascii="Arial" w:cs="Arial" w:eastAsia="Arial" w:hAnsi="Arial"/>
          <w:sz w:val="20"/>
          <w:szCs w:val="20"/>
          <w:color w:val="auto"/>
        </w:rPr>
      </w:pPr>
      <w:r>
        <w:rPr>
          <w:rFonts w:ascii="Arial" w:cs="Arial" w:eastAsia="Arial" w:hAnsi="Arial"/>
          <w:sz w:val="20"/>
          <w:szCs w:val="20"/>
          <w:u w:val="single" w:color="auto"/>
          <w:color w:val="auto"/>
        </w:rPr>
        <w:t>Amortization of Term A-2 Loans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14" w:right="339" w:bottom="1440" w:gutter="0" w:footer="0" w:header="0"/>
        </w:sectPr>
      </w:pPr>
    </w:p>
    <w:bookmarkStart w:id="200" w:name="page201"/>
    <w:bookmarkEnd w:id="200"/>
    <w:p>
      <w:pPr>
        <w:spacing w:after="0" w:line="218" w:lineRule="exact"/>
        <w:rPr>
          <w:sz w:val="20"/>
          <w:szCs w:val="20"/>
          <w:color w:val="auto"/>
        </w:rPr>
      </w:pPr>
    </w:p>
    <w:p>
      <w:pPr>
        <w:ind w:left="660" w:right="40" w:firstLine="644"/>
        <w:spacing w:after="0"/>
        <w:tabs>
          <w:tab w:leader="none" w:pos="170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The Borrower shall repay on the last Business Day of March, June, September and December of each year (beginning with the last Business Day of March 2023), through and including the Term A-2 Stated Maturity, an aggregate principal amount of Term A-2 Loans equal to the product of (x) the aggregate principal amount of Term A-2 Loans outstanding on the Closing Date and (y) 1.25%, with the balance of the Term A-2 Loans due in full on the Term A-2 Stated Maturity.</w:t>
      </w:r>
    </w:p>
    <w:p>
      <w:pPr>
        <w:spacing w:after="0" w:line="200" w:lineRule="exact"/>
        <w:rPr>
          <w:rFonts w:ascii="Arial" w:cs="Arial" w:eastAsia="Arial" w:hAnsi="Arial"/>
          <w:sz w:val="20"/>
          <w:szCs w:val="20"/>
          <w:color w:val="auto"/>
        </w:rPr>
      </w:pPr>
    </w:p>
    <w:p>
      <w:pPr>
        <w:ind w:left="1740" w:hanging="436"/>
        <w:spacing w:after="0"/>
        <w:tabs>
          <w:tab w:leader="none" w:pos="1740" w:val="left"/>
        </w:tabs>
        <w:numPr>
          <w:ilvl w:val="1"/>
          <w:numId w:val="189"/>
        </w:numPr>
        <w:rPr>
          <w:rFonts w:ascii="Arial" w:cs="Arial" w:eastAsia="Arial" w:hAnsi="Arial"/>
          <w:sz w:val="20"/>
          <w:szCs w:val="20"/>
          <w:color w:val="auto"/>
        </w:rPr>
      </w:pPr>
      <w:r>
        <w:rPr>
          <w:rFonts w:ascii="Arial" w:cs="Arial" w:eastAsia="Arial" w:hAnsi="Arial"/>
          <w:sz w:val="20"/>
          <w:szCs w:val="20"/>
          <w:color w:val="auto"/>
        </w:rPr>
        <w:t>Repayments of Term A-2 Loans shall be accompanied by accrued interest on the amount repaid.</w:t>
      </w:r>
    </w:p>
    <w:p>
      <w:pPr>
        <w:spacing w:after="0" w:line="242" w:lineRule="exact"/>
        <w:rPr>
          <w:rFonts w:ascii="Arial" w:cs="Arial" w:eastAsia="Arial" w:hAnsi="Arial"/>
          <w:sz w:val="20"/>
          <w:szCs w:val="20"/>
          <w:color w:val="auto"/>
        </w:rPr>
      </w:pPr>
    </w:p>
    <w:p>
      <w:pPr>
        <w:ind w:left="1120" w:hanging="464"/>
        <w:spacing w:after="0"/>
        <w:tabs>
          <w:tab w:leader="none" w:pos="1120"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Amortization of Term A-3 Loans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60" w:right="40" w:firstLine="644"/>
        <w:spacing w:after="0"/>
        <w:tabs>
          <w:tab w:leader="none" w:pos="170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The Borrower shall repay on the last Business Day of March, June, September and December of each year (beginning with the last Business Day of March 2023), through and including the Term A-3 Stated Maturity, an aggregate principal amount of Term A-3 Loans equal to the product of (x) the aggregate principal amount of Term A-3 Loans outstanding on the Closing Date and (y) 1.25%, with the balance of the Term A-3 Loans due in full on the Term A-3 Stated Maturity.</w:t>
      </w:r>
    </w:p>
    <w:p>
      <w:pPr>
        <w:spacing w:after="0" w:line="200" w:lineRule="exact"/>
        <w:rPr>
          <w:rFonts w:ascii="Arial" w:cs="Arial" w:eastAsia="Arial" w:hAnsi="Arial"/>
          <w:sz w:val="20"/>
          <w:szCs w:val="20"/>
          <w:color w:val="auto"/>
        </w:rPr>
      </w:pPr>
    </w:p>
    <w:p>
      <w:pPr>
        <w:ind w:left="1740" w:hanging="436"/>
        <w:spacing w:after="0"/>
        <w:tabs>
          <w:tab w:leader="none" w:pos="1740" w:val="left"/>
        </w:tabs>
        <w:numPr>
          <w:ilvl w:val="1"/>
          <w:numId w:val="190"/>
        </w:numPr>
        <w:rPr>
          <w:rFonts w:ascii="Arial" w:cs="Arial" w:eastAsia="Arial" w:hAnsi="Arial"/>
          <w:sz w:val="20"/>
          <w:szCs w:val="20"/>
          <w:color w:val="auto"/>
        </w:rPr>
      </w:pPr>
      <w:r>
        <w:rPr>
          <w:rFonts w:ascii="Arial" w:cs="Arial" w:eastAsia="Arial" w:hAnsi="Arial"/>
          <w:sz w:val="20"/>
          <w:szCs w:val="20"/>
          <w:color w:val="auto"/>
        </w:rPr>
        <w:t>Repayments of Term A-3 Loans shall be accompanied by accrued interest on the amount repaid.</w:t>
      </w:r>
    </w:p>
    <w:p>
      <w:pPr>
        <w:spacing w:after="0" w:line="229"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9"/>
          <w:szCs w:val="19"/>
          <w:u w:val="single" w:color="auto"/>
          <w:color w:val="auto"/>
        </w:rPr>
        <w:t>Interest Rates and Payment Dates</w:t>
      </w:r>
      <w:r>
        <w:rPr>
          <w:rFonts w:ascii="Arial" w:cs="Arial" w:eastAsia="Arial" w:hAnsi="Arial"/>
          <w:sz w:val="19"/>
          <w:szCs w:val="19"/>
          <w:color w:val="auto"/>
        </w:rPr>
        <w:t>.</w:t>
      </w:r>
    </w:p>
    <w:p>
      <w:pPr>
        <w:spacing w:after="0" w:line="243" w:lineRule="exact"/>
        <w:rPr>
          <w:sz w:val="20"/>
          <w:szCs w:val="20"/>
          <w:color w:val="auto"/>
        </w:rPr>
      </w:pPr>
    </w:p>
    <w:p>
      <w:pPr>
        <w:ind w:right="440" w:firstLine="656"/>
        <w:spacing w:after="0" w:line="257" w:lineRule="auto"/>
        <w:tabs>
          <w:tab w:leader="none" w:pos="111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Each SOFR Loan shall bear interest for each day during each Interest Period with respect thereto at a rate per annum equal to Adjusted Term SOFR determined for such Interest Period plus the Applicable Margin.</w:t>
      </w:r>
    </w:p>
    <w:p>
      <w:pPr>
        <w:spacing w:after="0" w:line="195" w:lineRule="exact"/>
        <w:rPr>
          <w:rFonts w:ascii="Arial" w:cs="Arial" w:eastAsia="Arial" w:hAnsi="Arial"/>
          <w:sz w:val="20"/>
          <w:szCs w:val="20"/>
          <w:color w:val="auto"/>
        </w:rPr>
      </w:pPr>
    </w:p>
    <w:p>
      <w:pPr>
        <w:ind w:right="420" w:firstLine="656"/>
        <w:spacing w:after="0" w:line="257" w:lineRule="auto"/>
        <w:tabs>
          <w:tab w:leader="none" w:pos="111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Each Base Rate Loan shall bear interest at a rate per annum equal to the Base Rate from time to time plus the Applicable Margin.</w:t>
      </w:r>
    </w:p>
    <w:p>
      <w:pPr>
        <w:spacing w:after="0" w:line="195" w:lineRule="exact"/>
        <w:rPr>
          <w:rFonts w:ascii="Arial" w:cs="Arial" w:eastAsia="Arial" w:hAnsi="Arial"/>
          <w:sz w:val="20"/>
          <w:szCs w:val="20"/>
          <w:color w:val="auto"/>
        </w:rPr>
      </w:pPr>
    </w:p>
    <w:p>
      <w:pPr>
        <w:ind w:right="20" w:firstLine="656"/>
        <w:spacing w:after="0" w:line="236" w:lineRule="auto"/>
        <w:tabs>
          <w:tab w:leader="none" w:pos="109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Notwithstanding the foregoing, upon the occurrence and during the continuance of an Event of Default under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at any time after the date on which any principal amount of any Term Loan is due and payable (whether on the maturity date therefor, upon acceleration or otherwise), or after any other monetary Obligation of the Borrower or any other Loan Party shall have become due and payable, and, in each case, for so long as such overdue Obligation remains unpaid, the Borrower shall pay, but only to the extent permitted by law, interest (after as well as before judgment) on such unpaid overdue amounts at a rate per annum equal to (i) in the case of overdue principal on any Term Loan, the rate of interest that otherwise would be applicable to such Term Loan plus 2% per annum and (ii) in the case of overdue interest, fees, and other monetary Obligations, the rate then applicable to Base Rate Loans plus 2% per annum.</w:t>
      </w:r>
    </w:p>
    <w:p>
      <w:pPr>
        <w:spacing w:after="0" w:line="202" w:lineRule="exact"/>
        <w:rPr>
          <w:rFonts w:ascii="Arial" w:cs="Arial" w:eastAsia="Arial" w:hAnsi="Arial"/>
          <w:sz w:val="20"/>
          <w:szCs w:val="20"/>
          <w:color w:val="auto"/>
        </w:rPr>
      </w:pPr>
    </w:p>
    <w:p>
      <w:pPr>
        <w:ind w:right="460" w:firstLine="656"/>
        <w:spacing w:after="0" w:line="257" w:lineRule="auto"/>
        <w:tabs>
          <w:tab w:leader="none" w:pos="111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Interest shall be payable in arrears on each Interest Payment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interest accruing pursuant to paragraph (c) of this Section shall be payable from time to time on demand.</w:t>
      </w:r>
    </w:p>
    <w:p>
      <w:pPr>
        <w:spacing w:after="0" w:line="195" w:lineRule="exact"/>
        <w:rPr>
          <w:rFonts w:ascii="Arial" w:cs="Arial" w:eastAsia="Arial" w:hAnsi="Arial"/>
          <w:sz w:val="20"/>
          <w:szCs w:val="20"/>
          <w:color w:val="auto"/>
        </w:rPr>
      </w:pPr>
    </w:p>
    <w:p>
      <w:pPr>
        <w:ind w:firstLine="656"/>
        <w:spacing w:after="0"/>
        <w:tabs>
          <w:tab w:leader="none" w:pos="111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20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2.9.</w:t>
      </w:r>
      <w:r>
        <w:rPr>
          <w:sz w:val="20"/>
          <w:szCs w:val="20"/>
          <w:color w:val="auto"/>
        </w:rPr>
        <w:tab/>
      </w:r>
      <w:r>
        <w:rPr>
          <w:rFonts w:ascii="Arial" w:cs="Arial" w:eastAsia="Arial" w:hAnsi="Arial"/>
          <w:sz w:val="19"/>
          <w:szCs w:val="19"/>
          <w:u w:val="single" w:color="auto"/>
          <w:color w:val="auto"/>
        </w:rPr>
        <w:t>Computation of Interest and Fees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200"/>
          </w:cols>
          <w:pgMar w:left="320" w:top="1440" w:right="379" w:bottom="1440" w:gutter="0" w:footer="0" w:header="0"/>
        </w:sectPr>
      </w:pPr>
    </w:p>
    <w:bookmarkStart w:id="201" w:name="page202"/>
    <w:bookmarkEnd w:id="201"/>
    <w:p>
      <w:pPr>
        <w:ind w:firstLine="656"/>
        <w:spacing w:after="0" w:line="236" w:lineRule="auto"/>
        <w:tabs>
          <w:tab w:leader="none" w:pos="111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Interest and fees payable pursuant hereto shall be calculated on the basis of a 360-day year for the actual days elapsed, except that, with respect to Base Rate Loans, when the Base Rate is based on the Prime Rate the interest thereon shall be calculated on the basis of a 365- (or 366-, as the case may be) day year for the actual days elapsed. The Administrative Agent shall as soon as practicable notify the Borrower and the Lenders of each determination of Adjusted Term SOFR. Any change in the interest rate on a Term Loan resulting from a change in the Base Rate or Adjusted Term SOFR shall become effective as of the opening of business on the day on which such change becomes effective. The Administrative Agent shall as soon as practicable notify the Borrower and the Lenders of the effective date and the amount of each such change in interest rate.</w:t>
      </w:r>
    </w:p>
    <w:p>
      <w:pPr>
        <w:spacing w:after="0" w:line="202" w:lineRule="exact"/>
        <w:rPr>
          <w:rFonts w:ascii="Arial" w:cs="Arial" w:eastAsia="Arial" w:hAnsi="Arial"/>
          <w:sz w:val="20"/>
          <w:szCs w:val="20"/>
          <w:color w:val="auto"/>
        </w:rPr>
      </w:pPr>
    </w:p>
    <w:p>
      <w:pPr>
        <w:ind w:firstLine="656"/>
        <w:spacing w:after="0" w:line="271" w:lineRule="auto"/>
        <w:tabs>
          <w:tab w:leader="none" w:pos="111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Each determination of an interest rate by the Administrative Agent pursuant to any provision of this Agreement shall be conclusive and binding on the Borrower and the Lenders in the absence of manifest error.</w:t>
      </w:r>
    </w:p>
    <w:p>
      <w:pPr>
        <w:spacing w:after="0" w:line="169" w:lineRule="exact"/>
        <w:rPr>
          <w:rFonts w:ascii="Arial" w:cs="Arial" w:eastAsia="Arial" w:hAnsi="Arial"/>
          <w:sz w:val="20"/>
          <w:szCs w:val="20"/>
          <w:color w:val="auto"/>
        </w:rPr>
      </w:pPr>
    </w:p>
    <w:p>
      <w:pPr>
        <w:ind w:right="40" w:firstLine="656"/>
        <w:spacing w:after="0" w:line="237" w:lineRule="auto"/>
        <w:tabs>
          <w:tab w:leader="none" w:pos="1099" w:val="left"/>
        </w:tabs>
        <w:numPr>
          <w:ilvl w:val="0"/>
          <w:numId w:val="192"/>
        </w:numPr>
        <w:rPr>
          <w:rFonts w:ascii="Arial" w:cs="Arial" w:eastAsia="Arial" w:hAnsi="Arial"/>
          <w:sz w:val="20"/>
          <w:szCs w:val="20"/>
          <w:color w:val="auto"/>
        </w:rPr>
      </w:pPr>
      <w:r>
        <w:rPr>
          <w:rFonts w:ascii="Arial" w:cs="Arial" w:eastAsia="Arial" w:hAnsi="Arial"/>
          <w:sz w:val="20"/>
          <w:szCs w:val="20"/>
          <w:color w:val="auto"/>
        </w:rPr>
        <w:t>If, as a result of any restatement of public disclosure, inaccuracy in any certificate delivered and an increase in the Applicable Margins for such period would result from proper calculations based thereon, the Borrower shall retroactively be obligated to pay (or, after the occurrence of an actual or deemed entry of an order for relief with respect to the Borrower Debtor Relief Laws, automatically and without further action by the Administrative Agent or any Lender), an amount equal to the excess of the amount of interest and fees that should have been paid for such period over the amount of interest and fees actually paid for such period.</w:t>
      </w:r>
    </w:p>
    <w:p>
      <w:pPr>
        <w:spacing w:after="0" w:line="21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9"/>
          <w:szCs w:val="19"/>
          <w:u w:val="single" w:color="auto"/>
          <w:color w:val="auto"/>
        </w:rPr>
        <w:t>Benchmark Replacement Setting</w:t>
      </w:r>
      <w:r>
        <w:rPr>
          <w:rFonts w:ascii="Arial" w:cs="Arial" w:eastAsia="Arial" w:hAnsi="Arial"/>
          <w:sz w:val="19"/>
          <w:szCs w:val="19"/>
          <w:color w:val="auto"/>
        </w:rPr>
        <w:t>.</w:t>
      </w:r>
    </w:p>
    <w:p>
      <w:pPr>
        <w:spacing w:after="0" w:line="229" w:lineRule="exact"/>
        <w:rPr>
          <w:sz w:val="20"/>
          <w:szCs w:val="20"/>
          <w:color w:val="auto"/>
        </w:rPr>
      </w:pPr>
    </w:p>
    <w:p>
      <w:pPr>
        <w:ind w:right="20" w:firstLine="656"/>
        <w:spacing w:after="0" w:line="246" w:lineRule="auto"/>
        <w:tabs>
          <w:tab w:leader="none" w:pos="111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Circumstances Affecting Benchmark Availability</w:t>
      </w:r>
      <w:r>
        <w:rPr>
          <w:rFonts w:ascii="Arial" w:cs="Arial" w:eastAsia="Arial" w:hAnsi="Arial"/>
          <w:sz w:val="19"/>
          <w:szCs w:val="19"/>
          <w:color w:val="auto"/>
        </w:rPr>
        <w:t xml:space="preserve">.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Term SOFR for the applicable Interest Period with respect to a proposed SOFR Loan on or prior to the first day of such Interest Period or (ii) the Required Lenders shall determine in good faith (which determination shall be conclusive and binding absent manifest error) that Adjusted Term SOFR does not adequately and fairly reflect the cost to such Lenders of making or maintaining such Loans during such Interest Period and, in the case of clause (ii), the Required Lenders have provided notice of such determination to the Administrative Agent, then, in each case, the Administrative Agent shall promptly give notice thereof to the Borrower. Upon notice thereof by the Administrative Agent to the Borrower, any obligation of the Lenders to make SOFR Loans, and any right of the Borrower to convert any Loan to or continue any Loan as a SOFR Loan, shall be suspended (to the extent of the affected SOFR Loans or the affected Interest Periods) until the Administrative Agent (with respect to clause (ii), at the instruction of the Required Lenders)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w:t>
      </w:r>
      <w:r>
        <w:rPr>
          <w:rFonts w:ascii="Arial" w:cs="Arial" w:eastAsia="Arial" w:hAnsi="Arial"/>
          <w:sz w:val="19"/>
          <w:szCs w:val="19"/>
          <w:u w:val="single" w:color="auto"/>
          <w:color w:val="auto"/>
        </w:rPr>
        <w:t>Section 2.17.</w:t>
      </w:r>
    </w:p>
    <w:p>
      <w:pPr>
        <w:spacing w:after="0" w:line="207" w:lineRule="exact"/>
        <w:rPr>
          <w:rFonts w:ascii="Arial" w:cs="Arial" w:eastAsia="Arial" w:hAnsi="Arial"/>
          <w:sz w:val="19"/>
          <w:szCs w:val="19"/>
          <w:color w:val="auto"/>
        </w:rPr>
      </w:pPr>
    </w:p>
    <w:p>
      <w:pPr>
        <w:ind w:right="40" w:firstLine="656"/>
        <w:spacing w:after="0" w:line="236" w:lineRule="auto"/>
        <w:tabs>
          <w:tab w:leader="none" w:pos="1110" w:val="left"/>
        </w:tabs>
        <w:numPr>
          <w:ilvl w:val="0"/>
          <w:numId w:val="193"/>
        </w:numPr>
        <w:rPr>
          <w:rFonts w:ascii="Arial" w:cs="Arial" w:eastAsia="Arial" w:hAnsi="Arial"/>
          <w:sz w:val="20"/>
          <w:szCs w:val="20"/>
          <w:color w:val="auto"/>
        </w:rPr>
      </w:pPr>
      <w:r>
        <w:rPr>
          <w:rFonts w:ascii="Arial" w:cs="Arial" w:eastAsia="Arial" w:hAnsi="Arial"/>
          <w:sz w:val="20"/>
          <w:szCs w:val="20"/>
          <w:u w:val="single" w:color="auto"/>
          <w:color w:val="auto"/>
        </w:rPr>
        <w:t>Laws Affecting SOFR Availability</w:t>
      </w:r>
      <w:r>
        <w:rPr>
          <w:rFonts w:ascii="Arial" w:cs="Arial" w:eastAsia="Arial" w:hAnsi="Arial"/>
          <w:sz w:val="20"/>
          <w:szCs w:val="20"/>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SOFR Loan, or to determine or charge interest based upon SOFR,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20"/>
          </w:cols>
          <w:pgMar w:left="320" w:top="1414" w:right="359" w:bottom="1440" w:gutter="0" w:footer="0" w:header="0"/>
        </w:sectPr>
      </w:pPr>
    </w:p>
    <w:bookmarkStart w:id="202" w:name="page203"/>
    <w:bookmarkEnd w:id="202"/>
    <w:p>
      <w:pPr>
        <w:spacing w:after="0" w:line="233" w:lineRule="auto"/>
        <w:rPr>
          <w:sz w:val="20"/>
          <w:szCs w:val="20"/>
          <w:color w:val="auto"/>
        </w:rPr>
      </w:pPr>
      <w:r>
        <w:rPr>
          <w:rFonts w:ascii="Arial" w:cs="Arial" w:eastAsia="Arial" w:hAnsi="Arial"/>
          <w:sz w:val="20"/>
          <w:szCs w:val="20"/>
          <w:color w:val="auto"/>
        </w:rPr>
        <w:t xml:space="preserve">SOFR Reference Rate, Adjusted Term SOFR or Term SOFR, such Lender shall promptly give notice thereof to the Administrative Agent and the Administrative Agent shall promptly give notice to the Borrower and the other Lenders (an “Illegality Notice”). Thereafter, until each affected Lender notifies the Administrative Agent and the Administrative Agent notifies the Borrower that the circumstances giving rise to such determination no longer exist, (i) any obligation of the Lenders to make SOFR Loans, and any right of the Borrower to convert any Loan to a SOFR Loan or continue any Loan as a SOFR Loan,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Lender (with a copy to the Administrative Agent), prepay or, if applicable, convert all SOFR Loans to Base Rate Loans (in each case, if necessary to avoid such illegality, the Administrative Agent shall compute the Base Rate without reference to clause (c) of the definition of “Base Rate”), on the last day of the Interest Period therefor, if all affected Lenders may lawfully continue to maintain such SOFR Loans to such day, or immediately, if any Lender may not lawfully continue to maintain such SOFR Loans to such day. Upon any such prepayment or conversion, the Borrower shall also pay accrued interest on the amount so prepaid or converted, together with any additional amounts required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2.17.</w:t>
      </w:r>
    </w:p>
    <w:p>
      <w:pPr>
        <w:spacing w:after="0" w:line="222" w:lineRule="exact"/>
        <w:rPr>
          <w:sz w:val="20"/>
          <w:szCs w:val="20"/>
          <w:color w:val="auto"/>
        </w:rPr>
      </w:pPr>
    </w:p>
    <w:p>
      <w:pPr>
        <w:ind w:right="60" w:firstLine="656"/>
        <w:spacing w:after="0" w:line="239" w:lineRule="auto"/>
        <w:tabs>
          <w:tab w:leader="none" w:pos="109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9"/>
          <w:szCs w:val="19"/>
          <w:u w:val="single" w:color="auto"/>
          <w:color w:val="auto"/>
        </w:rPr>
        <w:t>Section 2.10(a)</w:t>
      </w:r>
      <w:r>
        <w:rPr>
          <w:rFonts w:ascii="Arial" w:cs="Arial" w:eastAsia="Arial" w:hAnsi="Arial"/>
          <w:sz w:val="19"/>
          <w:szCs w:val="19"/>
          <w:color w:val="auto"/>
        </w:rPr>
        <w:t xml:space="preserve"> will occur prior to the applicable Benchmark Transition Start Date.</w:t>
      </w:r>
    </w:p>
    <w:p>
      <w:pPr>
        <w:spacing w:after="0" w:line="215" w:lineRule="exact"/>
        <w:rPr>
          <w:rFonts w:ascii="Arial" w:cs="Arial" w:eastAsia="Arial" w:hAnsi="Arial"/>
          <w:sz w:val="19"/>
          <w:szCs w:val="19"/>
          <w:color w:val="auto"/>
        </w:rPr>
      </w:pPr>
    </w:p>
    <w:p>
      <w:pPr>
        <w:ind w:right="120" w:firstLine="656"/>
        <w:spacing w:after="0" w:line="257" w:lineRule="auto"/>
        <w:tabs>
          <w:tab w:leader="none" w:pos="1110"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Conforming Changes</w:t>
      </w:r>
      <w:r>
        <w:rPr>
          <w:rFonts w:ascii="Arial" w:cs="Arial" w:eastAsia="Arial" w:hAnsi="Arial"/>
          <w:sz w:val="19"/>
          <w:szCs w:val="19"/>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98" w:lineRule="exact"/>
        <w:rPr>
          <w:rFonts w:ascii="Arial" w:cs="Arial" w:eastAsia="Arial" w:hAnsi="Arial"/>
          <w:sz w:val="19"/>
          <w:szCs w:val="19"/>
          <w:color w:val="auto"/>
        </w:rPr>
      </w:pPr>
    </w:p>
    <w:p>
      <w:pPr>
        <w:ind w:firstLine="656"/>
        <w:spacing w:after="0" w:line="232" w:lineRule="auto"/>
        <w:tabs>
          <w:tab w:leader="none" w:pos="1110" w:val="left"/>
        </w:tabs>
        <w:numPr>
          <w:ilvl w:val="0"/>
          <w:numId w:val="194"/>
        </w:numPr>
        <w:rPr>
          <w:rFonts w:ascii="Arial" w:cs="Arial" w:eastAsia="Arial" w:hAnsi="Arial"/>
          <w:sz w:val="20"/>
          <w:szCs w:val="20"/>
          <w:color w:val="auto"/>
        </w:rPr>
      </w:pPr>
      <w:r>
        <w:rPr>
          <w:rFonts w:ascii="Arial" w:cs="Arial" w:eastAsia="Arial" w:hAnsi="Arial"/>
          <w:sz w:val="20"/>
          <w:szCs w:val="20"/>
          <w:u w:val="single" w:color="auto"/>
          <w:color w:val="auto"/>
        </w:rPr>
        <w:t>Notices; Standards for Decisions and Determinations</w:t>
      </w:r>
      <w:r>
        <w:rPr>
          <w:rFonts w:ascii="Arial" w:cs="Arial" w:eastAsia="Arial" w:hAnsi="Arial"/>
          <w:sz w:val="20"/>
          <w:szCs w:val="20"/>
          <w:color w:val="auto"/>
        </w:rPr>
        <w:t xml:space="preserve">.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promptly notify the Borrower of (x) the removal or reinstatement of any tenor of a Benchmark pursuant to </w:t>
      </w:r>
      <w:r>
        <w:rPr>
          <w:rFonts w:ascii="Arial" w:cs="Arial" w:eastAsia="Arial" w:hAnsi="Arial"/>
          <w:sz w:val="20"/>
          <w:szCs w:val="20"/>
          <w:u w:val="single" w:color="auto"/>
          <w:color w:val="auto"/>
        </w:rPr>
        <w:t>Section 2.10(f) and (y) the commencement of any Benchmark Unavailability Period</w:t>
      </w:r>
      <w:r>
        <w:rPr>
          <w:rFonts w:ascii="Arial" w:cs="Arial" w:eastAsia="Arial" w:hAnsi="Arial"/>
          <w:sz w:val="20"/>
          <w:szCs w:val="20"/>
          <w:color w:val="auto"/>
        </w:rPr>
        <w:t xml:space="preserve">. Any determination, decision or election that may be made by the Administrative Agent or, if applicable, any Lender (or group of Lenders) pursuant to this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20"/>
          <w:szCs w:val="20"/>
          <w:u w:val="single" w:color="auto"/>
          <w:color w:val="auto"/>
        </w:rPr>
        <w:t>Section 2.10</w:t>
      </w:r>
      <w:r>
        <w:rPr>
          <w:rFonts w:ascii="Arial" w:cs="Arial" w:eastAsia="Arial" w:hAnsi="Arial"/>
          <w:sz w:val="20"/>
          <w:szCs w:val="20"/>
          <w:color w:val="auto"/>
        </w:rPr>
        <w:t>.</w:t>
      </w:r>
    </w:p>
    <w:p>
      <w:pPr>
        <w:spacing w:after="0" w:line="8" w:lineRule="exact"/>
        <w:rPr>
          <w:rFonts w:ascii="Arial" w:cs="Arial" w:eastAsia="Arial" w:hAnsi="Arial"/>
          <w:sz w:val="20"/>
          <w:szCs w:val="20"/>
          <w:color w:val="auto"/>
        </w:rPr>
      </w:pPr>
    </w:p>
    <w:p>
      <w:pPr>
        <w:ind w:right="40" w:firstLine="656"/>
        <w:spacing w:after="0" w:line="246" w:lineRule="auto"/>
        <w:tabs>
          <w:tab w:leader="none" w:pos="1054"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20"/>
          </w:cols>
          <w:pgMar w:left="320" w:top="1414" w:right="359" w:bottom="1440" w:gutter="0" w:footer="0" w:header="0"/>
        </w:sectPr>
      </w:pPr>
    </w:p>
    <w:bookmarkStart w:id="203" w:name="page204"/>
    <w:bookmarkEnd w:id="203"/>
    <w:p>
      <w:pPr>
        <w:ind w:right="100"/>
        <w:spacing w:after="0" w:line="237" w:lineRule="auto"/>
        <w:rPr>
          <w:sz w:val="20"/>
          <w:szCs w:val="20"/>
          <w:color w:val="auto"/>
        </w:rPr>
      </w:pPr>
      <w:r>
        <w:rPr>
          <w:rFonts w:ascii="Arial" w:cs="Arial" w:eastAsia="Arial" w:hAnsi="Arial"/>
          <w:sz w:val="20"/>
          <w:szCs w:val="20"/>
          <w:color w:val="auto"/>
        </w:rPr>
        <w:t>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17" w:lineRule="exact"/>
        <w:rPr>
          <w:sz w:val="20"/>
          <w:szCs w:val="20"/>
          <w:color w:val="auto"/>
        </w:rPr>
      </w:pPr>
    </w:p>
    <w:p>
      <w:pPr>
        <w:ind w:firstLine="656"/>
        <w:spacing w:after="0" w:line="234" w:lineRule="auto"/>
        <w:tabs>
          <w:tab w:leader="none" w:pos="1110"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218" w:lineRule="exact"/>
        <w:rPr>
          <w:sz w:val="20"/>
          <w:szCs w:val="20"/>
          <w:color w:val="auto"/>
        </w:rPr>
      </w:pPr>
    </w:p>
    <w:p>
      <w:pPr>
        <w:ind w:right="40" w:firstLine="648"/>
        <w:spacing w:after="0" w:line="233" w:lineRule="auto"/>
        <w:rPr>
          <w:sz w:val="20"/>
          <w:szCs w:val="20"/>
          <w:color w:val="auto"/>
        </w:rPr>
      </w:pPr>
      <w:r>
        <w:rPr>
          <w:rFonts w:ascii="Arial" w:cs="Arial" w:eastAsia="Arial" w:hAnsi="Arial"/>
          <w:sz w:val="20"/>
          <w:szCs w:val="20"/>
          <w:color w:val="auto"/>
        </w:rPr>
        <w:t xml:space="preserve">2.11. </w:t>
      </w:r>
      <w:r>
        <w:rPr>
          <w:rFonts w:ascii="Arial" w:cs="Arial" w:eastAsia="Arial" w:hAnsi="Arial"/>
          <w:sz w:val="20"/>
          <w:szCs w:val="20"/>
          <w:u w:val="single" w:color="auto"/>
          <w:color w:val="auto"/>
        </w:rPr>
        <w:t>Prepayment of Term Loans</w:t>
      </w:r>
      <w:r>
        <w:rPr>
          <w:rFonts w:ascii="Arial" w:cs="Arial" w:eastAsia="Arial" w:hAnsi="Arial"/>
          <w:sz w:val="20"/>
          <w:szCs w:val="20"/>
          <w:color w:val="auto"/>
        </w:rPr>
        <w:t xml:space="preserve">. Subject to the provisos below, the Borrower may at any time and from time to time prepay the Term Loans, in whole or in part, without premium or penalty, upon irrevocable notice, which shall be in substantially the firm attached hereto as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delivered to the Administrative Agent prior to 10:00 A.M., New York City time on the same Business Day, which notice shall specify the date and amount of prepayment, whether the prepayment is of Term A-1 Loans, Term A-2 Loans or Term A-3 Loans and whether the prepayment is of SOFR Loans or Base Rate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SOFR Loan is prepaid on any day other than the last day of the Interest Period applicable thereto, the Borrower shall also pay any amounts owing pursuant to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Upon receipt of any such notice of prepayment, the Administrative Agent shall notify each relevant Lender thereof on the date of receipt of such notice. If any such notice is given, the amount specified in such notice shall be due and payable on the date specified therein, together with (except in the case of prepayments of Term Loans maintained as Base Rate Loans) accrued interest to such date on the amount prepaid. Partial prepayments shall be in an aggregate principal amount of $1,000,000 or a whole multiple of $1,000,000 in excess thereof (or, if less, the then outstanding principal amount of Term Loans). The application of any prepayment pursuant to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be made, first, to Base Rate Loans of the respective Lenders (and of the respective tranche, if there are multiple tranches) and, second, to SOFR Loans of the respective Lenders (and of the respective tranche, if there are multiple tranches). A notice of prepayment of all outstanding Term Loans pursuant to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may state that such notice is conditioned upon the effectiveness of other credit facilities, securities offerings or other transactions, the proceeds of which will be used to refinance in full this Agreement, in which case such notice may be revoked by the Borrower (by notice to the Administrative Agent on or prior to the specified effective date) if such condition is not satisfied. Any prepayment of a Term A-2 Loan or Term A-3 Loan may be applied to reduce the subsequent scheduled repayments of the Term A-2 Loans or Term A-3 Loans. respectively. to be made, as directed by Borrower.</w:t>
      </w:r>
    </w:p>
    <w:p>
      <w:pPr>
        <w:spacing w:after="0" w:line="20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9"/>
          <w:szCs w:val="19"/>
          <w:u w:val="single" w:color="auto"/>
          <w:color w:val="auto"/>
        </w:rPr>
        <w:t>Conversion and Continuation Options</w:t>
      </w:r>
      <w:r>
        <w:rPr>
          <w:rFonts w:ascii="Arial" w:cs="Arial" w:eastAsia="Arial" w:hAnsi="Arial"/>
          <w:sz w:val="19"/>
          <w:szCs w:val="19"/>
          <w:color w:val="auto"/>
        </w:rPr>
        <w:t>.</w:t>
      </w:r>
    </w:p>
    <w:p>
      <w:pPr>
        <w:spacing w:after="0" w:line="243" w:lineRule="exact"/>
        <w:rPr>
          <w:sz w:val="20"/>
          <w:szCs w:val="20"/>
          <w:color w:val="auto"/>
        </w:rPr>
      </w:pPr>
    </w:p>
    <w:p>
      <w:pPr>
        <w:ind w:right="100" w:firstLine="656"/>
        <w:spacing w:after="0" w:line="250" w:lineRule="auto"/>
        <w:tabs>
          <w:tab w:leader="none" w:pos="1106"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Borrower may elect from time to time to convert SOFR Loans to Base Rate Loans by giving the Administrative Agent prior irrevocable notice, in substantially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of such election no later than 12:00 Noon, New York City time, on the Business Day preceding the proposed conversion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conversion of SOFR Loans may only be made on the last day of an Interest Period with respect thereto. The Borrower may elect from time to time to convert Base Rate Loans to SOFR Loans by giving the Administrative Agent prior irrevocable notice of such election no later than 12:00 Noon, New York City time, on the third (3rd) Business Day preceding the proposed conversion date (which notice shall specify the length of the initial Interest Period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Base Rate Loan may be converted into a SOFR Loan when any Event of Default has occurred and is continuing and the Administrative Agent or the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14" w:right="339" w:bottom="1440" w:gutter="0" w:footer="0" w:header="0"/>
        </w:sectPr>
      </w:pPr>
    </w:p>
    <w:bookmarkStart w:id="204" w:name="page205"/>
    <w:bookmarkEnd w:id="204"/>
    <w:p>
      <w:pPr>
        <w:ind w:right="520"/>
        <w:spacing w:after="0" w:line="257" w:lineRule="auto"/>
        <w:rPr>
          <w:sz w:val="20"/>
          <w:szCs w:val="20"/>
          <w:color w:val="auto"/>
        </w:rPr>
      </w:pPr>
      <w:r>
        <w:rPr>
          <w:rFonts w:ascii="Arial" w:cs="Arial" w:eastAsia="Arial" w:hAnsi="Arial"/>
          <w:sz w:val="20"/>
          <w:szCs w:val="20"/>
          <w:color w:val="auto"/>
        </w:rPr>
        <w:t>Lenders have determined in its or their sole discretion not to permit such conversions. Upon receipt of any such notice, the Administrative Agent shall promptly notify each relevant Lender thereof.</w:t>
      </w:r>
    </w:p>
    <w:p>
      <w:pPr>
        <w:spacing w:after="0" w:line="196" w:lineRule="exact"/>
        <w:rPr>
          <w:sz w:val="20"/>
          <w:szCs w:val="20"/>
          <w:color w:val="auto"/>
        </w:rPr>
      </w:pPr>
    </w:p>
    <w:p>
      <w:pPr>
        <w:ind w:firstLine="656"/>
        <w:spacing w:after="0" w:line="233" w:lineRule="auto"/>
        <w:tabs>
          <w:tab w:leader="none" w:pos="1110"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Subject to the final sentence of this Section 2.12(b), any SOFR Loan may be continued as such upon the expiration of the then current Interest Period with respect thereto by the Borrower giving irrevocable notice no later than 12:00 Noon, New York City time, on the third (3rd) Business Day preceding the proposed continuation date to the Administrative Agent, in substantially the form attached hereto as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in accordance with the applicable provisions of the term “Interest Period” set forth in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of the length of the next Interest Period to be applicable to such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SOFR Loan may be continued as such when any Event of Default has occurred and is continuing and the Administrative Agent has or the Required Lenders have determined in its or their sole discretion not to permit such continuations,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the Borrower shall fail to give any required notice as described above in this paragraph or if such continuation is not permitted pursuant to the preceding proviso such SOFR Loans shall be automatically converted to Base Rate Loans on the last day of such then expiring Interest Period. Upon receipt of any such notice, the Administrative Agent shall promptly notify each relevant Lender thereof. The Borrower may provide in a Borrowing Request that, for each Interest Period ending on and after the Closing Date that the Borrower elects for the then outstanding principal amount of the Term Loans to be automatically continued for an Interest Period of one month and such Borrowing Request shall constitute notice of continuation as required under this Section 2.12(b); provided that (i) the Borrower agrees that if prior to the time of any such continuation any Event of Default has occurred and is continuing or will (immediately after giving effect to such continuation) occur and be continuing, it will immediately notify the Administrative Agent and (ii) prior to the time of any such automatic continuation, unless the Administrative Agent receives written notice to the contrary from the Borrower, the Borrower shall be deemed to certify that no Event of Default has occurred or is continuing.</w:t>
      </w:r>
    </w:p>
    <w:p>
      <w:pPr>
        <w:spacing w:after="0" w:line="207" w:lineRule="exact"/>
        <w:rPr>
          <w:sz w:val="20"/>
          <w:szCs w:val="20"/>
          <w:color w:val="auto"/>
        </w:rPr>
      </w:pPr>
    </w:p>
    <w:p>
      <w:pPr>
        <w:ind w:right="40" w:firstLine="648"/>
        <w:spacing w:after="0" w:line="245" w:lineRule="auto"/>
        <w:rPr>
          <w:sz w:val="20"/>
          <w:szCs w:val="20"/>
          <w:color w:val="auto"/>
        </w:rPr>
      </w:pPr>
      <w:r>
        <w:rPr>
          <w:rFonts w:ascii="Arial" w:cs="Arial" w:eastAsia="Arial" w:hAnsi="Arial"/>
          <w:sz w:val="20"/>
          <w:szCs w:val="20"/>
          <w:color w:val="auto"/>
        </w:rPr>
        <w:t xml:space="preserve">2.13. </w:t>
      </w:r>
      <w:r>
        <w:rPr>
          <w:rFonts w:ascii="Arial" w:cs="Arial" w:eastAsia="Arial" w:hAnsi="Arial"/>
          <w:sz w:val="20"/>
          <w:szCs w:val="20"/>
          <w:u w:val="single" w:color="auto"/>
          <w:color w:val="auto"/>
        </w:rPr>
        <w:t>Limitations on Adjusted Term SOFR Tranches</w:t>
      </w:r>
      <w:r>
        <w:rPr>
          <w:rFonts w:ascii="Arial" w:cs="Arial" w:eastAsia="Arial" w:hAnsi="Arial"/>
          <w:sz w:val="20"/>
          <w:szCs w:val="20"/>
          <w:color w:val="auto"/>
        </w:rPr>
        <w:t>. Notwithstanding anything to the contrary in this Agreement, all borrowings, conversions and continuations of SOFR Loans and all selections of Interest Periods shall be in such amounts and be made pursuant to such elections so that no more than ten different Interest Periods of Term Loans be outstanding at any one time (unless a greater number of Interest Periods is permitted by the Administrative Agent).</w:t>
      </w:r>
    </w:p>
    <w:p>
      <w:pPr>
        <w:spacing w:after="0" w:line="19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9"/>
          <w:szCs w:val="19"/>
          <w:u w:val="single" w:color="auto"/>
          <w:color w:val="auto"/>
        </w:rPr>
        <w:t>Pro Rata Treatment, etc.</w:t>
      </w:r>
    </w:p>
    <w:p>
      <w:pPr>
        <w:spacing w:after="0" w:line="243" w:lineRule="exact"/>
        <w:rPr>
          <w:sz w:val="20"/>
          <w:szCs w:val="20"/>
          <w:color w:val="auto"/>
        </w:rPr>
      </w:pPr>
    </w:p>
    <w:p>
      <w:pPr>
        <w:ind w:right="20" w:firstLine="656"/>
        <w:spacing w:after="0" w:line="241" w:lineRule="auto"/>
        <w:tabs>
          <w:tab w:leader="none" w:pos="111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Except as otherwise provided herein, (i) the Term A-1 Loan Borrowing on the Closing Date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among the Term A-1 Lenders, (ii) the Term A-2 Loan Borrowing on the Closing Date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among the Term A-2 Lenders and (iii) the Term A-3 Loan Borrowing on the Closing Date shall be made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among the Term A-3 Lenders.</w:t>
      </w:r>
    </w:p>
    <w:p>
      <w:pPr>
        <w:spacing w:after="0" w:line="211" w:lineRule="exact"/>
        <w:rPr>
          <w:rFonts w:ascii="Arial" w:cs="Arial" w:eastAsia="Arial" w:hAnsi="Arial"/>
          <w:sz w:val="20"/>
          <w:szCs w:val="20"/>
          <w:color w:val="auto"/>
        </w:rPr>
      </w:pPr>
    </w:p>
    <w:p>
      <w:pPr>
        <w:ind w:right="80" w:firstLine="656"/>
        <w:spacing w:after="0" w:line="237" w:lineRule="auto"/>
        <w:tabs>
          <w:tab w:leader="none" w:pos="111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Except as otherwise provided herein, each payment (including each prepayment) by the Borrower on account of (i) principal or interest of the Term A-1 Loans shall be made pro rata according to the respective outstanding principal amounts of such Term A-1 Loans then held by the applicable Lenders, (ii) principal or interest of the Term A-2 Loans shall be made pro rata according to the respective outstanding principal amounts of such Term A-2 Loans then held by the applicable Lenders and (iii) principal or interest of the Term A-3 Loans shall be made pro rata according to the respective outstanding principal amounts of such Term A-3 Loans then held by the applicable Lenders.</w:t>
      </w:r>
    </w:p>
    <w:p>
      <w:pPr>
        <w:spacing w:after="0" w:line="203" w:lineRule="exact"/>
        <w:rPr>
          <w:rFonts w:ascii="Arial" w:cs="Arial" w:eastAsia="Arial" w:hAnsi="Arial"/>
          <w:sz w:val="20"/>
          <w:szCs w:val="20"/>
          <w:color w:val="auto"/>
        </w:rPr>
      </w:pPr>
    </w:p>
    <w:p>
      <w:pPr>
        <w:ind w:right="160" w:firstLine="656"/>
        <w:spacing w:after="0" w:line="237" w:lineRule="auto"/>
        <w:tabs>
          <w:tab w:leader="none" w:pos="1088" w:val="left"/>
        </w:tabs>
        <w:numPr>
          <w:ilvl w:val="0"/>
          <w:numId w:val="198"/>
        </w:numPr>
        <w:rPr>
          <w:rFonts w:ascii="Arial" w:cs="Arial" w:eastAsia="Arial" w:hAnsi="Arial"/>
          <w:sz w:val="20"/>
          <w:szCs w:val="20"/>
          <w:color w:val="auto"/>
        </w:rPr>
      </w:pPr>
      <w:r>
        <w:rPr>
          <w:rFonts w:ascii="Arial" w:cs="Arial" w:eastAsia="Arial" w:hAnsi="Arial"/>
          <w:sz w:val="20"/>
          <w:szCs w:val="20"/>
          <w:color w:val="auto"/>
        </w:rPr>
        <w:t xml:space="preserve">All payments by the Borrower hereunder and under the Notes shall be made in Dollars in immediately available funds without setoff or counterclaim at the Funding Office of the Administrative Agent by 2:00 P.M., New York City time, on the date on which such payment shall be due,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any payment hereunder would become due and payable on a day other than a Business Day such payment shall become due and payable on the next succeeding Business Day and, with respect to payments of principal, interest thereon shall be payable at the then applicable rate during such extension. Interest in respect of any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20"/>
          </w:cols>
          <w:pgMar w:left="320" w:top="1414" w:right="359" w:bottom="1440" w:gutter="0" w:footer="0" w:header="0"/>
        </w:sectPr>
      </w:pPr>
    </w:p>
    <w:bookmarkStart w:id="205" w:name="page206"/>
    <w:bookmarkEnd w:id="205"/>
    <w:p>
      <w:pPr>
        <w:ind w:right="340"/>
        <w:spacing w:after="0" w:line="257" w:lineRule="auto"/>
        <w:rPr>
          <w:sz w:val="20"/>
          <w:szCs w:val="20"/>
          <w:color w:val="auto"/>
        </w:rPr>
      </w:pPr>
      <w:r>
        <w:rPr>
          <w:rFonts w:ascii="Arial" w:cs="Arial" w:eastAsia="Arial" w:hAnsi="Arial"/>
          <w:sz w:val="20"/>
          <w:szCs w:val="20"/>
          <w:color w:val="auto"/>
        </w:rPr>
        <w:t>hereunder shall accrue from and including the date of such Term Loan to but excluding the date on which such Term Loan is paid in full.</w:t>
      </w:r>
    </w:p>
    <w:p>
      <w:pPr>
        <w:spacing w:after="0" w:line="196" w:lineRule="exact"/>
        <w:rPr>
          <w:sz w:val="20"/>
          <w:szCs w:val="20"/>
          <w:color w:val="auto"/>
        </w:rPr>
      </w:pPr>
    </w:p>
    <w:p>
      <w:pPr>
        <w:ind w:firstLine="656"/>
        <w:spacing w:after="0" w:line="235" w:lineRule="auto"/>
        <w:tabs>
          <w:tab w:leader="none" w:pos="111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 xml:space="preserve">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w:t>
      </w:r>
      <w:r>
        <w:rPr>
          <w:rFonts w:ascii="Arial" w:cs="Arial" w:eastAsia="Arial" w:hAnsi="Arial"/>
          <w:sz w:val="20"/>
          <w:szCs w:val="20"/>
          <w:u w:val="single" w:color="auto"/>
          <w:color w:val="auto"/>
        </w:rPr>
        <w:t>pro rata</w:t>
      </w:r>
      <w:r>
        <w:rPr>
          <w:rFonts w:ascii="Arial" w:cs="Arial" w:eastAsia="Arial" w:hAnsi="Arial"/>
          <w:sz w:val="20"/>
          <w:szCs w:val="20"/>
          <w:color w:val="auto"/>
        </w:rPr>
        <w:t xml:space="preserve"> shares of a corresponding amount. If such payment is not made to the Administrative Agent by the Borrower within three (3)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9"/>
          <w:szCs w:val="19"/>
          <w:u w:val="single" w:color="auto"/>
          <w:color w:val="auto"/>
        </w:rPr>
        <w:t>Requirements of Law</w:t>
      </w:r>
      <w:r>
        <w:rPr>
          <w:rFonts w:ascii="Arial" w:cs="Arial" w:eastAsia="Arial" w:hAnsi="Arial"/>
          <w:sz w:val="19"/>
          <w:szCs w:val="19"/>
          <w:color w:val="auto"/>
        </w:rPr>
        <w:t>.</w:t>
      </w:r>
    </w:p>
    <w:p>
      <w:pPr>
        <w:spacing w:after="0" w:line="229" w:lineRule="exact"/>
        <w:rPr>
          <w:sz w:val="20"/>
          <w:szCs w:val="20"/>
          <w:color w:val="auto"/>
        </w:rPr>
      </w:pPr>
    </w:p>
    <w:p>
      <w:pPr>
        <w:ind w:right="180" w:firstLine="656"/>
        <w:spacing w:after="0" w:line="238" w:lineRule="auto"/>
        <w:tabs>
          <w:tab w:leader="none" w:pos="111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If the adoption of or any change in any Requirement of Law or in the interpretation or application thereof or compliance by any Lender with any request or directive (whether or not having the force of law) from any central bank or other Governmental Authority, in each case, made subsequent to the Closing Date (including, but not limited to, (i) the Dodd-Frank Wall Street Reform and Consumer Protection Act and, in each case, all requests, rules,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Governmental Authorities, in each case pursuant to Basel III):</w:t>
      </w:r>
    </w:p>
    <w:p>
      <w:pPr>
        <w:spacing w:after="0" w:line="199" w:lineRule="exact"/>
        <w:rPr>
          <w:rFonts w:ascii="Arial" w:cs="Arial" w:eastAsia="Arial" w:hAnsi="Arial"/>
          <w:sz w:val="20"/>
          <w:szCs w:val="20"/>
          <w:color w:val="auto"/>
        </w:rPr>
      </w:pPr>
    </w:p>
    <w:p>
      <w:pPr>
        <w:ind w:left="660" w:right="120" w:firstLine="644"/>
        <w:spacing w:after="0" w:line="248" w:lineRule="auto"/>
        <w:tabs>
          <w:tab w:leader="none" w:pos="1704" w:val="left"/>
        </w:tabs>
        <w:numPr>
          <w:ilvl w:val="1"/>
          <w:numId w:val="200"/>
        </w:numPr>
        <w:rPr>
          <w:rFonts w:ascii="Arial" w:cs="Arial" w:eastAsia="Arial" w:hAnsi="Arial"/>
          <w:sz w:val="20"/>
          <w:szCs w:val="20"/>
          <w:color w:val="auto"/>
        </w:rPr>
      </w:pPr>
      <w:r>
        <w:rPr>
          <w:rFonts w:ascii="Arial" w:cs="Arial" w:eastAsia="Arial" w:hAnsi="Arial"/>
          <w:sz w:val="20"/>
          <w:szCs w:val="20"/>
          <w:color w:val="auto"/>
        </w:rPr>
        <w:t xml:space="preserve">shall subject the Administrative Agent, any Lender to any Tax of any kind whatsoever with respect to this Agreement or any SOFR Loan made by it (except for Non-Excluded Taxes or Other Taxes covered by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any Excluded Taxes); or</w:t>
      </w:r>
    </w:p>
    <w:p>
      <w:pPr>
        <w:spacing w:after="0" w:line="191" w:lineRule="exact"/>
        <w:rPr>
          <w:rFonts w:ascii="Arial" w:cs="Arial" w:eastAsia="Arial" w:hAnsi="Arial"/>
          <w:sz w:val="20"/>
          <w:szCs w:val="20"/>
          <w:color w:val="auto"/>
        </w:rPr>
      </w:pPr>
    </w:p>
    <w:p>
      <w:pPr>
        <w:ind w:left="660" w:right="40" w:firstLine="644"/>
        <w:spacing w:after="0" w:line="245" w:lineRule="auto"/>
        <w:tabs>
          <w:tab w:leader="none" w:pos="1748"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Lender that is not otherwise included in the determination of Adjusted Term SOFR; or</w:t>
      </w:r>
    </w:p>
    <w:p>
      <w:pPr>
        <w:spacing w:after="0" w:line="194" w:lineRule="exact"/>
        <w:rPr>
          <w:rFonts w:ascii="Arial" w:cs="Arial" w:eastAsia="Arial" w:hAnsi="Arial"/>
          <w:sz w:val="20"/>
          <w:szCs w:val="20"/>
          <w:color w:val="auto"/>
        </w:rPr>
      </w:pPr>
    </w:p>
    <w:p>
      <w:pPr>
        <w:ind w:left="660" w:right="60" w:firstLine="644"/>
        <w:spacing w:after="0" w:line="248" w:lineRule="auto"/>
        <w:tabs>
          <w:tab w:leader="none" w:pos="1627" w:val="left"/>
        </w:tabs>
        <w:numPr>
          <w:ilvl w:val="1"/>
          <w:numId w:val="200"/>
        </w:numPr>
        <w:rPr>
          <w:rFonts w:ascii="Arial" w:cs="Arial" w:eastAsia="Arial" w:hAnsi="Arial"/>
          <w:sz w:val="20"/>
          <w:szCs w:val="20"/>
          <w:color w:val="auto"/>
        </w:rPr>
      </w:pPr>
      <w:r>
        <w:rPr>
          <w:rFonts w:ascii="Arial" w:cs="Arial" w:eastAsia="Arial" w:hAnsi="Arial"/>
          <w:sz w:val="20"/>
          <w:szCs w:val="20"/>
          <w:color w:val="auto"/>
        </w:rPr>
        <w:t>shall impose on any such Lender or the interbank market (by reasons of such Lender’s participation in the interbank market) any other condition, cost or expense (other than Taxes) affecting this Agreement or Term Loans made by such Lender;</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and the result of any of the foregoing is to increase the cost to such Lender, by an amount that such Lender deems to be material, of making, converting into, continuing or maintaining SOFR Loans, or to reduce any amount receivable hereunder in respect thereof, then, in any such case, the Borrower shall promptly pay such Lender, upon its demand, any additional amounts necessary to compensate such Lender for such increased cost or reduced amount receivable. If any Lender becomes entitled to claim any additional amounts pursuant to this paragraph, it shall promptly notify the Borrower (with a copy to the Administrative Agent) of the event by reason of which it has become so entitled.</w:t>
      </w:r>
    </w:p>
    <w:p>
      <w:pPr>
        <w:spacing w:after="0" w:line="217" w:lineRule="exact"/>
        <w:rPr>
          <w:sz w:val="20"/>
          <w:szCs w:val="20"/>
          <w:color w:val="auto"/>
        </w:rPr>
      </w:pPr>
    </w:p>
    <w:p>
      <w:pPr>
        <w:ind w:right="180" w:firstLine="656"/>
        <w:spacing w:after="0" w:line="237" w:lineRule="auto"/>
        <w:tabs>
          <w:tab w:leader="none" w:pos="111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If any Lender shall have determined that the adoption of or any change in any Requirement of Law regarding capital adequacy or liquidity requirements or in the interpretation or application thereof or compliance by such Lender or any corporation controlling such Lender with any request or directive regarding capital adequacy or liquidity requirements (whether or not having the force of law) from any Governmental Authority made subsequent to the Closing Date shall have the effect of reducing the rate of return on such Lender’s or such corporation’s capital as a consequence of its obligations hereunder to a level below that which</w:t>
      </w:r>
    </w:p>
    <w:p>
      <w:pPr>
        <w:sectPr>
          <w:pgSz w:w="11900" w:h="16838" w:orient="portrait"/>
          <w:cols w:equalWidth="0" w:num="1">
            <w:col w:w="11200"/>
          </w:cols>
          <w:pgMar w:left="320" w:top="14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00"/>
          </w:cols>
          <w:pgMar w:left="320" w:top="1414" w:right="379" w:bottom="1440" w:gutter="0" w:footer="0" w:header="0"/>
          <w:type w:val="continuous"/>
        </w:sectPr>
      </w:pPr>
    </w:p>
    <w:bookmarkStart w:id="206" w:name="page207"/>
    <w:bookmarkEnd w:id="206"/>
    <w:p>
      <w:pPr>
        <w:ind w:right="20"/>
        <w:spacing w:after="0"/>
        <w:rPr>
          <w:sz w:val="20"/>
          <w:szCs w:val="20"/>
          <w:color w:val="auto"/>
        </w:rPr>
      </w:pPr>
      <w:r>
        <w:rPr>
          <w:rFonts w:ascii="Arial" w:cs="Arial" w:eastAsia="Arial" w:hAnsi="Arial"/>
          <w:sz w:val="20"/>
          <w:szCs w:val="20"/>
          <w:color w:val="auto"/>
        </w:rPr>
        <w:t>such Lender or such corporation could have achieved but for such adoption, change or compliance (taking into consideration such Lender’s or such corporation’s policies with respect to capital adequacy or liquidity requirements) by an amount deemed by such Lender to be material, then from time to time, after submission by such Lender to the Borrower (with a copy to the Administrative Agent) of a written request therefor, the Borrower shall pay to such Lender such additional amount or amounts as will compensate such Lender or such corporation for such reduction.</w:t>
      </w:r>
    </w:p>
    <w:p>
      <w:pPr>
        <w:spacing w:after="0" w:line="200" w:lineRule="exact"/>
        <w:rPr>
          <w:sz w:val="20"/>
          <w:szCs w:val="20"/>
          <w:color w:val="auto"/>
        </w:rPr>
      </w:pPr>
    </w:p>
    <w:p>
      <w:pPr>
        <w:ind w:firstLine="656"/>
        <w:spacing w:after="0" w:line="236" w:lineRule="auto"/>
        <w:tabs>
          <w:tab w:leader="none" w:pos="108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 xml:space="preserve">A certificate as to any additional amounts payable pursuant to this Section submitted by any Lender to the Borrower (with a copy to the Administrative Agent) shall be conclusive in the absence of manifest error. Notwithstanding anything to the contrary in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the Borrower shall not be required to compensate any Lender pursuant to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for any amounts incurred more than 180 days prior to the date that such Lender notifies the Borrower of such Lender’s intention to claim compensation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claim have a retroactive effect, then such 180 days period shall be extended to include the period of such retroactive effect. The obligations of the Borrower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shall survive the termination of this Agreement and the payment of the Term Loans and all other amounts payable hereunder.</w:t>
      </w:r>
    </w:p>
    <w:p>
      <w:pPr>
        <w:spacing w:after="0" w:line="20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2.16.</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43" w:lineRule="exact"/>
        <w:rPr>
          <w:sz w:val="20"/>
          <w:szCs w:val="20"/>
          <w:color w:val="auto"/>
        </w:rPr>
      </w:pPr>
    </w:p>
    <w:p>
      <w:pPr>
        <w:ind w:firstLine="656"/>
        <w:spacing w:after="0" w:line="244" w:lineRule="auto"/>
        <w:tabs>
          <w:tab w:leader="none" w:pos="1110" w:val="left"/>
        </w:tabs>
        <w:numPr>
          <w:ilvl w:val="1"/>
          <w:numId w:val="203"/>
        </w:numPr>
        <w:rPr>
          <w:rFonts w:ascii="Arial" w:cs="Arial" w:eastAsia="Arial" w:hAnsi="Arial"/>
          <w:sz w:val="19"/>
          <w:szCs w:val="19"/>
          <w:color w:val="auto"/>
        </w:rPr>
      </w:pPr>
      <w:r>
        <w:rPr>
          <w:rFonts w:ascii="Arial" w:cs="Arial" w:eastAsia="Arial" w:hAnsi="Arial"/>
          <w:sz w:val="19"/>
          <w:szCs w:val="19"/>
          <w:color w:val="auto"/>
        </w:rPr>
        <w:t xml:space="preserve">Unless required by applicable law (as determined in good faith by the applicable withholding agent), all payments by or on account of any obligation of any Loan Party hereunder or under any other Loan Document shall be made free and clear of, and without deduction or withholding for or on account of, any Taxes, excluding (i) Taxes imposed on or measured by net income (however denominated), gross receipts Taxes (imposed in lieu of net income Taxes) and franchise Taxes (imposed in lieu of net income Taxes) imposed on the Administrative Agent or any Lender as a result of such recipient (A) being organized or having its principal office in the applicable taxing jurisdiction, or in the case of any Lender, having its applicable lending office in such jurisdiction, or (B) having any other present or former connection with the applicable taxing jurisdiction (other than any such connection arising solely from the Administrative Agent or such Lender having executed, delivered, become a party to, or performed its obligations or received a payment under, or enforced, and/or engaged in any activities contemplated with respect to this Agreement or any other Loan Document); (ii) any Taxes in the nature of the branch profits tax within the meaning of Section 884 of the Code imposed by any jurisdiction described in clause (i) above; (iii) other than in the case of an assignee pursuant to a request by the Borrower under </w:t>
      </w:r>
      <w:r>
        <w:rPr>
          <w:rFonts w:ascii="Arial" w:cs="Arial" w:eastAsia="Arial" w:hAnsi="Arial"/>
          <w:sz w:val="19"/>
          <w:szCs w:val="19"/>
          <w:u w:val="single" w:color="auto"/>
          <w:color w:val="auto"/>
        </w:rPr>
        <w:t>Section 2.22</w:t>
      </w:r>
      <w:r>
        <w:rPr>
          <w:rFonts w:ascii="Arial" w:cs="Arial" w:eastAsia="Arial" w:hAnsi="Arial"/>
          <w:sz w:val="19"/>
          <w:szCs w:val="19"/>
          <w:color w:val="auto"/>
        </w:rPr>
        <w:t xml:space="preserve"> hereof, any U.S. federal withholding tax except (A) to the extent such withholding tax results from a change in a Requirement of Law after the recipient became a party hereto or changed its lending office or (B) to the extent that such recipient’s assignor (if any) was entitled immediately prior to such assignment or such recipient was entitled immediately prior to changing its lending office to receive additional amounts from any Loan Party with respect to such withholding tax pursuant to this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(iv) any withholding Tax that is attributable to the recipient’s failure to comply with </w:t>
      </w:r>
      <w:r>
        <w:rPr>
          <w:rFonts w:ascii="Arial" w:cs="Arial" w:eastAsia="Arial" w:hAnsi="Arial"/>
          <w:sz w:val="19"/>
          <w:szCs w:val="19"/>
          <w:u w:val="single" w:color="auto"/>
          <w:color w:val="auto"/>
        </w:rPr>
        <w:t>Section 2.16(e)</w:t>
      </w:r>
      <w:r>
        <w:rPr>
          <w:rFonts w:ascii="Arial" w:cs="Arial" w:eastAsia="Arial" w:hAnsi="Arial"/>
          <w:sz w:val="19"/>
          <w:szCs w:val="19"/>
          <w:color w:val="auto"/>
        </w:rPr>
        <w:t xml:space="preserve"> hereof; and (v) any withholding Taxes imposed pursuant to FATCA. If any such non-excluded Taxes (“</w:t>
      </w:r>
      <w:r>
        <w:rPr>
          <w:rFonts w:ascii="Arial" w:cs="Arial" w:eastAsia="Arial" w:hAnsi="Arial"/>
          <w:sz w:val="19"/>
          <w:szCs w:val="19"/>
          <w:u w:val="single" w:color="auto"/>
          <w:color w:val="auto"/>
        </w:rPr>
        <w:t>Non-Excluded Taxes</w:t>
      </w:r>
      <w:r>
        <w:rPr>
          <w:rFonts w:ascii="Arial" w:cs="Arial" w:eastAsia="Arial" w:hAnsi="Arial"/>
          <w:sz w:val="19"/>
          <w:szCs w:val="19"/>
          <w:color w:val="auto"/>
        </w:rPr>
        <w:t xml:space="preserve">”) or Other Taxes are required by law to be withheld by the applicable withholding agent from any amounts payable to the Administrative Agent or any Lender hereunder, or under any other Loan Document: (x) the amounts so payable by the applicable Loan Party to the Administrative Agent or such Lender shall be increased to the extent necessary so that after all required deductions for Non-Excluded Taxes and Other Taxes (including deductions for Non-Excluded Taxes and Other Taxes applicable to additional sums payable under this </w:t>
      </w:r>
      <w:r>
        <w:rPr>
          <w:rFonts w:ascii="Arial" w:cs="Arial" w:eastAsia="Arial" w:hAnsi="Arial"/>
          <w:sz w:val="19"/>
          <w:szCs w:val="19"/>
          <w:u w:val="single" w:color="auto"/>
          <w:color w:val="auto"/>
        </w:rPr>
        <w:t>Section 2.16</w:t>
      </w:r>
      <w:r>
        <w:rPr>
          <w:rFonts w:ascii="Arial" w:cs="Arial" w:eastAsia="Arial" w:hAnsi="Arial"/>
          <w:sz w:val="19"/>
          <w:szCs w:val="19"/>
          <w:color w:val="auto"/>
        </w:rPr>
        <w:t>) have been made, the Lender (or, in the case of any payment made to the Administrative Agent for its own account, the Administrative Agent) receives an amount equal to the sum it would have received had no such deduction or withholding for Non-Excluded Taxes and Other Taxes been made,</w:t>
      </w:r>
    </w:p>
    <w:p>
      <w:pPr>
        <w:spacing w:after="0" w:line="5" w:lineRule="exact"/>
        <w:rPr>
          <w:rFonts w:ascii="Arial" w:cs="Arial" w:eastAsia="Arial" w:hAnsi="Arial"/>
          <w:sz w:val="19"/>
          <w:szCs w:val="19"/>
          <w:color w:val="auto"/>
        </w:rPr>
      </w:pPr>
    </w:p>
    <w:p>
      <w:pPr>
        <w:ind w:firstLine="8"/>
        <w:spacing w:after="0" w:line="239" w:lineRule="auto"/>
        <w:tabs>
          <w:tab w:leader="none" w:pos="28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the applicable withholding agent shall make such deductions, and (z) the applicable withholding agent shall timely pay the full amount deducted to the relevant Governmental Authority in accordance with applicable law.</w:t>
      </w:r>
    </w:p>
    <w:p>
      <w:pPr>
        <w:spacing w:after="0" w:line="212" w:lineRule="exact"/>
        <w:rPr>
          <w:sz w:val="20"/>
          <w:szCs w:val="20"/>
          <w:color w:val="auto"/>
        </w:rPr>
      </w:pPr>
    </w:p>
    <w:p>
      <w:pPr>
        <w:ind w:right="240" w:firstLine="648"/>
        <w:spacing w:after="0" w:line="257" w:lineRule="auto"/>
        <w:rPr>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2.16(b)</w:t>
      </w:r>
      <w:r>
        <w:rPr>
          <w:rFonts w:ascii="Arial" w:cs="Arial" w:eastAsia="Arial" w:hAnsi="Arial"/>
          <w:sz w:val="20"/>
          <w:szCs w:val="20"/>
          <w:color w:val="auto"/>
        </w:rPr>
        <w:t>, unless the Administrative Agent or a Lender gives notice to the applicable Loan Party that such Loan Party is obligated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14" w:right="339" w:bottom="1440" w:gutter="0" w:footer="0" w:header="0"/>
        </w:sectPr>
      </w:pPr>
    </w:p>
    <w:bookmarkStart w:id="207" w:name="page208"/>
    <w:bookmarkEnd w:id="207"/>
    <w:p>
      <w:pPr>
        <w:spacing w:after="0" w:line="237" w:lineRule="auto"/>
        <w:rPr>
          <w:sz w:val="20"/>
          <w:szCs w:val="20"/>
          <w:color w:val="auto"/>
        </w:rPr>
      </w:pPr>
      <w:r>
        <w:rPr>
          <w:rFonts w:ascii="Arial" w:cs="Arial" w:eastAsia="Arial" w:hAnsi="Arial"/>
          <w:sz w:val="20"/>
          <w:szCs w:val="20"/>
          <w:color w:val="auto"/>
        </w:rPr>
        <w:t xml:space="preserve">pay an amount under </w:t>
      </w:r>
      <w:r>
        <w:rPr>
          <w:rFonts w:ascii="Arial" w:cs="Arial" w:eastAsia="Arial" w:hAnsi="Arial"/>
          <w:sz w:val="20"/>
          <w:szCs w:val="20"/>
          <w:u w:val="single" w:color="auto"/>
          <w:color w:val="auto"/>
        </w:rPr>
        <w:t>Section 2.16(a)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2.16(b)</w:t>
      </w:r>
      <w:r>
        <w:rPr>
          <w:rFonts w:ascii="Arial" w:cs="Arial" w:eastAsia="Arial" w:hAnsi="Arial"/>
          <w:sz w:val="20"/>
          <w:szCs w:val="20"/>
          <w:color w:val="auto"/>
        </w:rPr>
        <w:t xml:space="preserve"> within 180 days of the later of (x) the date the applicable party incurs the Taxes or (y) the date the applicable party has knowledge of its incurrence of the Taxes, then such party shall not be entitled to be compensated for any penalties, interest or expenses relating to such Taxes, except to the extent such penalties, interest or expenses arise or accrue on or after the date that occurs 180 days prior to the date such party gives notice to the applicable Loan Party, but if the circumstances giving rise to such claim have a retroactive effect (e.g., in connection with the audit of a prior tax year), then such 180 day period shall be extended to include such period of retroactive effect.</w:t>
      </w:r>
    </w:p>
    <w:p>
      <w:pPr>
        <w:spacing w:after="0" w:line="217" w:lineRule="exact"/>
        <w:rPr>
          <w:sz w:val="20"/>
          <w:szCs w:val="20"/>
          <w:color w:val="auto"/>
        </w:rPr>
      </w:pPr>
    </w:p>
    <w:p>
      <w:pPr>
        <w:ind w:right="500" w:firstLine="656"/>
        <w:spacing w:after="0" w:line="257" w:lineRule="auto"/>
        <w:tabs>
          <w:tab w:leader="none" w:pos="111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In addition, the relevant Loan Party shall timely pay any Other Taxes to the relevant Governmental Authority in accordance with applicable law.</w:t>
      </w:r>
    </w:p>
    <w:p>
      <w:pPr>
        <w:spacing w:after="0" w:line="182" w:lineRule="exact"/>
        <w:rPr>
          <w:rFonts w:ascii="Arial" w:cs="Arial" w:eastAsia="Arial" w:hAnsi="Arial"/>
          <w:sz w:val="20"/>
          <w:szCs w:val="20"/>
          <w:color w:val="auto"/>
        </w:rPr>
      </w:pPr>
    </w:p>
    <w:p>
      <w:pPr>
        <w:jc w:val="both"/>
        <w:ind w:right="40" w:firstLine="656"/>
        <w:spacing w:after="0" w:line="245" w:lineRule="auto"/>
        <w:tabs>
          <w:tab w:leader="none" w:pos="1099"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Whenever any Taxes are payable by a Loan Party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as promptly as possible thereafter such Loan Party shall send to the Administrative Agent for its own account or for the account of the relevant Lender, as the case may be, a certified copy of an original official receipt received, if any, by the Borrower or other documentary evidence showing payment thereof.</w:t>
      </w:r>
    </w:p>
    <w:p>
      <w:pPr>
        <w:spacing w:after="0" w:line="194" w:lineRule="exact"/>
        <w:rPr>
          <w:rFonts w:ascii="Arial" w:cs="Arial" w:eastAsia="Arial" w:hAnsi="Arial"/>
          <w:sz w:val="20"/>
          <w:szCs w:val="20"/>
          <w:color w:val="auto"/>
        </w:rPr>
      </w:pPr>
    </w:p>
    <w:p>
      <w:pPr>
        <w:ind w:right="20" w:firstLine="656"/>
        <w:spacing w:after="0" w:line="234" w:lineRule="auto"/>
        <w:tabs>
          <w:tab w:leader="none" w:pos="1106"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The Borrower shall indemnify the Administrative Agent and each Lender (within 10 days after demand therefor) for the full amount of any Non-Excluded Taxes or Other Taxes (including Non-Excluded Taxes or Other Taxes imposed or asserted on or attributable to amounts payable under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and for any reasonable expenses arising therefrom or with respect thereto, that may become payable by the Administrative Agent or any Lender, whether or not such Non-Excluded Taxes or Other Taxes were correctly or legally imposed or asserted by the relevant Governmental Authority;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not be obligated to indemnify the Administrative Agent or any Lender for any penalties, interest or expenses relating to Non-Excluded Taxes or Other Taxes to the extent that such penalties, interest or expenses are found by a final and nonappealable decision of a court of competent jurisdiction to have resulted from such party’s gross negligence or willful misconduct.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19" w:lineRule="exact"/>
        <w:rPr>
          <w:rFonts w:ascii="Arial" w:cs="Arial" w:eastAsia="Arial" w:hAnsi="Arial"/>
          <w:sz w:val="20"/>
          <w:szCs w:val="20"/>
          <w:color w:val="auto"/>
        </w:rPr>
      </w:pPr>
    </w:p>
    <w:p>
      <w:pPr>
        <w:ind w:right="20" w:firstLine="656"/>
        <w:spacing w:after="0" w:line="233" w:lineRule="auto"/>
        <w:tabs>
          <w:tab w:leader="none" w:pos="111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Each Lender shall, at such times as are reasonably requested by the Borrower or the Administrative Agent, provide the Borrower and the Administrative Agent with any documentation prescribed by law, or reasonably requested by the Borrower or the Administrative Agent, certifying as to any entitlement of such Lender to an exemption from, or reduction in, any withholding Tax with respect to any payments to be made to such Lender under the Loan Documents. In addition, each Lender shall, at such times as reasonably requested by the Borrower or the Administrative Agent,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Each such Lender shall, whenever a lapse in time or change in circumstances renders any such documentation (including any documentation specifically referenced below) expired, obsolete or inaccurate in any material respect, or upon the reasonable request of the Borrower or the Administrative Agent, deliver promptly to the Borrower and the Administrative Agent updated or other appropriate documentation (including any new documentation reasonably requested by the applicable withholding agent) or promptly notify the Borrower and the Administrative Agent of its legal ineligibility to do so. Unless the applicable withholding agent has received forms or other documents satisfactory to it indicating that payments under any Loan Document to or for a Lender are not subject to withholding tax or are subject to such Tax at a rate reduced by an applicable tax treaty, the Borrower, Administrative Agent or other applicable withholding agent shall withhold amounts required to be withheld by applicable law from such payments at the applicable statutory rate. Each Lender hereby authorizes the Administrative Agent to deliver to the Borrower and to any successor Administrative Agent any documentation provided to the Administrative Agent pursuant to this </w:t>
      </w:r>
      <w:r>
        <w:rPr>
          <w:rFonts w:ascii="Arial" w:cs="Arial" w:eastAsia="Arial" w:hAnsi="Arial"/>
          <w:sz w:val="20"/>
          <w:szCs w:val="20"/>
          <w:u w:val="single" w:color="auto"/>
          <w:color w:val="auto"/>
        </w:rPr>
        <w:t>Section 2.16(e)</w:t>
      </w:r>
      <w:r>
        <w:rPr>
          <w:rFonts w:ascii="Arial" w:cs="Arial" w:eastAsia="Arial" w:hAnsi="Arial"/>
          <w:sz w:val="20"/>
          <w:szCs w:val="20"/>
          <w:color w:val="auto"/>
        </w:rPr>
        <w:t>.</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Without limiting the generality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14" w:right="339" w:bottom="1440" w:gutter="0" w:footer="0" w:header="0"/>
        </w:sectPr>
      </w:pPr>
    </w:p>
    <w:bookmarkStart w:id="208" w:name="page209"/>
    <w:bookmarkEnd w:id="208"/>
    <w:p>
      <w:pPr>
        <w:spacing w:after="0" w:line="218" w:lineRule="exact"/>
        <w:rPr>
          <w:sz w:val="20"/>
          <w:szCs w:val="20"/>
          <w:color w:val="auto"/>
        </w:rPr>
      </w:pPr>
    </w:p>
    <w:p>
      <w:pPr>
        <w:ind w:left="660" w:right="120" w:firstLine="644"/>
        <w:spacing w:after="0"/>
        <w:tabs>
          <w:tab w:leader="none" w:pos="1704" w:val="left"/>
        </w:tabs>
        <w:numPr>
          <w:ilvl w:val="0"/>
          <w:numId w:val="206"/>
        </w:numPr>
        <w:rPr>
          <w:rFonts w:ascii="Arial" w:cs="Arial" w:eastAsia="Arial" w:hAnsi="Arial"/>
          <w:sz w:val="20"/>
          <w:szCs w:val="20"/>
          <w:color w:val="auto"/>
        </w:rPr>
      </w:pPr>
      <w:r>
        <w:rPr>
          <w:rFonts w:ascii="Arial" w:cs="Arial" w:eastAsia="Arial" w:hAnsi="Arial"/>
          <w:sz w:val="20"/>
          <w:szCs w:val="20"/>
          <w:color w:val="auto"/>
        </w:rPr>
        <w:t>Each Lender that is a “United States person” (as defined in Section 7701(a)(30) of the Code) shall deliver to the Borrower and the Administrative Agent on or before the date on which it becomes a party to this Agreement two properly completed and duly signed original copies of Internal Revenue Service Form W-9 (or any successor form) certifying that such Lender is exempt from U.S. federal backup withholding.</w:t>
      </w:r>
    </w:p>
    <w:p>
      <w:pPr>
        <w:spacing w:after="0" w:line="214" w:lineRule="exact"/>
        <w:rPr>
          <w:rFonts w:ascii="Arial" w:cs="Arial" w:eastAsia="Arial" w:hAnsi="Arial"/>
          <w:sz w:val="20"/>
          <w:szCs w:val="20"/>
          <w:color w:val="auto"/>
        </w:rPr>
      </w:pPr>
    </w:p>
    <w:p>
      <w:pPr>
        <w:ind w:left="660" w:firstLine="644"/>
        <w:spacing w:after="0" w:line="248" w:lineRule="auto"/>
        <w:tabs>
          <w:tab w:leader="none" w:pos="174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Each Lender that is not a “United States person” (as defined in Section 7701(a)(30) of the Code) shall deliver to the Borrower and the Administrative Agent on or before the date on which it becomes a party to this Agreement whichever of the following is applicable:</w:t>
      </w:r>
    </w:p>
    <w:p>
      <w:pPr>
        <w:spacing w:after="0" w:line="191" w:lineRule="exact"/>
        <w:rPr>
          <w:rFonts w:ascii="Arial" w:cs="Arial" w:eastAsia="Arial" w:hAnsi="Arial"/>
          <w:sz w:val="20"/>
          <w:szCs w:val="20"/>
          <w:color w:val="auto"/>
        </w:rPr>
      </w:pPr>
    </w:p>
    <w:p>
      <w:pPr>
        <w:ind w:left="1300" w:right="40" w:firstLine="652"/>
        <w:spacing w:after="0" w:line="248" w:lineRule="auto"/>
        <w:tabs>
          <w:tab w:leader="none" w:pos="2432"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W-8BEN or W-8BEN-E (or any successor forms) claiming eligibility for benefits of an income tax treaty to which the United States of America is a party,</w:t>
      </w:r>
    </w:p>
    <w:p>
      <w:pPr>
        <w:spacing w:after="0" w:line="191" w:lineRule="exact"/>
        <w:rPr>
          <w:rFonts w:ascii="Arial" w:cs="Arial" w:eastAsia="Arial" w:hAnsi="Arial"/>
          <w:sz w:val="20"/>
          <w:szCs w:val="20"/>
          <w:color w:val="auto"/>
        </w:rPr>
      </w:pPr>
    </w:p>
    <w:p>
      <w:pPr>
        <w:ind w:left="2440" w:hanging="488"/>
        <w:spacing w:after="0"/>
        <w:tabs>
          <w:tab w:leader="none" w:pos="2440"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two duly completed copies of Internal Revenue Service Form W-8ECI (or any successor forms),</w:t>
      </w:r>
    </w:p>
    <w:p>
      <w:pPr>
        <w:spacing w:after="0" w:line="242" w:lineRule="exact"/>
        <w:rPr>
          <w:rFonts w:ascii="Arial" w:cs="Arial" w:eastAsia="Arial" w:hAnsi="Arial"/>
          <w:sz w:val="20"/>
          <w:szCs w:val="20"/>
          <w:color w:val="auto"/>
        </w:rPr>
      </w:pPr>
    </w:p>
    <w:p>
      <w:pPr>
        <w:ind w:left="1300" w:right="80" w:firstLine="652"/>
        <w:spacing w:after="0" w:line="236" w:lineRule="auto"/>
        <w:tabs>
          <w:tab w:leader="none" w:pos="2443" w:val="left"/>
        </w:tabs>
        <w:numPr>
          <w:ilvl w:val="1"/>
          <w:numId w:val="206"/>
        </w:numPr>
        <w:rPr>
          <w:rFonts w:ascii="Arial" w:cs="Arial" w:eastAsia="Arial" w:hAnsi="Arial"/>
          <w:sz w:val="20"/>
          <w:szCs w:val="20"/>
          <w:color w:val="auto"/>
        </w:rPr>
      </w:pPr>
      <w:r>
        <w:rPr>
          <w:rFonts w:ascii="Arial" w:cs="Arial" w:eastAsia="Arial" w:hAnsi="Arial"/>
          <w:sz w:val="20"/>
          <w:szCs w:val="20"/>
          <w:color w:val="auto"/>
        </w:rPr>
        <w:t xml:space="preserve">in the case of a Lender claiming the benefits of the exemption for portfolio interest under Section 881(c) of the Code, (x) a certificate,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(any such certificate a “</w:t>
      </w:r>
      <w:r>
        <w:rPr>
          <w:rFonts w:ascii="Arial" w:cs="Arial" w:eastAsia="Arial" w:hAnsi="Arial"/>
          <w:sz w:val="20"/>
          <w:szCs w:val="20"/>
          <w:u w:val="single" w:color="auto"/>
          <w:color w:val="auto"/>
        </w:rPr>
        <w:t>United States</w:t>
      </w:r>
      <w:r>
        <w:rPr>
          <w:rFonts w:ascii="Arial" w:cs="Arial" w:eastAsia="Arial" w:hAnsi="Arial"/>
          <w:sz w:val="20"/>
          <w:szCs w:val="20"/>
          <w:color w:val="auto"/>
        </w:rPr>
        <w:t xml:space="preserve"> </w:t>
      </w:r>
      <w:r>
        <w:rPr>
          <w:rFonts w:ascii="Arial" w:cs="Arial" w:eastAsia="Arial" w:hAnsi="Arial"/>
          <w:sz w:val="20"/>
          <w:szCs w:val="20"/>
          <w:u w:val="single" w:color="auto"/>
          <w:color w:val="auto"/>
        </w:rPr>
        <w:t>Tax Compliance Certificate</w:t>
      </w:r>
      <w:r>
        <w:rPr>
          <w:rFonts w:ascii="Arial" w:cs="Arial" w:eastAsia="Arial" w:hAnsi="Arial"/>
          <w:sz w:val="20"/>
          <w:szCs w:val="20"/>
          <w:color w:val="auto"/>
        </w:rPr>
        <w:t>”), or any other form approved by the Administrative Agent, to the effect that such Lender is not (A) a “bank” within the meaning of Section 881(c)(3)(A) of the Code, (B) a “10 percent shareholder” of the Borrower within the meaning of Section 881(c)(3)(B) of the Code, or (C) a “controlled foreign corporation” described in Section 881(c)(3)(C) of the Code, and that no payments in connection with the Loan Documents are effectively connected with such Lender’s conduct of a U.S. trade or business and (y) two duly completed copies of Internal Revenue Service Form W-8BEN or W-8BEN-E (or any successor forms),</w:t>
      </w:r>
    </w:p>
    <w:p>
      <w:pPr>
        <w:spacing w:after="0" w:line="202" w:lineRule="exact"/>
        <w:rPr>
          <w:rFonts w:ascii="Arial" w:cs="Arial" w:eastAsia="Arial" w:hAnsi="Arial"/>
          <w:sz w:val="20"/>
          <w:szCs w:val="20"/>
          <w:color w:val="auto"/>
        </w:rPr>
      </w:pPr>
    </w:p>
    <w:p>
      <w:pPr>
        <w:ind w:left="1300" w:right="20" w:firstLine="652"/>
        <w:spacing w:after="0" w:line="238" w:lineRule="auto"/>
        <w:tabs>
          <w:tab w:leader="none" w:pos="2443" w:val="left"/>
        </w:tabs>
        <w:numPr>
          <w:ilvl w:val="1"/>
          <w:numId w:val="206"/>
        </w:numPr>
        <w:rPr>
          <w:rFonts w:ascii="Arial" w:cs="Arial" w:eastAsia="Arial" w:hAnsi="Arial"/>
          <w:sz w:val="20"/>
          <w:szCs w:val="20"/>
          <w:color w:val="auto"/>
        </w:rPr>
      </w:pPr>
      <w:r>
        <w:rPr>
          <w:rFonts w:ascii="Arial" w:cs="Arial" w:eastAsia="Arial" w:hAnsi="Arial"/>
          <w:sz w:val="20"/>
          <w:szCs w:val="20"/>
          <w:color w:val="auto"/>
        </w:rPr>
        <w:t>to the extent a Lender is not the beneficial owner (for example, where the Lender is a partnership, or is a Lender that has granted a participation), Internal Revenue Service Form W-8IMY (or any successor forms) of the Lender, accompanied by a Form W-8ECI, W-8BEN or W-8BEN-E, United States Tax Compliance Certificate, Form W-9, Form W-8IMY (or other successor forms) or any other required information from each beneficial owner, as applicable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Lender is a partnership (and not a participating Lender) and one or more direct or indirect partners are claiming the portfolio interest exemption, the United States Tax Compliance Certificate shall be provided by such Lender on behalf of such direct or indirect partner(s)), or</w:t>
      </w:r>
    </w:p>
    <w:p>
      <w:pPr>
        <w:spacing w:after="0" w:line="199" w:lineRule="exact"/>
        <w:rPr>
          <w:rFonts w:ascii="Arial" w:cs="Arial" w:eastAsia="Arial" w:hAnsi="Arial"/>
          <w:sz w:val="20"/>
          <w:szCs w:val="20"/>
          <w:color w:val="auto"/>
        </w:rPr>
      </w:pPr>
    </w:p>
    <w:p>
      <w:pPr>
        <w:ind w:left="1300" w:right="220" w:firstLine="652"/>
        <w:spacing w:after="0"/>
        <w:tabs>
          <w:tab w:leader="none" w:pos="2432" w:val="left"/>
        </w:tabs>
        <w:numPr>
          <w:ilvl w:val="1"/>
          <w:numId w:val="206"/>
        </w:numPr>
        <w:rPr>
          <w:rFonts w:ascii="Arial" w:cs="Arial" w:eastAsia="Arial" w:hAnsi="Arial"/>
          <w:sz w:val="20"/>
          <w:szCs w:val="20"/>
          <w:color w:val="auto"/>
        </w:rPr>
      </w:pPr>
      <w:r>
        <w:rPr>
          <w:rFonts w:ascii="Arial" w:cs="Arial" w:eastAsia="Arial" w:hAnsi="Arial"/>
          <w:sz w:val="20"/>
          <w:szCs w:val="20"/>
          <w:color w:val="auto"/>
        </w:rPr>
        <w:t>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214" w:lineRule="exact"/>
        <w:rPr>
          <w:rFonts w:ascii="Arial" w:cs="Arial" w:eastAsia="Arial" w:hAnsi="Arial"/>
          <w:sz w:val="20"/>
          <w:szCs w:val="20"/>
          <w:color w:val="auto"/>
        </w:rPr>
      </w:pPr>
    </w:p>
    <w:p>
      <w:pPr>
        <w:ind w:left="660" w:right="60" w:firstLine="644"/>
        <w:spacing w:after="0" w:line="237" w:lineRule="auto"/>
        <w:tabs>
          <w:tab w:leader="none" w:pos="1792"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40" w:right="339" w:bottom="1440" w:gutter="0" w:footer="0" w:header="0"/>
        </w:sectPr>
      </w:pPr>
    </w:p>
    <w:bookmarkStart w:id="209" w:name="page210"/>
    <w:bookmarkEnd w:id="209"/>
    <w:p>
      <w:pPr>
        <w:ind w:left="660" w:right="40"/>
        <w:spacing w:after="0"/>
        <w:rPr>
          <w:sz w:val="20"/>
          <w:szCs w:val="20"/>
          <w:color w:val="auto"/>
        </w:rPr>
      </w:pPr>
      <w:r>
        <w:rPr>
          <w:rFonts w:ascii="Arial" w:cs="Arial" w:eastAsia="Arial" w:hAnsi="Arial"/>
          <w:sz w:val="20"/>
          <w:szCs w:val="20"/>
          <w:color w:val="auto"/>
        </w:rPr>
        <w:t>Borrower or the Administrative Agent as may be necessary for the Borrower and the Administrative Agent to comply with their FATCA obligations, to determine whether such Lender has or has not complied with such Lender’s FATCA obligations and to determine the amount, if any, to deduct and withhold from such payment. Solely for purposes of this clause (iii), “FATCA” shall include any amendments made to FATCA after the date of this Agreement.</w:t>
      </w:r>
    </w:p>
    <w:p>
      <w:pPr>
        <w:spacing w:after="0" w:line="214" w:lineRule="exact"/>
        <w:rPr>
          <w:sz w:val="20"/>
          <w:szCs w:val="20"/>
          <w:color w:val="auto"/>
        </w:rPr>
      </w:pPr>
    </w:p>
    <w:p>
      <w:pPr>
        <w:ind w:right="100" w:firstLine="648"/>
        <w:spacing w:after="0"/>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certificate or promptly notify the Loan Parties and the Administrative Agent in writing of its legal inability to do so. Notwithstanding any other provision of this clause (e), a Lender shall not be required to deliver any forms, documentation or other information that such Lender is not legally eligible to deliver.</w:t>
      </w:r>
    </w:p>
    <w:p>
      <w:pPr>
        <w:spacing w:after="0" w:line="201" w:lineRule="exact"/>
        <w:rPr>
          <w:sz w:val="20"/>
          <w:szCs w:val="20"/>
          <w:color w:val="auto"/>
        </w:rPr>
      </w:pPr>
    </w:p>
    <w:p>
      <w:pPr>
        <w:ind w:right="40" w:firstLine="656"/>
        <w:spacing w:after="0" w:line="234" w:lineRule="auto"/>
        <w:tabs>
          <w:tab w:leader="none" w:pos="1055"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If the Administrative Agent or any Lender determines, in its sole discretion, that it has received a refund of any Non-Excluded Taxes or Other Taxes as to which it has been indemnified by a Loan Party or with respect to which a Loan Party has paid additional amounts pursuant to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it shall pay over such refund the applicable Loan Party (but only to the extent of indemnity payments made, or additional amounts paid, by such Loan Party under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with respect to the Non-Excluded Taxes or Other Taxes giving rise to such refund), net of all out-of-pocket expenses (including Taxes) of the Administrative Agent or such Lender, as the case may be, and without interest (other than any interest paid by the relevant Governmental Authority with respect to such refund, net of any Taxes payable by the Administrative Agent or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applicable Loan Party, upon the request of the Administrative Agent or such Lender, agrees to repay the amount paid over to such Loan Party (plus any penalties, interest or other charges imposed by the relevant Governmental Authority) to the Administrative Agent or such Lender in the event the Administrative Agent or such Lender, as the case may be, is required to repay such refund to such Governmental Authority. This paragraph shall not be construed to require the Administrative Agent or any Lender to make available its tax returns (or any other information relating to its Taxes which it deems confidential) to the Borrower or any other Person.</w:t>
      </w:r>
    </w:p>
    <w:p>
      <w:pPr>
        <w:spacing w:after="0" w:line="217" w:lineRule="exact"/>
        <w:rPr>
          <w:rFonts w:ascii="Arial" w:cs="Arial" w:eastAsia="Arial" w:hAnsi="Arial"/>
          <w:sz w:val="20"/>
          <w:szCs w:val="20"/>
          <w:color w:val="auto"/>
        </w:rPr>
      </w:pPr>
    </w:p>
    <w:p>
      <w:pPr>
        <w:ind w:right="460" w:firstLine="656"/>
        <w:spacing w:after="0" w:line="248" w:lineRule="auto"/>
        <w:tabs>
          <w:tab w:leader="none" w:pos="1106" w:val="left"/>
        </w:tabs>
        <w:numPr>
          <w:ilvl w:val="0"/>
          <w:numId w:val="207"/>
        </w:numPr>
        <w:rPr>
          <w:rFonts w:ascii="Arial" w:cs="Arial" w:eastAsia="Arial" w:hAnsi="Arial"/>
          <w:sz w:val="20"/>
          <w:szCs w:val="20"/>
          <w:color w:val="auto"/>
        </w:rPr>
      </w:pPr>
      <w:r>
        <w:rPr>
          <w:rFonts w:ascii="Arial" w:cs="Arial" w:eastAsia="Arial" w:hAnsi="Arial"/>
          <w:sz w:val="20"/>
          <w:szCs w:val="20"/>
          <w:color w:val="auto"/>
        </w:rPr>
        <w:t xml:space="preserve">The agreements in this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shall survive the termination of this Agreement, any assignment by or replacement of a Lender, resignation of the Administrative Agent and the payment of the Term Loans and all other amounts payable hereunder or any other Loan Document.</w:t>
      </w:r>
    </w:p>
    <w:p>
      <w:pPr>
        <w:spacing w:after="0" w:line="191" w:lineRule="exact"/>
        <w:rPr>
          <w:rFonts w:ascii="Arial" w:cs="Arial" w:eastAsia="Arial" w:hAnsi="Arial"/>
          <w:sz w:val="20"/>
          <w:szCs w:val="20"/>
          <w:color w:val="auto"/>
        </w:rPr>
      </w:pPr>
    </w:p>
    <w:p>
      <w:pPr>
        <w:ind w:right="460" w:firstLine="656"/>
        <w:spacing w:after="0" w:line="271" w:lineRule="auto"/>
        <w:tabs>
          <w:tab w:leader="none" w:pos="1110" w:val="left"/>
        </w:tabs>
        <w:numPr>
          <w:ilvl w:val="0"/>
          <w:numId w:val="207"/>
        </w:numPr>
        <w:rPr>
          <w:rFonts w:ascii="Arial" w:cs="Arial" w:eastAsia="Arial" w:hAnsi="Arial"/>
          <w:sz w:val="20"/>
          <w:szCs w:val="20"/>
          <w:color w:val="auto"/>
        </w:rPr>
      </w:pPr>
      <w:r>
        <w:rPr>
          <w:rFonts w:ascii="Arial" w:cs="Arial" w:eastAsia="Arial" w:hAnsi="Arial"/>
          <w:sz w:val="20"/>
          <w:szCs w:val="20"/>
          <w:color w:val="auto"/>
        </w:rPr>
        <w:t>For the avoidance of doubt, any payments made by the Administrative Agent to any Lender shall be treated as payments made by the applicable Loan Party.</w:t>
      </w:r>
    </w:p>
    <w:p>
      <w:pPr>
        <w:spacing w:after="0" w:line="169"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2.17. </w:t>
      </w:r>
      <w:r>
        <w:rPr>
          <w:rFonts w:ascii="Arial" w:cs="Arial" w:eastAsia="Arial" w:hAnsi="Arial"/>
          <w:sz w:val="20"/>
          <w:szCs w:val="20"/>
          <w:u w:val="single" w:color="auto"/>
          <w:color w:val="auto"/>
        </w:rPr>
        <w:t>Indemnity</w:t>
      </w:r>
      <w:r>
        <w:rPr>
          <w:rFonts w:ascii="Arial" w:cs="Arial" w:eastAsia="Arial" w:hAnsi="Arial"/>
          <w:sz w:val="20"/>
          <w:szCs w:val="20"/>
          <w:color w:val="auto"/>
        </w:rPr>
        <w:t xml:space="preserve">. The Borrower agrees to indemnify each Lender for, and to hold each Lender harmless from, any loss or expense that such Lender may sustain or incur as a consequence of (a) default by the Borrower in making a borrowing of, conversion into or continuation of SOFR Loans after the Borrower has given a notice requesting the same in accordance with the provisions of this Agreement, (b) default by the Borrower in making any prepayment of or conversion from SOFR Loans after the Borrower has given a notice thereof in accordance with the provisions of this Agreement, or (c) the making of a prepayment or conversion of SOFR Loans on a day that is not the last day of an Interest Period with respect thereto. Such indemnification may include an amount equal to the excess, if any, of (i) the amount of interest that would have accrued on the amount so prepaid, or not so borrowed, converted or continued,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Term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market. A certificate as to any amounts payable pursuant to this Section submitted to the Borrower by any Lender shall be conclusive in the absence of manifest error. Notwithstanding anything to the contrary in this </w:t>
      </w:r>
      <w:r>
        <w:rPr>
          <w:rFonts w:ascii="Arial" w:cs="Arial" w:eastAsia="Arial" w:hAnsi="Arial"/>
          <w:sz w:val="20"/>
          <w:szCs w:val="20"/>
          <w:u w:val="single" w:color="auto"/>
          <w:color w:val="auto"/>
        </w:rPr>
        <w:t>Section 2.17</w:t>
      </w:r>
      <w:r>
        <w:rPr>
          <w:rFonts w:ascii="Arial" w:cs="Arial" w:eastAsia="Arial" w:hAnsi="Arial"/>
          <w:sz w:val="20"/>
          <w:szCs w:val="20"/>
          <w:color w:val="auto"/>
        </w:rPr>
        <w:t>, the Borrower shall not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20"/>
          </w:cols>
          <w:pgMar w:left="320" w:top="1414" w:right="35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 xml:space="preserve">to compensate a Lender pursuant to this </w:t>
      </w:r>
      <w:r>
        <w:rPr>
          <w:rFonts w:ascii="Arial" w:cs="Arial" w:eastAsia="Arial" w:hAnsi="Arial"/>
          <w:sz w:val="20"/>
          <w:szCs w:val="20"/>
          <w:u w:val="single" w:color="auto"/>
          <w:color w:val="auto"/>
        </w:rPr>
        <w:t>Section 2.17</w:t>
      </w:r>
      <w:r>
        <w:rPr>
          <w:rFonts w:ascii="Arial" w:cs="Arial" w:eastAsia="Arial" w:hAnsi="Arial"/>
          <w:sz w:val="20"/>
          <w:szCs w:val="20"/>
          <w:color w:val="auto"/>
        </w:rPr>
        <w:t xml:space="preserve"> for any amounts incurred more than 180 days prior to the date that such Lender notifies the Borrower of such Lender’s intention to claim compensation therefor;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circumstances giving rise to such claim have a retroactive effect, then such 180 days period shall be extended to include the period of such retroactive effect. This covenant shall survive the termination of this Agreement and the payment of the Term Loans and all other amounts payable hereunder.</w:t>
      </w:r>
    </w:p>
    <w:p>
      <w:pPr>
        <w:spacing w:after="0" w:line="200" w:lineRule="exact"/>
        <w:rPr>
          <w:sz w:val="20"/>
          <w:szCs w:val="20"/>
          <w:color w:val="auto"/>
        </w:rPr>
      </w:pPr>
    </w:p>
    <w:p>
      <w:pPr>
        <w:ind w:right="20" w:firstLine="648"/>
        <w:spacing w:after="0" w:line="238" w:lineRule="auto"/>
        <w:rPr>
          <w:sz w:val="20"/>
          <w:szCs w:val="20"/>
          <w:color w:val="auto"/>
        </w:rPr>
      </w:pPr>
      <w:r>
        <w:rPr>
          <w:rFonts w:ascii="Arial" w:cs="Arial" w:eastAsia="Arial" w:hAnsi="Arial"/>
          <w:sz w:val="20"/>
          <w:szCs w:val="20"/>
          <w:color w:val="auto"/>
        </w:rPr>
        <w:t xml:space="preserve">2.18. </w:t>
      </w:r>
      <w:r>
        <w:rPr>
          <w:rFonts w:ascii="Arial" w:cs="Arial" w:eastAsia="Arial" w:hAnsi="Arial"/>
          <w:sz w:val="20"/>
          <w:szCs w:val="20"/>
          <w:u w:val="single" w:color="auto"/>
          <w:color w:val="auto"/>
        </w:rPr>
        <w:t>Change of Lending Office</w:t>
      </w:r>
      <w:r>
        <w:rPr>
          <w:rFonts w:ascii="Arial" w:cs="Arial" w:eastAsia="Arial" w:hAnsi="Arial"/>
          <w:sz w:val="20"/>
          <w:szCs w:val="20"/>
          <w:color w:val="auto"/>
        </w:rPr>
        <w:t xml:space="preserve">. Each Lender agrees that, upon the occurrence of any event giving rise to the operation of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2.16(a)</w:t>
      </w:r>
      <w:r>
        <w:rPr>
          <w:rFonts w:ascii="Arial" w:cs="Arial" w:eastAsia="Arial" w:hAnsi="Arial"/>
          <w:sz w:val="20"/>
          <w:szCs w:val="20"/>
          <w:color w:val="auto"/>
        </w:rPr>
        <w:t xml:space="preserve"> with respect to such Lender, it will, if requested by the Borrower, use reasonable efforts (subject to overall policy considerations of such Lender) to designate another lending office for any Term Loans affected by such event with the object of avoiding the consequences of such event;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designation is made on terms that, in the good faith judgment of such Lender, cause such Lender and its lending office(s) to suffer no economic, legal or regulatory disadvantage,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nothing in this Section shall affect or postpone any of the obligations of the Borrower or the rights of any Lender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2.16(a)</w:t>
      </w:r>
      <w:r>
        <w:rPr>
          <w:rFonts w:ascii="Arial" w:cs="Arial" w:eastAsia="Arial" w:hAnsi="Arial"/>
          <w:sz w:val="20"/>
          <w:szCs w:val="20"/>
          <w:color w:val="auto"/>
        </w:rPr>
        <w:t>.</w:t>
      </w:r>
    </w:p>
    <w:p>
      <w:pPr>
        <w:spacing w:after="0" w:line="199" w:lineRule="exact"/>
        <w:rPr>
          <w:sz w:val="20"/>
          <w:szCs w:val="20"/>
          <w:color w:val="auto"/>
        </w:rPr>
      </w:pPr>
    </w:p>
    <w:p>
      <w:pPr>
        <w:ind w:right="300" w:firstLine="648"/>
        <w:spacing w:after="0"/>
        <w:rPr>
          <w:sz w:val="20"/>
          <w:szCs w:val="20"/>
          <w:color w:val="auto"/>
        </w:rPr>
      </w:pPr>
      <w:r>
        <w:rPr>
          <w:rFonts w:ascii="Arial" w:cs="Arial" w:eastAsia="Arial" w:hAnsi="Arial"/>
          <w:sz w:val="20"/>
          <w:szCs w:val="20"/>
          <w:color w:val="auto"/>
        </w:rPr>
        <w:t xml:space="preserve">2.19. </w:t>
      </w:r>
      <w:r>
        <w:rPr>
          <w:rFonts w:ascii="Arial" w:cs="Arial" w:eastAsia="Arial" w:hAnsi="Arial"/>
          <w:sz w:val="20"/>
          <w:szCs w:val="20"/>
          <w:u w:val="single" w:color="auto"/>
          <w:color w:val="auto"/>
        </w:rPr>
        <w:t>Fees</w:t>
      </w:r>
      <w:r>
        <w:rPr>
          <w:rFonts w:ascii="Arial" w:cs="Arial" w:eastAsia="Arial" w:hAnsi="Arial"/>
          <w:sz w:val="20"/>
          <w:szCs w:val="20"/>
          <w:color w:val="auto"/>
        </w:rPr>
        <w:t>. The Borrower agrees to pay (i) the fees in the amounts and on the dates as set forth in the Commitment Letter and Fee Letters and (ii) for the account of the Administrative Agent, the annual administration fee separately agreed in writing between the Borrower and the Administrative Agent, and, in each case, to perform any other obligations contained therein.</w:t>
      </w:r>
    </w:p>
    <w:p>
      <w:pPr>
        <w:spacing w:after="0" w:line="214" w:lineRule="exact"/>
        <w:rPr>
          <w:sz w:val="20"/>
          <w:szCs w:val="20"/>
          <w:color w:val="auto"/>
        </w:rPr>
      </w:pPr>
    </w:p>
    <w:p>
      <w:pPr>
        <w:jc w:val="both"/>
        <w:ind w:right="220" w:firstLine="648"/>
        <w:spacing w:after="0" w:line="248" w:lineRule="auto"/>
        <w:rPr>
          <w:sz w:val="20"/>
          <w:szCs w:val="20"/>
          <w:color w:val="auto"/>
        </w:rPr>
      </w:pPr>
      <w:r>
        <w:rPr>
          <w:rFonts w:ascii="Arial" w:cs="Arial" w:eastAsia="Arial" w:hAnsi="Arial"/>
          <w:sz w:val="20"/>
          <w:szCs w:val="20"/>
          <w:color w:val="auto"/>
        </w:rPr>
        <w:t xml:space="preserve">2.20. </w:t>
      </w:r>
      <w:r>
        <w:rPr>
          <w:rFonts w:ascii="Arial" w:cs="Arial" w:eastAsia="Arial" w:hAnsi="Arial"/>
          <w:sz w:val="20"/>
          <w:szCs w:val="20"/>
          <w:u w:val="single" w:color="auto"/>
          <w:color w:val="auto"/>
        </w:rPr>
        <w:t>Nature of Fees</w:t>
      </w:r>
      <w:r>
        <w:rPr>
          <w:rFonts w:ascii="Arial" w:cs="Arial" w:eastAsia="Arial" w:hAnsi="Arial"/>
          <w:sz w:val="20"/>
          <w:szCs w:val="20"/>
          <w:color w:val="auto"/>
        </w:rPr>
        <w:t>. All Fees shall be paid on the dates due, in immediately available funds, (i) to the Administrative Agent (for the respective accounts of the Administrative Agent and the Lenders), as provided herein and (ii) as provided in the applicable Fee Letters. Once paid, none of the Fees shall be refundable under any circumstances.</w:t>
      </w:r>
    </w:p>
    <w:p>
      <w:pPr>
        <w:spacing w:after="0" w:line="19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u w:val="single" w:color="auto"/>
          <w:color w:val="auto"/>
        </w:rPr>
        <w:t>Incremental Facilities</w:t>
      </w:r>
      <w:r>
        <w:rPr>
          <w:rFonts w:ascii="Arial" w:cs="Arial" w:eastAsia="Arial" w:hAnsi="Arial"/>
          <w:sz w:val="19"/>
          <w:szCs w:val="19"/>
          <w:color w:val="auto"/>
        </w:rPr>
        <w:t>.</w:t>
      </w:r>
    </w:p>
    <w:p>
      <w:pPr>
        <w:spacing w:after="0" w:line="229" w:lineRule="exact"/>
        <w:rPr>
          <w:sz w:val="20"/>
          <w:szCs w:val="20"/>
          <w:color w:val="auto"/>
        </w:rPr>
      </w:pPr>
    </w:p>
    <w:p>
      <w:pPr>
        <w:ind w:firstLine="656"/>
        <w:spacing w:after="0" w:line="247" w:lineRule="auto"/>
        <w:tabs>
          <w:tab w:leader="none" w:pos="1106"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The Borrower may, by written notice to the Administrative Agent, request Incremental Term Loan Commitments in an aggregate amount not to exceed the Maximum Facility Amount at such time, from one or more Incremental Term Lenders (which may include any existing Lender willing to provide the same, in their own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Person, if not already a Lender hereunder, shall be subject to the approval of the Administrative Agent (acting reasonably). Such notice shall set forth (i) the amount of the Incremental Term Loan Commitments being requested (which shall be in minimum increments of $1,000,000 and a minimum amount of $10,000,000 or equal to the remaining Maximum Facility Amount), (ii) the date on which such Incremental Term Loan Commitments are requested to become effective (which shall not be less than 10 Business Days nor more than 60 days after the date of such notice, unless otherwise agreed to by the Administrative Agent) and</w:t>
      </w:r>
    </w:p>
    <w:p>
      <w:pPr>
        <w:spacing w:after="0" w:line="1" w:lineRule="exact"/>
        <w:rPr>
          <w:rFonts w:ascii="Arial" w:cs="Arial" w:eastAsia="Arial" w:hAnsi="Arial"/>
          <w:sz w:val="19"/>
          <w:szCs w:val="19"/>
          <w:color w:val="auto"/>
        </w:rPr>
      </w:pPr>
    </w:p>
    <w:p>
      <w:pPr>
        <w:ind w:firstLine="8"/>
        <w:spacing w:after="0" w:line="239" w:lineRule="auto"/>
        <w:tabs>
          <w:tab w:leader="none" w:pos="319" w:val="left"/>
        </w:tabs>
        <w:numPr>
          <w:ilvl w:val="0"/>
          <w:numId w:val="209"/>
        </w:numPr>
        <w:rPr>
          <w:rFonts w:ascii="Arial" w:cs="Arial" w:eastAsia="Arial" w:hAnsi="Arial"/>
          <w:sz w:val="20"/>
          <w:szCs w:val="20"/>
          <w:color w:val="auto"/>
        </w:rPr>
      </w:pPr>
      <w:r>
        <w:rPr>
          <w:rFonts w:ascii="Arial" w:cs="Arial" w:eastAsia="Arial" w:hAnsi="Arial"/>
          <w:sz w:val="20"/>
          <w:szCs w:val="20"/>
          <w:color w:val="auto"/>
        </w:rPr>
        <w:t>whether such Incremental Term Loan Commitments are to be Term A-1 Loan Commitments, Term A-2 Loan Commitments or Term A-3 Loan Commitments.</w:t>
      </w:r>
    </w:p>
    <w:p>
      <w:pPr>
        <w:spacing w:after="0" w:line="212" w:lineRule="exact"/>
        <w:rPr>
          <w:rFonts w:ascii="Arial" w:cs="Arial" w:eastAsia="Arial" w:hAnsi="Arial"/>
          <w:sz w:val="20"/>
          <w:szCs w:val="20"/>
          <w:color w:val="auto"/>
        </w:rPr>
      </w:pPr>
    </w:p>
    <w:p>
      <w:pPr>
        <w:ind w:right="440" w:firstLine="656"/>
        <w:spacing w:after="0"/>
        <w:tabs>
          <w:tab w:leader="none" w:pos="1106" w:val="left"/>
        </w:tabs>
        <w:numPr>
          <w:ilvl w:val="1"/>
          <w:numId w:val="209"/>
        </w:numPr>
        <w:rPr>
          <w:rFonts w:ascii="Arial" w:cs="Arial" w:eastAsia="Arial" w:hAnsi="Arial"/>
          <w:sz w:val="20"/>
          <w:szCs w:val="20"/>
          <w:color w:val="auto"/>
        </w:rPr>
      </w:pPr>
      <w:r>
        <w:rPr>
          <w:rFonts w:ascii="Arial" w:cs="Arial" w:eastAsia="Arial" w:hAnsi="Arial"/>
          <w:sz w:val="20"/>
          <w:szCs w:val="20"/>
          <w:color w:val="auto"/>
        </w:rPr>
        <w:t>The Borrower and each Incremental Term Lender shall execute and deliver to the Administrative Agent an Incremental Assumption Amendment and such other documentation as the Administrative Agent shall reasonably specify to evidence the Commitment of such Lender. Each Incremental Assumption Amendment in respect of Incremental Term Loan Commitments shall specify the terms of the Incremental Term Loans to be made thereunder.</w:t>
      </w:r>
    </w:p>
    <w:p>
      <w:pPr>
        <w:spacing w:after="0" w:line="200" w:lineRule="exact"/>
        <w:rPr>
          <w:rFonts w:ascii="Arial" w:cs="Arial" w:eastAsia="Arial" w:hAnsi="Arial"/>
          <w:sz w:val="20"/>
          <w:szCs w:val="20"/>
          <w:color w:val="auto"/>
        </w:rPr>
      </w:pPr>
    </w:p>
    <w:p>
      <w:pPr>
        <w:ind w:right="40" w:firstLine="656"/>
        <w:spacing w:after="0" w:line="245" w:lineRule="auto"/>
        <w:tabs>
          <w:tab w:leader="none" w:pos="1095" w:val="left"/>
        </w:tabs>
        <w:numPr>
          <w:ilvl w:val="1"/>
          <w:numId w:val="209"/>
        </w:numPr>
        <w:rPr>
          <w:rFonts w:ascii="Arial" w:cs="Arial" w:eastAsia="Arial" w:hAnsi="Arial"/>
          <w:sz w:val="20"/>
          <w:szCs w:val="20"/>
          <w:color w:val="auto"/>
        </w:rPr>
      </w:pPr>
      <w:r>
        <w:rPr>
          <w:rFonts w:ascii="Arial" w:cs="Arial" w:eastAsia="Arial" w:hAnsi="Arial"/>
          <w:sz w:val="20"/>
          <w:szCs w:val="20"/>
          <w:color w:val="auto"/>
        </w:rPr>
        <w:t>The scheduled amortization and maturity of any Incremental Term Loans shall be as set forth in the applicable Incremental Assumption Amendment (including any technical changes to the applicable Term Loans that are necessary to make any such Incremental Term Loans fungible with the outstanding Term A-1 Loans, Term A-2 Loans or Term A-3 Loans, as applicable).</w:t>
      </w:r>
    </w:p>
    <w:p>
      <w:pPr>
        <w:spacing w:after="0" w:line="194" w:lineRule="exact"/>
        <w:rPr>
          <w:rFonts w:ascii="Arial" w:cs="Arial" w:eastAsia="Arial" w:hAnsi="Arial"/>
          <w:sz w:val="20"/>
          <w:szCs w:val="20"/>
          <w:color w:val="auto"/>
        </w:rPr>
      </w:pPr>
    </w:p>
    <w:p>
      <w:pPr>
        <w:ind w:left="1120" w:hanging="464"/>
        <w:spacing w:after="0"/>
        <w:tabs>
          <w:tab w:leader="none" w:pos="1120" w:val="left"/>
        </w:tabs>
        <w:numPr>
          <w:ilvl w:val="1"/>
          <w:numId w:val="209"/>
        </w:numPr>
        <w:rPr>
          <w:rFonts w:ascii="Arial" w:cs="Arial" w:eastAsia="Arial" w:hAnsi="Arial"/>
          <w:sz w:val="20"/>
          <w:szCs w:val="20"/>
          <w:color w:val="auto"/>
        </w:rPr>
      </w:pPr>
      <w:r>
        <w:rPr>
          <w:rFonts w:ascii="Arial" w:cs="Arial" w:eastAsia="Arial" w:hAnsi="Arial"/>
          <w:sz w:val="20"/>
          <w:szCs w:val="20"/>
          <w:color w:val="auto"/>
        </w:rPr>
        <w:t xml:space="preserve">Notwithstanding the foregoing, no Incremental Term Loan Commitment shall become effective under this </w:t>
      </w:r>
      <w:r>
        <w:rPr>
          <w:rFonts w:ascii="Arial" w:cs="Arial" w:eastAsia="Arial" w:hAnsi="Arial"/>
          <w:sz w:val="20"/>
          <w:szCs w:val="20"/>
          <w:u w:val="single" w:color="auto"/>
          <w:color w:val="auto"/>
        </w:rPr>
        <w:t>Section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2.21</w:t>
      </w:r>
      <w:r>
        <w:rPr>
          <w:rFonts w:ascii="Arial" w:cs="Arial" w:eastAsia="Arial" w:hAnsi="Arial"/>
          <w:sz w:val="20"/>
          <w:szCs w:val="20"/>
          <w:color w:val="auto"/>
        </w:rPr>
        <w:t xml:space="preserve"> unless (i) the conditions set forth in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are satisfied and (ii) the Administrative</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240"/>
          </w:cols>
          <w:pgMar w:left="320" w:top="1414" w:right="339" w:bottom="1440" w:gutter="0" w:footer="0" w:header="0"/>
          <w:type w:val="continuous"/>
        </w:sectPr>
      </w:pPr>
    </w:p>
    <w:bookmarkStart w:id="211" w:name="page212"/>
    <w:bookmarkEnd w:id="211"/>
    <w:p>
      <w:pPr>
        <w:ind w:right="240"/>
        <w:spacing w:after="0" w:line="257" w:lineRule="auto"/>
        <w:rPr>
          <w:sz w:val="20"/>
          <w:szCs w:val="20"/>
          <w:color w:val="auto"/>
        </w:rPr>
      </w:pPr>
      <w:r>
        <w:rPr>
          <w:rFonts w:ascii="Arial" w:cs="Arial" w:eastAsia="Arial" w:hAnsi="Arial"/>
          <w:sz w:val="20"/>
          <w:szCs w:val="20"/>
          <w:color w:val="auto"/>
        </w:rPr>
        <w:t>Agent shall have received certified copies of authorizing resolutions of the Board of Directors of the Borrower authorizing such Incremental Term Loan Commitments.</w:t>
      </w:r>
    </w:p>
    <w:p>
      <w:pPr>
        <w:spacing w:after="0" w:line="196" w:lineRule="exact"/>
        <w:rPr>
          <w:sz w:val="20"/>
          <w:szCs w:val="20"/>
          <w:color w:val="auto"/>
        </w:rPr>
      </w:pPr>
    </w:p>
    <w:p>
      <w:pPr>
        <w:ind w:right="80" w:firstLine="656"/>
        <w:spacing w:after="0"/>
        <w:tabs>
          <w:tab w:leader="none" w:pos="1099"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Any Incremental Assumption Amendment may, without the consent of any other Lenders and notwithstanding anything in Section 9.01 to the contrary, effect such amendments to this Agreement and the other Loan Documents as may be necessary or appropriate, in the reasonable opinion of the Administrative Agent and the Borrower, to effect the provisions of this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214" w:lineRule="exact"/>
        <w:rPr>
          <w:sz w:val="20"/>
          <w:szCs w:val="20"/>
          <w:color w:val="auto"/>
        </w:rPr>
      </w:pPr>
    </w:p>
    <w:p>
      <w:pPr>
        <w:ind w:firstLine="648"/>
        <w:spacing w:after="0" w:line="244"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Replacement of Lenders</w:t>
      </w:r>
      <w:r>
        <w:rPr>
          <w:rFonts w:ascii="Arial" w:cs="Arial" w:eastAsia="Arial" w:hAnsi="Arial"/>
          <w:sz w:val="19"/>
          <w:szCs w:val="19"/>
          <w:color w:val="auto"/>
        </w:rPr>
        <w:t xml:space="preserve">. The Borrower shall be permitted to replace any Lender that (a) requests reimbursement for amounts owing pursuant to </w:t>
      </w:r>
      <w:r>
        <w:rPr>
          <w:rFonts w:ascii="Arial" w:cs="Arial" w:eastAsia="Arial" w:hAnsi="Arial"/>
          <w:sz w:val="19"/>
          <w:szCs w:val="19"/>
          <w:u w:val="single" w:color="auto"/>
          <w:color w:val="auto"/>
        </w:rPr>
        <w:t>Section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is unable to designate a different lending office in accordance with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so as to eliminate the continued need for payment of amounts owing pursuant to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or (b)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(of all Term Loans) has been obtained), in each case with a replacement financial institution(s);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replacement does not conflict with any Requirement of Law, (ii) no Event of Default shall have occurred and be continuing at the time of such replacement, (iii) the replacement financial institution(s) shall purchase, at par, all Term Loans outstanding, Term Commitments and other amounts related thereto owing to such replaced Lender on or prior to the date of replacement, (iv) the Borrower shall be liable to such replaced Lender under </w:t>
      </w:r>
      <w:r>
        <w:rPr>
          <w:rFonts w:ascii="Arial" w:cs="Arial" w:eastAsia="Arial" w:hAnsi="Arial"/>
          <w:sz w:val="19"/>
          <w:szCs w:val="19"/>
          <w:u w:val="single" w:color="auto"/>
          <w:color w:val="auto"/>
        </w:rPr>
        <w:t>Section 2.17</w:t>
      </w:r>
      <w:r>
        <w:rPr>
          <w:rFonts w:ascii="Arial" w:cs="Arial" w:eastAsia="Arial" w:hAnsi="Arial"/>
          <w:sz w:val="19"/>
          <w:szCs w:val="19"/>
          <w:color w:val="auto"/>
        </w:rPr>
        <w:t xml:space="preserve"> if any SOFR Loan owing to such replaced Lender shall be purchased other than on the last day of the Interest Period relating thereto, (v) the replacement financial institution(s) (if other than a then existing Lender or an affiliate thereof) shall be reasonably satisfactory to the Administrative Agent (such consent not to be unreasonably withheld, delayed or conditioned),</w:t>
      </w:r>
    </w:p>
    <w:p>
      <w:pPr>
        <w:spacing w:after="0" w:line="6" w:lineRule="exact"/>
        <w:rPr>
          <w:sz w:val="20"/>
          <w:szCs w:val="20"/>
          <w:color w:val="auto"/>
        </w:rPr>
      </w:pPr>
    </w:p>
    <w:p>
      <w:pPr>
        <w:ind w:right="60" w:firstLine="8"/>
        <w:spacing w:after="0" w:line="236" w:lineRule="auto"/>
        <w:tabs>
          <w:tab w:leader="none" w:pos="33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the replaced Lender shall be obligated to make such replacement in accordance with the provisions of </w:t>
      </w:r>
      <w:r>
        <w:rPr>
          <w:rFonts w:ascii="Arial" w:cs="Arial" w:eastAsia="Arial" w:hAnsi="Arial"/>
          <w:sz w:val="20"/>
          <w:szCs w:val="20"/>
          <w:u w:val="single" w:color="auto"/>
          <w:color w:val="auto"/>
        </w:rPr>
        <w:t>Section 9.6</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be obligated to pay the registration and processing fee referred to therein), (vii) until such time as such replacement shall be consummated, the Borrower shall pay all additional amounts (if any) required pursuant to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w:t>
      </w:r>
      <w:r>
        <w:rPr>
          <w:rFonts w:ascii="Arial" w:cs="Arial" w:eastAsia="Arial" w:hAnsi="Arial"/>
          <w:sz w:val="20"/>
          <w:szCs w:val="20"/>
          <w:color w:val="auto"/>
        </w:rPr>
        <w:t>, as the case may be, and (viii) any such replacement shall not be deemed to be a waiver of any rights that the Borrower, the Administrative Agent or any other Lender shall have against the replaced Lender.</w:t>
      </w:r>
    </w:p>
    <w:p>
      <w:pPr>
        <w:spacing w:after="0" w:line="20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4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2.24. </w:t>
      </w:r>
      <w:r>
        <w:rPr>
          <w:rFonts w:ascii="Arial" w:cs="Arial" w:eastAsia="Arial" w:hAnsi="Arial"/>
          <w:sz w:val="20"/>
          <w:szCs w:val="20"/>
          <w:u w:val="single" w:color="auto"/>
          <w:color w:val="auto"/>
        </w:rPr>
        <w:t>Defaulting Lenders</w:t>
      </w:r>
      <w:r>
        <w:rPr>
          <w:rFonts w:ascii="Arial" w:cs="Arial" w:eastAsia="Arial" w:hAnsi="Arial"/>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212" w:lineRule="exact"/>
        <w:rPr>
          <w:sz w:val="20"/>
          <w:szCs w:val="20"/>
          <w:color w:val="auto"/>
        </w:rPr>
      </w:pPr>
    </w:p>
    <w:p>
      <w:pPr>
        <w:ind w:right="280" w:firstLine="656"/>
        <w:spacing w:after="0" w:line="256" w:lineRule="auto"/>
        <w:tabs>
          <w:tab w:leader="none" w:pos="1110"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The Term Loans and Term Commitments of such Defaulting Lender shall not be included in determining whether the Required Lenders have taken or may take any action hereunder or under any other Loan Document (including any consent to any amendment, waiver or other modification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waiver or other modification requiring the consent of all Lenders or all Lenders affected thereby shall, except as otherwise provided in </w:t>
      </w:r>
      <w:r>
        <w:rPr>
          <w:rFonts w:ascii="Arial" w:cs="Arial" w:eastAsia="Arial" w:hAnsi="Arial"/>
          <w:sz w:val="19"/>
          <w:szCs w:val="19"/>
          <w:u w:val="single" w:color="auto"/>
          <w:color w:val="auto"/>
        </w:rPr>
        <w:t>Section 9.1</w:t>
      </w:r>
      <w:r>
        <w:rPr>
          <w:rFonts w:ascii="Arial" w:cs="Arial" w:eastAsia="Arial" w:hAnsi="Arial"/>
          <w:sz w:val="19"/>
          <w:szCs w:val="19"/>
          <w:color w:val="auto"/>
        </w:rPr>
        <w:t>, require the consent of such Defaulting Lender in accordance with the terms hereof.</w:t>
      </w:r>
    </w:p>
    <w:p>
      <w:pPr>
        <w:spacing w:after="0" w:line="184" w:lineRule="exact"/>
        <w:rPr>
          <w:rFonts w:ascii="Arial" w:cs="Arial" w:eastAsia="Arial" w:hAnsi="Arial"/>
          <w:sz w:val="19"/>
          <w:szCs w:val="19"/>
          <w:color w:val="auto"/>
        </w:rPr>
      </w:pPr>
    </w:p>
    <w:p>
      <w:pPr>
        <w:ind w:left="1120" w:hanging="464"/>
        <w:spacing w:after="0"/>
        <w:tabs>
          <w:tab w:leader="none" w:pos="1120" w:val="left"/>
        </w:tabs>
        <w:numPr>
          <w:ilvl w:val="0"/>
          <w:numId w:val="212"/>
        </w:numPr>
        <w:rPr>
          <w:rFonts w:ascii="Arial" w:cs="Arial" w:eastAsia="Arial" w:hAnsi="Arial"/>
          <w:sz w:val="20"/>
          <w:szCs w:val="20"/>
          <w:color w:val="auto"/>
        </w:rPr>
      </w:pPr>
      <w:r>
        <w:rPr>
          <w:rFonts w:ascii="Arial" w:cs="Arial" w:eastAsia="Arial" w:hAnsi="Arial"/>
          <w:sz w:val="20"/>
          <w:szCs w:val="20"/>
          <w:u w:val="single" w:color="auto"/>
          <w:color w:val="auto"/>
        </w:rPr>
        <w:t>Defaulting Lender Waterfall</w:t>
      </w:r>
      <w:r>
        <w:rPr>
          <w:rFonts w:ascii="Arial" w:cs="Arial" w:eastAsia="Arial" w:hAnsi="Arial"/>
          <w:sz w:val="20"/>
          <w:szCs w:val="20"/>
          <w:color w:val="auto"/>
        </w:rPr>
        <w:t>. Any payment of principal, interest, fees or other amounts received by the</w:t>
      </w:r>
    </w:p>
    <w:p>
      <w:pPr>
        <w:spacing w:after="0" w:line="4" w:lineRule="exact"/>
        <w:rPr>
          <w:rFonts w:ascii="Arial" w:cs="Arial" w:eastAsia="Arial" w:hAnsi="Arial"/>
          <w:sz w:val="20"/>
          <w:szCs w:val="20"/>
          <w:color w:val="auto"/>
        </w:rPr>
      </w:pPr>
    </w:p>
    <w:p>
      <w:pPr>
        <w:ind w:right="80"/>
        <w:spacing w:after="0" w:line="235" w:lineRule="auto"/>
        <w:rPr>
          <w:rFonts w:ascii="Arial" w:cs="Arial" w:eastAsia="Arial" w:hAnsi="Arial"/>
          <w:sz w:val="20"/>
          <w:szCs w:val="20"/>
          <w:color w:val="auto"/>
        </w:rPr>
      </w:pPr>
      <w:r>
        <w:rPr>
          <w:rFonts w:ascii="Arial" w:cs="Arial" w:eastAsia="Arial" w:hAnsi="Arial"/>
          <w:sz w:val="20"/>
          <w:szCs w:val="20"/>
          <w:color w:val="auto"/>
        </w:rPr>
        <w:t xml:space="preserve">Administrative Agent for the account of such Defaulting Lender hereunder (whether voluntary, at maturity, pursuant to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or otherwise) shall be applied at such time or times as may be determined by the Administrative Agent as follows: first, to the payment of any amounts owing by such Defaulting Lender to the Administrative Agent hereunder; second, as the Borrower may request (so long as no Default exists), to the funding of any Term Loan in respect of which such Defaulting Lender has failed to fund its portion thereof as required by this Agreement, as determined by the Administrative Agent; third, if so determined by the Administrative Agent and the Borrower, to be held in a deposit account and released pro rata in order to satisfy such Defaulting Lender’s potential future funding obligations with respect to Term Loans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14" w:right="339" w:bottom="1440" w:gutter="0" w:footer="0" w:header="0"/>
        </w:sectPr>
      </w:pPr>
    </w:p>
    <w:bookmarkStart w:id="212" w:name="page213"/>
    <w:bookmarkEnd w:id="212"/>
    <w:p>
      <w:pPr>
        <w:ind w:right="20"/>
        <w:spacing w:after="0" w:line="250" w:lineRule="auto"/>
        <w:rPr>
          <w:sz w:val="20"/>
          <w:szCs w:val="20"/>
          <w:color w:val="auto"/>
        </w:rPr>
      </w:pPr>
      <w:r>
        <w:rPr>
          <w:rFonts w:ascii="Arial" w:cs="Arial" w:eastAsia="Arial" w:hAnsi="Arial"/>
          <w:sz w:val="19"/>
          <w:szCs w:val="19"/>
          <w:color w:val="auto"/>
        </w:rPr>
        <w:t>fourth, to the payment of any amounts owing to the Lenders as a result of any judgment of a court of competent jurisdiction obtained by any Lender against such Defaulting Lender as a result of such Defaulting Lender’s breach of its obligations under this Agreement; fifth,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sixth, to such Defaulting Lender or as otherwise directed by a court of competent jurisdiction. Any payments, prepayments or other amounts paid or payable to a Defaulting Lender that are applied (or held) to pay amounts owed by a Defaulting Lender or to post cash collateral pursuant to this Section shall be deemed paid to and redirected by such Defaulting Lender, and such Defaulting Lender irrevocably consents hereto.</w:t>
      </w:r>
    </w:p>
    <w:p>
      <w:pPr>
        <w:spacing w:after="0" w:line="191" w:lineRule="exact"/>
        <w:rPr>
          <w:sz w:val="20"/>
          <w:szCs w:val="20"/>
          <w:color w:val="auto"/>
        </w:rPr>
      </w:pPr>
    </w:p>
    <w:p>
      <w:pPr>
        <w:ind w:firstLine="656"/>
        <w:spacing w:after="0" w:line="234" w:lineRule="auto"/>
        <w:tabs>
          <w:tab w:leader="none" w:pos="1099"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Defaulting Lender Cure</w:t>
      </w:r>
      <w:r>
        <w:rPr>
          <w:rFonts w:ascii="Arial" w:cs="Arial" w:eastAsia="Arial" w:hAnsi="Arial"/>
          <w:sz w:val="20"/>
          <w:szCs w:val="20"/>
          <w:color w:val="auto"/>
        </w:rPr>
        <w:t xml:space="preserve">. If the Borrower and the Administrative Agent (unless the Administrative Agent is the Defaulting Lender) agree in writing that a Lender is no longer a Defaulting Lender, the Administrative Agent will so notify the applicable parties hereto, whereupon as of the effective date specified in such notice and subject to any conditions set forth therein (which may include arrangements with respect to any cash collateral), that Lender will, to the extent applicable, purchase at par that portion of outstanding Term A-1 Loans, Term A-2 Loans or Term A-3 Loans, as applicable, of the other Lenders or take such other actions as the Administrative Agent (unless the Administrative Agent is the Defaulting Lender) may determine to be necessary to cause the Term A-1 Loans, Term A-2 Loans or Term A-3 Loans, as applicable, to be held pro rata by the Lenders in accordance with the relative amounts of their Term A-1 Commitments, Term A-2 Commitments or Term A-3 Commitments, whereupon such Lender will cease to be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21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3</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represents and warrant on the Closing Date to the Administrative Agent and each Lender as follows:</w:t>
      </w:r>
    </w:p>
    <w:p>
      <w:pPr>
        <w:spacing w:after="0" w:line="243"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Existence; Compliance with Law</w:t>
      </w:r>
      <w:r>
        <w:rPr>
          <w:rFonts w:ascii="Arial" w:cs="Arial" w:eastAsia="Arial" w:hAnsi="Arial"/>
          <w:sz w:val="20"/>
          <w:szCs w:val="20"/>
          <w:color w:val="auto"/>
        </w:rPr>
        <w:t>. Each Loan Party (a) is duly organized, validly existing and (to the extent such concept is applicable)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(to the extent such concept is applicable) in good standing under the laws of each jurisdiction where its ownership, lease or operation of property or the conduct of its business requires such qualification, and (d) is in compliance with all Requirements of Law, except, in the case of each of the foregoing clauses (a) through (d), to the extent that the failure to comply therewith would not, in the aggregate, reasonably be expected to have a Material Adverse Effect.</w:t>
      </w:r>
    </w:p>
    <w:p>
      <w:pPr>
        <w:spacing w:after="0" w:line="202" w:lineRule="exact"/>
        <w:rPr>
          <w:sz w:val="20"/>
          <w:szCs w:val="20"/>
          <w:color w:val="auto"/>
        </w:rPr>
      </w:pPr>
    </w:p>
    <w:p>
      <w:pPr>
        <w:ind w:right="100" w:firstLine="648"/>
        <w:spacing w:after="0" w:line="250"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Power; Authorizations; Enforceable Obligations</w:t>
      </w:r>
      <w:r>
        <w:rPr>
          <w:rFonts w:ascii="Arial" w:cs="Arial" w:eastAsia="Arial" w:hAnsi="Arial"/>
          <w:sz w:val="19"/>
          <w:szCs w:val="19"/>
          <w:color w:val="auto"/>
        </w:rPr>
        <w:t>.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is required in connection with the extensions of credit hereunder or with the execution, delivery, performance, validity or enforceability of this Agreement or any of the Loan Documents, except (i) that have been obtained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14" w:right="339" w:bottom="1440" w:gutter="0" w:footer="0" w:header="0"/>
        </w:sectPr>
      </w:pPr>
    </w:p>
    <w:bookmarkStart w:id="213" w:name="page214"/>
    <w:bookmarkEnd w:id="213"/>
    <w:p>
      <w:pPr>
        <w:ind w:right="80"/>
        <w:spacing w:after="0" w:line="238" w:lineRule="auto"/>
        <w:rPr>
          <w:sz w:val="20"/>
          <w:szCs w:val="20"/>
          <w:color w:val="auto"/>
        </w:rPr>
      </w:pPr>
      <w:r>
        <w:rPr>
          <w:rFonts w:ascii="Arial" w:cs="Arial" w:eastAsia="Arial" w:hAnsi="Arial"/>
          <w:sz w:val="20"/>
          <w:szCs w:val="20"/>
          <w:color w:val="auto"/>
        </w:rPr>
        <w:t>made and are in full force and effect and (ii) to the extent that the failure to obtain any such consent, authorization, filing, notice or other act would not, in the aggregate,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99" w:lineRule="exact"/>
        <w:rPr>
          <w:sz w:val="20"/>
          <w:szCs w:val="20"/>
          <w:color w:val="auto"/>
        </w:rPr>
      </w:pPr>
    </w:p>
    <w:p>
      <w:pPr>
        <w:ind w:right="60" w:firstLine="648"/>
        <w:spacing w:after="0" w:line="237"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No Legal Bar</w:t>
      </w:r>
      <w:r>
        <w:rPr>
          <w:rFonts w:ascii="Arial" w:cs="Arial" w:eastAsia="Arial" w:hAnsi="Arial"/>
          <w:sz w:val="20"/>
          <w:szCs w:val="20"/>
          <w:color w:val="auto"/>
        </w:rPr>
        <w:t>. The execution, delivery and performance of this Agreement and the other Loan Documents, the borrowings hereunder and the use of the proceeds thereof (x) will not violate any Requirement of Law or any material Contractual Obligation of any Loan Party and (y) will not result in, or require, the creation or imposition of any Lien on any of their respective properties or revenues pursuant to any Requirement of Law or any such material Contractual Obligation except, in the case of each of the foregoing clauses (x) and (y), to the extent that the failure to comply therewith would not, in the aggregate, reasonably be expected to have a Material Adverse Effect.</w:t>
      </w:r>
    </w:p>
    <w:p>
      <w:pPr>
        <w:spacing w:after="0" w:line="203"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Accuracy of Information</w:t>
      </w:r>
      <w:r>
        <w:rPr>
          <w:rFonts w:ascii="Arial" w:cs="Arial" w:eastAsia="Arial" w:hAnsi="Arial"/>
          <w:sz w:val="20"/>
          <w:szCs w:val="20"/>
          <w:color w:val="auto"/>
        </w:rPr>
        <w:t xml:space="preserve">.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Closing Date, taken as a whole and in light of the circumstances in which made, any untrue statement of a material fact or omitted to state a material fact necessary to make the statements contained herein or therein not materially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 financial information, each Loan Party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206" w:lineRule="exact"/>
        <w:rPr>
          <w:sz w:val="20"/>
          <w:szCs w:val="20"/>
          <w:color w:val="auto"/>
        </w:rPr>
      </w:pPr>
    </w:p>
    <w:p>
      <w:pPr>
        <w:ind w:right="280" w:firstLine="648"/>
        <w:spacing w:after="0" w:line="248"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the last day of the most recently ended fiscal year of the Borrower prior to the Closing Date there has been no development or event that has had or would reasonably be expected to have a Material Adverse Effect.</w:t>
      </w:r>
    </w:p>
    <w:p>
      <w:pPr>
        <w:spacing w:after="0" w:line="205" w:lineRule="exact"/>
        <w:rPr>
          <w:sz w:val="20"/>
          <w:szCs w:val="20"/>
          <w:color w:val="auto"/>
        </w:rPr>
      </w:pPr>
    </w:p>
    <w:p>
      <w:pPr>
        <w:ind w:firstLine="648"/>
        <w:spacing w:after="0" w:line="25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Title to Assets; Liens</w:t>
      </w:r>
      <w:r>
        <w:rPr>
          <w:rFonts w:ascii="Arial" w:cs="Arial" w:eastAsia="Arial" w:hAnsi="Arial"/>
          <w:sz w:val="19"/>
          <w:szCs w:val="19"/>
          <w:color w:val="auto"/>
        </w:rPr>
        <w:t xml:space="preserve">. The Borrower and its Restricted Subsidiaries have good and marketable title to, or a valid leasehold or easement interest in, all their other material property, taken as a whole, except for minor defects in title that do not interfere with their ability to conduct their business as currently conducted or as proposed to be conducted or to utilize such properties for their intended purposes, in each case, except as would not reasonably be expected to have, individually or in the aggregate, a Material Adverse Effect, and none of such property is subject to any Lien except Liens permitted under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203" w:lineRule="exact"/>
        <w:rPr>
          <w:sz w:val="20"/>
          <w:szCs w:val="20"/>
          <w:color w:val="auto"/>
        </w:rPr>
      </w:pPr>
    </w:p>
    <w:p>
      <w:pPr>
        <w:ind w:right="260" w:firstLine="648"/>
        <w:spacing w:after="0" w:line="237"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The Borrower and its Restricted Subsidiaries own, or are licensed to use, all Intellectual Property material to the conduct of their businesses, and the use thereof by the Borrower and its Restricted Subsidiaries does not, to the knowledge of the Borrower, infringe upon, misappropriate or otherwise violate the Intellectual Property rights of any other Person, in each case except where the failure to own or license Intellectual Property, or any infringement on Intellectual Property rights would not, in the aggregate, reasonably be expected to have a Material Adverse Effect.</w:t>
      </w:r>
    </w:p>
    <w:p>
      <w:pPr>
        <w:spacing w:after="0" w:line="214" w:lineRule="exact"/>
        <w:rPr>
          <w:sz w:val="20"/>
          <w:szCs w:val="20"/>
          <w:color w:val="auto"/>
        </w:rPr>
      </w:pPr>
    </w:p>
    <w:p>
      <w:pPr>
        <w:ind w:right="560" w:firstLine="648"/>
        <w:spacing w:after="0" w:line="257" w:lineRule="auto"/>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Term Loans shall be utilized for general corporate purposes, including capital expenditures.</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Litigation</w:t>
      </w:r>
      <w:r>
        <w:rPr>
          <w:rFonts w:ascii="Arial" w:cs="Arial" w:eastAsia="Arial" w:hAnsi="Arial"/>
          <w:sz w:val="20"/>
          <w:szCs w:val="20"/>
          <w:color w:val="auto"/>
        </w:rPr>
        <w:t>. No litigation, investigation or proceeding of or before any arbitrator or Governmental Authority is pending or, to the knowledge of the Borrower, threatened (including “cease and desist” letters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14" w:right="339" w:bottom="1440" w:gutter="0" w:footer="0" w:header="0"/>
        </w:sectPr>
      </w:pPr>
    </w:p>
    <w:bookmarkStart w:id="214" w:name="page215"/>
    <w:bookmarkEnd w:id="214"/>
    <w:p>
      <w:pPr>
        <w:ind w:right="340"/>
        <w:spacing w:after="0" w:line="284" w:lineRule="auto"/>
        <w:rPr>
          <w:sz w:val="20"/>
          <w:szCs w:val="20"/>
          <w:color w:val="auto"/>
        </w:rPr>
      </w:pPr>
      <w:r>
        <w:rPr>
          <w:rFonts w:ascii="Arial" w:cs="Arial" w:eastAsia="Arial" w:hAnsi="Arial"/>
          <w:sz w:val="19"/>
          <w:szCs w:val="19"/>
          <w:color w:val="auto"/>
        </w:rPr>
        <w:t>invitations to take a patent license) by or against the Borrower or its Restricted Subsidiaries or against any of their respective properties, rights or revenues that, in the aggregate, would reasonably be expected to have a Material Adverse Effect.</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No part of the proceeds of any Term Loan will be used for any purpose that violates the provisions of the Regulations of the FRB. Neither the Borrower nor any of its Subsidiaries is engaged principally, or as one of its important activities, in the business of extending credit for the purpose of purchasing or carrying any “margin stock.”</w:t>
      </w:r>
    </w:p>
    <w:p>
      <w:pPr>
        <w:spacing w:after="0" w:line="173" w:lineRule="exact"/>
        <w:rPr>
          <w:sz w:val="20"/>
          <w:szCs w:val="20"/>
          <w:color w:val="auto"/>
        </w:rPr>
      </w:pPr>
    </w:p>
    <w:p>
      <w:pPr>
        <w:ind w:right="60" w:firstLine="648"/>
        <w:spacing w:after="0" w:line="271"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Solvency</w:t>
      </w:r>
      <w:r>
        <w:rPr>
          <w:rFonts w:ascii="Arial" w:cs="Arial" w:eastAsia="Arial" w:hAnsi="Arial"/>
          <w:sz w:val="20"/>
          <w:szCs w:val="20"/>
          <w:color w:val="auto"/>
        </w:rPr>
        <w:t>. The Borrower and its Subsidiaries, taken as a whole, are, and after giving effect to the incurrence of all Indebtedness and obligations being incurred in connection herewith will be, Solvent.</w:t>
      </w:r>
    </w:p>
    <w:p>
      <w:pPr>
        <w:spacing w:after="0" w:line="169" w:lineRule="exact"/>
        <w:rPr>
          <w:sz w:val="20"/>
          <w:szCs w:val="20"/>
          <w:color w:val="auto"/>
        </w:rPr>
      </w:pPr>
    </w:p>
    <w:p>
      <w:pPr>
        <w:ind w:right="60" w:firstLine="648"/>
        <w:spacing w:after="0" w:line="235"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Taxes</w:t>
      </w:r>
      <w:r>
        <w:rPr>
          <w:rFonts w:ascii="Arial" w:cs="Arial" w:eastAsia="Arial" w:hAnsi="Arial"/>
          <w:sz w:val="20"/>
          <w:szCs w:val="20"/>
          <w:color w:val="auto"/>
        </w:rPr>
        <w:t>. Each of the Borrower and its Restricted Subsidiaries has filed or caused to be filed all federal and state income Tax and other Tax returns that are required to be filed, except if the failure to make any such filing would not, individually or in the aggregate, reasonably be expected to have a Material Adverse Effect, and has paid all Taxes shown to be due and payable on said returns or on any assessments made against it or any of its property and all other Taxes, fees or other charges imposed on it or any of its property by any Governmental Authority (other than any (x) the amount or validity of which are currently being contested in good faith by appropriate proceedings and with respect to which reserves in conformity with GAAP have been provided on the books of the relevant entity, or (y) those where the failure to pay, individually or in the aggregate, would not reasonably be expected to have a Material Adverse Effect). There is no proposed Tax assessment or other claim against, and no Tax audit with respect to, the Borrower or its Restricted Subsidiaries that would reasonably be expected to, individually or in the aggregate, have a Material Adverse Effect.</w:t>
      </w:r>
    </w:p>
    <w:p>
      <w:pPr>
        <w:spacing w:after="0" w:line="205"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3.13. </w:t>
      </w:r>
      <w:r>
        <w:rPr>
          <w:rFonts w:ascii="Arial" w:cs="Arial" w:eastAsia="Arial" w:hAnsi="Arial"/>
          <w:sz w:val="20"/>
          <w:szCs w:val="20"/>
          <w:u w:val="single" w:color="auto"/>
          <w:color w:val="auto"/>
        </w:rPr>
        <w:t>ERISA</w:t>
      </w:r>
      <w:r>
        <w:rPr>
          <w:rFonts w:ascii="Arial" w:cs="Arial" w:eastAsia="Arial" w:hAnsi="Arial"/>
          <w:sz w:val="20"/>
          <w:szCs w:val="20"/>
          <w:color w:val="auto"/>
        </w:rPr>
        <w:t>. Except as, in the aggregate, does not or would not reasonably be expected to result in a Material Adverse Effect: neither a Reportable Event nor a failure to satisfy the minimum funding standard of Section 430 of the Code or Section 303 of ERISA, whether or not waived, with respect to a Plan has occurred during the five-year period prior to the date on which this representation is made or deemed made with respect to any Plan, and each Plan has complied in all respects with the applicable provisions of ERISA and the Code; no termination of a Single Employer Plan has occurred, and no Lien in favor of the PBGC or a Plan has arisen, during such five-year period; the present value of all accrued benefits under each Single Employer Plan (based on those assumptions used to fund such Plans) did not, as of the last annual valuation date prior to the date on which this representation is made or deemed made, exceed the value of the assets of such Plan allocable to such accrued benefits; neither the Borrower nor any Commonly Controlled Entity has had a complete or partial withdrawal from any Multiemployer Plan; to the knowledge of the Borrower after due inquiry, neither the Borrower nor any Commonly Controlled Entity would become subject to any liability under ERISA if the Borrower or any such Commonly Controlled Entity were to withdraw completely from any Multiemployer Plans as of the valuation date most closely preceding the date on which this representation is made or deemed made; and to the knowledge of the Borrower after due inquiry, no Multiemployer Plan is in “critical status” (within the meaning of Section 432 of the Code or Section 305 of ERISA) or Insolvent.</w:t>
      </w:r>
    </w:p>
    <w:p>
      <w:pPr>
        <w:spacing w:after="0" w:line="209" w:lineRule="exact"/>
        <w:rPr>
          <w:sz w:val="20"/>
          <w:szCs w:val="20"/>
          <w:color w:val="auto"/>
        </w:rPr>
      </w:pPr>
    </w:p>
    <w:p>
      <w:pPr>
        <w:ind w:right="180" w:firstLine="648"/>
        <w:spacing w:after="0" w:line="298"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Environmental Matters; Hazardous Material</w:t>
      </w:r>
      <w:r>
        <w:rPr>
          <w:rFonts w:ascii="Arial" w:cs="Arial" w:eastAsia="Arial" w:hAnsi="Arial"/>
          <w:sz w:val="19"/>
          <w:szCs w:val="19"/>
          <w:color w:val="auto"/>
        </w:rPr>
        <w:t>. There has been no matter with respect to Environmental Laws or Materials of Environmental Concern which, in the aggregate, would reasonably be expected to have a Material Adverse Effect.</w:t>
      </w:r>
    </w:p>
    <w:p>
      <w:pPr>
        <w:spacing w:after="0" w:line="14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Investment Company Act; Other Regulations</w:t>
      </w:r>
      <w:r>
        <w:rPr>
          <w:rFonts w:ascii="Arial" w:cs="Arial" w:eastAsia="Arial" w:hAnsi="Arial"/>
          <w:sz w:val="19"/>
          <w:szCs w:val="19"/>
          <w:color w:val="auto"/>
        </w:rPr>
        <w:t>. Neither the Borrower nor any Restricted Subsidiary is required to register as an “investment company”, or a company “controlled” by an “investment company”, within the meaning of the Investment Company Act of 1940, as amended. Neither the Borrower nor any Restricted Subsidiary is subject to regulation under any Requirement of Law that limits its ability to incur Indebtedness under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14" w:right="339" w:bottom="1440" w:gutter="0" w:footer="0" w:header="0"/>
        </w:sectPr>
      </w:pPr>
    </w:p>
    <w:bookmarkStart w:id="215" w:name="page216"/>
    <w:bookmarkEnd w:id="215"/>
    <w:p>
      <w:pPr>
        <w:ind w:left="660"/>
        <w:spacing w:after="0"/>
        <w:tabs>
          <w:tab w:leader="none" w:pos="1300" w:val="left"/>
        </w:tabs>
        <w:rPr>
          <w:sz w:val="20"/>
          <w:szCs w:val="20"/>
          <w:color w:val="auto"/>
        </w:rPr>
      </w:pPr>
      <w:r>
        <w:rPr>
          <w:rFonts w:ascii="Arial" w:cs="Arial" w:eastAsia="Arial" w:hAnsi="Arial"/>
          <w:sz w:val="20"/>
          <w:szCs w:val="20"/>
          <w:color w:val="auto"/>
        </w:rPr>
        <w:t>3.16.</w:t>
      </w:r>
      <w:r>
        <w:rPr>
          <w:sz w:val="20"/>
          <w:szCs w:val="20"/>
          <w:color w:val="auto"/>
        </w:rPr>
        <w:tab/>
      </w:r>
      <w:r>
        <w:rPr>
          <w:rFonts w:ascii="Arial" w:cs="Arial" w:eastAsia="Arial" w:hAnsi="Arial"/>
          <w:sz w:val="19"/>
          <w:szCs w:val="19"/>
          <w:u w:val="single" w:color="auto"/>
          <w:color w:val="auto"/>
        </w:rPr>
        <w:t>Labor Matters</w:t>
      </w:r>
      <w:r>
        <w:rPr>
          <w:rFonts w:ascii="Arial" w:cs="Arial" w:eastAsia="Arial" w:hAnsi="Arial"/>
          <w:sz w:val="19"/>
          <w:szCs w:val="19"/>
          <w:color w:val="auto"/>
        </w:rPr>
        <w:t>. Except as, in the aggregate, would not reasonably be expected to have a Material Adverse Effect:</w:t>
      </w:r>
    </w:p>
    <w:p>
      <w:pPr>
        <w:spacing w:after="0" w:line="4" w:lineRule="exact"/>
        <w:rPr>
          <w:sz w:val="20"/>
          <w:szCs w:val="20"/>
          <w:color w:val="auto"/>
        </w:rPr>
      </w:pPr>
    </w:p>
    <w:p>
      <w:pPr>
        <w:ind w:firstLine="8"/>
        <w:spacing w:after="0" w:line="236" w:lineRule="auto"/>
        <w:tabs>
          <w:tab w:leader="none" w:pos="297" w:val="left"/>
        </w:tabs>
        <w:numPr>
          <w:ilvl w:val="0"/>
          <w:numId w:val="214"/>
        </w:numPr>
        <w:rPr>
          <w:rFonts w:ascii="Arial" w:cs="Arial" w:eastAsia="Arial" w:hAnsi="Arial"/>
          <w:sz w:val="20"/>
          <w:szCs w:val="20"/>
          <w:color w:val="auto"/>
        </w:rPr>
      </w:pPr>
      <w:r>
        <w:rPr>
          <w:rFonts w:ascii="Arial" w:cs="Arial" w:eastAsia="Arial" w:hAnsi="Arial"/>
          <w:sz w:val="20"/>
          <w:szCs w:val="20"/>
          <w:color w:val="auto"/>
        </w:rPr>
        <w:t>there are no strikes or other labor disputes against the Borrower or any Restricted Subsidiary pending or, to the knowledge of the Borrower, threatened; (b) hours worked by and payment made to employees of each of the Borrower and its Restricted Subsidiaries have not been in violation of the Fair Labor Standards Act or any other applicable Requirement of Law dealing with such matters; and (c) all payments due from the Borrower and its Restricted Subsidiaries on account of employee health and welfare insurance have been paid or accrued as a liability on the books of the relevant entity.</w:t>
      </w:r>
    </w:p>
    <w:p>
      <w:pPr>
        <w:spacing w:after="0" w:line="215" w:lineRule="exact"/>
        <w:rPr>
          <w:sz w:val="20"/>
          <w:szCs w:val="20"/>
          <w:color w:val="auto"/>
        </w:rPr>
      </w:pPr>
    </w:p>
    <w:p>
      <w:pPr>
        <w:ind w:right="100" w:firstLine="648"/>
        <w:spacing w:after="0" w:line="248" w:lineRule="auto"/>
        <w:rPr>
          <w:sz w:val="20"/>
          <w:szCs w:val="20"/>
          <w:color w:val="auto"/>
        </w:rPr>
      </w:pPr>
      <w:r>
        <w:rPr>
          <w:rFonts w:ascii="Arial" w:cs="Arial" w:eastAsia="Arial" w:hAnsi="Arial"/>
          <w:sz w:val="19"/>
          <w:szCs w:val="19"/>
          <w:color w:val="auto"/>
        </w:rPr>
        <w:t xml:space="preserve">3.17.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None of (a) the Borrower, any Subsidiary or any of their respective directors, officers or employees, or (b) to the knowledge of the Borrower, any agent of the Borrower or any Subsidiary that will act in any capacity in connection with or benefit from the credit facility established hereby, is a Sanctioned Person. No Borrowing, use of proceeds or other transaction contemplated by this Agreement will violate any Anti-Corruption Law or applicable Sanctions.</w:t>
      </w:r>
    </w:p>
    <w:p>
      <w:pPr>
        <w:spacing w:after="0" w:line="20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3.18.</w:t>
      </w:r>
      <w:r>
        <w:rPr>
          <w:sz w:val="20"/>
          <w:szCs w:val="20"/>
          <w:color w:val="auto"/>
        </w:rPr>
        <w:tab/>
      </w:r>
      <w:r>
        <w:rPr>
          <w:rFonts w:ascii="Arial" w:cs="Arial" w:eastAsia="Arial" w:hAnsi="Arial"/>
          <w:sz w:val="19"/>
          <w:szCs w:val="19"/>
          <w:u w:val="single" w:color="auto"/>
          <w:color w:val="auto"/>
        </w:rPr>
        <w:t>Affected Financial Institutions</w:t>
      </w:r>
      <w:r>
        <w:rPr>
          <w:rFonts w:ascii="Arial" w:cs="Arial" w:eastAsia="Arial" w:hAnsi="Arial"/>
          <w:sz w:val="19"/>
          <w:szCs w:val="19"/>
          <w:color w:val="auto"/>
        </w:rPr>
        <w:t>. No Loan Party is an Affected Financial Institution.</w:t>
      </w:r>
    </w:p>
    <w:p>
      <w:pPr>
        <w:spacing w:after="0" w:line="229" w:lineRule="exact"/>
        <w:rPr>
          <w:sz w:val="20"/>
          <w:szCs w:val="20"/>
          <w:color w:val="auto"/>
        </w:rPr>
      </w:pPr>
    </w:p>
    <w:p>
      <w:pPr>
        <w:ind w:right="280" w:firstLine="648"/>
        <w:spacing w:after="0" w:line="248" w:lineRule="auto"/>
        <w:rPr>
          <w:sz w:val="20"/>
          <w:szCs w:val="20"/>
          <w:color w:val="auto"/>
        </w:rPr>
      </w:pPr>
      <w:r>
        <w:rPr>
          <w:rFonts w:ascii="Arial" w:cs="Arial" w:eastAsia="Arial" w:hAnsi="Arial"/>
          <w:sz w:val="20"/>
          <w:szCs w:val="20"/>
          <w:color w:val="auto"/>
        </w:rPr>
        <w:t xml:space="preserve">3.19. </w:t>
      </w:r>
      <w:r>
        <w:rPr>
          <w:rFonts w:ascii="Arial" w:cs="Arial" w:eastAsia="Arial" w:hAnsi="Arial"/>
          <w:sz w:val="20"/>
          <w:szCs w:val="20"/>
          <w:u w:val="single" w:color="auto"/>
          <w:color w:val="auto"/>
        </w:rPr>
        <w:t>Disclosure</w:t>
      </w:r>
      <w:r>
        <w:rPr>
          <w:rFonts w:ascii="Arial" w:cs="Arial" w:eastAsia="Arial" w:hAnsi="Arial"/>
          <w:sz w:val="20"/>
          <w:szCs w:val="20"/>
          <w:color w:val="auto"/>
        </w:rPr>
        <w:t>. 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205" w:lineRule="exact"/>
        <w:rPr>
          <w:sz w:val="20"/>
          <w:szCs w:val="20"/>
          <w:color w:val="auto"/>
        </w:rPr>
      </w:pPr>
    </w:p>
    <w:p>
      <w:pPr>
        <w:ind w:right="240" w:firstLine="648"/>
        <w:spacing w:after="0" w:line="241" w:lineRule="auto"/>
        <w:rPr>
          <w:sz w:val="20"/>
          <w:szCs w:val="20"/>
          <w:color w:val="auto"/>
        </w:rPr>
      </w:pPr>
      <w:r>
        <w:rPr>
          <w:rFonts w:ascii="Arial" w:cs="Arial" w:eastAsia="Arial" w:hAnsi="Arial"/>
          <w:sz w:val="20"/>
          <w:szCs w:val="20"/>
          <w:color w:val="auto"/>
        </w:rPr>
        <w:t xml:space="preserve">3.20. </w:t>
      </w:r>
      <w:r>
        <w:rPr>
          <w:rFonts w:ascii="Arial" w:cs="Arial" w:eastAsia="Arial" w:hAnsi="Arial"/>
          <w:sz w:val="20"/>
          <w:szCs w:val="20"/>
          <w:u w:val="single" w:color="auto"/>
          <w:color w:val="auto"/>
        </w:rPr>
        <w:t>ERISA Event</w:t>
      </w:r>
      <w:r>
        <w:rPr>
          <w:rFonts w:ascii="Arial" w:cs="Arial" w:eastAsia="Arial" w:hAnsi="Arial"/>
          <w:sz w:val="20"/>
          <w:szCs w:val="20"/>
          <w:color w:val="auto"/>
        </w:rPr>
        <w:t>. No ERISA Event has occurred or is reasonably expected to occur that, when taken together with all other such ERISA Events for which liability is reasonably expected to occur, would reasonably be expected to result in a Material Adverse Effect.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4</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Conditions Precedent</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Conditions to the Closing Date</w:t>
      </w:r>
      <w:r>
        <w:rPr>
          <w:rFonts w:ascii="Arial" w:cs="Arial" w:eastAsia="Arial" w:hAnsi="Arial"/>
          <w:sz w:val="20"/>
          <w:szCs w:val="20"/>
          <w:color w:val="auto"/>
        </w:rPr>
        <w:t xml:space="preserve">. The obligations of the Lenders to make Term Loans hereunder shall not become effective until the date on which each of the following conditions is satisfied (or waived in accordance with </w:t>
      </w:r>
      <w:r>
        <w:rPr>
          <w:rFonts w:ascii="Arial" w:cs="Arial" w:eastAsia="Arial" w:hAnsi="Arial"/>
          <w:sz w:val="20"/>
          <w:szCs w:val="20"/>
          <w:u w:val="single" w:color="auto"/>
          <w:color w:val="auto"/>
        </w:rPr>
        <w:t>Section 9.1</w:t>
      </w:r>
      <w:r>
        <w:rPr>
          <w:rFonts w:ascii="Arial" w:cs="Arial" w:eastAsia="Arial" w:hAnsi="Arial"/>
          <w:sz w:val="20"/>
          <w:szCs w:val="20"/>
          <w:color w:val="auto"/>
        </w:rPr>
        <w:t>):</w:t>
      </w:r>
    </w:p>
    <w:p>
      <w:pPr>
        <w:spacing w:after="0" w:line="196" w:lineRule="exact"/>
        <w:rPr>
          <w:sz w:val="20"/>
          <w:szCs w:val="20"/>
          <w:color w:val="auto"/>
        </w:rPr>
      </w:pPr>
    </w:p>
    <w:p>
      <w:pPr>
        <w:ind w:right="100" w:firstLine="656"/>
        <w:spacing w:after="0" w:line="257" w:lineRule="auto"/>
        <w:tabs>
          <w:tab w:leader="none" w:pos="111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Loan Documents</w:t>
      </w:r>
      <w:r>
        <w:rPr>
          <w:rFonts w:ascii="Arial" w:cs="Arial" w:eastAsia="Arial" w:hAnsi="Arial"/>
          <w:sz w:val="20"/>
          <w:szCs w:val="20"/>
          <w:color w:val="auto"/>
        </w:rPr>
        <w:t>. The Administrative Agent shall have received counterparts hereof executed and delivered by the Borrower, the Administrative Agent, and each other Lender and Schedules to this Agreement.</w:t>
      </w:r>
    </w:p>
    <w:p>
      <w:pPr>
        <w:spacing w:after="0" w:line="182" w:lineRule="exact"/>
        <w:rPr>
          <w:rFonts w:ascii="Arial" w:cs="Arial" w:eastAsia="Arial" w:hAnsi="Arial"/>
          <w:sz w:val="20"/>
          <w:szCs w:val="20"/>
          <w:color w:val="auto"/>
        </w:rPr>
      </w:pPr>
    </w:p>
    <w:p>
      <w:pPr>
        <w:ind w:right="160" w:firstLine="656"/>
        <w:spacing w:after="0" w:line="245" w:lineRule="auto"/>
        <w:tabs>
          <w:tab w:leader="none" w:pos="111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Corporate Documents and Proceedings</w:t>
      </w:r>
      <w:r>
        <w:rPr>
          <w:rFonts w:ascii="Arial" w:cs="Arial" w:eastAsia="Arial" w:hAnsi="Arial"/>
          <w:sz w:val="20"/>
          <w:szCs w:val="20"/>
          <w:color w:val="auto"/>
        </w:rPr>
        <w:t xml:space="preserve">. The Administrative Agent shall have received (i) a certificate of Borrower, dated the Closing Date, substantially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with appropriate insertions and attachments, including the certificate of incorporation of Borrower, and (ii) a long form good standing certificate for Borrower from its jurisdiction of organization.</w:t>
      </w:r>
    </w:p>
    <w:p>
      <w:pPr>
        <w:spacing w:after="0" w:line="194" w:lineRule="exact"/>
        <w:rPr>
          <w:rFonts w:ascii="Arial" w:cs="Arial" w:eastAsia="Arial" w:hAnsi="Arial"/>
          <w:sz w:val="20"/>
          <w:szCs w:val="20"/>
          <w:color w:val="auto"/>
        </w:rPr>
      </w:pPr>
    </w:p>
    <w:p>
      <w:pPr>
        <w:ind w:right="400" w:firstLine="656"/>
        <w:spacing w:after="0" w:line="271" w:lineRule="auto"/>
        <w:tabs>
          <w:tab w:leader="none" w:pos="1099"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No Material Adverse Effect</w:t>
      </w:r>
      <w:r>
        <w:rPr>
          <w:rFonts w:ascii="Arial" w:cs="Arial" w:eastAsia="Arial" w:hAnsi="Arial"/>
          <w:sz w:val="20"/>
          <w:szCs w:val="20"/>
          <w:color w:val="auto"/>
        </w:rPr>
        <w:t>. Since September 1, 2022, there has been no development or event that has had or would reasonably be expected to have a Material Adverse Effect.</w:t>
      </w:r>
    </w:p>
    <w:p>
      <w:pPr>
        <w:spacing w:after="0" w:line="169" w:lineRule="exact"/>
        <w:rPr>
          <w:rFonts w:ascii="Arial" w:cs="Arial" w:eastAsia="Arial" w:hAnsi="Arial"/>
          <w:sz w:val="20"/>
          <w:szCs w:val="20"/>
          <w:color w:val="auto"/>
        </w:rPr>
      </w:pPr>
    </w:p>
    <w:p>
      <w:pPr>
        <w:ind w:right="280" w:firstLine="656"/>
        <w:spacing w:after="0" w:line="248" w:lineRule="auto"/>
        <w:tabs>
          <w:tab w:leader="none" w:pos="1110" w:val="left"/>
        </w:tabs>
        <w:numPr>
          <w:ilvl w:val="0"/>
          <w:numId w:val="215"/>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dated as of the Closing Date by a Responsible Officer of the Borrower, confirming compliance with the conditions set forth in </w:t>
      </w:r>
      <w:r>
        <w:rPr>
          <w:rFonts w:ascii="Arial" w:cs="Arial" w:eastAsia="Arial" w:hAnsi="Arial"/>
          <w:sz w:val="20"/>
          <w:szCs w:val="20"/>
          <w:u w:val="single" w:color="auto"/>
          <w:color w:val="auto"/>
        </w:rPr>
        <w:t>Section 4.1(c)</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w:t>
      </w:r>
      <w:r>
        <w:rPr>
          <w:rFonts w:ascii="Arial" w:cs="Arial" w:eastAsia="Arial" w:hAnsi="Arial"/>
          <w:sz w:val="20"/>
          <w:szCs w:val="20"/>
          <w:color w:val="auto"/>
        </w:rPr>
        <w:t xml:space="preserve"> (and covering all representations and warranties in </w:t>
      </w:r>
      <w:r>
        <w:rPr>
          <w:rFonts w:ascii="Arial" w:cs="Arial" w:eastAsia="Arial" w:hAnsi="Arial"/>
          <w:sz w:val="20"/>
          <w:szCs w:val="20"/>
          <w:u w:val="single" w:color="auto"/>
          <w:color w:val="auto"/>
        </w:rPr>
        <w:t>Section 3</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14" w:right="339" w:bottom="1440" w:gutter="0" w:footer="0" w:header="0"/>
        </w:sectPr>
      </w:pPr>
    </w:p>
    <w:bookmarkStart w:id="216" w:name="page217"/>
    <w:bookmarkEnd w:id="216"/>
    <w:p>
      <w:pPr>
        <w:spacing w:after="0" w:line="218" w:lineRule="exact"/>
        <w:rPr>
          <w:sz w:val="20"/>
          <w:szCs w:val="20"/>
          <w:color w:val="auto"/>
        </w:rPr>
      </w:pPr>
    </w:p>
    <w:p>
      <w:pPr>
        <w:ind w:right="200" w:firstLine="656"/>
        <w:spacing w:after="0"/>
        <w:tabs>
          <w:tab w:leader="none" w:pos="111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customary certificate from the chief financial officer of the Borrower in form and substance satisfactory to the Administrative Agent certifying as to the solvency of the Borrower and its Subsidiaries on a consolidated basis after giving effect to the transactions contemplated to occur on the Closing Date.</w:t>
      </w:r>
    </w:p>
    <w:p>
      <w:pPr>
        <w:spacing w:after="0" w:line="214" w:lineRule="exact"/>
        <w:rPr>
          <w:rFonts w:ascii="Arial" w:cs="Arial" w:eastAsia="Arial" w:hAnsi="Arial"/>
          <w:sz w:val="20"/>
          <w:szCs w:val="20"/>
          <w:color w:val="auto"/>
        </w:rPr>
      </w:pPr>
    </w:p>
    <w:p>
      <w:pPr>
        <w:ind w:firstLine="656"/>
        <w:spacing w:after="0" w:line="248" w:lineRule="auto"/>
        <w:tabs>
          <w:tab w:leader="none" w:pos="1054"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Payment of Fees; Expenses</w:t>
      </w:r>
      <w:r>
        <w:rPr>
          <w:rFonts w:ascii="Arial" w:cs="Arial" w:eastAsia="Arial" w:hAnsi="Arial"/>
          <w:sz w:val="20"/>
          <w:szCs w:val="20"/>
          <w:color w:val="auto"/>
        </w:rPr>
        <w:t>. The Arrangers and the Administrative Agent shall have received all fees required to be paid, and all reasonable costs and expenses required to be paid and for which invoices have been presented (including the reasonable fees and expenses of legal counsel), on or before the Closing Date.</w:t>
      </w:r>
    </w:p>
    <w:p>
      <w:pPr>
        <w:spacing w:after="0" w:line="191" w:lineRule="exact"/>
        <w:rPr>
          <w:rFonts w:ascii="Arial" w:cs="Arial" w:eastAsia="Arial" w:hAnsi="Arial"/>
          <w:sz w:val="20"/>
          <w:szCs w:val="20"/>
          <w:color w:val="auto"/>
        </w:rPr>
      </w:pPr>
    </w:p>
    <w:p>
      <w:pPr>
        <w:jc w:val="both"/>
        <w:ind w:right="380" w:firstLine="656"/>
        <w:spacing w:after="0" w:line="248" w:lineRule="auto"/>
        <w:tabs>
          <w:tab w:leader="none" w:pos="111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Legal Opinion</w:t>
      </w:r>
      <w:r>
        <w:rPr>
          <w:rFonts w:ascii="Arial" w:cs="Arial" w:eastAsia="Arial" w:hAnsi="Arial"/>
          <w:sz w:val="20"/>
          <w:szCs w:val="20"/>
          <w:color w:val="auto"/>
        </w:rPr>
        <w:t>. The Administrative Agent shall have received a legal opinion from (i) Wilson Sonsini Goodrich &amp; Rosati P.C., counsel to the Borrower and (ii) the General Counsel of the Borrower, in form and substance satisfactory to the Administrative Agent.</w:t>
      </w:r>
    </w:p>
    <w:p>
      <w:pPr>
        <w:spacing w:after="0" w:line="191" w:lineRule="exact"/>
        <w:rPr>
          <w:rFonts w:ascii="Arial" w:cs="Arial" w:eastAsia="Arial" w:hAnsi="Arial"/>
          <w:sz w:val="20"/>
          <w:szCs w:val="20"/>
          <w:color w:val="auto"/>
        </w:rPr>
      </w:pPr>
    </w:p>
    <w:p>
      <w:pPr>
        <w:ind w:left="1120" w:hanging="464"/>
        <w:spacing w:after="0"/>
        <w:tabs>
          <w:tab w:leader="none" w:pos="112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40" w:firstLine="656"/>
        <w:spacing w:after="0" w:line="235" w:lineRule="auto"/>
        <w:tabs>
          <w:tab w:leader="none" w:pos="1044"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Patriot Act and Beneficial Ownership Regulation</w:t>
      </w:r>
      <w:r>
        <w:rPr>
          <w:rFonts w:ascii="Arial" w:cs="Arial" w:eastAsia="Arial" w:hAnsi="Arial"/>
          <w:sz w:val="20"/>
          <w:szCs w:val="20"/>
          <w:color w:val="auto"/>
        </w:rPr>
        <w:t>. (i) The Administrative Agent shall have received, at least three (3) Business Days prior to the Closing Date, all documentation and information as is reasonably requested in writing by any Lender at least eight days prior to the Closing Date about the Borrower and its Subsidiaries that is required by U.S. Governmental Authorities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10 days prior to the Closing Date, a Beneficial Ownership Certification in relation to the Borrower shall have received such Beneficial Ownership Certification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upon the execution and delivery by such Lender of its signature page to this Agreement, the condition set forth in this clause (ii) shall be deemed to be satisfied).</w:t>
      </w:r>
    </w:p>
    <w:p>
      <w:pPr>
        <w:spacing w:after="0" w:line="200" w:lineRule="exact"/>
        <w:rPr>
          <w:rFonts w:ascii="Arial" w:cs="Arial" w:eastAsia="Arial" w:hAnsi="Arial"/>
          <w:sz w:val="20"/>
          <w:szCs w:val="20"/>
          <w:color w:val="auto"/>
        </w:rPr>
      </w:pPr>
    </w:p>
    <w:p>
      <w:pPr>
        <w:ind w:left="1060" w:hanging="404"/>
        <w:spacing w:after="0"/>
        <w:tabs>
          <w:tab w:leader="none" w:pos="106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right="140" w:firstLine="656"/>
        <w:spacing w:after="0"/>
        <w:tabs>
          <w:tab w:leader="none" w:pos="1099"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All representations and warranties contained in this Agreement shall be true and correct in all material respects on and as of the Closing Date,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200" w:lineRule="exact"/>
        <w:rPr>
          <w:rFonts w:ascii="Arial" w:cs="Arial" w:eastAsia="Arial" w:hAnsi="Arial"/>
          <w:sz w:val="20"/>
          <w:szCs w:val="20"/>
          <w:color w:val="auto"/>
        </w:rPr>
      </w:pPr>
    </w:p>
    <w:p>
      <w:pPr>
        <w:ind w:left="1060" w:hanging="404"/>
        <w:spacing w:after="0"/>
        <w:tabs>
          <w:tab w:leader="none" w:pos="1060" w:val="left"/>
        </w:tabs>
        <w:numPr>
          <w:ilvl w:val="0"/>
          <w:numId w:val="216"/>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shall have occurred and be continuing.</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Each Credit Event</w:t>
      </w:r>
      <w:r>
        <w:rPr>
          <w:rFonts w:ascii="Arial" w:cs="Arial" w:eastAsia="Arial" w:hAnsi="Arial"/>
          <w:sz w:val="20"/>
          <w:szCs w:val="20"/>
          <w:color w:val="auto"/>
        </w:rPr>
        <w:t>. The obligation of each Incremental Term Lender to make an Incremental Term Loan is subject to the satisfaction of the following conditions precedent on the relevant borrowing date:</w:t>
      </w:r>
    </w:p>
    <w:p>
      <w:pPr>
        <w:spacing w:after="0" w:line="169" w:lineRule="exact"/>
        <w:rPr>
          <w:sz w:val="20"/>
          <w:szCs w:val="20"/>
          <w:color w:val="auto"/>
        </w:rPr>
      </w:pPr>
    </w:p>
    <w:p>
      <w:pPr>
        <w:ind w:right="120" w:firstLine="656"/>
        <w:spacing w:after="0"/>
        <w:tabs>
          <w:tab w:leader="none" w:pos="109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All representations and warranties contained in this Agreement shall be true and correct in all material respects on and as of the date of such Borrowing, with the same effect as if made on and as of such date (unless stated to relate to a specific earlier date, in which case, such representations and warranties shall be true and correct in all material respects as of such earlier date) (it being understood that any representation or warranty that is qualified as to materiality or Material Adverse Effect shall be correct in all respects).</w:t>
      </w:r>
    </w:p>
    <w:p>
      <w:pPr>
        <w:spacing w:after="0" w:line="200" w:lineRule="exact"/>
        <w:rPr>
          <w:rFonts w:ascii="Arial" w:cs="Arial" w:eastAsia="Arial" w:hAnsi="Arial"/>
          <w:sz w:val="20"/>
          <w:szCs w:val="20"/>
          <w:color w:val="auto"/>
        </w:rPr>
      </w:pPr>
    </w:p>
    <w:p>
      <w:pPr>
        <w:ind w:right="400" w:firstLine="656"/>
        <w:spacing w:after="0" w:line="271" w:lineRule="auto"/>
        <w:tabs>
          <w:tab w:leader="none" w:pos="1099" w:val="left"/>
        </w:tabs>
        <w:numPr>
          <w:ilvl w:val="0"/>
          <w:numId w:val="217"/>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Incremental Term Loan, no Default or Event of Default shall have occurred and be continuing.</w:t>
      </w:r>
    </w:p>
    <w:p>
      <w:pPr>
        <w:spacing w:after="0" w:line="169" w:lineRule="exact"/>
        <w:rPr>
          <w:sz w:val="20"/>
          <w:szCs w:val="20"/>
          <w:color w:val="auto"/>
        </w:rPr>
      </w:pPr>
    </w:p>
    <w:p>
      <w:pPr>
        <w:ind w:right="500"/>
        <w:spacing w:after="0" w:line="271" w:lineRule="auto"/>
        <w:rPr>
          <w:sz w:val="20"/>
          <w:szCs w:val="20"/>
          <w:color w:val="auto"/>
        </w:rPr>
      </w:pPr>
      <w:r>
        <w:rPr>
          <w:rFonts w:ascii="Arial" w:cs="Arial" w:eastAsia="Arial" w:hAnsi="Arial"/>
          <w:sz w:val="20"/>
          <w:szCs w:val="20"/>
          <w:color w:val="auto"/>
        </w:rPr>
        <w:t>Each Borrowing shall be deemed to constitute a representation and warranty by the Borrower on the date thereof as to the matters specified in paragraphs (a) and (b) of this Section.</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200"/>
          </w:cols>
          <w:pgMar w:left="320" w:top="1440" w:right="379" w:bottom="1440" w:gutter="0" w:footer="0" w:header="0"/>
          <w:type w:val="continuous"/>
        </w:sectPr>
      </w:pPr>
    </w:p>
    <w:bookmarkStart w:id="217" w:name="page218"/>
    <w:bookmarkEnd w:id="217"/>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5</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Affirmative Covenants</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96" w:lineRule="exact"/>
        <w:rPr>
          <w:sz w:val="20"/>
          <w:szCs w:val="20"/>
          <w:color w:val="auto"/>
        </w:rPr>
      </w:pPr>
    </w:p>
    <w:p>
      <w:pPr>
        <w:ind w:right="180" w:firstLine="648"/>
        <w:spacing w:after="0" w:line="236"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Financial Statements, etc</w:t>
      </w:r>
      <w:r>
        <w:rPr>
          <w:rFonts w:ascii="Arial" w:cs="Arial" w:eastAsia="Arial" w:hAnsi="Arial"/>
          <w:sz w:val="20"/>
          <w:szCs w:val="20"/>
          <w:color w:val="auto"/>
        </w:rPr>
        <w:t xml:space="preserve">. The Borrower will furnish to the Administrative Agent (for distribution to the Lenders), within 15 days after the Borrower has filed the same with the SEC, copies of the quarterly and annual reports and the information, documents and reports (or copies of such portions of any of the foregoing as the SEC may prescribe) that the Borrower may be required to file with the SEC pursuant to </w:t>
      </w:r>
      <w:r>
        <w:rPr>
          <w:rFonts w:ascii="Arial" w:cs="Arial" w:eastAsia="Arial" w:hAnsi="Arial"/>
          <w:sz w:val="20"/>
          <w:szCs w:val="20"/>
          <w:u w:val="single" w:color="auto"/>
          <w:color w:val="auto"/>
        </w:rPr>
        <w:t>Section 13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15(d)</w:t>
      </w:r>
      <w:r>
        <w:rPr>
          <w:rFonts w:ascii="Arial" w:cs="Arial" w:eastAsia="Arial" w:hAnsi="Arial"/>
          <w:sz w:val="20"/>
          <w:szCs w:val="20"/>
          <w:color w:val="auto"/>
        </w:rPr>
        <w:t xml:space="preserve"> of the Exchange Act (other than confidential filings, documents subject to confidential treatment and correspondence with the SEC);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each case the delivery of materials to the Administrative Agent by electronic means or filing of documents pursuant to the SEC’s “EDGAR” system (or any successor electronic filing system) shall be deemed to be “furnished” with the Administrative Agent as of the time such documents are filed via the “EDGAR” system for purposes of this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u w:val="single" w:color="auto"/>
          <w:color w:val="auto"/>
        </w:rPr>
        <w:t>Compliance Certificate; Reporting</w:t>
      </w:r>
      <w:r>
        <w:rPr>
          <w:rFonts w:ascii="Arial" w:cs="Arial" w:eastAsia="Arial" w:hAnsi="Arial"/>
          <w:sz w:val="19"/>
          <w:szCs w:val="19"/>
          <w:color w:val="auto"/>
        </w:rPr>
        <w:t>.</w:t>
      </w:r>
    </w:p>
    <w:p>
      <w:pPr>
        <w:spacing w:after="0" w:line="229" w:lineRule="exact"/>
        <w:rPr>
          <w:sz w:val="20"/>
          <w:szCs w:val="20"/>
          <w:color w:val="auto"/>
        </w:rPr>
      </w:pPr>
    </w:p>
    <w:p>
      <w:pPr>
        <w:ind w:right="60" w:firstLine="656"/>
        <w:spacing w:after="0"/>
        <w:tabs>
          <w:tab w:leader="none" w:pos="111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Promptly (and in any event within 5 Business Days) following delivery of the quarterly and annual financial statements provided for in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on Form 10-Q or 10-K, as applicable, a certificate of a Financial Officer of the Borrower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(y) stating no Default or Event of Default has occurred and is then continuing or, if a Default or Event of Default exists, a detailed description of the Default or Event of Default and all actions the Borrower is taking with respect to such Default or Event of Default and (z) containing calculations demonstrating the Borrower’s compliance with the covenants set forth in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right="20" w:firstLine="656"/>
        <w:spacing w:after="0" w:line="257" w:lineRule="auto"/>
        <w:tabs>
          <w:tab w:leader="none" w:pos="1106"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Borrower will deliver to the Administrative Agent, forthwith upon any Responsible Officer becoming aware of any Default or Event of Default (which shall be no more than five (5) Business Days following the date on which the Responsible Officer becomes aware of such Default or Event of Default), an officer’s certificate of a Responsible Officer of the Borrower specifying such Default or Event of Default and what action the Borrower is taking or proposes to take with respect thereto.</w:t>
      </w:r>
    </w:p>
    <w:p>
      <w:pPr>
        <w:spacing w:after="0" w:line="198" w:lineRule="exact"/>
        <w:rPr>
          <w:rFonts w:ascii="Arial" w:cs="Arial" w:eastAsia="Arial" w:hAnsi="Arial"/>
          <w:sz w:val="19"/>
          <w:szCs w:val="19"/>
          <w:color w:val="auto"/>
        </w:rPr>
      </w:pPr>
    </w:p>
    <w:p>
      <w:pPr>
        <w:ind w:right="40" w:firstLine="656"/>
        <w:spacing w:after="0" w:line="237" w:lineRule="auto"/>
        <w:tabs>
          <w:tab w:leader="none" w:pos="1099" w:val="left"/>
        </w:tabs>
        <w:numPr>
          <w:ilvl w:val="0"/>
          <w:numId w:val="218"/>
        </w:numPr>
        <w:rPr>
          <w:rFonts w:ascii="Arial" w:cs="Arial" w:eastAsia="Arial" w:hAnsi="Arial"/>
          <w:sz w:val="20"/>
          <w:szCs w:val="20"/>
          <w:color w:val="auto"/>
        </w:rPr>
      </w:pPr>
      <w:r>
        <w:rPr>
          <w:rFonts w:ascii="Arial" w:cs="Arial" w:eastAsia="Arial" w:hAnsi="Arial"/>
          <w:sz w:val="20"/>
          <w:szCs w:val="20"/>
          <w:color w:val="auto"/>
        </w:rPr>
        <w:t>Promptly following any request therefor, the Borrower will deliver information and documentation reasonably requested by the Administrative Agent or any Lender for purposes of compliance with applicable “know your customer” and anti-money laundering rules and regulations, including the Patriot Act and the Beneficial Ownership Regulation. Promptly following any request therefor, the Borrower shall provide written notice of any change in the list of beneficial owners identified in the most recent Beneficial Ownership Certification delivered to Administrative Agent or a Lender.</w:t>
      </w:r>
    </w:p>
    <w:p>
      <w:pPr>
        <w:spacing w:after="0" w:line="214" w:lineRule="exact"/>
        <w:rPr>
          <w:sz w:val="20"/>
          <w:szCs w:val="20"/>
          <w:color w:val="auto"/>
        </w:rPr>
      </w:pPr>
    </w:p>
    <w:p>
      <w:pPr>
        <w:ind w:right="200" w:firstLine="648"/>
        <w:spacing w:after="0" w:line="248"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Maintenance of Existence</w:t>
      </w:r>
      <w:r>
        <w:rPr>
          <w:rFonts w:ascii="Arial" w:cs="Arial" w:eastAsia="Arial" w:hAnsi="Arial"/>
          <w:sz w:val="19"/>
          <w:szCs w:val="19"/>
          <w:color w:val="auto"/>
        </w:rPr>
        <w:t xml:space="preserve">. The Borrower and its Restricted Subsidiaries shall (i) preserve, renew and keep in full force and effect its organizational existence and (ii) take all reasonable action to maintain all rights, privileges and franchises reasonably necessary in the normal conduct of its business, except, in each case, (x) as otherwise permitted by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(y) to the extent that failure to do so would not, in the aggregate, reasonably be expected to have a Material Adverse Effect.</w:t>
      </w:r>
    </w:p>
    <w:p>
      <w:pPr>
        <w:spacing w:after="0" w:line="225" w:lineRule="exact"/>
        <w:rPr>
          <w:sz w:val="20"/>
          <w:szCs w:val="20"/>
          <w:color w:val="auto"/>
        </w:rPr>
      </w:pPr>
    </w:p>
    <w:p>
      <w:pPr>
        <w:ind w:firstLine="648"/>
        <w:spacing w:after="0" w:line="237"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xml:space="preserve">. The Loan Parties will maintain insurance policies (or self-insurance) on all its property in at least such amounts and against at least such risks as are usually insured against by companies of a similar size engaged in the same or a similar business (after giving effect to any self-insurance which in the good faith judgment of management of the Borrower is reasonable and prudent in light of the size and nature of its business). Notwithstanding anything to the contrary herein, with respect to Foreign Subsidiaries that are Guarantors, the requirements of this </w:t>
      </w:r>
      <w:r>
        <w:rPr>
          <w:rFonts w:ascii="Arial" w:cs="Arial" w:eastAsia="Arial" w:hAnsi="Arial"/>
          <w:sz w:val="20"/>
          <w:szCs w:val="20"/>
          <w:u w:val="single" w:color="auto"/>
          <w:color w:val="auto"/>
        </w:rPr>
        <w:t>Section 5.4</w:t>
      </w:r>
      <w:r>
        <w:rPr>
          <w:rFonts w:ascii="Arial" w:cs="Arial" w:eastAsia="Arial" w:hAnsi="Arial"/>
          <w:sz w:val="20"/>
          <w:szCs w:val="20"/>
          <w:color w:val="auto"/>
        </w:rPr>
        <w:t xml:space="preserve"> shall be deemed satisfied if the Borrower obtains insurance policies that are customary and appropriate for the applicable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218" w:lineRule="exact"/>
        <w:rPr>
          <w:sz w:val="20"/>
          <w:szCs w:val="20"/>
          <w:color w:val="auto"/>
        </w:rPr>
      </w:pPr>
    </w:p>
    <w:p>
      <w:pPr>
        <w:ind w:right="80" w:firstLine="648"/>
        <w:spacing w:after="0" w:line="248"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Use of Proceeds</w:t>
      </w:r>
      <w:r>
        <w:rPr>
          <w:rFonts w:ascii="Arial" w:cs="Arial" w:eastAsia="Arial" w:hAnsi="Arial"/>
          <w:sz w:val="20"/>
          <w:szCs w:val="20"/>
          <w:color w:val="auto"/>
        </w:rPr>
        <w:t>. The proceeds of the Term Loans will be used only for general corporate purposes, including capital expenditures. No part of the proceeds of any Term Loan will be used, whether directly or indirectly, for any purpose that entails a violation of any of the regulations of the FRB, including Regulations T, U and X.</w:t>
      </w:r>
    </w:p>
    <w:p>
      <w:pPr>
        <w:spacing w:after="0" w:line="192" w:lineRule="exact"/>
        <w:rPr>
          <w:sz w:val="20"/>
          <w:szCs w:val="20"/>
          <w:color w:val="auto"/>
        </w:rPr>
      </w:pPr>
    </w:p>
    <w:p>
      <w:pPr>
        <w:ind w:right="260" w:firstLine="648"/>
        <w:spacing w:after="0" w:line="248" w:lineRule="auto"/>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Compliance with Laws</w:t>
      </w:r>
      <w:r>
        <w:rPr>
          <w:rFonts w:ascii="Arial" w:cs="Arial" w:eastAsia="Arial" w:hAnsi="Arial"/>
          <w:sz w:val="20"/>
          <w:szCs w:val="20"/>
          <w:color w:val="auto"/>
        </w:rPr>
        <w:t>. The Borrower will maintain in effect and enforce policies and procedures designed to ensure compliance by the Borrower, its Subsidiaries and their respective directors, officers, employees and agents with Anti-Corruption Laws and applicable Sanctions.</w:t>
      </w:r>
    </w:p>
    <w:p>
      <w:pPr>
        <w:spacing w:after="0" w:line="205" w:lineRule="exact"/>
        <w:rPr>
          <w:sz w:val="20"/>
          <w:szCs w:val="20"/>
          <w:color w:val="auto"/>
        </w:rPr>
      </w:pPr>
    </w:p>
    <w:p>
      <w:pPr>
        <w:ind w:right="40" w:firstLine="648"/>
        <w:spacing w:after="0" w:line="26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Designation of Subsidiaries</w:t>
      </w:r>
      <w:r>
        <w:rPr>
          <w:rFonts w:ascii="Arial" w:cs="Arial" w:eastAsia="Arial" w:hAnsi="Arial"/>
          <w:sz w:val="19"/>
          <w:szCs w:val="19"/>
          <w:color w:val="auto"/>
        </w:rPr>
        <w:t xml:space="preserve">. The Borrower may at any time by written notice to the Administrative Agent (i) designate any Restricted Subsidiary as an Unrestricted Subsidiary or (ii) designate any Unrestricted Subsidiary as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have occurred and be continuing or would result therefrom.</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SECTION 6</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Negative Covenants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20"/>
          <w:szCs w:val="20"/>
          <w:color w:val="auto"/>
        </w:rPr>
        <w:t>Until the Term Commitments have expired or been terminated and the principal of and interest on each Term Loan and all fees payable hereunder shall have been paid in full, the Borrower covenants and agrees that:</w:t>
      </w:r>
    </w:p>
    <w:p>
      <w:pPr>
        <w:spacing w:after="0" w:line="182" w:lineRule="exact"/>
        <w:rPr>
          <w:sz w:val="20"/>
          <w:szCs w:val="20"/>
          <w:color w:val="auto"/>
        </w:rPr>
      </w:pPr>
    </w:p>
    <w:p>
      <w:pPr>
        <w:ind w:right="140" w:firstLine="648"/>
        <w:spacing w:after="0" w:line="248"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Limitation on Indebtedness</w:t>
      </w:r>
      <w:r>
        <w:rPr>
          <w:rFonts w:ascii="Arial" w:cs="Arial" w:eastAsia="Arial" w:hAnsi="Arial"/>
          <w:sz w:val="20"/>
          <w:szCs w:val="20"/>
          <w:color w:val="auto"/>
        </w:rPr>
        <w:t>. The Borrower will not permit any of its Restricted Subsidiaries to create, assume, incur, Guarantee or otherwise become liable for any Indebtedness, without causing such Restricted Subsidiary (excluding any Subsidiary that is not a Material Subsidiary) to become a Guarantor, other than:</w:t>
      </w:r>
    </w:p>
    <w:p>
      <w:pPr>
        <w:spacing w:after="0" w:line="205" w:lineRule="exact"/>
        <w:rPr>
          <w:sz w:val="20"/>
          <w:szCs w:val="20"/>
          <w:color w:val="auto"/>
        </w:rPr>
      </w:pPr>
    </w:p>
    <w:p>
      <w:pPr>
        <w:ind w:left="1120" w:hanging="464"/>
        <w:spacing w:after="0"/>
        <w:tabs>
          <w:tab w:leader="none" w:pos="112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Indebtedness in respect of or under the Obligations or Guarantees thereof;</w:t>
      </w:r>
    </w:p>
    <w:p>
      <w:pPr>
        <w:spacing w:after="0" w:line="229" w:lineRule="exact"/>
        <w:rPr>
          <w:rFonts w:ascii="Arial" w:cs="Arial" w:eastAsia="Arial" w:hAnsi="Arial"/>
          <w:sz w:val="20"/>
          <w:szCs w:val="20"/>
          <w:color w:val="auto"/>
        </w:rPr>
      </w:pPr>
    </w:p>
    <w:p>
      <w:pPr>
        <w:ind w:right="20" w:firstLine="656"/>
        <w:spacing w:after="0" w:line="236" w:lineRule="auto"/>
        <w:tabs>
          <w:tab w:leader="none" w:pos="111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Indebtedness of a Person existing at the time such Person is merged into or consolidated with or otherwise acquired by the Borrower or any Restricted Subsidiary of the Borrower or otherwise becomes a Restricted Subsidiary of the Borrower (or arising thereafter pursuant to contractual commitments entered into prior to such Person becoming a Restricted Subsidiary) or at the time of a sale, lease or other disposition of the properties and assets of such Person (or a division thereof) as an entirety or substantially as an entirety to any Restricted Subsidiary of the Borrower (or arising thereafter pursuant to contractual commitments entered into prior to such Person becoming a Restricted Subsidiary) and is assumed by such Subsidiary, other than any increase in the amount of such Indebtedness (including any increase in the amount of such Indebtedness arising pursuant to contractual commitments entered into prior to such acquisition) incurred in contemplation thereof;</w:t>
      </w:r>
    </w:p>
    <w:p>
      <w:pPr>
        <w:spacing w:after="0" w:line="205" w:lineRule="exact"/>
        <w:rPr>
          <w:rFonts w:ascii="Arial" w:cs="Arial" w:eastAsia="Arial" w:hAnsi="Arial"/>
          <w:sz w:val="20"/>
          <w:szCs w:val="20"/>
          <w:color w:val="auto"/>
        </w:rPr>
      </w:pPr>
    </w:p>
    <w:p>
      <w:pPr>
        <w:ind w:left="1100" w:hanging="444"/>
        <w:spacing w:after="0"/>
        <w:tabs>
          <w:tab w:leader="none" w:pos="110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Indebtedness owed to the Borrower or any Restricted Subsidiary;</w:t>
      </w:r>
    </w:p>
    <w:p>
      <w:pPr>
        <w:spacing w:after="0" w:line="229" w:lineRule="exact"/>
        <w:rPr>
          <w:rFonts w:ascii="Arial" w:cs="Arial" w:eastAsia="Arial" w:hAnsi="Arial"/>
          <w:sz w:val="20"/>
          <w:szCs w:val="20"/>
          <w:color w:val="auto"/>
        </w:rPr>
      </w:pPr>
    </w:p>
    <w:p>
      <w:pPr>
        <w:ind w:firstLine="656"/>
        <w:spacing w:after="0" w:line="235" w:lineRule="auto"/>
        <w:tabs>
          <w:tab w:leader="none" w:pos="111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Indebtedness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Restricted Subsidiary, and any related transactional fees, costs and expenses,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such Indebtedness is created, incurred, issued, assumed or Guaranteed within 18 months (or in the case of any Indebtedness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property after the acquisition or completion of any such development, operation, construction, alteration, repair or improvement (or, in each case, is incurred pursuant to firm commitment financing arrangements obtained within such period), and, provided further, that the outstanding amount of such Indebtedness, without duplication,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120"/>
          </w:cols>
          <w:pgMar w:left="320" w:top="1440" w:right="459" w:bottom="1440" w:gutter="0" w:footer="0" w:header="0"/>
        </w:sectPr>
      </w:pPr>
    </w:p>
    <w:bookmarkStart w:id="219" w:name="page220"/>
    <w:bookmarkEnd w:id="219"/>
    <w:p>
      <w:pPr>
        <w:ind w:right="160"/>
        <w:spacing w:after="0" w:line="257" w:lineRule="auto"/>
        <w:rPr>
          <w:sz w:val="20"/>
          <w:szCs w:val="20"/>
          <w:color w:val="auto"/>
        </w:rPr>
      </w:pPr>
      <w:r>
        <w:rPr>
          <w:rFonts w:ascii="Arial" w:cs="Arial" w:eastAsia="Arial" w:hAnsi="Arial"/>
          <w:sz w:val="20"/>
          <w:szCs w:val="20"/>
          <w:color w:val="auto"/>
        </w:rPr>
        <w:t>not exceed 100% of the fair value of the property or equipment acquired or developed, operated, constructed, altered, repaired or improved at the time such Indebtedness is incurred;</w:t>
      </w:r>
    </w:p>
    <w:p>
      <w:pPr>
        <w:spacing w:after="0" w:line="196" w:lineRule="exact"/>
        <w:rPr>
          <w:sz w:val="20"/>
          <w:szCs w:val="20"/>
          <w:color w:val="auto"/>
        </w:rPr>
      </w:pPr>
    </w:p>
    <w:p>
      <w:pPr>
        <w:ind w:right="360" w:firstLine="656"/>
        <w:spacing w:after="0" w:line="257" w:lineRule="auto"/>
        <w:tabs>
          <w:tab w:leader="none" w:pos="111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Indebtedness permitted to be secured by Liens permitted by clauses (5) or (6) of the definition of Permitted Lien (whether or not such Indebtedness is in fact secured by such Liens) and any Guarantees thereof;</w:t>
      </w:r>
    </w:p>
    <w:p>
      <w:pPr>
        <w:spacing w:after="0" w:line="195" w:lineRule="exact"/>
        <w:rPr>
          <w:rFonts w:ascii="Arial" w:cs="Arial" w:eastAsia="Arial" w:hAnsi="Arial"/>
          <w:sz w:val="20"/>
          <w:szCs w:val="20"/>
          <w:color w:val="auto"/>
        </w:rPr>
      </w:pPr>
    </w:p>
    <w:p>
      <w:pPr>
        <w:ind w:firstLine="656"/>
        <w:spacing w:after="0" w:line="234" w:lineRule="auto"/>
        <w:tabs>
          <w:tab w:leader="none" w:pos="1055"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any extension, renewal, substitution, replacement, refinancing or refunding of Indebtedness that was permitted pursuant to </w:t>
      </w:r>
      <w:r>
        <w:rPr>
          <w:rFonts w:ascii="Arial" w:cs="Arial" w:eastAsia="Arial" w:hAnsi="Arial"/>
          <w:sz w:val="20"/>
          <w:szCs w:val="20"/>
          <w:u w:val="single" w:color="auto"/>
          <w:color w:val="auto"/>
        </w:rPr>
        <w:t>Section 6.1(a)</w:t>
      </w:r>
      <w:r>
        <w:rPr>
          <w:rFonts w:ascii="Arial" w:cs="Arial" w:eastAsia="Arial" w:hAnsi="Arial"/>
          <w:sz w:val="20"/>
          <w:szCs w:val="20"/>
          <w:color w:val="auto"/>
        </w:rPr>
        <w:t xml:space="preserve">,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t>
      </w:r>
      <w:r>
        <w:rPr>
          <w:rFonts w:ascii="Arial" w:cs="Arial" w:eastAsia="Arial" w:hAnsi="Arial"/>
          <w:sz w:val="20"/>
          <w:szCs w:val="20"/>
          <w:u w:val="single" w:color="auto"/>
          <w:color w:val="auto"/>
        </w:rPr>
        <w:t>(c)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xml:space="preserve"> at the time such Indebtedness was created or incurred;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any Indebtedness incurred to so extend, renew, substitute, replace, refinance or refund shall be incurred within 12 months of the maturity, retirement or other repayment or prepayment (including any such repayment pursuant to amortization obligations with respect to such Indebtedness), (2) the outstanding amount of the Indebtedness incurred to so extend, renew, substitute, replace, refinance or refund shall not exceed the outstanding amount of Indebtedness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 (3) if the Indebtedness being extended, renewed, substituted, replaced, refinanced or refunded was secured by a Lien on Property, the Indebtedness incurred to so extend, renew, substitute, replace, refinance or refund may be secured by such Property, and (4) if the Indebtedness being extended, renewed, substituted, replaced, refinanced or refunded was not secured by a Lien on Property, the Indebtedness incurred to so extend, renew, substitute, replace, refinance or refund shall not be secured by Property; and</w:t>
      </w:r>
    </w:p>
    <w:p>
      <w:pPr>
        <w:spacing w:after="0" w:line="203" w:lineRule="exact"/>
        <w:rPr>
          <w:rFonts w:ascii="Arial" w:cs="Arial" w:eastAsia="Arial" w:hAnsi="Arial"/>
          <w:sz w:val="20"/>
          <w:szCs w:val="20"/>
          <w:color w:val="auto"/>
        </w:rPr>
      </w:pPr>
    </w:p>
    <w:p>
      <w:pPr>
        <w:ind w:right="260" w:firstLine="656"/>
        <w:spacing w:after="0"/>
        <w:tabs>
          <w:tab w:leader="none" w:pos="111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 xml:space="preserve">other Indebtedness; provided that the aggregate principal amount of Indebtedness outstanding at any one time pursuant to this clause shall not exceed the sum of (i) the greater of (x) $5,600,000,000 and (y) 15% of Consolidated Net Tangible Assets of the Borrower for the Measurement Period immediately preceding the date of such incurrence minus (ii) the aggregate principal amount of Indebtedness of the Borrower that is secured by a Lien under </w:t>
      </w: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214" w:lineRule="exact"/>
        <w:rPr>
          <w:sz w:val="20"/>
          <w:szCs w:val="20"/>
          <w:color w:val="auto"/>
        </w:rPr>
      </w:pPr>
    </w:p>
    <w:p>
      <w:pPr>
        <w:spacing w:after="0" w:line="249"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 the event that any Indebtedness meets the criteria of more exceptions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the Borrower, in its sole discretion, will classify, and may reclassify, such Indebtedness and such Indebtedness may be divided and classified and reclassified into more than one of the exceptions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described above. In addition, for purposes of calculating compliance with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in no event will the amount of any Indebtedness (including any Guarantees of such Indebtedness) be required to be included more than once despite the fact more than one Person is or becomes liable with respect to any related Indebtedness and despite the fact that such Indebtedness is secured by the assets of more than one Person (for example, and for avoidance of doubt, in the case where more than one Restricted Subsidiary incurs Indebtedness, Guarantees or otherwise becomes liable for such Indebtedness, or in the case where there are Liens on the assets of one or more of the Borrower and its Restricted Subsidiaries securing such Indebtedness or one or more Guarantees thereof permitted under this </w:t>
      </w:r>
      <w:r>
        <w:rPr>
          <w:rFonts w:ascii="Arial" w:cs="Arial" w:eastAsia="Arial" w:hAnsi="Arial"/>
          <w:sz w:val="19"/>
          <w:szCs w:val="19"/>
          <w:u w:val="single" w:color="auto"/>
          <w:color w:val="auto"/>
        </w:rPr>
        <w:t>Section 6.1</w:t>
      </w:r>
      <w:r>
        <w:rPr>
          <w:rFonts w:ascii="Arial" w:cs="Arial" w:eastAsia="Arial" w:hAnsi="Arial"/>
          <w:sz w:val="19"/>
          <w:szCs w:val="19"/>
          <w:color w:val="auto"/>
        </w:rPr>
        <w:t>, the amount of such Indebtedness shall only be included once for purposes of such calculations).</w:t>
      </w:r>
    </w:p>
    <w:p>
      <w:pPr>
        <w:spacing w:after="0" w:line="190" w:lineRule="exact"/>
        <w:rPr>
          <w:sz w:val="20"/>
          <w:szCs w:val="20"/>
          <w:color w:val="auto"/>
        </w:rPr>
      </w:pPr>
    </w:p>
    <w:p>
      <w:pPr>
        <w:ind w:right="200" w:firstLine="648"/>
        <w:spacing w:after="0" w:line="271"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Limitation on Liens</w:t>
      </w:r>
      <w:r>
        <w:rPr>
          <w:rFonts w:ascii="Arial" w:cs="Arial" w:eastAsia="Arial" w:hAnsi="Arial"/>
          <w:sz w:val="20"/>
          <w:szCs w:val="20"/>
          <w:color w:val="auto"/>
        </w:rPr>
        <w:t>. The Borrower will not, and will not permit any of its Restricted Subsidiaries, to create or incur any Lien on Property, whether now owned or hereafter acquired, in order to secure any Indebtedness, other than:</w:t>
      </w:r>
    </w:p>
    <w:p>
      <w:pPr>
        <w:spacing w:after="0" w:line="169" w:lineRule="exact"/>
        <w:rPr>
          <w:sz w:val="20"/>
          <w:szCs w:val="20"/>
          <w:color w:val="auto"/>
        </w:rPr>
      </w:pPr>
    </w:p>
    <w:p>
      <w:pPr>
        <w:ind w:left="1120" w:hanging="464"/>
        <w:spacing w:after="0"/>
        <w:tabs>
          <w:tab w:leader="none" w:pos="11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Permitted Liens; and</w:t>
      </w:r>
    </w:p>
    <w:p>
      <w:pPr>
        <w:spacing w:after="0" w:line="4" w:lineRule="exact"/>
        <w:rPr>
          <w:rFonts w:ascii="Arial" w:cs="Arial" w:eastAsia="Arial" w:hAnsi="Arial"/>
          <w:sz w:val="20"/>
          <w:szCs w:val="20"/>
          <w:color w:val="auto"/>
        </w:rPr>
      </w:pPr>
    </w:p>
    <w:p>
      <w:pPr>
        <w:ind w:left="1120" w:hanging="464"/>
        <w:spacing w:after="0"/>
        <w:tabs>
          <w:tab w:leader="none" w:pos="112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Liens securing Indebtedness of the Restricted Subsidiaries permitted by Section 6.1(g) and Indebtedness of the</w:t>
      </w:r>
    </w:p>
    <w:p>
      <w:pPr>
        <w:jc w:val="both"/>
        <w:spacing w:after="0" w:line="239" w:lineRule="auto"/>
        <w:rPr>
          <w:sz w:val="20"/>
          <w:szCs w:val="20"/>
          <w:color w:val="auto"/>
        </w:rPr>
      </w:pPr>
      <w:r>
        <w:rPr>
          <w:rFonts w:ascii="Arial" w:cs="Arial" w:eastAsia="Arial" w:hAnsi="Arial"/>
          <w:sz w:val="20"/>
          <w:szCs w:val="20"/>
          <w:color w:val="auto"/>
        </w:rPr>
        <w:t>Borrower; provided that the aggregate principal amount of Indebtedness that is secured pursuant to this Section 6.2(b) shall not exceed the greater of (x) $5,600,000,000 and (y) 15% of Consolidated Net Tangible Assets of the Borrower for the Measurement Period immediately preceding the date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14" w:right="339" w:bottom="1440" w:gutter="0" w:footer="0" w:header="0"/>
        </w:sectPr>
      </w:pPr>
    </w:p>
    <w:bookmarkStart w:id="220" w:name="page221"/>
    <w:bookmarkEnd w:id="220"/>
    <w:p>
      <w:pPr>
        <w:ind w:right="600"/>
        <w:spacing w:after="0" w:line="257" w:lineRule="auto"/>
        <w:rPr>
          <w:sz w:val="20"/>
          <w:szCs w:val="20"/>
          <w:color w:val="auto"/>
        </w:rPr>
      </w:pPr>
      <w:r>
        <w:rPr>
          <w:rFonts w:ascii="Arial" w:cs="Arial" w:eastAsia="Arial" w:hAnsi="Arial"/>
          <w:sz w:val="20"/>
          <w:szCs w:val="20"/>
          <w:color w:val="auto"/>
        </w:rPr>
        <w:t>incurrence; provided that, for the avoidance of doubt, any Liens will be excluded from this clause (b) to the extent the Lien relating thereto is included in clause (a) of this Section 6.2.</w:t>
      </w:r>
    </w:p>
    <w:p>
      <w:pPr>
        <w:spacing w:after="0" w:line="196" w:lineRule="exact"/>
        <w:rPr>
          <w:sz w:val="20"/>
          <w:szCs w:val="20"/>
          <w:color w:val="auto"/>
        </w:rPr>
      </w:pPr>
    </w:p>
    <w:p>
      <w:pPr>
        <w:ind w:firstLine="1296"/>
        <w:spacing w:after="0" w:line="237" w:lineRule="auto"/>
        <w:rPr>
          <w:sz w:val="20"/>
          <w:szCs w:val="20"/>
          <w:color w:val="auto"/>
        </w:rPr>
      </w:pPr>
      <w:r>
        <w:rPr>
          <w:rFonts w:ascii="Arial" w:cs="Arial" w:eastAsia="Arial" w:hAnsi="Arial"/>
          <w:sz w:val="20"/>
          <w:szCs w:val="20"/>
          <w:color w:val="auto"/>
        </w:rPr>
        <w:t>For purposes of this Section 6.2, (1) the creation of a Lien to secure Indebtedness which existed prior to the creation of such Lien will be deemed to involve Indebtedness in an amount equal to the lesser of (x) the fair value (as determined in good faith by the Borrower) of the asset subjected to such Lien and (y) the principal amount secured by such Lien, and (2) in the event that a Lien meets the criteria of more than one of the types of exceptions in this Section 6.2, the Borrower, in its sole discretion, will classify, and may reclassify, such Lien and such Lien may be divided and classified and reclassified into more than one of the exceptions in this Section 6.2.</w:t>
      </w:r>
    </w:p>
    <w:p>
      <w:pPr>
        <w:spacing w:after="0" w:line="20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u w:val="single" w:color="auto"/>
          <w:color w:val="auto"/>
        </w:rPr>
        <w:t>Merger, Consolidation, or Sale of Assets</w:t>
      </w:r>
      <w:r>
        <w:rPr>
          <w:rFonts w:ascii="Arial" w:cs="Arial" w:eastAsia="Arial" w:hAnsi="Arial"/>
          <w:sz w:val="19"/>
          <w:szCs w:val="19"/>
          <w:color w:val="auto"/>
        </w:rPr>
        <w:t>.</w:t>
      </w:r>
    </w:p>
    <w:p>
      <w:pPr>
        <w:spacing w:after="0" w:line="243" w:lineRule="exact"/>
        <w:rPr>
          <w:sz w:val="20"/>
          <w:szCs w:val="20"/>
          <w:color w:val="auto"/>
        </w:rPr>
      </w:pPr>
    </w:p>
    <w:p>
      <w:pPr>
        <w:ind w:right="220" w:firstLine="656"/>
        <w:spacing w:after="0" w:line="248" w:lineRule="auto"/>
        <w:tabs>
          <w:tab w:leader="none" w:pos="110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The Borrower may not consolidate with or merge with or into, or sell, assign, convey, transfer, lease or otherwise dispose of all or substantially all of the properties, rights and assets of the Borrower and its Restricted Subsidiaries, taken as a whole, to any Person, in a single transaction or in a series of related transactions, unless:</w:t>
      </w:r>
    </w:p>
    <w:p>
      <w:pPr>
        <w:spacing w:after="0" w:line="191" w:lineRule="exact"/>
        <w:rPr>
          <w:rFonts w:ascii="Arial" w:cs="Arial" w:eastAsia="Arial" w:hAnsi="Arial"/>
          <w:sz w:val="20"/>
          <w:szCs w:val="20"/>
          <w:color w:val="auto"/>
        </w:rPr>
      </w:pPr>
    </w:p>
    <w:p>
      <w:pPr>
        <w:ind w:left="660" w:right="20" w:firstLine="644"/>
        <w:spacing w:after="0" w:line="238" w:lineRule="auto"/>
        <w:tabs>
          <w:tab w:leader="none" w:pos="177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either (i) the Person formed by or surviving such consolidation or merger is the Borrower or (ii) the Person (if other than the Borrower) formed by such consolidation or into which the Borrower is merged or the Person which acquires by conveyance or transfer, or which leases, all or substantially all of the properties, rights and assets of the Borrower (the “</w:t>
      </w:r>
      <w:r>
        <w:rPr>
          <w:rFonts w:ascii="Arial" w:cs="Arial" w:eastAsia="Arial" w:hAnsi="Arial"/>
          <w:sz w:val="20"/>
          <w:szCs w:val="20"/>
          <w:u w:val="single" w:color="auto"/>
          <w:color w:val="auto"/>
        </w:rPr>
        <w:t>Successor Company</w:t>
      </w:r>
      <w:r>
        <w:rPr>
          <w:rFonts w:ascii="Arial" w:cs="Arial" w:eastAsia="Arial" w:hAnsi="Arial"/>
          <w:sz w:val="20"/>
          <w:szCs w:val="20"/>
          <w:color w:val="auto"/>
        </w:rPr>
        <w:t>”), is an entity organized under the laws of the United States of America, any State thereof or the District of Columbia; provided that such Successor Company shall provide such information reasonably requested by the Administrative Agent or any Lender for purposes of compliance with applicable “know your customer” rules and regulations;</w:t>
      </w:r>
    </w:p>
    <w:p>
      <w:pPr>
        <w:spacing w:after="0" w:line="199" w:lineRule="exact"/>
        <w:rPr>
          <w:rFonts w:ascii="Arial" w:cs="Arial" w:eastAsia="Arial" w:hAnsi="Arial"/>
          <w:sz w:val="20"/>
          <w:szCs w:val="20"/>
          <w:color w:val="auto"/>
        </w:rPr>
      </w:pPr>
    </w:p>
    <w:p>
      <w:pPr>
        <w:ind w:left="660" w:right="800" w:firstLine="644"/>
        <w:spacing w:after="0" w:line="255" w:lineRule="auto"/>
        <w:tabs>
          <w:tab w:leader="none" w:pos="177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in any such transaction in which there is a Successor Company, the Successor Company expressly assumes the Obligations pursuant to joinder agreements or other documents reasonably satisfactory to the Administrative Agent; and</w:t>
      </w:r>
    </w:p>
    <w:p>
      <w:pPr>
        <w:spacing w:after="0" w:line="198" w:lineRule="exact"/>
        <w:rPr>
          <w:rFonts w:ascii="Arial" w:cs="Arial" w:eastAsia="Arial" w:hAnsi="Arial"/>
          <w:sz w:val="20"/>
          <w:szCs w:val="20"/>
          <w:color w:val="auto"/>
        </w:rPr>
      </w:pPr>
    </w:p>
    <w:p>
      <w:pPr>
        <w:ind w:left="660" w:right="380" w:firstLine="644"/>
        <w:spacing w:after="0" w:line="257" w:lineRule="auto"/>
        <w:tabs>
          <w:tab w:leader="none" w:pos="1770" w:val="left"/>
        </w:tabs>
        <w:numPr>
          <w:ilvl w:val="1"/>
          <w:numId w:val="222"/>
        </w:numPr>
        <w:rPr>
          <w:rFonts w:ascii="Arial" w:cs="Arial" w:eastAsia="Arial" w:hAnsi="Arial"/>
          <w:sz w:val="20"/>
          <w:szCs w:val="20"/>
          <w:color w:val="auto"/>
        </w:rPr>
      </w:pPr>
      <w:r>
        <w:rPr>
          <w:rFonts w:ascii="Arial" w:cs="Arial" w:eastAsia="Arial" w:hAnsi="Arial"/>
          <w:sz w:val="20"/>
          <w:szCs w:val="20"/>
          <w:color w:val="auto"/>
        </w:rPr>
        <w:t>immediately after giving effect to the transaction, no Event of Default and no Default shall have occurred and be continuing.</w:t>
      </w:r>
    </w:p>
    <w:p>
      <w:pPr>
        <w:spacing w:after="0" w:line="196" w:lineRule="exact"/>
        <w:rPr>
          <w:sz w:val="20"/>
          <w:szCs w:val="20"/>
          <w:color w:val="auto"/>
        </w:rPr>
      </w:pPr>
    </w:p>
    <w:p>
      <w:pPr>
        <w:ind w:left="660" w:right="120"/>
        <w:spacing w:after="0" w:line="271"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shall not apply to a merger of the Borrower with an Affiliate solely for the purpose of reincorporating the Borrower in another jurisdiction in the United States of America, any State thereof or the District of Columbia.</w:t>
      </w:r>
    </w:p>
    <w:p>
      <w:pPr>
        <w:spacing w:after="0" w:line="183" w:lineRule="exact"/>
        <w:rPr>
          <w:sz w:val="20"/>
          <w:szCs w:val="20"/>
          <w:color w:val="auto"/>
        </w:rPr>
      </w:pPr>
    </w:p>
    <w:p>
      <w:pPr>
        <w:ind w:right="20" w:firstLine="656"/>
        <w:spacing w:after="0" w:line="237" w:lineRule="auto"/>
        <w:tabs>
          <w:tab w:leader="none" w:pos="111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 xml:space="preserve">Upon any consolidation of the Borrower with, or merger of the Borrower into, any other Person or any sale, assignment, conveyance, transfer, lease or other disposition of all or substantially all the properties, rights and assets of the Borrower to a Successor Company in accordance with the conditions described in </w:t>
      </w:r>
      <w:r>
        <w:rPr>
          <w:rFonts w:ascii="Arial" w:cs="Arial" w:eastAsia="Arial" w:hAnsi="Arial"/>
          <w:sz w:val="20"/>
          <w:szCs w:val="20"/>
          <w:u w:val="single" w:color="auto"/>
          <w:color w:val="auto"/>
        </w:rPr>
        <w:t>Section 6.3(a)</w:t>
      </w:r>
      <w:r>
        <w:rPr>
          <w:rFonts w:ascii="Arial" w:cs="Arial" w:eastAsia="Arial" w:hAnsi="Arial"/>
          <w:sz w:val="20"/>
          <w:szCs w:val="20"/>
          <w:color w:val="auto"/>
        </w:rPr>
        <w:t>, the Successor Company shall succeed to and be substituted for, and may exercise every right and power of, the Borrower under this Agreement with the same effect as if such Successor Company had been named as the Borrower and thereafter, except in the case of a lease, the predecessor Person shall be relieved of all obligations and covenants under this Agreement.</w:t>
      </w:r>
    </w:p>
    <w:p>
      <w:pPr>
        <w:spacing w:after="0" w:line="21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9"/>
          <w:szCs w:val="19"/>
          <w:u w:val="single" w:color="auto"/>
          <w:color w:val="auto"/>
        </w:rPr>
        <w:t>Limitation on Sale and Leaseback Transactions</w:t>
      </w:r>
      <w:r>
        <w:rPr>
          <w:rFonts w:ascii="Arial" w:cs="Arial" w:eastAsia="Arial" w:hAnsi="Arial"/>
          <w:sz w:val="19"/>
          <w:szCs w:val="19"/>
          <w:color w:val="auto"/>
        </w:rPr>
        <w:t>.</w:t>
      </w:r>
    </w:p>
    <w:p>
      <w:pPr>
        <w:spacing w:after="0" w:line="229" w:lineRule="exact"/>
        <w:rPr>
          <w:sz w:val="20"/>
          <w:szCs w:val="20"/>
          <w:color w:val="auto"/>
        </w:rPr>
      </w:pPr>
    </w:p>
    <w:p>
      <w:pPr>
        <w:ind w:right="300" w:firstLine="656"/>
        <w:spacing w:after="0" w:line="257" w:lineRule="auto"/>
        <w:tabs>
          <w:tab w:leader="none" w:pos="1106"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Borrower will not, and will not permit any of its Restricted Subsidiaries, to enter into any sale and lease-back transaction with respect to any Property, whether now owned or hereafter acquired, unless:</w:t>
      </w:r>
    </w:p>
    <w:p>
      <w:pPr>
        <w:spacing w:after="0" w:line="195" w:lineRule="exact"/>
        <w:rPr>
          <w:rFonts w:ascii="Arial" w:cs="Arial" w:eastAsia="Arial" w:hAnsi="Arial"/>
          <w:sz w:val="20"/>
          <w:szCs w:val="20"/>
          <w:color w:val="auto"/>
        </w:rPr>
      </w:pPr>
    </w:p>
    <w:p>
      <w:pPr>
        <w:ind w:left="1760" w:hanging="456"/>
        <w:spacing w:after="0"/>
        <w:tabs>
          <w:tab w:leader="none" w:pos="176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such transaction was entered into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14" w:right="339" w:bottom="1440" w:gutter="0" w:footer="0" w:header="0"/>
        </w:sectPr>
      </w:pPr>
    </w:p>
    <w:bookmarkStart w:id="221" w:name="page222"/>
    <w:bookmarkEnd w:id="221"/>
    <w:p>
      <w:pPr>
        <w:spacing w:after="0" w:line="218" w:lineRule="exact"/>
        <w:rPr>
          <w:sz w:val="20"/>
          <w:szCs w:val="20"/>
          <w:color w:val="auto"/>
        </w:rPr>
      </w:pPr>
    </w:p>
    <w:p>
      <w:pPr>
        <w:ind w:left="660" w:right="720" w:firstLine="644"/>
        <w:spacing w:after="0" w:line="271" w:lineRule="auto"/>
        <w:tabs>
          <w:tab w:leader="none" w:pos="177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such transaction was for the sale and leasing back to the Borrower or a Restricted Subsidiary by the Borrower or any Restricted Subsidiary of any Property;</w:t>
      </w:r>
    </w:p>
    <w:p>
      <w:pPr>
        <w:spacing w:after="0" w:line="182" w:lineRule="exact"/>
        <w:rPr>
          <w:rFonts w:ascii="Arial" w:cs="Arial" w:eastAsia="Arial" w:hAnsi="Arial"/>
          <w:sz w:val="20"/>
          <w:szCs w:val="20"/>
          <w:color w:val="auto"/>
        </w:rPr>
      </w:pPr>
    </w:p>
    <w:p>
      <w:pPr>
        <w:ind w:left="660" w:firstLine="644"/>
        <w:spacing w:after="0" w:line="244" w:lineRule="auto"/>
        <w:tabs>
          <w:tab w:leader="none" w:pos="177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such transaction involves a lease of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Property after the acquisition or completion of any such development, operation, construction, alteration, repair or improvement;</w:t>
      </w:r>
    </w:p>
    <w:p>
      <w:pPr>
        <w:spacing w:after="0" w:line="207" w:lineRule="exact"/>
        <w:rPr>
          <w:rFonts w:ascii="Arial" w:cs="Arial" w:eastAsia="Arial" w:hAnsi="Arial"/>
          <w:sz w:val="20"/>
          <w:szCs w:val="20"/>
          <w:color w:val="auto"/>
        </w:rPr>
      </w:pPr>
    </w:p>
    <w:p>
      <w:pPr>
        <w:ind w:left="660" w:right="800" w:firstLine="644"/>
        <w:spacing w:after="0" w:line="271" w:lineRule="auto"/>
        <w:tabs>
          <w:tab w:leader="none" w:pos="177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such transaction involves a lease for not more than three years (or which may be terminated by the Borrower or the applicable Restricted Subsidiary within a period of not more than three years);</w:t>
      </w:r>
    </w:p>
    <w:p>
      <w:pPr>
        <w:spacing w:after="0" w:line="182" w:lineRule="exact"/>
        <w:rPr>
          <w:rFonts w:ascii="Arial" w:cs="Arial" w:eastAsia="Arial" w:hAnsi="Arial"/>
          <w:sz w:val="20"/>
          <w:szCs w:val="20"/>
          <w:color w:val="auto"/>
        </w:rPr>
      </w:pPr>
    </w:p>
    <w:p>
      <w:pPr>
        <w:ind w:left="660" w:right="220" w:firstLine="644"/>
        <w:spacing w:after="0" w:line="248" w:lineRule="auto"/>
        <w:tabs>
          <w:tab w:leader="none" w:pos="177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 xml:space="preserve">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 or</w:t>
      </w:r>
    </w:p>
    <w:p>
      <w:pPr>
        <w:spacing w:after="0" w:line="205" w:lineRule="exact"/>
        <w:rPr>
          <w:rFonts w:ascii="Arial" w:cs="Arial" w:eastAsia="Arial" w:hAnsi="Arial"/>
          <w:sz w:val="20"/>
          <w:szCs w:val="20"/>
          <w:color w:val="auto"/>
        </w:rPr>
      </w:pPr>
    </w:p>
    <w:p>
      <w:pPr>
        <w:ind w:left="660" w:right="20" w:firstLine="644"/>
        <w:spacing w:after="0" w:line="250" w:lineRule="auto"/>
        <w:tabs>
          <w:tab w:leader="none" w:pos="1770" w:val="left"/>
        </w:tabs>
        <w:numPr>
          <w:ilvl w:val="1"/>
          <w:numId w:val="225"/>
        </w:numPr>
        <w:rPr>
          <w:rFonts w:ascii="Arial" w:cs="Arial" w:eastAsia="Arial" w:hAnsi="Arial"/>
          <w:sz w:val="20"/>
          <w:szCs w:val="20"/>
          <w:color w:val="auto"/>
        </w:rPr>
      </w:pPr>
      <w:r>
        <w:rPr>
          <w:rFonts w:ascii="Arial" w:cs="Arial" w:eastAsia="Arial" w:hAnsi="Arial"/>
          <w:sz w:val="20"/>
          <w:szCs w:val="20"/>
          <w:color w:val="auto"/>
        </w:rPr>
        <w:t>the Borrower or the applicable Restricted Subsidiary applies an amount equal to the net proceeds from the sale of the Property to the purchase of other Property or to the retirement, repurchase or other repayment or prepayment of the Term Loans within 365 calendar days before or after the effective date of any such sale and lease-back transaction; and</w:t>
      </w:r>
    </w:p>
    <w:p>
      <w:pPr>
        <w:spacing w:after="0" w:line="202" w:lineRule="exact"/>
        <w:rPr>
          <w:rFonts w:ascii="Arial" w:cs="Arial" w:eastAsia="Arial" w:hAnsi="Arial"/>
          <w:sz w:val="20"/>
          <w:szCs w:val="20"/>
          <w:color w:val="auto"/>
        </w:rPr>
      </w:pPr>
    </w:p>
    <w:p>
      <w:pPr>
        <w:ind w:right="140" w:firstLine="656"/>
        <w:spacing w:after="0"/>
        <w:tabs>
          <w:tab w:leader="none" w:pos="111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 xml:space="preserve">Notwithstanding the other provisions of </w:t>
      </w:r>
      <w:r>
        <w:rPr>
          <w:rFonts w:ascii="Arial" w:cs="Arial" w:eastAsia="Arial" w:hAnsi="Arial"/>
          <w:sz w:val="20"/>
          <w:szCs w:val="20"/>
          <w:u w:val="single" w:color="auto"/>
          <w:color w:val="auto"/>
        </w:rPr>
        <w:t>Section 6.4(a)</w:t>
      </w:r>
      <w:r>
        <w:rPr>
          <w:rFonts w:ascii="Arial" w:cs="Arial" w:eastAsia="Arial" w:hAnsi="Arial"/>
          <w:sz w:val="20"/>
          <w:szCs w:val="20"/>
          <w:color w:val="auto"/>
        </w:rPr>
        <w:t xml:space="preserve">, the Borrower and the applicable Restricted Subsidiary may enter into any sale and lease-back transaction with respect to any Property if the Borrower or the applicable Restricted Subsidiary would be entitled to incur Indebtedness secured by a Lien on the property to be leased in an amount equal to Attributable Debt with respect to such sale and lease-back transaction pursuant to </w:t>
      </w:r>
      <w:r>
        <w:rPr>
          <w:rFonts w:ascii="Arial" w:cs="Arial" w:eastAsia="Arial" w:hAnsi="Arial"/>
          <w:sz w:val="20"/>
          <w:szCs w:val="20"/>
          <w:u w:val="single" w:color="auto"/>
          <w:color w:val="auto"/>
        </w:rPr>
        <w:t>Section 6.1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w:t>
      </w:r>
      <w:r>
        <w:rPr>
          <w:rFonts w:ascii="Arial" w:cs="Arial" w:eastAsia="Arial" w:hAnsi="Arial"/>
          <w:sz w:val="20"/>
          <w:szCs w:val="20"/>
          <w:color w:val="auto"/>
        </w:rPr>
        <w:t>.</w:t>
      </w:r>
    </w:p>
    <w:p>
      <w:pPr>
        <w:spacing w:after="0" w:line="201"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The Borrower will not request any Borrowing, and the Borrower shall not use, and shall procure that its Subsidiaries and its or their respective directors, officers, employees and agents shall not use, the proceeds of any Borrowing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w:t>
      </w:r>
    </w:p>
    <w:p>
      <w:pPr>
        <w:spacing w:after="0" w:line="216" w:lineRule="exact"/>
        <w:rPr>
          <w:sz w:val="20"/>
          <w:szCs w:val="20"/>
          <w:color w:val="auto"/>
        </w:rPr>
      </w:pPr>
    </w:p>
    <w:p>
      <w:pPr>
        <w:ind w:right="100" w:firstLine="648"/>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Financial Covenant</w:t>
      </w:r>
      <w:r>
        <w:rPr>
          <w:rFonts w:ascii="Arial" w:cs="Arial" w:eastAsia="Arial" w:hAnsi="Arial"/>
          <w:sz w:val="20"/>
          <w:szCs w:val="20"/>
          <w:color w:val="auto"/>
        </w:rPr>
        <w:t xml:space="preserve">. The Borrower will not permit, as of the last day of any fiscal quarter of the Borrower, the Total Leverage Ratio to exceed 3.25 to 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following the consummation of a Qualified Acquisition for the four fiscal quarters of the Borrower then ended as set forth in the last Compliance Certificate delivered pursuant to </w:t>
      </w:r>
      <w:r>
        <w:rPr>
          <w:rFonts w:ascii="Arial" w:cs="Arial" w:eastAsia="Arial" w:hAnsi="Arial"/>
          <w:sz w:val="20"/>
          <w:szCs w:val="20"/>
          <w:u w:val="single" w:color="auto"/>
          <w:color w:val="auto"/>
        </w:rPr>
        <w:t>Section 5.2</w:t>
      </w:r>
      <w:r>
        <w:rPr>
          <w:rFonts w:ascii="Arial" w:cs="Arial" w:eastAsia="Arial" w:hAnsi="Arial"/>
          <w:sz w:val="20"/>
          <w:szCs w:val="20"/>
          <w:color w:val="auto"/>
        </w:rPr>
        <w:t>, the Total Leverage Ratio set forth above shall increase for each of the four fiscal quarters of the Borrower ending following the consummation of a Qualified Acquisition to 3.75 to 1.00.</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7</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Events of Default</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20"/>
          </w:cols>
          <w:pgMar w:left="320" w:top="1440" w:right="359" w:bottom="1440" w:gutter="0" w:footer="0" w:header="0"/>
        </w:sectPr>
      </w:pPr>
    </w:p>
    <w:bookmarkStart w:id="222" w:name="page223"/>
    <w:bookmarkEnd w:id="222"/>
    <w:p>
      <w:pPr>
        <w:ind w:left="1120" w:hanging="464"/>
        <w:spacing w:after="0"/>
        <w:tabs>
          <w:tab w:leader="none" w:pos="11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failure by the Borrower to pay principal of a Term Loan when due;</w:t>
      </w:r>
    </w:p>
    <w:p>
      <w:pPr>
        <w:spacing w:after="0" w:line="229" w:lineRule="exact"/>
        <w:rPr>
          <w:rFonts w:ascii="Arial" w:cs="Arial" w:eastAsia="Arial" w:hAnsi="Arial"/>
          <w:sz w:val="20"/>
          <w:szCs w:val="20"/>
          <w:color w:val="auto"/>
        </w:rPr>
      </w:pPr>
    </w:p>
    <w:p>
      <w:pPr>
        <w:ind w:right="20" w:firstLine="656"/>
        <w:spacing w:after="0" w:line="248" w:lineRule="auto"/>
        <w:tabs>
          <w:tab w:leader="none" w:pos="111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failure by the Borrower to pay (i) any interest or scheduled fees due under this Agreement for five Business Days after such amount becomes due and (ii) any other obligation due under this Agreement for ten Business Days after such amount becomes due;</w:t>
      </w:r>
    </w:p>
    <w:p>
      <w:pPr>
        <w:spacing w:after="0" w:line="205" w:lineRule="exact"/>
        <w:rPr>
          <w:rFonts w:ascii="Arial" w:cs="Arial" w:eastAsia="Arial" w:hAnsi="Arial"/>
          <w:sz w:val="20"/>
          <w:szCs w:val="20"/>
          <w:color w:val="auto"/>
        </w:rPr>
      </w:pPr>
    </w:p>
    <w:p>
      <w:pPr>
        <w:ind w:left="1100" w:hanging="444"/>
        <w:spacing w:after="0"/>
        <w:tabs>
          <w:tab w:leader="none" w:pos="110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 xml:space="preserve">failure by the Borrower to comply with </w:t>
      </w:r>
      <w:r>
        <w:rPr>
          <w:rFonts w:ascii="Arial" w:cs="Arial" w:eastAsia="Arial" w:hAnsi="Arial"/>
          <w:sz w:val="20"/>
          <w:szCs w:val="20"/>
          <w:u w:val="single" w:color="auto"/>
          <w:color w:val="auto"/>
        </w:rPr>
        <w:t>Section 6.6</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right="480" w:firstLine="656"/>
        <w:spacing w:after="0"/>
        <w:tabs>
          <w:tab w:leader="none" w:pos="111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failure by the Borrower or any of its Restricted Subsidiaries to perform, or breach by the Borrower or any of its Restricted Subsidiaries of, any other covenant, agreement, representation or warranty or condition in this Agreement for 30 calendar days after either the Administrative Agent or the Required Lenders have given the Borrower written notice of the breach in the manner required by this Agreement;</w:t>
      </w:r>
    </w:p>
    <w:p>
      <w:pPr>
        <w:spacing w:after="0" w:line="214" w:lineRule="exact"/>
        <w:rPr>
          <w:rFonts w:ascii="Arial" w:cs="Arial" w:eastAsia="Arial" w:hAnsi="Arial"/>
          <w:sz w:val="20"/>
          <w:szCs w:val="20"/>
          <w:color w:val="auto"/>
        </w:rPr>
      </w:pPr>
    </w:p>
    <w:p>
      <w:pPr>
        <w:ind w:firstLine="656"/>
        <w:spacing w:after="0" w:line="235" w:lineRule="auto"/>
        <w:tabs>
          <w:tab w:leader="none" w:pos="111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default under any mortgage, indenture or instrument under which there is issued or by which there is secured or evidenced any Indebtedness of the Borrower or any Guarantor, whether such Indebtedness or guarantee now exists or is created after the Closing Date, if both: (a) such default either results from the failure to pay any principal of such Indebtedness at its stated final maturity (after giving effect to any applicable grace periods) or such default is with respect to another obligation under such Indebtedness and results in the holder or holders of such Indebtedness causing the payment of such Indebtedness to be accelerated and to become due prior to its stated maturity without such Indebtedness having been discharged or such acceleration having been cured, waived, rescinded or annulled within a period of thirty (30) calendar days; and (b) the principal amount of such Indebtedness, together with the principal amount of any other such Indebtedness not so paid when due, or the maturity of which has been so accelerated, aggregates $100,000,000 or more;</w:t>
      </w:r>
    </w:p>
    <w:p>
      <w:pPr>
        <w:spacing w:after="0" w:line="214" w:lineRule="exact"/>
        <w:rPr>
          <w:rFonts w:ascii="Arial" w:cs="Arial" w:eastAsia="Arial" w:hAnsi="Arial"/>
          <w:sz w:val="20"/>
          <w:szCs w:val="20"/>
          <w:color w:val="auto"/>
        </w:rPr>
      </w:pPr>
    </w:p>
    <w:p>
      <w:pPr>
        <w:ind w:left="1060" w:hanging="404"/>
        <w:spacing w:after="0"/>
        <w:tabs>
          <w:tab w:leader="none" w:pos="106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Borrower or any Significant Subsidiary, pursuant to or within the meaning of any Debtor Relief Law:</w:t>
      </w:r>
    </w:p>
    <w:p>
      <w:pPr>
        <w:spacing w:after="0" w:line="4" w:lineRule="exact"/>
        <w:rPr>
          <w:rFonts w:ascii="Arial" w:cs="Arial" w:eastAsia="Arial" w:hAnsi="Arial"/>
          <w:sz w:val="20"/>
          <w:szCs w:val="20"/>
          <w:color w:val="auto"/>
        </w:rPr>
      </w:pPr>
    </w:p>
    <w:p>
      <w:pPr>
        <w:ind w:left="1760" w:hanging="456"/>
        <w:spacing w:after="0"/>
        <w:tabs>
          <w:tab w:leader="none" w:pos="176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commences proceedings to be adjudicated bankrupt or insolvent;</w:t>
      </w:r>
    </w:p>
    <w:p>
      <w:pPr>
        <w:spacing w:after="0" w:line="224" w:lineRule="exact"/>
        <w:rPr>
          <w:rFonts w:ascii="Arial" w:cs="Arial" w:eastAsia="Arial" w:hAnsi="Arial"/>
          <w:sz w:val="20"/>
          <w:szCs w:val="20"/>
          <w:color w:val="auto"/>
        </w:rPr>
      </w:pPr>
    </w:p>
    <w:p>
      <w:pPr>
        <w:ind w:left="660" w:firstLine="644"/>
        <w:spacing w:after="0" w:line="248" w:lineRule="auto"/>
        <w:tabs>
          <w:tab w:leader="none" w:pos="177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pacing w:after="0" w:line="191" w:lineRule="exact"/>
        <w:rPr>
          <w:rFonts w:ascii="Arial" w:cs="Arial" w:eastAsia="Arial" w:hAnsi="Arial"/>
          <w:sz w:val="20"/>
          <w:szCs w:val="20"/>
          <w:color w:val="auto"/>
        </w:rPr>
      </w:pPr>
    </w:p>
    <w:p>
      <w:pPr>
        <w:ind w:left="660" w:right="520" w:firstLine="644"/>
        <w:spacing w:after="0" w:line="271" w:lineRule="auto"/>
        <w:tabs>
          <w:tab w:leader="none" w:pos="177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consents to the appointment of a receiver, interim receiver, receiver and manager, liquidator, assignee, trustee, sequestrator or other similar official of it or for all or substantially all of its property; or</w:t>
      </w:r>
    </w:p>
    <w:p>
      <w:pPr>
        <w:spacing w:after="0" w:line="169" w:lineRule="exact"/>
        <w:rPr>
          <w:rFonts w:ascii="Arial" w:cs="Arial" w:eastAsia="Arial" w:hAnsi="Arial"/>
          <w:sz w:val="20"/>
          <w:szCs w:val="20"/>
          <w:color w:val="auto"/>
        </w:rPr>
      </w:pPr>
    </w:p>
    <w:p>
      <w:pPr>
        <w:ind w:left="1760" w:hanging="456"/>
        <w:spacing w:after="0"/>
        <w:tabs>
          <w:tab w:leader="none" w:pos="176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makes a general assignment for the benefit of its creditors;</w:t>
      </w:r>
    </w:p>
    <w:p>
      <w:pPr>
        <w:spacing w:after="0" w:line="229" w:lineRule="exact"/>
        <w:rPr>
          <w:rFonts w:ascii="Arial" w:cs="Arial" w:eastAsia="Arial" w:hAnsi="Arial"/>
          <w:sz w:val="20"/>
          <w:szCs w:val="20"/>
          <w:color w:val="auto"/>
        </w:rPr>
      </w:pPr>
    </w:p>
    <w:p>
      <w:pPr>
        <w:ind w:left="1120" w:hanging="464"/>
        <w:spacing w:after="0"/>
        <w:tabs>
          <w:tab w:leader="none" w:pos="11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a court of competent jurisdiction enters an order or decree under any Debtor Relief Law that:</w:t>
      </w:r>
    </w:p>
    <w:p>
      <w:pPr>
        <w:spacing w:after="0" w:line="242" w:lineRule="exact"/>
        <w:rPr>
          <w:rFonts w:ascii="Arial" w:cs="Arial" w:eastAsia="Arial" w:hAnsi="Arial"/>
          <w:sz w:val="20"/>
          <w:szCs w:val="20"/>
          <w:color w:val="auto"/>
        </w:rPr>
      </w:pPr>
    </w:p>
    <w:p>
      <w:pPr>
        <w:ind w:left="660" w:right="160" w:firstLine="644"/>
        <w:spacing w:after="0" w:line="271" w:lineRule="auto"/>
        <w:tabs>
          <w:tab w:leader="none" w:pos="177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is for relief against the Borrower or any Significant Subsidiary in a proceeding in which the Borrower or any Significant Subsidiary is to be adjudicated bankrupt or insolvent;</w:t>
      </w:r>
    </w:p>
    <w:p>
      <w:pPr>
        <w:spacing w:after="0" w:line="182" w:lineRule="exact"/>
        <w:rPr>
          <w:rFonts w:ascii="Arial" w:cs="Arial" w:eastAsia="Arial" w:hAnsi="Arial"/>
          <w:sz w:val="20"/>
          <w:szCs w:val="20"/>
          <w:color w:val="auto"/>
        </w:rPr>
      </w:pPr>
    </w:p>
    <w:p>
      <w:pPr>
        <w:ind w:left="660" w:right="380" w:firstLine="644"/>
        <w:spacing w:after="0" w:line="248" w:lineRule="auto"/>
        <w:tabs>
          <w:tab w:leader="none" w:pos="177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appoints a receiver, interim receiver, receiver and manager, liquidator, assignee, trustee, sequestrator or other similar official of the Borrower or any Significant Subsidiary, or for all or substantially all of the property of the Borrower or any Significant Subsidiary; or</w:t>
      </w:r>
    </w:p>
    <w:p>
      <w:pPr>
        <w:spacing w:after="0" w:line="205" w:lineRule="exact"/>
        <w:rPr>
          <w:rFonts w:ascii="Arial" w:cs="Arial" w:eastAsia="Arial" w:hAnsi="Arial"/>
          <w:sz w:val="20"/>
          <w:szCs w:val="20"/>
          <w:color w:val="auto"/>
        </w:rPr>
      </w:pPr>
    </w:p>
    <w:p>
      <w:pPr>
        <w:ind w:left="1760" w:hanging="456"/>
        <w:spacing w:after="0"/>
        <w:tabs>
          <w:tab w:leader="none" w:pos="1760" w:val="left"/>
        </w:tabs>
        <w:numPr>
          <w:ilvl w:val="1"/>
          <w:numId w:val="227"/>
        </w:numPr>
        <w:rPr>
          <w:rFonts w:ascii="Arial" w:cs="Arial" w:eastAsia="Arial" w:hAnsi="Arial"/>
          <w:sz w:val="20"/>
          <w:szCs w:val="20"/>
          <w:color w:val="auto"/>
        </w:rPr>
      </w:pPr>
      <w:r>
        <w:rPr>
          <w:rFonts w:ascii="Arial" w:cs="Arial" w:eastAsia="Arial" w:hAnsi="Arial"/>
          <w:sz w:val="20"/>
          <w:szCs w:val="20"/>
          <w:color w:val="auto"/>
        </w:rPr>
        <w:t>orders the liquidation, dissolution or winding up of the Borrower or any Significant Subsidiary;</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and the order or decree remains unstayed and in effect for 60 consecutive days;</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1240"/>
          </w:cols>
          <w:pgMar w:left="320" w:top="1414" w:right="339" w:bottom="1440" w:gutter="0" w:footer="0" w:header="0"/>
          <w:type w:val="continuous"/>
        </w:sectPr>
      </w:pPr>
    </w:p>
    <w:bookmarkStart w:id="223" w:name="page224"/>
    <w:bookmarkEnd w:id="223"/>
    <w:p>
      <w:pPr>
        <w:spacing w:after="0" w:line="238"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cases of the foregoing clauses (f) and (g), (i) such event or circumstance is either (x) a voluntary proceeding or results therefrom or (y) 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Borrower (including any alternate proceedings) or other such proceedings that are in the nature of either a continuation or extension thereof;</w:t>
      </w:r>
    </w:p>
    <w:p>
      <w:pPr>
        <w:spacing w:after="0" w:line="199" w:lineRule="exact"/>
        <w:rPr>
          <w:sz w:val="20"/>
          <w:szCs w:val="20"/>
          <w:color w:val="auto"/>
        </w:rPr>
      </w:pPr>
    </w:p>
    <w:p>
      <w:pPr>
        <w:ind w:right="200" w:firstLine="656"/>
        <w:spacing w:after="0" w:line="248" w:lineRule="auto"/>
        <w:tabs>
          <w:tab w:leader="none" w:pos="1099"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An ERISA Event has occurred or is reasonably expected to occur that, when taken together with all other such ERISA Events for which liability is reasonably expected to occur, would reasonably be expected to result in a Material Adverse Effect; and</w:t>
      </w:r>
    </w:p>
    <w:p>
      <w:pPr>
        <w:spacing w:after="0" w:line="191" w:lineRule="exact"/>
        <w:rPr>
          <w:rFonts w:ascii="Arial" w:cs="Arial" w:eastAsia="Arial" w:hAnsi="Arial"/>
          <w:sz w:val="20"/>
          <w:szCs w:val="20"/>
          <w:color w:val="auto"/>
        </w:rPr>
      </w:pPr>
    </w:p>
    <w:p>
      <w:pPr>
        <w:ind w:left="1060" w:hanging="404"/>
        <w:spacing w:after="0"/>
        <w:tabs>
          <w:tab w:leader="none" w:pos="106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any Change of Control shall occur.</w:t>
      </w:r>
    </w:p>
    <w:p>
      <w:pPr>
        <w:spacing w:after="0" w:line="243" w:lineRule="exact"/>
        <w:rPr>
          <w:sz w:val="20"/>
          <w:szCs w:val="20"/>
          <w:color w:val="auto"/>
        </w:rPr>
      </w:pPr>
    </w:p>
    <w:p>
      <w:pPr>
        <w:ind w:right="60" w:firstLine="648"/>
        <w:spacing w:after="0" w:line="233" w:lineRule="auto"/>
        <w:rPr>
          <w:sz w:val="20"/>
          <w:szCs w:val="20"/>
          <w:color w:val="auto"/>
        </w:rPr>
      </w:pPr>
      <w:r>
        <w:rPr>
          <w:rFonts w:ascii="Arial" w:cs="Arial" w:eastAsia="Arial" w:hAnsi="Arial"/>
          <w:sz w:val="20"/>
          <w:szCs w:val="20"/>
          <w:color w:val="auto"/>
        </w:rPr>
        <w:t>In the case of an Event of Default, then, and in every such event (other than an event with respect to the Borrower described in clause (f) or (g) of this Section), and at any time thereafter during the continuance of such event, the Administrative Agent may take any and all of the following actions: (A) [reserved], and (B) at the request of the Required Lenders, the Administrative Agent shall, by notice to the Borrower (i)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 exercise on behalf of itself and the Lenders all rights and remedies available to it and the Lenders under the Loan Documents and applicable law. In case of any event with respect to the Borrower described in clause (f) or (g) of this Section, any outstanding Term Commitments shall automatically terminate and the principal of the Term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w:t>
      </w:r>
    </w:p>
    <w:p>
      <w:pPr>
        <w:spacing w:after="0" w:line="222"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 xml:space="preserve">In the event of a declaration of acceleration of the Term Loans because an Event of Default described in </w:t>
      </w:r>
      <w:r>
        <w:rPr>
          <w:rFonts w:ascii="Arial" w:cs="Arial" w:eastAsia="Arial" w:hAnsi="Arial"/>
          <w:sz w:val="20"/>
          <w:szCs w:val="20"/>
          <w:u w:val="single" w:color="auto"/>
          <w:color w:val="auto"/>
        </w:rPr>
        <w:t>Section 7.1(e)</w:t>
      </w:r>
      <w:r>
        <w:rPr>
          <w:rFonts w:ascii="Arial" w:cs="Arial" w:eastAsia="Arial" w:hAnsi="Arial"/>
          <w:sz w:val="20"/>
          <w:szCs w:val="20"/>
          <w:color w:val="auto"/>
        </w:rPr>
        <w:t xml:space="preserve"> has occurred and is continuing, the declaration of acceleration of the Term Loans shall be automatically annulled if the event of default or payment default triggering such Event of Default pursuant to </w:t>
      </w:r>
      <w:r>
        <w:rPr>
          <w:rFonts w:ascii="Arial" w:cs="Arial" w:eastAsia="Arial" w:hAnsi="Arial"/>
          <w:sz w:val="20"/>
          <w:szCs w:val="20"/>
          <w:u w:val="single" w:color="auto"/>
          <w:color w:val="auto"/>
        </w:rPr>
        <w:t>Section 7.1(e)</w:t>
      </w:r>
      <w:r>
        <w:rPr>
          <w:rFonts w:ascii="Arial" w:cs="Arial" w:eastAsia="Arial" w:hAnsi="Arial"/>
          <w:sz w:val="20"/>
          <w:szCs w:val="20"/>
          <w:color w:val="auto"/>
        </w:rPr>
        <w:t xml:space="preserve"> shall be remedied or cured, or waived by the holders of the Indebtedness or the Indebtedness that gave rise to such Event of Default shall have been discharged in full, within thirty (30) calendar days after declaration of acceleration with respect thereto, and if (1) the annulment of the acceleration of the Term Loans would not conflict with any judgment or decree of a court of competent jurisdiction and (2) all existing Events of Default, except nonpayment of principal, premium or interest on the Term Loans that became due solely because of the acceleration of the Term Loans, have been cured or waived.</w:t>
      </w:r>
    </w:p>
    <w:p>
      <w:pPr>
        <w:spacing w:after="0" w:line="202"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SECTION 8</w:t>
      </w:r>
    </w:p>
    <w:p>
      <w:pPr>
        <w:spacing w:after="0" w:line="4" w:lineRule="exact"/>
        <w:rPr>
          <w:sz w:val="20"/>
          <w:szCs w:val="20"/>
          <w:color w:val="auto"/>
        </w:rPr>
      </w:pPr>
    </w:p>
    <w:p>
      <w:pPr>
        <w:ind w:left="5120"/>
        <w:spacing w:after="0"/>
        <w:rPr>
          <w:sz w:val="20"/>
          <w:szCs w:val="20"/>
          <w:color w:val="auto"/>
        </w:rPr>
      </w:pPr>
      <w:r>
        <w:rPr>
          <w:rFonts w:ascii="Arial" w:cs="Arial" w:eastAsia="Arial" w:hAnsi="Arial"/>
          <w:sz w:val="20"/>
          <w:szCs w:val="20"/>
          <w:u w:val="single" w:color="auto"/>
          <w:color w:val="auto"/>
        </w:rPr>
        <w:t>The Agents</w:t>
      </w:r>
    </w:p>
    <w:p>
      <w:pPr>
        <w:spacing w:after="0" w:line="225" w:lineRule="exact"/>
        <w:rPr>
          <w:sz w:val="20"/>
          <w:szCs w:val="20"/>
          <w:color w:val="auto"/>
        </w:rPr>
      </w:pPr>
    </w:p>
    <w:p>
      <w:pPr>
        <w:ind w:right="100" w:firstLine="648"/>
        <w:spacing w:after="0" w:line="250"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Appointment</w:t>
      </w:r>
      <w:r>
        <w:rPr>
          <w:rFonts w:ascii="Arial" w:cs="Arial" w:eastAsia="Arial" w:hAnsi="Arial"/>
          <w:sz w:val="19"/>
          <w:szCs w:val="19"/>
          <w:color w:val="auto"/>
        </w:rPr>
        <w:t>. Each Lender hereby irrevocably designates and appoints the Administrative Agent as the agent of such Lender under this Agreement and the other Loan Documents, and each such Lender irrevocably authorizes the Administrative Agent, in such capacity, to take such action on its behalf under the provisions of this Agreement and the other Loan Documents and to exercise such powers and perform such duties as are expressly delegated to the Administrative Agent by the terms of this Agreement and the other Loan Documents,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any Lender, and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14" w:right="339" w:bottom="1440" w:gutter="0" w:footer="0" w:header="0"/>
        </w:sectPr>
      </w:pPr>
    </w:p>
    <w:bookmarkStart w:id="224" w:name="page225"/>
    <w:bookmarkEnd w:id="224"/>
    <w:p>
      <w:pPr>
        <w:ind w:right="60"/>
        <w:spacing w:after="0" w:line="257" w:lineRule="auto"/>
        <w:rPr>
          <w:sz w:val="20"/>
          <w:szCs w:val="20"/>
          <w:color w:val="auto"/>
        </w:rPr>
      </w:pPr>
      <w:r>
        <w:rPr>
          <w:rFonts w:ascii="Arial" w:cs="Arial" w:eastAsia="Arial" w:hAnsi="Arial"/>
          <w:sz w:val="20"/>
          <w:szCs w:val="20"/>
          <w:color w:val="auto"/>
        </w:rPr>
        <w:t>implied covenants, functions, responsibilities, duties, obligations or liabilities shall be read into this Agreement or any other Loan Document or otherwise exist against the Administrative Agent.</w:t>
      </w:r>
    </w:p>
    <w:p>
      <w:pPr>
        <w:spacing w:after="0" w:line="196" w:lineRule="exact"/>
        <w:rPr>
          <w:sz w:val="20"/>
          <w:szCs w:val="20"/>
          <w:color w:val="auto"/>
        </w:rPr>
      </w:pPr>
    </w:p>
    <w:p>
      <w:pPr>
        <w:ind w:right="160" w:firstLine="648"/>
        <w:spacing w:after="0"/>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The Administrative Agent may execute any of its duties under this Agreement and the other Loan Documents by or through agents or attorneys in fact and shall be entitled to advice of counsel concerning all matters pertaining to such duties. The Administrative Agent shall not be responsible for the negligence or misconduct of any agents or attorneys in fact selected by it with reasonable care.</w:t>
      </w:r>
    </w:p>
    <w:p>
      <w:pPr>
        <w:spacing w:after="0" w:line="214"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Exculpatory Provisions</w:t>
      </w:r>
      <w:r>
        <w:rPr>
          <w:rFonts w:ascii="Arial" w:cs="Arial" w:eastAsia="Arial" w:hAnsi="Arial"/>
          <w:sz w:val="20"/>
          <w:szCs w:val="20"/>
          <w:color w:val="auto"/>
        </w:rPr>
        <w:t>. Use of the term “agent” in the Agreement or in any other Loan Documents (or any other similar term) with reference to the Administrative Agent does not connote (and is not intended to connote), any fiduciary or other implied (or express) obligation arising under agency doctrine of any applicable law. Instead such term is used as a matter of market custom, and is intended to create or reflect only an administrative relationship between the contracting parties. The Administrative Agent shall not have any duty to take any discretionary action or exercise any discretionary power, except discretionary rights and powers expressly contemplated by the Agreement that the Administrative Agent is required to exercise and only so long as so directed in writing to take such discretionary action by the “Required Lenders” provided, however,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or that may effect a forfeiture, modification or termination of a property interest in violation of any applicable bankruptcy/insolvency laws and the Administrative Agent shall in all cases be fully justified in failing or refusing to act under the Agreement or any other Loan Document unless it first receives further assurances of its indemnification from the Lenders that the Administrative Agent reasonably believes it may require, including prepayment of any related expenses and any other protection it requires against any and all costs, expenses and liabilities it may incur in taking or continuing to take any such discretionary action at the direction of the Required Lenders. The Administrative Agent shall not have any duty to disclose, and shall not be liable for the failure to disclose, except as expressly set forth in the Agreement and in the other Loan Documents, any information relating to the borrower or any of its affiliates that is communicated to or obtained by the Administrative Agent or any of its affiliates in any capacity. The Administrative Agent shall not be responsible for or have any duty to ascertain or inquire into (i) any statement, warranty or representation made in or in connection with the Loan Agreement or any other Loan Document, (ii) the contents of any certificate, report or other document delivered hereunder or thereunder or in connection herewith or therewith, (iii) the performance or observance of any covenant, agreement or other term or condition set forth herein or therein or the occurrence of any default, (iv) the validity, enforceability, effectiveness or genuineness of this Agreement, any other Loan Document or any other agreement, instrument or document, or (v) the satisfaction of any conditions precedent set forth in the Loan Agreement, other than to confirm receipt of items expressly required to be delivered to the Administrative Agent.</w:t>
      </w:r>
    </w:p>
    <w:p>
      <w:pPr>
        <w:spacing w:after="0" w:line="220"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Reliance by the Administrative Agent</w:t>
      </w:r>
      <w:r>
        <w:rPr>
          <w:rFonts w:ascii="Arial" w:cs="Arial" w:eastAsia="Arial" w:hAnsi="Arial"/>
          <w:sz w:val="20"/>
          <w:szCs w:val="20"/>
          <w:color w:val="auto"/>
        </w:rPr>
        <w:t>. The Administrative Agent shall be entitled to rely, and shall be fully protected in relying, upon any instrument, writing, resolution, notice, consent, certificate, affidavit, letter, telecopy, email message, statement, order or other document or conversation believed by it to be genuine and correct and to have been signed, sent or made by the proper Person or Persons and upon advice and statements of legal counsel (including counsel to the Borrower), independent accountants and other experts reasonably selected by the Administrative Agent. The Administrative Agent shall be fully justified in failing or refusing to take any action under this Agreement or any other Loan Document unless the Administrative Agent shall first receive such advice or concurrence of the Required Lenders (or, if so specified by this Agreement, all Lenders) as it deems appropriate or it shall first be indemnified to its satisfaction by the Lenders against any and all liability and expense that may be incurred by it by reason of taking or continuing to take any such action. In determining compliance with any condition to the making of a loan, or the issuance, extension, renewal or increase of a Letter of Credit, the Administrative Agent may presume that such condition is satisfactory to such Lender unless the Administrative Agent receives notice to the contrary from such Lender prior to the making of such loan or the issuance of such Letter of Credit. The Administrative Agent shall in all cases be fully protected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14" w:right="339" w:bottom="1440" w:gutter="0" w:footer="0" w:header="0"/>
        </w:sectPr>
      </w:pPr>
    </w:p>
    <w:bookmarkStart w:id="225" w:name="page226"/>
    <w:bookmarkEnd w:id="225"/>
    <w:p>
      <w:pPr>
        <w:ind w:right="20"/>
        <w:spacing w:after="0"/>
        <w:rPr>
          <w:sz w:val="20"/>
          <w:szCs w:val="20"/>
          <w:color w:val="auto"/>
        </w:rPr>
      </w:pPr>
      <w:r>
        <w:rPr>
          <w:rFonts w:ascii="Arial" w:cs="Arial" w:eastAsia="Arial" w:hAnsi="Arial"/>
          <w:sz w:val="20"/>
          <w:szCs w:val="20"/>
          <w:color w:val="auto"/>
        </w:rPr>
        <w:t>in acting, or in refraining from acting, under this Agreement and the other Loan Documents in accordance with a request of the Required Lenders (or, if so specified by this Agreement or any other Loan Document, all Lenders), and such request and any action taken or failure to act pursuant thereto shall be binding upon all the Lenders and all future holders of the Term Loans. The Administrative Agent shall not be liable for any action taken or not taken by it in accordance with the advice of any such counsel, accountants or experts.</w:t>
      </w:r>
    </w:p>
    <w:p>
      <w:pPr>
        <w:spacing w:after="0" w:line="200" w:lineRule="exact"/>
        <w:rPr>
          <w:sz w:val="20"/>
          <w:szCs w:val="20"/>
          <w:color w:val="auto"/>
        </w:rPr>
      </w:pPr>
    </w:p>
    <w:p>
      <w:pPr>
        <w:ind w:right="40" w:firstLine="648"/>
        <w:spacing w:after="0" w:line="234"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Notice of Default</w:t>
      </w:r>
      <w:r>
        <w:rPr>
          <w:rFonts w:ascii="Arial" w:cs="Arial" w:eastAsia="Arial" w:hAnsi="Arial"/>
          <w:sz w:val="20"/>
          <w:szCs w:val="20"/>
          <w:color w:val="auto"/>
        </w:rPr>
        <w:t xml:space="preserve">. The Administrative Agent shall not be deemed to have knowledge or notice of the occurrence of any Default or Event of Default unless it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The Administrative Agent shall take such action with respect to such Default or Event of Default as shall be reasonably directed by the Required Lenders (or, if so specified by this Agreement or any other Loan Document,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the Administrative Agent shall deem advisable in the best interests of the Lenders. The Administrative Agent shall not be obligated to follow any direction by Required Lenders if the Administrative Agent reasonably determines that such direction is in conflict with any provisions of any applicable law, and the Administrative Agent shall not, under any circumstances, be liable to any Lenders, the Borrower or any other person or entity for following the direction of Required Lenders. At all times, if the Administrative Agent acting at the direction of the Required Lenders advises the Lenders that it wishes to proceed in good faith with respect to any enforcement action, each of the Lenders will cooperate in good faith with respect to such enforcement action.</w:t>
      </w:r>
    </w:p>
    <w:p>
      <w:pPr>
        <w:spacing w:after="0" w:line="209" w:lineRule="exact"/>
        <w:rPr>
          <w:sz w:val="20"/>
          <w:szCs w:val="20"/>
          <w:color w:val="auto"/>
        </w:rPr>
      </w:pPr>
    </w:p>
    <w:p>
      <w:pPr>
        <w:ind w:firstLine="648"/>
        <w:spacing w:after="0" w:line="233"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Non-Reliance on the Agent and Other Lenders</w:t>
      </w:r>
      <w:r>
        <w:rPr>
          <w:rFonts w:ascii="Arial" w:cs="Arial" w:eastAsia="Arial" w:hAnsi="Arial"/>
          <w:sz w:val="20"/>
          <w:szCs w:val="20"/>
          <w:color w:val="auto"/>
        </w:rPr>
        <w:t>. Each Lender expressly acknowledges that neither the Agent nor any of its officers, directors, employees, agents, attorneys in fact or affiliates have made any representations or warranties to it and that no act by any Agent hereafter taken, including any review of the affairs of a Loan Party or any affiliate of a Loan Party, shall be deemed to constitute any representation or warranty by any Agent to any Lender. Each Lender represents to the Agent that it has, independently and without reliance upon any Agent,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Term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the Lenders by the Administrative Agent hereunder, the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the Administrative Agent or any of its officers, directors, employees, agents, attorneys in fact or affiliates.</w:t>
      </w:r>
    </w:p>
    <w:p>
      <w:pPr>
        <w:spacing w:after="0" w:line="214" w:lineRule="exact"/>
        <w:rPr>
          <w:sz w:val="20"/>
          <w:szCs w:val="20"/>
          <w:color w:val="auto"/>
        </w:rPr>
      </w:pPr>
    </w:p>
    <w:p>
      <w:pPr>
        <w:ind w:right="80" w:firstLine="648"/>
        <w:spacing w:after="0" w:line="236"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Indemnification</w:t>
      </w:r>
      <w:r>
        <w:rPr>
          <w:rFonts w:ascii="Arial" w:cs="Arial" w:eastAsia="Arial" w:hAnsi="Arial"/>
          <w:sz w:val="20"/>
          <w:szCs w:val="20"/>
          <w:color w:val="auto"/>
        </w:rPr>
        <w:t xml:space="preserve">. To the extent the Borrower fails to pay any amount required to be paid by it to the Administrative Agent or any other agent under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the Lenders severally agree to indemnify the Agent in their capacity as such (to the extent not reimbursed by the Borrower and without limiting the obligation of the Borrower to do so), ratably according to their respective Term Percentage in effect on the date on which indemnification is sought under this </w:t>
      </w:r>
      <w:r>
        <w:rPr>
          <w:rFonts w:ascii="Arial" w:cs="Arial" w:eastAsia="Arial" w:hAnsi="Arial"/>
          <w:sz w:val="20"/>
          <w:szCs w:val="20"/>
          <w:u w:val="single" w:color="auto"/>
          <w:color w:val="auto"/>
        </w:rPr>
        <w:t>Section 8.7</w:t>
      </w:r>
      <w:r>
        <w:rPr>
          <w:rFonts w:ascii="Arial" w:cs="Arial" w:eastAsia="Arial" w:hAnsi="Arial"/>
          <w:sz w:val="20"/>
          <w:szCs w:val="20"/>
          <w:color w:val="auto"/>
        </w:rPr>
        <w:t xml:space="preserve"> (or, if indemnification is sought after the date upon which the Term Commitments shall have terminated and the Term Loans shall have been paid in full, ratably in accordance with such Term Percentage immediately prior to such date), from and against any and all liabilities, obligations, losses, damages, penalties, actions, judgments, suits, costs, expenses or disbursements of any kind whatsoever that may at any time (whether before or after the payment of the Term Loans) be imposed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14" w:right="339" w:bottom="1440" w:gutter="0" w:footer="0" w:header="0"/>
        </w:sectPr>
      </w:pPr>
    </w:p>
    <w:bookmarkStart w:id="226" w:name="page227"/>
    <w:bookmarkEnd w:id="226"/>
    <w:p>
      <w:pPr>
        <w:ind w:right="20"/>
        <w:spacing w:after="0" w:line="238" w:lineRule="auto"/>
        <w:rPr>
          <w:sz w:val="20"/>
          <w:szCs w:val="20"/>
          <w:color w:val="auto"/>
        </w:rPr>
      </w:pPr>
      <w:r>
        <w:rPr>
          <w:rFonts w:ascii="Arial" w:cs="Arial" w:eastAsia="Arial" w:hAnsi="Arial"/>
          <w:sz w:val="20"/>
          <w:szCs w:val="20"/>
          <w:color w:val="auto"/>
        </w:rPr>
        <w:t xml:space="preserve">incurred by or asserted against such Agent, in any way relating to or arising out of, the Term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w:t>
      </w:r>
      <w:r>
        <w:rPr>
          <w:rFonts w:ascii="Arial" w:cs="Arial" w:eastAsia="Arial" w:hAnsi="Arial"/>
          <w:sz w:val="20"/>
          <w:szCs w:val="20"/>
          <w:u w:val="single" w:color="auto"/>
          <w:color w:val="auto"/>
        </w:rPr>
        <w:t>Section 8.7</w:t>
      </w:r>
      <w:r>
        <w:rPr>
          <w:rFonts w:ascii="Arial" w:cs="Arial" w:eastAsia="Arial" w:hAnsi="Arial"/>
          <w:sz w:val="20"/>
          <w:szCs w:val="20"/>
          <w:color w:val="auto"/>
        </w:rPr>
        <w:t xml:space="preserve"> shall survive the payment of the Term Loans and all other amounts payable hereunder.</w:t>
      </w:r>
    </w:p>
    <w:p>
      <w:pPr>
        <w:spacing w:after="0" w:line="199" w:lineRule="exact"/>
        <w:rPr>
          <w:sz w:val="20"/>
          <w:szCs w:val="20"/>
          <w:color w:val="auto"/>
        </w:rPr>
      </w:pPr>
    </w:p>
    <w:p>
      <w:pPr>
        <w:ind w:right="20" w:firstLine="648"/>
        <w:spacing w:after="0"/>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Agent in Its Individual Capacity</w:t>
      </w:r>
      <w:r>
        <w:rPr>
          <w:rFonts w:ascii="Arial" w:cs="Arial" w:eastAsia="Arial" w:hAnsi="Arial"/>
          <w:sz w:val="20"/>
          <w:szCs w:val="20"/>
          <w:color w:val="auto"/>
        </w:rPr>
        <w:t>. The Agent and its affiliates may make loans to, accept deposits from and generally engage in any kind of business with any Loan Party as though such Agent were not an Agent. With respect to its Term Loans made or renewed by it, the Agent shall have the same rights and powers under this Agreement and the other Loan Documents as any Lender and may exercise the same as though it were not an Agent, and the terms “Lender” and “Lenders” shall include the Agent.</w:t>
      </w:r>
    </w:p>
    <w:p>
      <w:pPr>
        <w:spacing w:after="0" w:line="200" w:lineRule="exact"/>
        <w:rPr>
          <w:sz w:val="20"/>
          <w:szCs w:val="20"/>
          <w:color w:val="auto"/>
        </w:rPr>
      </w:pPr>
    </w:p>
    <w:p>
      <w:pPr>
        <w:ind w:right="40" w:firstLine="648"/>
        <w:spacing w:after="0" w:line="246" w:lineRule="auto"/>
        <w:rPr>
          <w:sz w:val="20"/>
          <w:szCs w:val="20"/>
          <w:color w:val="auto"/>
        </w:rPr>
      </w:pPr>
      <w:r>
        <w:rPr>
          <w:rFonts w:ascii="Arial" w:cs="Arial" w:eastAsia="Arial" w:hAnsi="Arial"/>
          <w:sz w:val="19"/>
          <w:szCs w:val="19"/>
          <w:color w:val="auto"/>
        </w:rPr>
        <w:t xml:space="preserve">8.9. </w:t>
      </w:r>
      <w:r>
        <w:rPr>
          <w:rFonts w:ascii="Arial" w:cs="Arial" w:eastAsia="Arial" w:hAnsi="Arial"/>
          <w:sz w:val="19"/>
          <w:szCs w:val="19"/>
          <w:u w:val="single" w:color="auto"/>
          <w:color w:val="auto"/>
        </w:rPr>
        <w:t>Successor Administrative Agent</w:t>
      </w:r>
      <w:r>
        <w:rPr>
          <w:rFonts w:ascii="Arial" w:cs="Arial" w:eastAsia="Arial" w:hAnsi="Arial"/>
          <w:sz w:val="19"/>
          <w:szCs w:val="19"/>
          <w:color w:val="auto"/>
        </w:rPr>
        <w:t>. The Administrative Agent may resign as Administrative Agent upon 30 days’ notice to the Lenders and any Loan Party. If the Administrative Agent shall resign as Administrative Agent under this Agreement and the other Loan Documents, then the Required Lenders shall appoint from among the Lenders a successor agent for the Lenders, which successor agent shall be subject to approval by the Borrower (which approval shall not be unreasonably withheld or delayed), whereupon such successor agent shall succeed to the rights, powers and duties of the Administrative Agent, and the term “Administrative Agent” shall mean such successor agent effective upon such appointment and approval, and the former Administrative Agent’s rights, powers and duties as an Administrative Agent shall be terminated, without any other or further act or deed on the part of such former Administrative Agent or any of the parties to this Agreement or any holders of the Term Loans. If no successor agent has accepted appointment as an Administrative Agent by the date that is ten</w:t>
      </w:r>
    </w:p>
    <w:p>
      <w:pPr>
        <w:ind w:right="180" w:firstLine="8"/>
        <w:spacing w:after="0" w:line="234" w:lineRule="auto"/>
        <w:tabs>
          <w:tab w:leader="none" w:pos="407" w:val="left"/>
        </w:tabs>
        <w:numPr>
          <w:ilvl w:val="0"/>
          <w:numId w:val="229"/>
        </w:numPr>
        <w:rPr>
          <w:rFonts w:ascii="Arial" w:cs="Arial" w:eastAsia="Arial" w:hAnsi="Arial"/>
          <w:sz w:val="20"/>
          <w:szCs w:val="20"/>
          <w:color w:val="auto"/>
        </w:rPr>
      </w:pPr>
      <w:r>
        <w:rPr>
          <w:rFonts w:ascii="Arial" w:cs="Arial" w:eastAsia="Arial" w:hAnsi="Arial"/>
          <w:sz w:val="20"/>
          <w:szCs w:val="20"/>
          <w:color w:val="auto"/>
        </w:rPr>
        <w:t xml:space="preserve">days following the retiring Administrative Agent’s notice of resignation, the retiring Administrative Agent’s resignation shall nevertheless thereupon become effective, and the Lenders shall assume and perform all of the duties of the Administrative Agent hereunder until such time, if any, as the Required Lenders appoint a successor agent as provided for above. After the retiring Administrative Agent’s resignation, the provisions of this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shall inure to its benefit as to any actions taken or omitted to be taken by it while it was Administrative Agent under this Agreement and the other Loan Documents.</w:t>
      </w:r>
    </w:p>
    <w:p>
      <w:pPr>
        <w:spacing w:after="0" w:line="203"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8.10.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9"/>
          <w:szCs w:val="19"/>
          <w:u w:val="single" w:color="auto"/>
          <w:color w:val="auto"/>
        </w:rPr>
        <w:t>Payments</w:t>
      </w:r>
      <w:r>
        <w:rPr>
          <w:rFonts w:ascii="Arial" w:cs="Arial" w:eastAsia="Arial" w:hAnsi="Arial"/>
          <w:sz w:val="19"/>
          <w:szCs w:val="19"/>
          <w:color w:val="auto"/>
        </w:rPr>
        <w:t>.</w:t>
      </w:r>
    </w:p>
    <w:p>
      <w:pPr>
        <w:spacing w:after="0" w:line="229" w:lineRule="exact"/>
        <w:rPr>
          <w:sz w:val="20"/>
          <w:szCs w:val="20"/>
          <w:color w:val="auto"/>
        </w:rPr>
      </w:pPr>
    </w:p>
    <w:p>
      <w:pPr>
        <w:ind w:firstLine="656"/>
        <w:spacing w:after="0" w:line="247" w:lineRule="auto"/>
        <w:tabs>
          <w:tab w:leader="none" w:pos="1110"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If the Administrative Agent notifies a Lender or any Person who has received funds on behalf of a Lender (any such Lender or other recipient, a “</w:t>
      </w:r>
      <w:r>
        <w:rPr>
          <w:rFonts w:ascii="Arial" w:cs="Arial" w:eastAsia="Arial" w:hAnsi="Arial"/>
          <w:sz w:val="19"/>
          <w:szCs w:val="19"/>
          <w:u w:val="single" w:color="auto"/>
          <w:color w:val="auto"/>
        </w:rPr>
        <w:t>Payment Recipient</w:t>
      </w:r>
      <w:r>
        <w:rPr>
          <w:rFonts w:ascii="Arial" w:cs="Arial" w:eastAsia="Arial" w:hAnsi="Arial"/>
          <w:sz w:val="19"/>
          <w:szCs w:val="19"/>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or other Payment Recipient on its behalf) (any such funds, whether received as a payment, prepayment or repayment of principal, interest, fees, distribution or otherwise, individually and collectively, an “</w:t>
      </w:r>
      <w:r>
        <w:rPr>
          <w:rFonts w:ascii="Arial" w:cs="Arial" w:eastAsia="Arial" w:hAnsi="Arial"/>
          <w:sz w:val="19"/>
          <w:szCs w:val="19"/>
          <w:u w:val="single" w:color="auto"/>
          <w:color w:val="auto"/>
        </w:rPr>
        <w:t>Erroneous Payment</w:t>
      </w:r>
      <w:r>
        <w:rPr>
          <w:rFonts w:ascii="Arial" w:cs="Arial" w:eastAsia="Arial" w:hAnsi="Arial"/>
          <w:sz w:val="19"/>
          <w:szCs w:val="19"/>
          <w:color w:val="auto"/>
        </w:rPr>
        <w:t>”) and demands the return of such Erroneous Payment (or a portion thereof), such Erroneous Payment shall at all times remain the property of the Administrative Agent, and such Lender shall (or, with respect to any Payment Recipient who received such funds on its behalf, shall cause such Payment Recipient to) promptly, but in no event later than two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00"/>
          </w:cols>
          <w:pgMar w:left="320" w:top="1414" w:right="379" w:bottom="1440" w:gutter="0" w:footer="0" w:header="0"/>
        </w:sectPr>
      </w:pPr>
    </w:p>
    <w:bookmarkStart w:id="227" w:name="page228"/>
    <w:bookmarkEnd w:id="227"/>
    <w:p>
      <w:pPr>
        <w:ind w:right="520"/>
        <w:spacing w:after="0" w:line="248" w:lineRule="auto"/>
        <w:rPr>
          <w:sz w:val="20"/>
          <w:szCs w:val="20"/>
          <w:color w:val="auto"/>
        </w:rPr>
      </w:pPr>
      <w:r>
        <w:rPr>
          <w:rFonts w:ascii="Arial" w:cs="Arial" w:eastAsia="Arial" w:hAnsi="Arial"/>
          <w:sz w:val="20"/>
          <w:szCs w:val="20"/>
          <w:color w:val="auto"/>
        </w:rPr>
        <w:t>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92" w:lineRule="exact"/>
        <w:rPr>
          <w:sz w:val="20"/>
          <w:szCs w:val="20"/>
          <w:color w:val="auto"/>
        </w:rPr>
      </w:pPr>
    </w:p>
    <w:p>
      <w:pPr>
        <w:ind w:right="80" w:firstLine="656"/>
        <w:spacing w:after="0" w:line="238" w:lineRule="auto"/>
        <w:tabs>
          <w:tab w:leader="none" w:pos="111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Without limiting immediately preceding clause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 “</w:t>
      </w:r>
      <w:r>
        <w:rPr>
          <w:rFonts w:ascii="Arial" w:cs="Arial" w:eastAsia="Arial" w:hAnsi="Arial"/>
          <w:sz w:val="20"/>
          <w:szCs w:val="20"/>
          <w:u w:val="single" w:color="auto"/>
          <w:color w:val="auto"/>
        </w:rPr>
        <w:t>Payment Notice</w:t>
      </w:r>
      <w:r>
        <w:rPr>
          <w:rFonts w:ascii="Arial" w:cs="Arial" w:eastAsia="Arial" w:hAnsi="Arial"/>
          <w:sz w:val="20"/>
          <w:szCs w:val="20"/>
          <w:color w:val="auto"/>
        </w:rPr>
        <w:t>”), (y) that was not preceded or accompanied by a Payment Notice, or (z) that such Payment Recipient otherwise becomes aware was transmitted, or received, in error or by mistake (in whole or in part) in each case:</w:t>
      </w:r>
    </w:p>
    <w:p>
      <w:pPr>
        <w:spacing w:after="0" w:line="199" w:lineRule="exact"/>
        <w:rPr>
          <w:rFonts w:ascii="Arial" w:cs="Arial" w:eastAsia="Arial" w:hAnsi="Arial"/>
          <w:sz w:val="20"/>
          <w:szCs w:val="20"/>
          <w:color w:val="auto"/>
        </w:rPr>
      </w:pPr>
    </w:p>
    <w:p>
      <w:pPr>
        <w:ind w:left="660" w:right="100" w:firstLine="644"/>
        <w:spacing w:after="0" w:line="298" w:lineRule="auto"/>
        <w:tabs>
          <w:tab w:leader="none" w:pos="1704" w:val="left"/>
        </w:tabs>
        <w:numPr>
          <w:ilvl w:val="1"/>
          <w:numId w:val="231"/>
        </w:numPr>
        <w:rPr>
          <w:rFonts w:ascii="Arial" w:cs="Arial" w:eastAsia="Arial" w:hAnsi="Arial"/>
          <w:sz w:val="19"/>
          <w:szCs w:val="19"/>
          <w:color w:val="auto"/>
        </w:rPr>
      </w:pPr>
      <w:r>
        <w:rPr>
          <w:rFonts w:ascii="Arial" w:cs="Arial" w:eastAsia="Arial" w:hAnsi="Arial"/>
          <w:sz w:val="19"/>
          <w:szCs w:val="19"/>
          <w:color w:val="auto"/>
        </w:rPr>
        <w:t>an error may have been made (in the case of immediately preceding clauses (x) or (y)) or an error has been made (in the case of immediately preceding clause (z)) with respect to such payment, prepayment or repayment; and</w:t>
      </w:r>
    </w:p>
    <w:p>
      <w:pPr>
        <w:spacing w:after="0" w:line="145" w:lineRule="exact"/>
        <w:rPr>
          <w:rFonts w:ascii="Arial" w:cs="Arial" w:eastAsia="Arial" w:hAnsi="Arial"/>
          <w:sz w:val="19"/>
          <w:szCs w:val="19"/>
          <w:color w:val="auto"/>
        </w:rPr>
      </w:pPr>
    </w:p>
    <w:p>
      <w:pPr>
        <w:ind w:left="660" w:right="20" w:firstLine="644"/>
        <w:spacing w:after="0" w:line="248" w:lineRule="auto"/>
        <w:tabs>
          <w:tab w:leader="none" w:pos="1748" w:val="left"/>
        </w:tabs>
        <w:numPr>
          <w:ilvl w:val="1"/>
          <w:numId w:val="231"/>
        </w:numPr>
        <w:rPr>
          <w:rFonts w:ascii="Arial" w:cs="Arial" w:eastAsia="Arial" w:hAnsi="Arial"/>
          <w:sz w:val="20"/>
          <w:szCs w:val="20"/>
          <w:color w:val="auto"/>
        </w:rPr>
      </w:pPr>
      <w:r>
        <w:rPr>
          <w:rFonts w:ascii="Arial" w:cs="Arial" w:eastAsia="Arial" w:hAnsi="Arial"/>
          <w:sz w:val="20"/>
          <w:szCs w:val="20"/>
          <w:color w:val="auto"/>
        </w:rPr>
        <w:t>such Payment Recipient shall promptly (and, in all events, within one Business Day of its knowledge of such error) notify the Administrative Agent of its receipt of such payment, pre-payment or repayment, the details thereof and that it is so notifying the Administrative pursuant to this Section 8.11(b).</w:t>
      </w:r>
    </w:p>
    <w:p>
      <w:pPr>
        <w:spacing w:after="0" w:line="191" w:lineRule="exact"/>
        <w:rPr>
          <w:rFonts w:ascii="Arial" w:cs="Arial" w:eastAsia="Arial" w:hAnsi="Arial"/>
          <w:sz w:val="20"/>
          <w:szCs w:val="20"/>
          <w:color w:val="auto"/>
        </w:rPr>
      </w:pPr>
    </w:p>
    <w:p>
      <w:pPr>
        <w:ind w:right="160" w:firstLine="656"/>
        <w:spacing w:after="0" w:line="245" w:lineRule="auto"/>
        <w:tabs>
          <w:tab w:leader="none" w:pos="1099"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Each Lender hereby authorizes the Administrative Agent to set off, net and apply any and all amounts at any time owing to such Lender under any Loan Document, or otherwise payable or distributable by the Administrative Agent to such Lender from any source, against any amount due to the Administrative Agent under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or under the indemnification provisions of this Agreement.</w:t>
      </w:r>
    </w:p>
    <w:p>
      <w:pPr>
        <w:spacing w:after="0" w:line="194" w:lineRule="exact"/>
        <w:rPr>
          <w:rFonts w:ascii="Arial" w:cs="Arial" w:eastAsia="Arial" w:hAnsi="Arial"/>
          <w:sz w:val="20"/>
          <w:szCs w:val="20"/>
          <w:color w:val="auto"/>
        </w:rPr>
      </w:pPr>
    </w:p>
    <w:p>
      <w:pPr>
        <w:ind w:firstLine="656"/>
        <w:spacing w:after="0" w:line="233" w:lineRule="auto"/>
        <w:tabs>
          <w:tab w:leader="none" w:pos="111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 xml:space="preserve">In the event an Erroneous Payment (or portion thereof) is not recovered by the Administrative Agent for any reason, after demand therefor by the Administrative Agent in accordance with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from any Lender that has received such Erroneous Payment (or portion thereof) (or from any Payment Recipient who received such Erroneous Payment (or portion thereof) on its respective behalf) (such unrecovered amount, an “</w:t>
      </w:r>
      <w:r>
        <w:rPr>
          <w:rFonts w:ascii="Arial" w:cs="Arial" w:eastAsia="Arial" w:hAnsi="Arial"/>
          <w:sz w:val="20"/>
          <w:szCs w:val="20"/>
          <w:u w:val="single" w:color="auto"/>
          <w:color w:val="auto"/>
        </w:rPr>
        <w:t>Erroneous Payment Return Deficiency</w:t>
      </w:r>
      <w:r>
        <w:rPr>
          <w:rFonts w:ascii="Arial" w:cs="Arial" w:eastAsia="Arial" w:hAnsi="Arial"/>
          <w:sz w:val="20"/>
          <w:szCs w:val="20"/>
          <w:color w:val="auto"/>
        </w:rPr>
        <w:t>”), upon the Administrative Agent’s request to such Lender or Issuing Lender at any time, (i) such Lender shall be deemed to have assigned its Term Loans (but not its Term Commitments) with respect to which such Erroneous Payment was made in an amount equal to the Erroneous Payment Return Deficiency (such assignment of the Term Loans (but not Term Commitments), the “</w:t>
      </w:r>
      <w:r>
        <w:rPr>
          <w:rFonts w:ascii="Arial" w:cs="Arial" w:eastAsia="Arial" w:hAnsi="Arial"/>
          <w:sz w:val="20"/>
          <w:szCs w:val="20"/>
          <w:u w:val="single" w:color="auto"/>
          <w:color w:val="auto"/>
        </w:rPr>
        <w:t>Erroneous Payment Deficiency Assignment</w:t>
      </w:r>
      <w:r>
        <w:rPr>
          <w:rFonts w:ascii="Arial" w:cs="Arial" w:eastAsia="Arial" w:hAnsi="Arial"/>
          <w:sz w:val="20"/>
          <w:szCs w:val="20"/>
          <w:color w:val="auto"/>
        </w:rPr>
        <w:t>”)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Term Loans to the Borrower or the Administrative Agent, (ii) the Administrative Agent as the assignee Lender shall be deemed to acquire the Erroneous Payment Deficiency Assignment and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Term Commitments which shall survive as to such assigning Lender. For the avoidance of doubt, no Erroneous Payment Deficiency Assignment will reduce the Term Commitments of any Lender and such Term Commitments shall remain available in accordance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20"/>
          </w:cols>
          <w:pgMar w:left="320" w:top="1414" w:right="359" w:bottom="1440" w:gutter="0" w:footer="0" w:header="0"/>
        </w:sectPr>
      </w:pPr>
    </w:p>
    <w:bookmarkStart w:id="228" w:name="page229"/>
    <w:bookmarkEnd w:id="228"/>
    <w:p>
      <w:pPr>
        <w:ind w:right="120" w:firstLine="656"/>
        <w:spacing w:after="0"/>
        <w:tabs>
          <w:tab w:leader="none" w:pos="1106"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used to make such Erroneous Payment.</w:t>
      </w:r>
    </w:p>
    <w:p>
      <w:pPr>
        <w:spacing w:after="0" w:line="214" w:lineRule="exact"/>
        <w:rPr>
          <w:rFonts w:ascii="Arial" w:cs="Arial" w:eastAsia="Arial" w:hAnsi="Arial"/>
          <w:sz w:val="20"/>
          <w:szCs w:val="20"/>
          <w:color w:val="auto"/>
        </w:rPr>
      </w:pPr>
    </w:p>
    <w:p>
      <w:pPr>
        <w:ind w:right="260" w:firstLine="656"/>
        <w:spacing w:after="0"/>
        <w:tabs>
          <w:tab w:leader="none" w:pos="1051" w:val="left"/>
        </w:tabs>
        <w:numPr>
          <w:ilvl w:val="0"/>
          <w:numId w:val="232"/>
        </w:numPr>
        <w:rPr>
          <w:rFonts w:ascii="Arial" w:cs="Arial" w:eastAsia="Arial" w:hAnsi="Arial"/>
          <w:sz w:val="20"/>
          <w:szCs w:val="20"/>
          <w:color w:val="auto"/>
        </w:rPr>
      </w:pPr>
      <w:r>
        <w:rPr>
          <w:rFonts w:ascii="Arial" w:cs="Arial" w:eastAsia="Arial" w:hAnsi="Arial"/>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200" w:lineRule="exact"/>
        <w:rPr>
          <w:rFonts w:ascii="Arial" w:cs="Arial" w:eastAsia="Arial" w:hAnsi="Arial"/>
          <w:sz w:val="20"/>
          <w:szCs w:val="20"/>
          <w:color w:val="auto"/>
        </w:rPr>
      </w:pPr>
    </w:p>
    <w:p>
      <w:pPr>
        <w:ind w:right="40" w:firstLine="656"/>
        <w:spacing w:after="0" w:line="245" w:lineRule="auto"/>
        <w:tabs>
          <w:tab w:leader="none" w:pos="1110" w:val="left"/>
        </w:tabs>
        <w:numPr>
          <w:ilvl w:val="0"/>
          <w:numId w:val="232"/>
        </w:numPr>
        <w:rPr>
          <w:rFonts w:ascii="Arial" w:cs="Arial" w:eastAsia="Arial" w:hAnsi="Arial"/>
          <w:sz w:val="20"/>
          <w:szCs w:val="20"/>
          <w:color w:val="auto"/>
        </w:rPr>
      </w:pPr>
      <w:r>
        <w:rPr>
          <w:rFonts w:ascii="Arial" w:cs="Arial" w:eastAsia="Arial" w:hAnsi="Arial"/>
          <w:sz w:val="20"/>
          <w:szCs w:val="20"/>
          <w:color w:val="auto"/>
        </w:rPr>
        <w:t>Each party’s obligations, agreements and waivers under this Section 8.11 shall survive the resignation or replacement of the Administrative Agent, any transfer of rights or obligations by, or the replacement of, a Lender, the termination of the Term Commitments and/or the repayment, satisfaction or discharge of all Obligations (or any portion thereof) under any Loan Document.</w:t>
      </w:r>
    </w:p>
    <w:p>
      <w:pPr>
        <w:spacing w:after="0" w:line="19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8.12.</w:t>
      </w:r>
      <w:r>
        <w:rPr>
          <w:sz w:val="20"/>
          <w:szCs w:val="20"/>
          <w:color w:val="auto"/>
        </w:rPr>
        <w:tab/>
      </w:r>
      <w:r>
        <w:rPr>
          <w:rFonts w:ascii="Arial" w:cs="Arial" w:eastAsia="Arial" w:hAnsi="Arial"/>
          <w:sz w:val="19"/>
          <w:szCs w:val="19"/>
          <w:u w:val="single" w:color="auto"/>
          <w:color w:val="auto"/>
        </w:rPr>
        <w:t>Other Terms</w:t>
      </w:r>
      <w:r>
        <w:rPr>
          <w:rFonts w:ascii="Arial" w:cs="Arial" w:eastAsia="Arial" w:hAnsi="Arial"/>
          <w:sz w:val="19"/>
          <w:szCs w:val="19"/>
          <w:color w:val="auto"/>
        </w:rPr>
        <w:t>.</w:t>
      </w:r>
    </w:p>
    <w:p>
      <w:pPr>
        <w:spacing w:after="0" w:line="229" w:lineRule="exact"/>
        <w:rPr>
          <w:sz w:val="20"/>
          <w:szCs w:val="20"/>
          <w:color w:val="auto"/>
        </w:rPr>
      </w:pPr>
    </w:p>
    <w:p>
      <w:pPr>
        <w:ind w:right="220" w:firstLine="656"/>
        <w:spacing w:after="0" w:line="298" w:lineRule="auto"/>
        <w:tabs>
          <w:tab w:leader="none" w:pos="110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 Administrative Agent shall be entitled to take any action or refuse to take any action which the Administrative Agent regards as necessary for the Administrative Agent to comply with any applicable law, regulation or court order.</w:t>
      </w:r>
    </w:p>
    <w:p>
      <w:pPr>
        <w:spacing w:after="0" w:line="145" w:lineRule="exact"/>
        <w:rPr>
          <w:rFonts w:ascii="Arial" w:cs="Arial" w:eastAsia="Arial" w:hAnsi="Arial"/>
          <w:sz w:val="19"/>
          <w:szCs w:val="19"/>
          <w:color w:val="auto"/>
        </w:rPr>
      </w:pPr>
    </w:p>
    <w:p>
      <w:pPr>
        <w:ind w:right="100" w:firstLine="656"/>
        <w:spacing w:after="0" w:line="245" w:lineRule="auto"/>
        <w:tabs>
          <w:tab w:leader="none" w:pos="1110" w:val="left"/>
        </w:tabs>
        <w:numPr>
          <w:ilvl w:val="0"/>
          <w:numId w:val="233"/>
        </w:numPr>
        <w:rPr>
          <w:rFonts w:ascii="Arial" w:cs="Arial" w:eastAsia="Arial" w:hAnsi="Arial"/>
          <w:sz w:val="20"/>
          <w:szCs w:val="20"/>
          <w:color w:val="auto"/>
        </w:rPr>
      </w:pPr>
      <w:r>
        <w:rPr>
          <w:rFonts w:ascii="Arial" w:cs="Arial" w:eastAsia="Arial" w:hAnsi="Arial"/>
          <w:sz w:val="20"/>
          <w:szCs w:val="20"/>
          <w:color w:val="auto"/>
        </w:rPr>
        <w:t>Notwithstanding anything to the contrary set forth herein, each reference to any discretion of the Administrative Agent herein or to any action that is required to be satisfactory to any Administrative Agent or determined by any Administrative Agent, shall be deemed to refer to the Administrative Agent taking direction from the Lenders or the Required Lenders with respect to such discretion or approval, as applicable.</w:t>
      </w:r>
    </w:p>
    <w:p>
      <w:pPr>
        <w:spacing w:after="0" w:line="195" w:lineRule="exact"/>
        <w:rPr>
          <w:sz w:val="20"/>
          <w:szCs w:val="20"/>
          <w:color w:val="auto"/>
        </w:rPr>
      </w:pPr>
    </w:p>
    <w:p>
      <w:pPr>
        <w:ind w:right="300" w:firstLine="648"/>
        <w:spacing w:after="0"/>
        <w:rPr>
          <w:sz w:val="20"/>
          <w:szCs w:val="20"/>
          <w:color w:val="auto"/>
        </w:rPr>
      </w:pPr>
      <w:r>
        <w:rPr>
          <w:rFonts w:ascii="Arial" w:cs="Arial" w:eastAsia="Arial" w:hAnsi="Arial"/>
          <w:sz w:val="20"/>
          <w:szCs w:val="20"/>
          <w:color w:val="auto"/>
        </w:rPr>
        <w:t xml:space="preserve">8.13. </w:t>
      </w:r>
      <w:r>
        <w:rPr>
          <w:rFonts w:ascii="Arial" w:cs="Arial" w:eastAsia="Arial" w:hAnsi="Arial"/>
          <w:sz w:val="20"/>
          <w:szCs w:val="20"/>
          <w:u w:val="single" w:color="auto"/>
          <w:color w:val="auto"/>
        </w:rPr>
        <w:t>Enforcement by the Administrative Agent</w:t>
      </w:r>
      <w:r>
        <w:rPr>
          <w:rFonts w:ascii="Arial" w:cs="Arial" w:eastAsia="Arial" w:hAnsi="Arial"/>
          <w:sz w:val="20"/>
          <w:szCs w:val="20"/>
          <w:color w:val="auto"/>
        </w:rPr>
        <w:t>. All rights of action under this Agreement and under the Notes hereunder may be enforced by the Administrative Agent and any suit or proceeding instituted by the Administrative Agent in furtherance of such enforcement shall be brought in its name as Administrative Agent without the necessity of joining as plaintiffs or defendants any other Lenders, and the recovery of any judgment shall be for the benefit of Lenders subject to the expenses of the Administrative Agent.</w:t>
      </w:r>
    </w:p>
    <w:p>
      <w:pPr>
        <w:spacing w:after="0" w:line="200"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 xml:space="preserve">8.14. </w:t>
      </w:r>
      <w:r>
        <w:rPr>
          <w:rFonts w:ascii="Arial" w:cs="Arial" w:eastAsia="Arial" w:hAnsi="Arial"/>
          <w:sz w:val="20"/>
          <w:szCs w:val="20"/>
          <w:u w:val="single" w:color="auto"/>
          <w:color w:val="auto"/>
        </w:rPr>
        <w:t>Withholding Tax</w:t>
      </w:r>
      <w:r>
        <w:rPr>
          <w:rFonts w:ascii="Arial" w:cs="Arial" w:eastAsia="Arial" w:hAnsi="Arial"/>
          <w:sz w:val="20"/>
          <w:szCs w:val="20"/>
          <w:color w:val="auto"/>
        </w:rPr>
        <w:t xml:space="preserve">. Each Lender shall severally indemnify the Administrative Agent, within 10 days after demand therefor, for (i) any Non-Excluded Taxes or Other Taxes attributable to such Lender (but only to the extent that the Borrower has not already indemnified the Administrative Agent for such Non-Excluded Taxes or Other Taxes and without limiting the obligation of the Borrower to do so), (ii) any Taxes attributable to such Lender’s failure to comply with the provisions of </w:t>
      </w:r>
      <w:r>
        <w:rPr>
          <w:rFonts w:ascii="Arial" w:cs="Arial" w:eastAsia="Arial" w:hAnsi="Arial"/>
          <w:sz w:val="20"/>
          <w:szCs w:val="20"/>
          <w:u w:val="single" w:color="auto"/>
          <w:color w:val="auto"/>
        </w:rPr>
        <w:t>Section 9.6(c)</w:t>
      </w:r>
      <w:r>
        <w:rPr>
          <w:rFonts w:ascii="Arial" w:cs="Arial" w:eastAsia="Arial" w:hAnsi="Arial"/>
          <w:sz w:val="20"/>
          <w:szCs w:val="20"/>
          <w:color w:val="auto"/>
        </w:rPr>
        <w:t xml:space="preserve"> relating to the maintenance of a Participant Register and (iii) any Excluded Taxes attributable to such Lender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to the Administrative Agent under this </w:t>
      </w:r>
      <w:r>
        <w:rPr>
          <w:rFonts w:ascii="Arial" w:cs="Arial" w:eastAsia="Arial" w:hAnsi="Arial"/>
          <w:sz w:val="20"/>
          <w:szCs w:val="20"/>
          <w:u w:val="single" w:color="auto"/>
          <w:color w:val="auto"/>
        </w:rPr>
        <w:t>Section 8.14</w:t>
      </w:r>
      <w:r>
        <w:rPr>
          <w:rFonts w:ascii="Arial" w:cs="Arial" w:eastAsia="Arial" w:hAnsi="Arial"/>
          <w:sz w:val="20"/>
          <w:szCs w:val="20"/>
          <w:color w:val="auto"/>
        </w:rPr>
        <w:t xml:space="preserve">. The agreements in this </w:t>
      </w:r>
      <w:r>
        <w:rPr>
          <w:rFonts w:ascii="Arial" w:cs="Arial" w:eastAsia="Arial" w:hAnsi="Arial"/>
          <w:sz w:val="20"/>
          <w:szCs w:val="20"/>
          <w:u w:val="single" w:color="auto"/>
          <w:color w:val="auto"/>
        </w:rPr>
        <w:t>Section 8.14</w:t>
      </w:r>
      <w:r>
        <w:rPr>
          <w:rFonts w:ascii="Arial" w:cs="Arial" w:eastAsia="Arial" w:hAnsi="Arial"/>
          <w:sz w:val="20"/>
          <w:szCs w:val="20"/>
          <w:color w:val="auto"/>
        </w:rPr>
        <w:t xml:space="preserve"> shall survive the resignation and/or replacement of the Administrative Agent, any assignment of rights by, or the replacement of, a Lender, the termination of this Agreement and the repayment, satisfaction or discharge of all other Obligations.</w:t>
      </w:r>
    </w:p>
    <w:p>
      <w:pPr>
        <w:spacing w:after="0" w:line="217" w:lineRule="exact"/>
        <w:rPr>
          <w:sz w:val="20"/>
          <w:szCs w:val="20"/>
          <w:color w:val="auto"/>
        </w:rPr>
      </w:pPr>
    </w:p>
    <w:p>
      <w:pPr>
        <w:ind w:right="520" w:firstLine="648"/>
        <w:spacing w:after="0" w:line="257" w:lineRule="auto"/>
        <w:rPr>
          <w:sz w:val="20"/>
          <w:szCs w:val="20"/>
          <w:color w:val="auto"/>
        </w:rPr>
      </w:pPr>
      <w:r>
        <w:rPr>
          <w:rFonts w:ascii="Arial" w:cs="Arial" w:eastAsia="Arial" w:hAnsi="Arial"/>
          <w:sz w:val="20"/>
          <w:szCs w:val="20"/>
          <w:color w:val="auto"/>
        </w:rPr>
        <w:t xml:space="preserve">8.15. </w:t>
      </w:r>
      <w:r>
        <w:rPr>
          <w:rFonts w:ascii="Arial" w:cs="Arial" w:eastAsia="Arial" w:hAnsi="Arial"/>
          <w:sz w:val="20"/>
          <w:szCs w:val="20"/>
          <w:u w:val="single" w:color="auto"/>
          <w:color w:val="auto"/>
        </w:rPr>
        <w:t>Certain ERISA Matters</w:t>
      </w:r>
      <w:r>
        <w:rPr>
          <w:rFonts w:ascii="Arial" w:cs="Arial" w:eastAsia="Arial" w:hAnsi="Arial"/>
          <w:sz w:val="20"/>
          <w:szCs w:val="20"/>
          <w:color w:val="auto"/>
        </w:rPr>
        <w:t>. (a) Each Lender (x) represents and warrants, as of the date such Person became a Lender party hereto, to, and (y) covenants, from the date such Person became a Lender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20"/>
          </w:cols>
          <w:pgMar w:left="320" w:top="1414" w:right="359" w:bottom="1440" w:gutter="0" w:footer="0" w:header="0"/>
        </w:sectPr>
      </w:pPr>
    </w:p>
    <w:bookmarkStart w:id="229" w:name="page230"/>
    <w:bookmarkEnd w:id="229"/>
    <w:p>
      <w:pPr>
        <w:jc w:val="both"/>
        <w:ind w:right="100"/>
        <w:spacing w:after="0" w:line="248" w:lineRule="auto"/>
        <w:rPr>
          <w:sz w:val="20"/>
          <w:szCs w:val="20"/>
          <w:color w:val="auto"/>
        </w:rPr>
      </w:pPr>
      <w:r>
        <w:rPr>
          <w:rFonts w:ascii="Arial" w:cs="Arial" w:eastAsia="Arial" w:hAnsi="Arial"/>
          <w:sz w:val="20"/>
          <w:szCs w:val="20"/>
          <w:color w:val="auto"/>
        </w:rPr>
        <w:t>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spacing w:after="0" w:line="192" w:lineRule="exact"/>
        <w:rPr>
          <w:sz w:val="20"/>
          <w:szCs w:val="20"/>
          <w:color w:val="auto"/>
        </w:rPr>
      </w:pPr>
    </w:p>
    <w:p>
      <w:pPr>
        <w:ind w:left="660" w:right="40" w:firstLine="644"/>
        <w:spacing w:after="0" w:line="248" w:lineRule="auto"/>
        <w:tabs>
          <w:tab w:leader="none" w:pos="1539" w:val="left"/>
        </w:tabs>
        <w:numPr>
          <w:ilvl w:val="1"/>
          <w:numId w:val="234"/>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Section 3(42) of ERISA or otherwise) of one or more Benefit Plans with respect to such Lender’s entrance into, participation in, administration of and performance of the Term Loans, the Term Commitments, or this Agreement.</w:t>
      </w:r>
    </w:p>
    <w:p>
      <w:pPr>
        <w:spacing w:after="0" w:line="205" w:lineRule="exact"/>
        <w:rPr>
          <w:rFonts w:ascii="Arial" w:cs="Arial" w:eastAsia="Arial" w:hAnsi="Arial"/>
          <w:sz w:val="20"/>
          <w:szCs w:val="20"/>
          <w:color w:val="auto"/>
        </w:rPr>
      </w:pPr>
    </w:p>
    <w:p>
      <w:pPr>
        <w:ind w:left="660" w:right="320" w:firstLine="644"/>
        <w:spacing w:after="0" w:line="236" w:lineRule="auto"/>
        <w:tabs>
          <w:tab w:leader="none" w:pos="1583"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Term Loans, the Term Commitments and this Agreement.</w:t>
      </w:r>
    </w:p>
    <w:p>
      <w:pPr>
        <w:spacing w:after="0" w:line="198" w:lineRule="exact"/>
        <w:rPr>
          <w:rFonts w:ascii="Arial" w:cs="Arial" w:eastAsia="Arial" w:hAnsi="Arial"/>
          <w:sz w:val="20"/>
          <w:szCs w:val="20"/>
          <w:color w:val="auto"/>
        </w:rPr>
      </w:pPr>
    </w:p>
    <w:p>
      <w:pPr>
        <w:ind w:left="660" w:right="220" w:firstLine="644"/>
        <w:spacing w:after="0" w:line="250" w:lineRule="auto"/>
        <w:tabs>
          <w:tab w:leader="none" w:pos="1627" w:val="left"/>
        </w:tabs>
        <w:numPr>
          <w:ilvl w:val="1"/>
          <w:numId w:val="234"/>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Term Loans, the Term Commitments and this Agreement, (C) the entrance into, participation in, administration of and performance of the Term Loans, the Term Commitments and this Agreement satisfies the requirements of sub-sections (b) through (g) of Part I of PTE 84-14 and</w:t>
      </w:r>
    </w:p>
    <w:p>
      <w:pPr>
        <w:ind w:left="660" w:right="200" w:hanging="4"/>
        <w:spacing w:after="0" w:line="234" w:lineRule="auto"/>
        <w:tabs>
          <w:tab w:leader="none" w:pos="990" w:val="left"/>
        </w:tabs>
        <w:numPr>
          <w:ilvl w:val="0"/>
          <w:numId w:val="235"/>
        </w:numPr>
        <w:rPr>
          <w:rFonts w:ascii="Arial" w:cs="Arial" w:eastAsia="Arial" w:hAnsi="Arial"/>
          <w:sz w:val="20"/>
          <w:szCs w:val="20"/>
          <w:color w:val="auto"/>
        </w:rPr>
      </w:pPr>
      <w:r>
        <w:rPr>
          <w:rFonts w:ascii="Arial" w:cs="Arial" w:eastAsia="Arial" w:hAnsi="Arial"/>
          <w:sz w:val="20"/>
          <w:szCs w:val="20"/>
          <w:color w:val="auto"/>
        </w:rPr>
        <w:t>to the best knowledge of such Lender, the requirements of subsection (a) of Part I of PTE 84-14 are satisfied with respect to such Lender’s entrance into, participation in, administration of and performance of the Term Loans, the Term Commitments and this Agreement, or</w:t>
      </w:r>
    </w:p>
    <w:p>
      <w:pPr>
        <w:spacing w:after="0" w:line="213" w:lineRule="exact"/>
        <w:rPr>
          <w:rFonts w:ascii="Arial" w:cs="Arial" w:eastAsia="Arial" w:hAnsi="Arial"/>
          <w:sz w:val="20"/>
          <w:szCs w:val="20"/>
          <w:color w:val="auto"/>
        </w:rPr>
      </w:pPr>
    </w:p>
    <w:p>
      <w:pPr>
        <w:ind w:left="660" w:firstLine="644"/>
        <w:spacing w:after="0" w:line="257" w:lineRule="auto"/>
        <w:tabs>
          <w:tab w:leader="none" w:pos="1660" w:val="left"/>
        </w:tabs>
        <w:numPr>
          <w:ilvl w:val="1"/>
          <w:numId w:val="235"/>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6" w:lineRule="exact"/>
        <w:rPr>
          <w:sz w:val="20"/>
          <w:szCs w:val="20"/>
          <w:color w:val="auto"/>
        </w:rPr>
      </w:pPr>
    </w:p>
    <w:p>
      <w:pPr>
        <w:ind w:right="40" w:firstLine="656"/>
        <w:spacing w:after="0" w:line="235" w:lineRule="auto"/>
        <w:tabs>
          <w:tab w:leader="none" w:pos="945" w:val="left"/>
        </w:tabs>
        <w:numPr>
          <w:ilvl w:val="0"/>
          <w:numId w:val="236"/>
        </w:numPr>
        <w:rPr>
          <w:rFonts w:ascii="Arial" w:cs="Arial" w:eastAsia="Arial" w:hAnsi="Arial"/>
          <w:sz w:val="20"/>
          <w:szCs w:val="20"/>
          <w:color w:val="auto"/>
        </w:rPr>
      </w:pPr>
      <w:r>
        <w:rPr>
          <w:rFonts w:ascii="Arial" w:cs="Arial" w:eastAsia="Arial" w:hAnsi="Arial"/>
          <w:sz w:val="20"/>
          <w:szCs w:val="20"/>
          <w:color w:val="auto"/>
        </w:rPr>
        <w:t>In addition, unless sub-clause (i) in the immediately preceding clause (a) is true with respect to a Lender or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Term Loans, the Term Commitments and this Agreement (including in connection with the reservation or exercise of any rights by the Administrative Agent under this Agreement, any Loan Document or any documents related hereto or thereto).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SECTION 9</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Miscellaneous</w:t>
      </w:r>
    </w:p>
    <w:p>
      <w:pPr>
        <w:ind w:left="660"/>
        <w:spacing w:after="0"/>
        <w:tabs>
          <w:tab w:leader="none" w:pos="118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25" w:lineRule="exact"/>
        <w:rPr>
          <w:sz w:val="20"/>
          <w:szCs w:val="20"/>
          <w:color w:val="auto"/>
        </w:rPr>
      </w:pPr>
    </w:p>
    <w:p>
      <w:pPr>
        <w:ind w:left="1120" w:hanging="464"/>
        <w:spacing w:after="0"/>
        <w:tabs>
          <w:tab w:leader="none" w:pos="112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Subject to Sections 2.8(e) (Conforming Changes), Section 2.10 (Benchmark Replacement Setting) and Section</w:t>
      </w:r>
    </w:p>
    <w:p>
      <w:pPr>
        <w:spacing w:after="0" w:line="4" w:lineRule="exact"/>
        <w:rPr>
          <w:sz w:val="20"/>
          <w:szCs w:val="20"/>
          <w:color w:val="auto"/>
        </w:rPr>
      </w:pPr>
    </w:p>
    <w:p>
      <w:pPr>
        <w:ind w:right="40"/>
        <w:spacing w:after="0" w:line="251" w:lineRule="auto"/>
        <w:rPr>
          <w:sz w:val="20"/>
          <w:szCs w:val="20"/>
          <w:color w:val="auto"/>
        </w:rPr>
      </w:pPr>
      <w:r>
        <w:rPr>
          <w:rFonts w:ascii="Arial" w:cs="Arial" w:eastAsia="Arial" w:hAnsi="Arial"/>
          <w:sz w:val="19"/>
          <w:szCs w:val="19"/>
          <w:color w:val="auto"/>
        </w:rPr>
        <w:t xml:space="preserve">2.21 (Incremental Facilities), none of this Agreement, any Note, any other Loan Document, nor any terms hereof or thereof may be amended, supplemented or modified except in accordance with the provisions of this </w:t>
      </w:r>
      <w:r>
        <w:rPr>
          <w:rFonts w:ascii="Arial" w:cs="Arial" w:eastAsia="Arial" w:hAnsi="Arial"/>
          <w:sz w:val="19"/>
          <w:szCs w:val="19"/>
          <w:u w:val="single" w:color="auto"/>
          <w:color w:val="auto"/>
        </w:rPr>
        <w:t>Section 9.1</w:t>
      </w:r>
      <w:r>
        <w:rPr>
          <w:rFonts w:ascii="Arial" w:cs="Arial" w:eastAsia="Arial" w:hAnsi="Arial"/>
          <w:sz w:val="19"/>
          <w:szCs w:val="19"/>
          <w:color w:val="auto"/>
        </w:rPr>
        <w:t>. The Required Lenders and each Loan Party party to the relevant Loan Documents may, or, with the written consent of the Required Lenders, the Administrative Agent and each Loan Party party to the relevant Loan Document may, from time to time, (I) enter into written amendments, supplements or modifications hereto or to the other Loan Documents for the purpose of adding any provisions</w:t>
      </w:r>
    </w:p>
    <w:p>
      <w:pPr>
        <w:sectPr>
          <w:pgSz w:w="11900" w:h="16838" w:orient="portrait"/>
          <w:cols w:equalWidth="0" w:num="1">
            <w:col w:w="11240"/>
          </w:cols>
          <w:pgMar w:left="320" w:top="1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240"/>
          </w:cols>
          <w:pgMar w:left="320" w:top="1414" w:right="339" w:bottom="1440" w:gutter="0" w:footer="0" w:header="0"/>
          <w:type w:val="continuous"/>
        </w:sectPr>
      </w:pPr>
    </w:p>
    <w:bookmarkStart w:id="230" w:name="page231"/>
    <w:bookmarkEnd w:id="230"/>
    <w:p>
      <w:pPr>
        <w:spacing w:after="0" w:line="232" w:lineRule="auto"/>
        <w:rPr>
          <w:sz w:val="20"/>
          <w:szCs w:val="20"/>
          <w:color w:val="auto"/>
        </w:rPr>
      </w:pPr>
      <w:r>
        <w:rPr>
          <w:rFonts w:ascii="Arial" w:cs="Arial" w:eastAsia="Arial" w:hAnsi="Arial"/>
          <w:sz w:val="20"/>
          <w:szCs w:val="20"/>
          <w:color w:val="auto"/>
        </w:rPr>
        <w:t xml:space="preserve">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no such waiver and no such amendment, supplement or modification shall (A)(i) forgive the principal amount or extend the final scheduled date of maturity of any Term Loan, (ii) reduce the stated rate of any interest or fee payable hereunder (except in connection with the waiver of applicability of any post-default increase in interest rates (which waiver shall be effective with the consent of the Required Lenders)) or extend the scheduled date of any payment thereof, (iii) increase the amount or extend the expiration date of any Lender’s Term Commitment (it being understood that a waiver of any Event of Default or Default shall not be deemed to be an increase in the amount of or extension of the expiration date of any Lender’s Term Commitments), (iv) release all or substantially all of the Guarantors (except as expressly permitted by the Loan Documents, including in accordance with </w:t>
      </w:r>
      <w:r>
        <w:rPr>
          <w:rFonts w:ascii="Arial" w:cs="Arial" w:eastAsia="Arial" w:hAnsi="Arial"/>
          <w:sz w:val="20"/>
          <w:szCs w:val="20"/>
          <w:u w:val="single" w:color="auto"/>
          <w:color w:val="auto"/>
        </w:rPr>
        <w:t>Section 9.14</w:t>
      </w:r>
      <w:r>
        <w:rPr>
          <w:rFonts w:ascii="Arial" w:cs="Arial" w:eastAsia="Arial" w:hAnsi="Arial"/>
          <w:sz w:val="20"/>
          <w:szCs w:val="20"/>
          <w:color w:val="auto"/>
        </w:rPr>
        <w:t xml:space="preserve">) or (v) amend, modify or waive any provision of </w:t>
      </w:r>
      <w:r>
        <w:rPr>
          <w:rFonts w:ascii="Arial" w:cs="Arial" w:eastAsia="Arial" w:hAnsi="Arial"/>
          <w:sz w:val="20"/>
          <w:szCs w:val="20"/>
          <w:u w:val="single" w:color="auto"/>
          <w:color w:val="auto"/>
        </w:rPr>
        <w:t>Section 9.7(a)</w:t>
      </w:r>
      <w:r>
        <w:rPr>
          <w:rFonts w:ascii="Arial" w:cs="Arial" w:eastAsia="Arial" w:hAnsi="Arial"/>
          <w:sz w:val="20"/>
          <w:szCs w:val="20"/>
          <w:color w:val="auto"/>
        </w:rPr>
        <w:t xml:space="preserve">, in each case without the written consent of each Lender directly affected thereby, (B) without the consent of all the Lenders, (i) amend, modify or waive any provision of this </w:t>
      </w:r>
      <w:r>
        <w:rPr>
          <w:rFonts w:ascii="Arial" w:cs="Arial" w:eastAsia="Arial" w:hAnsi="Arial"/>
          <w:sz w:val="20"/>
          <w:szCs w:val="20"/>
          <w:u w:val="single" w:color="auto"/>
          <w:color w:val="auto"/>
        </w:rPr>
        <w:t>Section 9.1(a)</w:t>
      </w:r>
      <w:r>
        <w:rPr>
          <w:rFonts w:ascii="Arial" w:cs="Arial" w:eastAsia="Arial" w:hAnsi="Arial"/>
          <w:sz w:val="20"/>
          <w:szCs w:val="20"/>
          <w:color w:val="auto"/>
        </w:rPr>
        <w:t xml:space="preserve"> or any other provision of any Section hereof expressly requiring the consent of all the Lenders (except, in either case, for technical amendments with respect to additional extensions of credit pursuant to this Agreement which afford protections to such additional extensions of credit of the type provided to the Term Commitments on the Closing Date), or (ii) reduce the percentage specified in or otherwise change the definition of Required Lenders (it being understood that, with the consent of the Required Lenders or as otherwise permitted hereunder, additional extensions of credit pursuant to this Agreement may be included in the determination of the Required Lenders on substantially the same basis as the extensions of Term Commitments are included on the Closing Date), or (iii) change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any other pro rata sharing provisions set forth herein in a manner that would alter the pro rata sharing of payments required thereby (other than as permitted thereby or by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(C) amend, modify or waive any provision of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or any other provision of this Agreement or the other Loan Documents, which affects, the rights, duties or obligations of the Administrative Agent without the written consent of the Administrative Agent and (D) [reserved];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no such agreement shall amend, modify or otherwise affect the rights or duties of the Administrative Agent hereunder without the prior written consent of the Administrative Agent. Any such waiver and any such amendment, supplement or modification shall apply equally to each of the Lenders and shall be binding upon the Loan Parties, the Lenders, the Administrative Agent and all future holders of the Term Loans. In the case of any waiver, the Loan Parties, the Lenders and the Administrative Agent shall be restored to their former position and rights hereunder and under any other Loan Documents, and any Default or Event of Default waived shall be deemed to have not occurred or to be cured and not continuing, as the parties may agree; but no such waiver shall extend to any subsequent or other Default or Event of Default, or impair any right consequent thereon.</w:t>
      </w:r>
    </w:p>
    <w:p>
      <w:pPr>
        <w:spacing w:after="0" w:line="223" w:lineRule="exact"/>
        <w:rPr>
          <w:sz w:val="20"/>
          <w:szCs w:val="20"/>
          <w:color w:val="auto"/>
        </w:rPr>
      </w:pPr>
    </w:p>
    <w:p>
      <w:pPr>
        <w:ind w:right="80" w:firstLine="656"/>
        <w:spacing w:after="0" w:line="235" w:lineRule="auto"/>
        <w:tabs>
          <w:tab w:leader="none" w:pos="1110" w:val="left"/>
        </w:tabs>
        <w:numPr>
          <w:ilvl w:val="0"/>
          <w:numId w:val="238"/>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9.1</w:t>
      </w:r>
      <w:r>
        <w:rPr>
          <w:rFonts w:ascii="Arial" w:cs="Arial" w:eastAsia="Arial" w:hAnsi="Arial"/>
          <w:sz w:val="20"/>
          <w:szCs w:val="20"/>
          <w:color w:val="auto"/>
        </w:rPr>
        <w:t>, if the Administrative Agent and the Borrower shall have jointly identified an obvious error or any error or omission of a technical or immaterial nature, in each case,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ten (10) Business Days following receipt of notice thereof. Notwithstanding anything to the contrary in this Agreement or the other Loan Documents, the Administrative Agent is hereby irrevocably authorized by each Lender (and each such Lender expressly consents), without any further action or the consent of any other party to any Loan Document, to make any technical amendments to any Subsidiary Guaranty to correct any cross-references therein to any provision of this Agreement that may be necessary in order to properly reflect the amendments made to this Agreement.</w:t>
      </w:r>
    </w:p>
    <w:p>
      <w:pPr>
        <w:spacing w:after="0" w:line="205" w:lineRule="exact"/>
        <w:rPr>
          <w:rFonts w:ascii="Arial" w:cs="Arial" w:eastAsia="Arial" w:hAnsi="Arial"/>
          <w:sz w:val="20"/>
          <w:szCs w:val="20"/>
          <w:color w:val="auto"/>
        </w:rPr>
      </w:pPr>
    </w:p>
    <w:p>
      <w:pPr>
        <w:ind w:right="60" w:firstLine="656"/>
        <w:spacing w:after="0" w:line="245" w:lineRule="auto"/>
        <w:tabs>
          <w:tab w:leader="none" w:pos="1099" w:val="left"/>
        </w:tabs>
        <w:numPr>
          <w:ilvl w:val="0"/>
          <w:numId w:val="238"/>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the Loan Documents, the Term Loans of any Lender that is at the time a Defaulting Lender shall not have any voting or approval rights under the Loan Documents and shall be excluded in determining whether all Lenders, all affected Lenders or the Required Lenders have taken or may take any action hereunder (including any consent to any amendment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14" w:right="339" w:bottom="1440" w:gutter="0" w:footer="0" w:header="0"/>
        </w:sectPr>
      </w:pPr>
    </w:p>
    <w:bookmarkStart w:id="231" w:name="page232"/>
    <w:bookmarkEnd w:id="231"/>
    <w:p>
      <w:pPr>
        <w:jc w:val="both"/>
        <w:spacing w:after="0" w:line="248" w:lineRule="auto"/>
        <w:rPr>
          <w:sz w:val="20"/>
          <w:szCs w:val="20"/>
          <w:color w:val="auto"/>
        </w:rPr>
      </w:pPr>
      <w:r>
        <w:rPr>
          <w:rFonts w:ascii="Arial" w:cs="Arial" w:eastAsia="Arial" w:hAnsi="Arial"/>
          <w:sz w:val="20"/>
          <w:szCs w:val="20"/>
          <w:color w:val="auto"/>
        </w:rPr>
        <w:t xml:space="preserve">pursuant to this </w:t>
      </w:r>
      <w:r>
        <w:rPr>
          <w:rFonts w:ascii="Arial" w:cs="Arial" w:eastAsia="Arial" w:hAnsi="Arial"/>
          <w:sz w:val="20"/>
          <w:szCs w:val="20"/>
          <w:u w:val="single" w:color="auto"/>
          <w:color w:val="auto"/>
        </w:rPr>
        <w:t>Section 9.1</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waiver, amendment or modification (i) requiring the consent of all Lenders or (ii) each affected Lender that affects any Defaulting Lender more adversely than other affected Lenders shall require the consent of each Defaulting Lender.</w:t>
      </w:r>
    </w:p>
    <w:p>
      <w:pPr>
        <w:spacing w:after="0" w:line="19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243" w:lineRule="exact"/>
        <w:rPr>
          <w:sz w:val="20"/>
          <w:szCs w:val="20"/>
          <w:color w:val="auto"/>
        </w:rPr>
      </w:pPr>
    </w:p>
    <w:p>
      <w:pPr>
        <w:ind w:right="160" w:firstLine="656"/>
        <w:spacing w:after="0" w:line="237" w:lineRule="auto"/>
        <w:tabs>
          <w:tab w:leader="none" w:pos="1099"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All notices, requests and demands to or upon the respective parties hereto to be effective shall be in writing (including by telecopy), and, unless otherwise expressly provided herein, shall be deemed to have been duly given or made when received, addressed as follows in the case of the Loan Parties and the Administrative Agent, and as set forth in the administrative questionnaire delivered to the Administrative Agent in the case of the Lenders, or to such other address as may be hereafter notified by the respective parties hereto and any future parties:</w:t>
      </w:r>
    </w:p>
    <w:p>
      <w:pPr>
        <w:spacing w:after="0" w:line="282" w:lineRule="exact"/>
        <w:rPr>
          <w:sz w:val="20"/>
          <w:szCs w:val="20"/>
          <w:color w:val="auto"/>
        </w:rPr>
      </w:pPr>
    </w:p>
    <w:p>
      <w:pPr>
        <w:ind w:left="680"/>
        <w:spacing w:after="0"/>
        <w:tabs>
          <w:tab w:leader="none" w:pos="4180" w:val="left"/>
        </w:tabs>
        <w:rPr>
          <w:sz w:val="20"/>
          <w:szCs w:val="20"/>
          <w:color w:val="auto"/>
        </w:rPr>
      </w:pPr>
      <w:r>
        <w:rPr>
          <w:rFonts w:ascii="Arial" w:cs="Arial" w:eastAsia="Arial" w:hAnsi="Arial"/>
          <w:sz w:val="20"/>
          <w:szCs w:val="20"/>
          <w:color w:val="auto"/>
        </w:rPr>
        <w:t>The Borrower:</w:t>
      </w:r>
      <w:r>
        <w:rPr>
          <w:sz w:val="20"/>
          <w:szCs w:val="20"/>
          <w:color w:val="auto"/>
        </w:rPr>
        <w:tab/>
      </w:r>
      <w:r>
        <w:rPr>
          <w:rFonts w:ascii="Arial" w:cs="Arial" w:eastAsia="Arial" w:hAnsi="Arial"/>
          <w:sz w:val="19"/>
          <w:szCs w:val="19"/>
          <w:color w:val="auto"/>
        </w:rPr>
        <w:t>Micron Technology, Inc.</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8000 S. Federal Way</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Boise, ID 83716-9632</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Attention: General Counsel</w:t>
      </w:r>
    </w:p>
    <w:p>
      <w:pPr>
        <w:spacing w:after="0" w:line="31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with copies (which shall not constitute notice) to:</w:t>
      </w:r>
    </w:p>
    <w:p>
      <w:pPr>
        <w:spacing w:after="0" w:line="297"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Wilson Sonsini Goodrich &amp; Rosati</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650 Page Mill Road</w:t>
      </w:r>
    </w:p>
    <w:p>
      <w:pPr>
        <w:spacing w:after="0" w:line="35"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Palo Alto, CA 94304</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Attention: Erik Franks</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Email: efranks@wsgr.com</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Telecopier No.: 650-493-6811</w:t>
      </w:r>
    </w:p>
    <w:p>
      <w:pPr>
        <w:spacing w:after="0" w:line="310" w:lineRule="exact"/>
        <w:rPr>
          <w:sz w:val="20"/>
          <w:szCs w:val="20"/>
          <w:color w:val="auto"/>
        </w:rPr>
      </w:pPr>
    </w:p>
    <w:p>
      <w:pPr>
        <w:ind w:left="1400"/>
        <w:spacing w:after="0"/>
        <w:tabs>
          <w:tab w:leader="none" w:pos="4180" w:val="left"/>
        </w:tabs>
        <w:rPr>
          <w:sz w:val="20"/>
          <w:szCs w:val="20"/>
          <w:color w:val="auto"/>
        </w:rPr>
      </w:pPr>
      <w:r>
        <w:rPr>
          <w:rFonts w:ascii="Arial" w:cs="Arial" w:eastAsia="Arial" w:hAnsi="Arial"/>
          <w:sz w:val="20"/>
          <w:szCs w:val="20"/>
          <w:color w:val="auto"/>
        </w:rPr>
        <w:t>The Administrative Agent:</w:t>
      </w:r>
      <w:r>
        <w:rPr>
          <w:sz w:val="20"/>
          <w:szCs w:val="20"/>
          <w:color w:val="auto"/>
        </w:rPr>
        <w:tab/>
      </w:r>
      <w:r>
        <w:rPr>
          <w:rFonts w:ascii="Arial" w:cs="Arial" w:eastAsia="Arial" w:hAnsi="Arial"/>
          <w:sz w:val="19"/>
          <w:szCs w:val="19"/>
          <w:color w:val="auto"/>
        </w:rPr>
        <w:t>Wells Fargo Bank, National Association</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MAC D1109-019</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1525 West W.T. Harris Blvd.</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Charlotte, NC 28262</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Attention: Syndication Agency Services</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Facsimile Number: (888) 879-5899</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Email: Agencyservices.requests@wellsfargo.com</w:t>
      </w:r>
    </w:p>
    <w:p>
      <w:pPr>
        <w:spacing w:after="0" w:line="31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with copies (which shall not constitute notice) to:</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Simpson Thacher &amp; Bartlett LLP</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425 Lexington Ave New York, NY 10017</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Attention: Justin M. Lungstrum</w:t>
      </w:r>
    </w:p>
    <w:p>
      <w:pPr>
        <w:spacing w:after="0" w:line="40"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Telecopier No.: 212-455-2502</w:t>
      </w:r>
    </w:p>
    <w:p>
      <w:pPr>
        <w:spacing w:after="0" w:line="337" w:lineRule="exact"/>
        <w:rPr>
          <w:sz w:val="20"/>
          <w:szCs w:val="20"/>
          <w:color w:val="auto"/>
        </w:rPr>
      </w:pPr>
    </w:p>
    <w:p>
      <w:pPr>
        <w:ind w:right="320" w:firstLine="656"/>
        <w:spacing w:after="0" w:line="248" w:lineRule="auto"/>
        <w:tabs>
          <w:tab w:leader="none" w:pos="111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Notices and other communications to the Lenders hereunder may be delivered or furnished by electronic communications (including e-mail and Internet or intranet websites or other information platform) (the “</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pursuant to procedures approved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w:t>
      </w:r>
    </w:p>
    <w:p>
      <w:pPr>
        <w:sectPr>
          <w:pgSz w:w="11900" w:h="16838" w:orient="portrait"/>
          <w:cols w:equalWidth="0" w:num="1">
            <w:col w:w="11180"/>
          </w:cols>
          <w:pgMar w:left="320" w:top="141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180"/>
          </w:cols>
          <w:pgMar w:left="320" w:top="1414" w:right="399" w:bottom="1440" w:gutter="0" w:footer="0" w:header="0"/>
          <w:type w:val="continuous"/>
        </w:sectPr>
      </w:pPr>
    </w:p>
    <w:bookmarkStart w:id="232" w:name="page233"/>
    <w:bookmarkEnd w:id="232"/>
    <w:p>
      <w:pPr>
        <w:ind w:right="60"/>
        <w:spacing w:after="0" w:line="235" w:lineRule="auto"/>
        <w:rPr>
          <w:sz w:val="20"/>
          <w:szCs w:val="20"/>
          <w:color w:val="auto"/>
        </w:rPr>
      </w:pPr>
      <w:r>
        <w:rPr>
          <w:rFonts w:ascii="Arial" w:cs="Arial" w:eastAsia="Arial" w:hAnsi="Arial"/>
          <w:sz w:val="20"/>
          <w:szCs w:val="20"/>
          <w:color w:val="auto"/>
        </w:rPr>
        <w:t xml:space="preserve">apply to notices pursuant to </w:t>
      </w:r>
      <w:r>
        <w:rPr>
          <w:rFonts w:ascii="Arial" w:cs="Arial" w:eastAsia="Arial" w:hAnsi="Arial"/>
          <w:sz w:val="20"/>
          <w:szCs w:val="20"/>
          <w:u w:val="single" w:color="auto"/>
          <w:color w:val="auto"/>
        </w:rPr>
        <w:t>Sections 2.2</w:t>
      </w:r>
      <w:r>
        <w:rPr>
          <w:rFonts w:ascii="Arial" w:cs="Arial" w:eastAsia="Arial" w:hAnsi="Arial"/>
          <w:sz w:val="20"/>
          <w:szCs w:val="20"/>
          <w:color w:val="auto"/>
        </w:rPr>
        <w:t xml:space="preserve">, </w:t>
      </w:r>
      <w:r>
        <w:rPr>
          <w:rFonts w:ascii="Arial" w:cs="Arial" w:eastAsia="Arial" w:hAnsi="Arial"/>
          <w:sz w:val="20"/>
          <w:szCs w:val="20"/>
          <w:u w:val="single" w:color="auto"/>
          <w:color w:val="auto"/>
        </w:rPr>
        <w:t>2.4</w:t>
      </w:r>
      <w:r>
        <w:rPr>
          <w:rFonts w:ascii="Arial" w:cs="Arial" w:eastAsia="Arial" w:hAnsi="Arial"/>
          <w:sz w:val="20"/>
          <w:szCs w:val="20"/>
          <w:color w:val="auto"/>
        </w:rPr>
        <w:t xml:space="preserve">, </w:t>
      </w:r>
      <w:r>
        <w:rPr>
          <w:rFonts w:ascii="Arial" w:cs="Arial" w:eastAsia="Arial" w:hAnsi="Arial"/>
          <w:sz w:val="20"/>
          <w:szCs w:val="20"/>
          <w:u w:val="single" w:color="auto"/>
          <w:color w:val="auto"/>
        </w:rPr>
        <w:t>2.6</w:t>
      </w:r>
      <w:r>
        <w:rPr>
          <w:rFonts w:ascii="Arial" w:cs="Arial" w:eastAsia="Arial" w:hAnsi="Arial"/>
          <w:sz w:val="20"/>
          <w:szCs w:val="20"/>
          <w:color w:val="auto"/>
        </w:rPr>
        <w:t xml:space="preserve">, </w:t>
      </w:r>
      <w:r>
        <w:rPr>
          <w:rFonts w:ascii="Arial" w:cs="Arial" w:eastAsia="Arial" w:hAnsi="Arial"/>
          <w:sz w:val="20"/>
          <w:szCs w:val="20"/>
          <w:u w:val="single" w:color="auto"/>
          <w:color w:val="auto"/>
        </w:rPr>
        <w:t>2.7(e)</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w:t>
      </w:r>
      <w:r>
        <w:rPr>
          <w:rFonts w:ascii="Arial" w:cs="Arial" w:eastAsia="Arial" w:hAnsi="Arial"/>
          <w:sz w:val="20"/>
          <w:szCs w:val="20"/>
          <w:color w:val="auto"/>
        </w:rPr>
        <w:t xml:space="preserve">, </w:t>
      </w:r>
      <w:r>
        <w:rPr>
          <w:rFonts w:ascii="Arial" w:cs="Arial" w:eastAsia="Arial" w:hAnsi="Arial"/>
          <w:sz w:val="20"/>
          <w:szCs w:val="20"/>
          <w:u w:val="single" w:color="auto"/>
          <w:color w:val="auto"/>
        </w:rPr>
        <w:t>2.14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0" w:lineRule="exact"/>
        <w:rPr>
          <w:sz w:val="20"/>
          <w:szCs w:val="20"/>
          <w:color w:val="auto"/>
        </w:rPr>
      </w:pPr>
    </w:p>
    <w:p>
      <w:pPr>
        <w:ind w:right="200" w:firstLine="656"/>
        <w:spacing w:after="0" w:line="257" w:lineRule="auto"/>
        <w:tabs>
          <w:tab w:leader="none" w:pos="109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Each of the Loan Parties understands that the distribution of material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as determined by a final, non-appealable judgment of a court of competent jurisdiction.</w:t>
      </w:r>
    </w:p>
    <w:p>
      <w:pPr>
        <w:spacing w:after="0" w:line="198" w:lineRule="exact"/>
        <w:rPr>
          <w:rFonts w:ascii="Arial" w:cs="Arial" w:eastAsia="Arial" w:hAnsi="Arial"/>
          <w:sz w:val="19"/>
          <w:szCs w:val="19"/>
          <w:color w:val="auto"/>
        </w:rPr>
      </w:pPr>
    </w:p>
    <w:p>
      <w:pPr>
        <w:ind w:firstLine="656"/>
        <w:spacing w:after="0" w:line="234" w:lineRule="auto"/>
        <w:tabs>
          <w:tab w:leader="none" w:pos="1106" w:val="left"/>
        </w:tabs>
        <w:numPr>
          <w:ilvl w:val="0"/>
          <w:numId w:val="241"/>
        </w:numPr>
        <w:rPr>
          <w:rFonts w:ascii="Arial" w:cs="Arial" w:eastAsia="Arial" w:hAnsi="Arial"/>
          <w:sz w:val="20"/>
          <w:szCs w:val="20"/>
          <w:color w:val="auto"/>
        </w:rPr>
      </w:pPr>
      <w:r>
        <w:rPr>
          <w:rFonts w:ascii="Arial" w:cs="Arial" w:eastAsia="Arial" w:hAnsi="Arial"/>
          <w:sz w:val="20"/>
          <w:szCs w:val="20"/>
          <w:color w:val="auto"/>
        </w:rPr>
        <w:t>The Platform and any Approved Electronic Communications are provided “as is” and “as available”. None of the Agent or any of their respective officers, directors, employees, agents, advisors or representatives warrant the accuracy, adequacy, or completeness of the Approved Electronic Communications or the Platform and each expressly disclaims liability for errors or omissions in the Platform and the Approved Electronic Communications. No warranty of any kind, express, implied or statutory, including any warranty of merchantability, fitness for a particular purpose, non-infringement of third party rights or freedom from viruses or other code defects is made by the Agent or any of its respective officers, directors, employees, agents, advisors or representatives in connection with the Platform or the Approved Electronic Communications. In no event shall the Agent have any liability to the Borrower, any Lender, Issue or any other person or entity for damages of any kind, including direct or indirect, special, incidental or consequential damages, losses or expenses (whether in tort, contract or otherwise) arising out of the Borrower’s or the Administrative Agent’s Transmission of Communications through the internet or the approved electronic platform except where such liabilities result from the Agent’s bad faith, willful misconduct, gross negligence or material breach as determined in a final, nonappealable judgment by a court of competent jurisdiction.</w:t>
      </w:r>
    </w:p>
    <w:p>
      <w:pPr>
        <w:spacing w:after="0" w:line="211" w:lineRule="exact"/>
        <w:rPr>
          <w:rFonts w:ascii="Arial" w:cs="Arial" w:eastAsia="Arial" w:hAnsi="Arial"/>
          <w:sz w:val="20"/>
          <w:szCs w:val="20"/>
          <w:color w:val="auto"/>
        </w:rPr>
      </w:pPr>
    </w:p>
    <w:p>
      <w:pPr>
        <w:ind w:right="500" w:firstLine="656"/>
        <w:spacing w:after="0" w:line="248" w:lineRule="auto"/>
        <w:tabs>
          <w:tab w:leader="none" w:pos="1110"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Each of the Loan Parties, the Lenders, and the Agent agree that Administrative Agent may, but shall not be obligated to, store any Approved Electronic Communications on the Platform in accordance with the Administrative Agent’s customary document retention procedures and policies.</w:t>
      </w:r>
    </w:p>
    <w:p>
      <w:pPr>
        <w:spacing w:after="0" w:line="192" w:lineRule="exact"/>
        <w:rPr>
          <w:sz w:val="20"/>
          <w:szCs w:val="20"/>
          <w:color w:val="auto"/>
        </w:rPr>
      </w:pPr>
    </w:p>
    <w:p>
      <w:pPr>
        <w:ind w:right="100" w:firstLine="648"/>
        <w:spacing w:after="0" w:line="256"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No Waiver; Cumulative Remedies</w:t>
      </w:r>
      <w:r>
        <w:rPr>
          <w:rFonts w:ascii="Arial" w:cs="Arial" w:eastAsia="Arial" w:hAnsi="Arial"/>
          <w:sz w:val="19"/>
          <w:szCs w:val="19"/>
          <w:color w:val="auto"/>
        </w:rPr>
        <w:t>.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5" w:lineRule="exact"/>
        <w:rPr>
          <w:sz w:val="20"/>
          <w:szCs w:val="20"/>
          <w:color w:val="auto"/>
        </w:rPr>
      </w:pPr>
    </w:p>
    <w:p>
      <w:pPr>
        <w:ind w:right="40" w:firstLine="648"/>
        <w:spacing w:after="0" w:line="248"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u w:val="single" w:color="auto"/>
          <w:color w:val="auto"/>
        </w:rPr>
        <w:t>Survival of Representations and Warranties</w:t>
      </w:r>
      <w:r>
        <w:rPr>
          <w:rFonts w:ascii="Arial" w:cs="Arial" w:eastAsia="Arial" w:hAnsi="Arial"/>
          <w:sz w:val="20"/>
          <w:szCs w:val="20"/>
          <w:color w:val="auto"/>
        </w:rPr>
        <w:t>. All representations and warranties made hereunder, in the other Loan Documents and in any document, certificate or statement delivered pursuant hereto or in connection herewith shall survive the execution and delivery of this Agreement and the making of the Term Loans and the other extensions of credit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14" w:right="339" w:bottom="1440" w:gutter="0" w:footer="0" w:header="0"/>
        </w:sectPr>
      </w:pPr>
    </w:p>
    <w:bookmarkStart w:id="233" w:name="page234"/>
    <w:bookmarkEnd w:id="233"/>
    <w:p>
      <w:pPr>
        <w:ind w:firstLine="648"/>
        <w:spacing w:after="0" w:line="232"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Payment of Expenses</w:t>
      </w:r>
      <w:r>
        <w:rPr>
          <w:rFonts w:ascii="Arial" w:cs="Arial" w:eastAsia="Arial" w:hAnsi="Arial"/>
          <w:sz w:val="20"/>
          <w:szCs w:val="20"/>
          <w:color w:val="auto"/>
        </w:rPr>
        <w:t>. The Borrower agrees (a) to pay or reimburse the Administrative Agent for all its reasonable out-of-pocket costs and expenses reasonably incurred in connection with (i) the development, negotiation, preparation, execution and delivery of this Agreement, the Notes and any other documents prepared in connection herewith or therewith, including any amendment, supplement or modification to any of the foregoing and (ii) the consummation and administration of the transactions contemplated hereby and thereby, and the reasonable fees and disbursements of one counsel to the Administrative Agent and the Arrangers, taken as a whole (and to the extent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security interest filing and recording fees and expenses, (b) to pay or reimburse the Administrative Agent and each Lender for all its reasonable costs and expenses reasonably incurred in connection with the enforcement or preservation of any rights under this Agreement, the Notes, the other Loan Documents and any such other documents following the occurrence and during the continuance of an Event of Default, including without limitation, the reasonable fees and disbursements of one counsel to the Administrative Agent and the Lenders and each of their respective affiliates, taken as a whole (other than during an Event of Default, in which case, the Administrative Agent shall be entitled to its own counsel separate from the Lenders) (and, to the extent reasonably necessary), one local counsel in each relevant jurisdiction for all such entities, taken as a whole, and, solely in the case of an actual or potential conflict of interest, one additional local counsel in each relevant jurisdiction to the affected entities similarly situated, taken as a whole, and (c) to pay, and indemnify and hold harmless each Lender, each Arranger, the Administrative Agent and each of their respective Affiliates, directors, officers, employees, representatives, partners, advisors and agents (each, an “</w:t>
      </w:r>
      <w:r>
        <w:rPr>
          <w:rFonts w:ascii="Arial" w:cs="Arial" w:eastAsia="Arial" w:hAnsi="Arial"/>
          <w:sz w:val="20"/>
          <w:szCs w:val="20"/>
          <w:u w:val="single" w:color="auto"/>
          <w:color w:val="auto"/>
        </w:rPr>
        <w:t>Indemnitee</w:t>
      </w:r>
      <w:r>
        <w:rPr>
          <w:rFonts w:ascii="Arial" w:cs="Arial" w:eastAsia="Arial" w:hAnsi="Arial"/>
          <w:sz w:val="20"/>
          <w:szCs w:val="20"/>
          <w:color w:val="auto"/>
        </w:rPr>
        <w:t>”) from and against any and all other liabilities, obligations, losses, damages, penalties, actions, judgments, suits, costs, expenses or disbursements of any kind or nature whatsoever with respect to the execution, delivery, enforcement, performance, preservation of rights and administration of this Agreement, the Notes, the other Loan Documents or the use of the proceeds of the Term Loans or any of the foregoing in connection with (i) the violation of, noncompliance with or liability under, any Environmental Law (including environmental claims and liabilities), (ii) consummation of the transactions contemplated thereby; or (iii) any actual or prospective claim, litigation, investigation or proceeding relating to any of the foregoing, whether based on contract, tort or any other theory, whether brought by a third party or by the Borrower, and regardless of whether any Indemnitee is a party thereto and the reasonable fees and expenses of one legal counsel for the Indemnitees taken as a whole in connection with claims, actions or proceedings by any Indemnitee against any Loan Party under any Loan Document (all the foregoing in this clause (c), collectively, the “</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Borrower shall have no obligation hereunder to any Indemnitee with respect to indemnified liabilities to the extent determined by the final non-appealable judgment of a court of competent jurisdiction to have resulted from the bad faith, gross negligence or willful misconduct of such Indemnitee or any of such Indemnitee’s Related Persons;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Borrower shall in no event be responsible for consequential, indirect, special or punitive damages to any Indemnitee pursuant to this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except such consequential, indirect, special or punitive damages required to be paid by such Indemnitee in respect of any indemnified liabilities.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 To the extent permitted by applicable law, no party to this agreement shall assert, and each Loan Party hereby waives, on behalf of itself and its Subsidiaries, any claim against any Indemnitee and its affiliates, directors, officers, employees, attorneys, representatives,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Term Loan or the use of the proceeds thereof or any act or omission or event occurring in connection therewith, and the each Loan Party hereby waives, releases and agrees, on behalf of itself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20"/>
          </w:cols>
          <w:pgMar w:left="320" w:top="1414" w:right="359" w:bottom="1440" w:gutter="0" w:footer="0" w:header="0"/>
        </w:sectPr>
      </w:pPr>
    </w:p>
    <w:bookmarkStart w:id="234" w:name="page235"/>
    <w:bookmarkEnd w:id="234"/>
    <w:p>
      <w:pPr>
        <w:spacing w:after="0" w:line="236" w:lineRule="auto"/>
        <w:rPr>
          <w:sz w:val="20"/>
          <w:szCs w:val="20"/>
          <w:color w:val="auto"/>
        </w:rPr>
      </w:pPr>
      <w:r>
        <w:rPr>
          <w:rFonts w:ascii="Arial" w:cs="Arial" w:eastAsia="Arial" w:hAnsi="Arial"/>
          <w:sz w:val="20"/>
          <w:szCs w:val="20"/>
          <w:color w:val="auto"/>
        </w:rPr>
        <w:t xml:space="preserve">of its respective Subsidiaries, not to sue upon any such claim or any such damages, whether or not accrued and whether or not known or suspected to exist in its favor. No Indemnitee referred to in clause above shall be liable for any damages arising from the use by unintended recipients of any information or other materials distributed by it through telecommunications, electronic or other information transmission systems in connection with the Agreement or the other Loan Documents or the transactions contemplated thereby. All amounts due under this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shall be payable not later than 10 days after written demand therefor. The agreements in this Section shall survive the termination of this Agreement and repayment of the Term Loans and all other amounts payable hereunder. This </w:t>
      </w:r>
      <w:r>
        <w:rPr>
          <w:rFonts w:ascii="Arial" w:cs="Arial" w:eastAsia="Arial" w:hAnsi="Arial"/>
          <w:sz w:val="20"/>
          <w:szCs w:val="20"/>
          <w:u w:val="single" w:color="auto"/>
          <w:color w:val="auto"/>
        </w:rPr>
        <w:t>Section 9.5</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202"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9"/>
          <w:szCs w:val="19"/>
          <w:u w:val="single" w:color="auto"/>
          <w:color w:val="auto"/>
        </w:rPr>
        <w:t>Successors and Assigns; Participations</w:t>
      </w:r>
      <w:r>
        <w:rPr>
          <w:rFonts w:ascii="Arial" w:cs="Arial" w:eastAsia="Arial" w:hAnsi="Arial"/>
          <w:sz w:val="19"/>
          <w:szCs w:val="19"/>
          <w:color w:val="auto"/>
        </w:rPr>
        <w:t>.</w:t>
      </w:r>
    </w:p>
    <w:p>
      <w:pPr>
        <w:spacing w:after="0" w:line="243" w:lineRule="exact"/>
        <w:rPr>
          <w:sz w:val="20"/>
          <w:szCs w:val="20"/>
          <w:color w:val="auto"/>
        </w:rPr>
      </w:pPr>
    </w:p>
    <w:p>
      <w:pPr>
        <w:ind w:right="80" w:firstLine="656"/>
        <w:spacing w:after="0" w:line="237" w:lineRule="auto"/>
        <w:tabs>
          <w:tab w:leader="none" w:pos="1106" w:val="left"/>
        </w:tabs>
        <w:numPr>
          <w:ilvl w:val="0"/>
          <w:numId w:val="242"/>
        </w:numPr>
        <w:rPr>
          <w:rFonts w:ascii="Arial" w:cs="Arial" w:eastAsia="Arial" w:hAnsi="Arial"/>
          <w:sz w:val="20"/>
          <w:szCs w:val="20"/>
          <w:color w:val="auto"/>
        </w:rPr>
      </w:pPr>
      <w:r>
        <w:rPr>
          <w:rFonts w:ascii="Arial" w:cs="Arial" w:eastAsia="Arial" w:hAnsi="Arial"/>
          <w:sz w:val="20"/>
          <w:szCs w:val="20"/>
          <w:color w:val="auto"/>
        </w:rPr>
        <w:t xml:space="preserve">The provisions of this Agreement shall be binding upon and inure to the benefit of the parties hereto and their respective successors and assigns permitted, except that (i) unless otherwise permitted by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hereof,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w:t>
      </w:r>
    </w:p>
    <w:p>
      <w:pPr>
        <w:spacing w:after="0" w:line="214" w:lineRule="exact"/>
        <w:rPr>
          <w:rFonts w:ascii="Arial" w:cs="Arial" w:eastAsia="Arial" w:hAnsi="Arial"/>
          <w:sz w:val="20"/>
          <w:szCs w:val="20"/>
          <w:color w:val="auto"/>
        </w:rPr>
      </w:pPr>
    </w:p>
    <w:p>
      <w:pPr>
        <w:ind w:right="220" w:firstLine="656"/>
        <w:spacing w:after="0" w:line="248" w:lineRule="auto"/>
        <w:tabs>
          <w:tab w:leader="none" w:pos="1110" w:val="left"/>
        </w:tabs>
        <w:numPr>
          <w:ilvl w:val="0"/>
          <w:numId w:val="242"/>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(b)(ii) below, any Lender may assign to one or more assignees (each, an “</w:t>
      </w:r>
      <w:r>
        <w:rPr>
          <w:rFonts w:ascii="Arial" w:cs="Arial" w:eastAsia="Arial" w:hAnsi="Arial"/>
          <w:sz w:val="20"/>
          <w:szCs w:val="20"/>
          <w:u w:val="single" w:color="auto"/>
          <w:color w:val="auto"/>
        </w:rPr>
        <w:t>Assignee</w:t>
      </w:r>
      <w:r>
        <w:rPr>
          <w:rFonts w:ascii="Arial" w:cs="Arial" w:eastAsia="Arial" w:hAnsi="Arial"/>
          <w:sz w:val="20"/>
          <w:szCs w:val="20"/>
          <w:color w:val="auto"/>
        </w:rPr>
        <w:t>”) all or a portion of its rights and obligations under this Agreement (including all or a portion of its Term Commitments and the Term Loans at the time owing to it) with the prior written consent of:</w:t>
      </w:r>
    </w:p>
    <w:p>
      <w:pPr>
        <w:spacing w:after="0" w:line="191" w:lineRule="exact"/>
        <w:rPr>
          <w:rFonts w:ascii="Arial" w:cs="Arial" w:eastAsia="Arial" w:hAnsi="Arial"/>
          <w:sz w:val="20"/>
          <w:szCs w:val="20"/>
          <w:color w:val="auto"/>
        </w:rPr>
      </w:pPr>
    </w:p>
    <w:p>
      <w:pPr>
        <w:ind w:left="1300" w:right="60" w:firstLine="652"/>
        <w:spacing w:after="0"/>
        <w:tabs>
          <w:tab w:leader="none" w:pos="2432" w:val="left"/>
        </w:tabs>
        <w:numPr>
          <w:ilvl w:val="2"/>
          <w:numId w:val="242"/>
        </w:numPr>
        <w:rPr>
          <w:rFonts w:ascii="Arial" w:cs="Arial" w:eastAsia="Arial" w:hAnsi="Arial"/>
          <w:sz w:val="20"/>
          <w:szCs w:val="20"/>
          <w:color w:val="auto"/>
        </w:rPr>
      </w:pPr>
      <w:r>
        <w:rPr>
          <w:rFonts w:ascii="Arial" w:cs="Arial" w:eastAsia="Arial" w:hAnsi="Arial"/>
          <w:sz w:val="20"/>
          <w:szCs w:val="20"/>
          <w:color w:val="auto"/>
        </w:rPr>
        <w:t xml:space="preserve">the Borrower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Borrower shall be required for an assignment to a Lender, a depository institution affiliate of a Lender having access to discount window credit of the Federal Reserve (as defined below), or, if an Event of Default under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has occurred and is continuing, any other Person;</w:t>
      </w:r>
    </w:p>
    <w:p>
      <w:pPr>
        <w:spacing w:after="0" w:line="214" w:lineRule="exact"/>
        <w:rPr>
          <w:rFonts w:ascii="Arial" w:cs="Arial" w:eastAsia="Arial" w:hAnsi="Arial"/>
          <w:sz w:val="20"/>
          <w:szCs w:val="20"/>
          <w:color w:val="auto"/>
        </w:rPr>
      </w:pPr>
    </w:p>
    <w:p>
      <w:pPr>
        <w:ind w:left="1300" w:right="100" w:firstLine="652"/>
        <w:spacing w:after="0" w:line="248" w:lineRule="auto"/>
        <w:tabs>
          <w:tab w:leader="none" w:pos="2432" w:val="left"/>
        </w:tabs>
        <w:numPr>
          <w:ilvl w:val="2"/>
          <w:numId w:val="242"/>
        </w:numPr>
        <w:rPr>
          <w:rFonts w:ascii="Arial" w:cs="Arial" w:eastAsia="Arial" w:hAnsi="Arial"/>
          <w:sz w:val="20"/>
          <w:szCs w:val="20"/>
          <w:color w:val="auto"/>
        </w:rPr>
      </w:pPr>
      <w:r>
        <w:rPr>
          <w:rFonts w:ascii="Arial" w:cs="Arial" w:eastAsia="Arial" w:hAnsi="Arial"/>
          <w:sz w:val="20"/>
          <w:szCs w:val="20"/>
          <w:color w:val="auto"/>
        </w:rPr>
        <w:t xml:space="preserve">the Administrative Agent (such consent not to be unreasonably withheld, delayed or conditioned),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to a Lender, an affiliate of a Lender or an Approved Fund; and</w:t>
      </w:r>
    </w:p>
    <w:p>
      <w:pPr>
        <w:spacing w:after="0" w:line="191" w:lineRule="exact"/>
        <w:rPr>
          <w:rFonts w:ascii="Arial" w:cs="Arial" w:eastAsia="Arial" w:hAnsi="Arial"/>
          <w:sz w:val="20"/>
          <w:szCs w:val="20"/>
          <w:color w:val="auto"/>
        </w:rPr>
      </w:pPr>
    </w:p>
    <w:p>
      <w:pPr>
        <w:ind w:left="1740" w:hanging="436"/>
        <w:spacing w:after="0"/>
        <w:tabs>
          <w:tab w:leader="none" w:pos="174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2" w:lineRule="exact"/>
        <w:rPr>
          <w:rFonts w:ascii="Arial" w:cs="Arial" w:eastAsia="Arial" w:hAnsi="Arial"/>
          <w:sz w:val="20"/>
          <w:szCs w:val="20"/>
          <w:color w:val="auto"/>
        </w:rPr>
      </w:pPr>
    </w:p>
    <w:p>
      <w:pPr>
        <w:ind w:left="1300" w:right="60" w:firstLine="652"/>
        <w:spacing w:after="0" w:line="236" w:lineRule="auto"/>
        <w:tabs>
          <w:tab w:leader="none" w:pos="2432" w:val="left"/>
        </w:tabs>
        <w:numPr>
          <w:ilvl w:val="2"/>
          <w:numId w:val="242"/>
        </w:numPr>
        <w:rPr>
          <w:rFonts w:ascii="Arial" w:cs="Arial" w:eastAsia="Arial" w:hAnsi="Arial"/>
          <w:sz w:val="20"/>
          <w:szCs w:val="20"/>
          <w:color w:val="auto"/>
        </w:rPr>
      </w:pPr>
      <w:r>
        <w:rPr>
          <w:rFonts w:ascii="Arial" w:cs="Arial" w:eastAsia="Arial" w:hAnsi="Arial"/>
          <w:sz w:val="20"/>
          <w:szCs w:val="20"/>
          <w:color w:val="auto"/>
        </w:rPr>
        <w:t xml:space="preserve">except in the case of an assignment to a Lender, an affiliate of a Lender or an Approved Fund or an assignment of the entire remaining amount of the assigning Lender’s Term Commitments or Term Loans, the amount of the Term Commitments or Term Loans of the assigning Lender subject to each such assignment (determined as of the date the Assignment and Acceptance with respect to such assignment is delivered to the Administrative Agent) shall not be less than $5,000,000 unless each of the Borrower and the Administrative Agent otherwise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(1) no such consent of the Borrower shall be required if an Event of Default under </w:t>
      </w:r>
      <w:r>
        <w:rPr>
          <w:rFonts w:ascii="Arial" w:cs="Arial" w:eastAsia="Arial" w:hAnsi="Arial"/>
          <w:sz w:val="20"/>
          <w:szCs w:val="20"/>
          <w:u w:val="single" w:color="auto"/>
          <w:color w:val="auto"/>
        </w:rPr>
        <w:t>Section 7.1(a)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has occurred and is continuing and (2) such amounts shall be aggregated in respect of each Lender and its affiliates or Approved Funds, if any;</w:t>
      </w:r>
    </w:p>
    <w:p>
      <w:pPr>
        <w:spacing w:after="0" w:line="202" w:lineRule="exact"/>
        <w:rPr>
          <w:rFonts w:ascii="Arial" w:cs="Arial" w:eastAsia="Arial" w:hAnsi="Arial"/>
          <w:sz w:val="20"/>
          <w:szCs w:val="20"/>
          <w:color w:val="auto"/>
        </w:rPr>
      </w:pPr>
    </w:p>
    <w:p>
      <w:pPr>
        <w:ind w:left="1300" w:right="140" w:firstLine="652"/>
        <w:spacing w:after="0"/>
        <w:tabs>
          <w:tab w:leader="none" w:pos="2432" w:val="left"/>
        </w:tabs>
        <w:numPr>
          <w:ilvl w:val="2"/>
          <w:numId w:val="242"/>
        </w:numPr>
        <w:rPr>
          <w:rFonts w:ascii="Arial" w:cs="Arial" w:eastAsia="Arial" w:hAnsi="Arial"/>
          <w:sz w:val="20"/>
          <w:szCs w:val="20"/>
          <w:color w:val="auto"/>
        </w:rPr>
      </w:pPr>
      <w:r>
        <w:rPr>
          <w:rFonts w:ascii="Arial" w:cs="Arial" w:eastAsia="Arial" w:hAnsi="Arial"/>
          <w:sz w:val="20"/>
          <w:szCs w:val="20"/>
          <w:color w:val="auto"/>
        </w:rPr>
        <w:t xml:space="preserve">(1) the parties to each assignment shall execute and deliver to the Administrative Agent an Assignment and Acceptance, together with a processing and recordation fee of $3,500 (although the Borrower shall not be responsible for the payment of the recordation fee unless the Borrower has chosen to replace a Lender pursuant to </w:t>
      </w:r>
      <w:r>
        <w:rPr>
          <w:rFonts w:ascii="Arial" w:cs="Arial" w:eastAsia="Arial" w:hAnsi="Arial"/>
          <w:sz w:val="20"/>
          <w:szCs w:val="20"/>
          <w:u w:val="single" w:color="auto"/>
          <w:color w:val="auto"/>
        </w:rPr>
        <w:t>Section 2.22</w:t>
      </w:r>
      <w:r>
        <w:rPr>
          <w:rFonts w:ascii="Arial" w:cs="Arial" w:eastAsia="Arial" w:hAnsi="Arial"/>
          <w:sz w:val="20"/>
          <w:szCs w:val="20"/>
          <w:color w:val="auto"/>
        </w:rPr>
        <w:t>) and (2) the assigning Lender shall have paid in full any amounts owing by it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180"/>
          </w:cols>
          <w:pgMar w:left="320" w:top="1414" w:right="399" w:bottom="1440" w:gutter="0" w:footer="0" w:header="0"/>
        </w:sectPr>
      </w:pPr>
    </w:p>
    <w:bookmarkStart w:id="235" w:name="page236"/>
    <w:bookmarkEnd w:id="235"/>
    <w:p>
      <w:pPr>
        <w:ind w:left="1300" w:right="240" w:firstLine="652"/>
        <w:spacing w:after="0" w:line="237" w:lineRule="auto"/>
        <w:tabs>
          <w:tab w:leader="none" w:pos="244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216" w:lineRule="exact"/>
        <w:rPr>
          <w:rFonts w:ascii="Arial" w:cs="Arial" w:eastAsia="Arial" w:hAnsi="Arial"/>
          <w:sz w:val="20"/>
          <w:szCs w:val="20"/>
          <w:color w:val="auto"/>
        </w:rPr>
      </w:pPr>
    </w:p>
    <w:p>
      <w:pPr>
        <w:ind w:left="1300" w:right="140" w:firstLine="652"/>
        <w:spacing w:after="0" w:line="257" w:lineRule="auto"/>
        <w:tabs>
          <w:tab w:leader="none" w:pos="2443" w:val="left"/>
        </w:tabs>
        <w:numPr>
          <w:ilvl w:val="0"/>
          <w:numId w:val="243"/>
        </w:numPr>
        <w:rPr>
          <w:rFonts w:ascii="Arial" w:cs="Arial" w:eastAsia="Arial" w:hAnsi="Arial"/>
          <w:sz w:val="20"/>
          <w:szCs w:val="20"/>
          <w:color w:val="auto"/>
        </w:rPr>
      </w:pPr>
      <w:r>
        <w:rPr>
          <w:rFonts w:ascii="Arial" w:cs="Arial" w:eastAsia="Arial" w:hAnsi="Arial"/>
          <w:sz w:val="20"/>
          <w:szCs w:val="20"/>
          <w:color w:val="auto"/>
        </w:rPr>
        <w:t>none of the Loan Parties, their respective Affiliates, any natural person or a Defaulting Lender shall be an Assignee hereunder.</w:t>
      </w:r>
    </w:p>
    <w:p>
      <w:pPr>
        <w:spacing w:after="0" w:line="182" w:lineRule="exact"/>
        <w:rPr>
          <w:sz w:val="20"/>
          <w:szCs w:val="20"/>
          <w:color w:val="auto"/>
        </w:rPr>
      </w:pPr>
    </w:p>
    <w:p>
      <w:pPr>
        <w:ind w:right="180" w:firstLine="648"/>
        <w:spacing w:after="0" w:line="245" w:lineRule="auto"/>
        <w:rPr>
          <w:sz w:val="20"/>
          <w:szCs w:val="20"/>
          <w:color w:val="auto"/>
        </w:rPr>
      </w:pPr>
      <w:r>
        <w:rPr>
          <w:rFonts w:ascii="Arial" w:cs="Arial" w:eastAsia="Arial" w:hAnsi="Arial"/>
          <w:sz w:val="20"/>
          <w:szCs w:val="20"/>
          <w:color w:val="auto"/>
        </w:rPr>
        <w:t xml:space="preserve">For the purposes of this </w:t>
      </w:r>
      <w:r>
        <w:rPr>
          <w:rFonts w:ascii="Arial" w:cs="Arial" w:eastAsia="Arial" w:hAnsi="Arial"/>
          <w:sz w:val="20"/>
          <w:szCs w:val="20"/>
          <w:u w:val="single" w:color="auto"/>
          <w:color w:val="auto"/>
        </w:rPr>
        <w:t>Section 9.6</w:t>
      </w:r>
      <w:r>
        <w:rPr>
          <w:rFonts w:ascii="Arial" w:cs="Arial" w:eastAsia="Arial" w:hAnsi="Arial"/>
          <w:sz w:val="20"/>
          <w:szCs w:val="20"/>
          <w:color w:val="auto"/>
        </w:rPr>
        <w:t>, “</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95" w:lineRule="exact"/>
        <w:rPr>
          <w:sz w:val="20"/>
          <w:szCs w:val="20"/>
          <w:color w:val="auto"/>
        </w:rPr>
      </w:pPr>
    </w:p>
    <w:p>
      <w:pPr>
        <w:ind w:left="660" w:right="80" w:firstLine="644"/>
        <w:spacing w:after="0" w:line="249" w:lineRule="auto"/>
        <w:tabs>
          <w:tab w:leader="none" w:pos="1792" w:val="left"/>
        </w:tabs>
        <w:numPr>
          <w:ilvl w:val="0"/>
          <w:numId w:val="244"/>
        </w:numPr>
        <w:rPr>
          <w:rFonts w:ascii="Arial" w:cs="Arial" w:eastAsia="Arial" w:hAnsi="Arial"/>
          <w:sz w:val="19"/>
          <w:szCs w:val="19"/>
          <w:color w:val="auto"/>
        </w:rPr>
      </w:pPr>
      <w:r>
        <w:rPr>
          <w:rFonts w:ascii="Arial" w:cs="Arial" w:eastAsia="Arial" w:hAnsi="Arial"/>
          <w:sz w:val="19"/>
          <w:szCs w:val="19"/>
          <w:color w:val="auto"/>
        </w:rPr>
        <w:t xml:space="preserve">Subject to acceptance and recording thereof pursuant to paragraph (b)(iv) below,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 2.15</w:t>
      </w:r>
      <w:r>
        <w:rPr>
          <w:rFonts w:ascii="Arial" w:cs="Arial" w:eastAsia="Arial" w:hAnsi="Arial"/>
          <w:sz w:val="19"/>
          <w:szCs w:val="19"/>
          <w:color w:val="auto"/>
        </w:rPr>
        <w:t xml:space="preserve">, </w:t>
      </w:r>
      <w:r>
        <w:rPr>
          <w:rFonts w:ascii="Arial" w:cs="Arial" w:eastAsia="Arial" w:hAnsi="Arial"/>
          <w:sz w:val="19"/>
          <w:szCs w:val="19"/>
          <w:u w:val="single" w:color="auto"/>
          <w:color w:val="auto"/>
        </w:rPr>
        <w:t>2.16</w:t>
      </w:r>
      <w:r>
        <w:rPr>
          <w:rFonts w:ascii="Arial" w:cs="Arial" w:eastAsia="Arial" w:hAnsi="Arial"/>
          <w:sz w:val="19"/>
          <w:szCs w:val="19"/>
          <w:color w:val="auto"/>
        </w:rPr>
        <w:t xml:space="preserve">, </w:t>
      </w:r>
      <w:r>
        <w:rPr>
          <w:rFonts w:ascii="Arial" w:cs="Arial" w:eastAsia="Arial" w:hAnsi="Arial"/>
          <w:sz w:val="19"/>
          <w:szCs w:val="19"/>
          <w:u w:val="single" w:color="auto"/>
          <w:color w:val="auto"/>
        </w:rPr>
        <w:t>2.17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9.5</w:t>
      </w:r>
      <w:r>
        <w:rPr>
          <w:rFonts w:ascii="Arial" w:cs="Arial" w:eastAsia="Arial" w:hAnsi="Arial"/>
          <w:sz w:val="19"/>
          <w:szCs w:val="19"/>
          <w:color w:val="auto"/>
        </w:rPr>
        <w:t xml:space="preserve"> for the period of time in which it was a Lender hereunder. Any assignment or transfer by a Lender of rights or obligations under this Agreement that does not comply with this </w:t>
      </w:r>
      <w:r>
        <w:rPr>
          <w:rFonts w:ascii="Arial" w:cs="Arial" w:eastAsia="Arial" w:hAnsi="Arial"/>
          <w:sz w:val="19"/>
          <w:szCs w:val="19"/>
          <w:u w:val="single" w:color="auto"/>
          <w:color w:val="auto"/>
        </w:rPr>
        <w:t>Section 9.6</w:t>
      </w:r>
      <w:r>
        <w:rPr>
          <w:rFonts w:ascii="Arial" w:cs="Arial" w:eastAsia="Arial" w:hAnsi="Arial"/>
          <w:sz w:val="19"/>
          <w:szCs w:val="19"/>
          <w:color w:val="auto"/>
        </w:rPr>
        <w:t xml:space="preserve"> shall be treated for purposes of this Agreement as a sale by such Lender of a participation in such rights and obligations in accordance with paragraph (c) of this Section.</w:t>
      </w:r>
    </w:p>
    <w:p>
      <w:pPr>
        <w:spacing w:after="0" w:line="190" w:lineRule="exact"/>
        <w:rPr>
          <w:rFonts w:ascii="Arial" w:cs="Arial" w:eastAsia="Arial" w:hAnsi="Arial"/>
          <w:sz w:val="19"/>
          <w:szCs w:val="19"/>
          <w:color w:val="auto"/>
        </w:rPr>
      </w:pPr>
    </w:p>
    <w:p>
      <w:pPr>
        <w:ind w:left="660" w:firstLine="644"/>
        <w:spacing w:after="0" w:line="236" w:lineRule="auto"/>
        <w:tabs>
          <w:tab w:leader="none" w:pos="1799" w:val="left"/>
        </w:tabs>
        <w:numPr>
          <w:ilvl w:val="0"/>
          <w:numId w:val="244"/>
        </w:numPr>
        <w:rPr>
          <w:rFonts w:ascii="Arial" w:cs="Arial" w:eastAsia="Arial" w:hAnsi="Arial"/>
          <w:sz w:val="20"/>
          <w:szCs w:val="20"/>
          <w:color w:val="auto"/>
        </w:rPr>
      </w:pPr>
      <w:r>
        <w:rPr>
          <w:rFonts w:ascii="Arial" w:cs="Arial" w:eastAsia="Arial" w:hAnsi="Arial"/>
          <w:sz w:val="20"/>
          <w:szCs w:val="20"/>
          <w:color w:val="auto"/>
        </w:rPr>
        <w:t>The Administrative Agent, acting solely for this purpose as an agent of the Borrower, shall maintain at one of its offices a copy of each Assignment and Acceptance delivered to it and a register for the recordation of the names and addresses of the Lenders, and the Term Commitments of, and principal amount (and interest amounts) of the Term Loans owing to, each Lender pursuant to the terms hereof from time to time (the “</w:t>
      </w:r>
      <w:r>
        <w:rPr>
          <w:rFonts w:ascii="Arial" w:cs="Arial" w:eastAsia="Arial" w:hAnsi="Arial"/>
          <w:sz w:val="20"/>
          <w:szCs w:val="20"/>
          <w:u w:val="single" w:color="auto"/>
          <w:color w:val="auto"/>
        </w:rPr>
        <w:t>Register</w:t>
      </w:r>
      <w:r>
        <w:rPr>
          <w:rFonts w:ascii="Arial" w:cs="Arial" w:eastAsia="Arial" w:hAnsi="Arial"/>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or any Lender at any reasonable time and from time to time upon reasonable prior notice. Any assignment shall be effective only upon appropriate entries with respect thereto being made in the Register.</w:t>
      </w:r>
    </w:p>
    <w:p>
      <w:pPr>
        <w:spacing w:after="0" w:line="205" w:lineRule="exact"/>
        <w:rPr>
          <w:rFonts w:ascii="Arial" w:cs="Arial" w:eastAsia="Arial" w:hAnsi="Arial"/>
          <w:sz w:val="20"/>
          <w:szCs w:val="20"/>
          <w:color w:val="auto"/>
        </w:rPr>
      </w:pPr>
    </w:p>
    <w:p>
      <w:pPr>
        <w:ind w:left="660" w:firstLine="644"/>
        <w:spacing w:after="0" w:line="235" w:lineRule="auto"/>
        <w:tabs>
          <w:tab w:leader="none" w:pos="1759" w:val="left"/>
        </w:tabs>
        <w:numPr>
          <w:ilvl w:val="0"/>
          <w:numId w:val="244"/>
        </w:numPr>
        <w:rPr>
          <w:rFonts w:ascii="Arial" w:cs="Arial" w:eastAsia="Arial" w:hAnsi="Arial"/>
          <w:sz w:val="20"/>
          <w:szCs w:val="20"/>
          <w:color w:val="auto"/>
        </w:rPr>
      </w:pPr>
      <w:r>
        <w:rPr>
          <w:rFonts w:ascii="Arial" w:cs="Arial" w:eastAsia="Arial" w:hAnsi="Arial"/>
          <w:sz w:val="20"/>
          <w:szCs w:val="20"/>
          <w:color w:val="auto"/>
        </w:rPr>
        <w:t xml:space="preserve">Upon its receipt of an Assignment and Acceptance (executed via an electronic settlement system acceptable to the Administrative Agent (or, if previously agreed with the Administrative Agent, manually)), by a transferor Lender and an Assignee, as the case may be (and, in the case of an Assignee that is not then a Lender, by the Administrative Agent and the Borrower to the extent required under this </w:t>
      </w:r>
      <w:r>
        <w:rPr>
          <w:rFonts w:ascii="Arial" w:cs="Arial" w:eastAsia="Arial" w:hAnsi="Arial"/>
          <w:sz w:val="20"/>
          <w:szCs w:val="20"/>
          <w:u w:val="single" w:color="auto"/>
          <w:color w:val="auto"/>
        </w:rPr>
        <w:t>Section 9.6</w:t>
      </w:r>
      <w:r>
        <w:rPr>
          <w:rFonts w:ascii="Arial" w:cs="Arial" w:eastAsia="Arial" w:hAnsi="Arial"/>
          <w:sz w:val="20"/>
          <w:szCs w:val="20"/>
          <w:color w:val="auto"/>
        </w:rPr>
        <w:t>), together with payment to the Administrative Agent by the transferor Lender or the Assignee of a recordation and processing fee of $3,500 (which fee may be waived or reduced in the sole discretion of the Administrative Agent), the Administrative Agent shall (i) promptly accept such Assignment and Acceptance, (ii) on the effective date of such transfer determined pursuant thereto record the information contained therein in the Register and (iii) give notice of such acceptance and recordation to the transferor Lender, the Assignee and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20"/>
          </w:cols>
          <w:pgMar w:left="320" w:top="1414" w:right="359" w:bottom="1440" w:gutter="0" w:footer="0" w:header="0"/>
        </w:sectPr>
      </w:pPr>
    </w:p>
    <w:bookmarkStart w:id="236" w:name="page237"/>
    <w:bookmarkEnd w:id="236"/>
    <w:p>
      <w:pPr>
        <w:ind w:firstLine="656"/>
        <w:spacing w:after="0" w:line="233" w:lineRule="auto"/>
        <w:tabs>
          <w:tab w:leader="none" w:pos="1088" w:val="left"/>
        </w:tabs>
        <w:numPr>
          <w:ilvl w:val="0"/>
          <w:numId w:val="245"/>
        </w:numPr>
        <w:rPr>
          <w:rFonts w:ascii="Arial" w:cs="Arial" w:eastAsia="Arial" w:hAnsi="Arial"/>
          <w:sz w:val="20"/>
          <w:szCs w:val="20"/>
          <w:color w:val="auto"/>
        </w:rPr>
      </w:pPr>
      <w:r>
        <w:rPr>
          <w:rFonts w:ascii="Arial" w:cs="Arial" w:eastAsia="Arial" w:hAnsi="Arial"/>
          <w:sz w:val="20"/>
          <w:szCs w:val="20"/>
          <w:color w:val="auto"/>
        </w:rPr>
        <w:t>Any Lender may, without the consent of or notice to the Borrower or the Administrative Agent, sell participations to one or more banks or other entities (a “</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in all or a portion of such Lender’s rights and obligations under this Agreement (including all or a portion of its Term Loans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Lender’s obligations under this Agreement shall remain unchanged, (B) such Lender shall remain solely responsible to the other parties hereto for the performance of such obligations, (C) the Borrower, the Administrative Agent and the other Lenders shall continue to deal solely and directly with such Lender in connection with such Lender’s rights and obligations under this Agreement and (D) none of the Loan Parties, their respective Affiliates, any natural person or a Defaulting Lender shall be a Participant hereunder. Any agreement pursuant to which a Lender sells such a participation shall provide that such Lender shall retain the sole right to enforce this Agreement and the other Loan Documents and to approve any amendment, modification or waiver of any provision of this Agreement and any other Loan Document or to otherwise exercise its voting righting rights under this Agreement and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agreement may provide that such Lender will not, without the consent of the Participant, agree to any amendment, modification or waiver that (1) requires the consent of each Lender directly affected thereby pursuant to the proviso to the second sentence of </w:t>
      </w:r>
      <w:r>
        <w:rPr>
          <w:rFonts w:ascii="Arial" w:cs="Arial" w:eastAsia="Arial" w:hAnsi="Arial"/>
          <w:sz w:val="20"/>
          <w:szCs w:val="20"/>
          <w:u w:val="single" w:color="auto"/>
          <w:color w:val="auto"/>
        </w:rPr>
        <w:t>Section 9.1(a)</w:t>
      </w:r>
      <w:r>
        <w:rPr>
          <w:rFonts w:ascii="Arial" w:cs="Arial" w:eastAsia="Arial" w:hAnsi="Arial"/>
          <w:sz w:val="20"/>
          <w:szCs w:val="20"/>
          <w:color w:val="auto"/>
        </w:rPr>
        <w:t xml:space="preserve"> and (2) directly affects such Participant. Subject to paragraph (c)(i) of this Section, the Borrower agrees that each Participant shall be entitled to the benefits of </w:t>
      </w:r>
      <w:r>
        <w:rPr>
          <w:rFonts w:ascii="Arial" w:cs="Arial" w:eastAsia="Arial" w:hAnsi="Arial"/>
          <w:sz w:val="20"/>
          <w:szCs w:val="20"/>
          <w:u w:val="single" w:color="auto"/>
          <w:color w:val="auto"/>
        </w:rPr>
        <w:t>Sections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(subject to the requirements and limitations of such sections and </w:t>
      </w:r>
      <w:r>
        <w:rPr>
          <w:rFonts w:ascii="Arial" w:cs="Arial" w:eastAsia="Arial" w:hAnsi="Arial"/>
          <w:sz w:val="20"/>
          <w:szCs w:val="20"/>
          <w:u w:val="single" w:color="auto"/>
          <w:color w:val="auto"/>
        </w:rPr>
        <w:t>Sections 2.18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2.22</w:t>
      </w:r>
      <w:r>
        <w:rPr>
          <w:rFonts w:ascii="Arial" w:cs="Arial" w:eastAsia="Arial" w:hAnsi="Arial"/>
          <w:sz w:val="20"/>
          <w:szCs w:val="20"/>
          <w:color w:val="auto"/>
        </w:rPr>
        <w:t xml:space="preserve"> and it being understood that the documentation required under </w:t>
      </w:r>
      <w:r>
        <w:rPr>
          <w:rFonts w:ascii="Arial" w:cs="Arial" w:eastAsia="Arial" w:hAnsi="Arial"/>
          <w:sz w:val="20"/>
          <w:szCs w:val="20"/>
          <w:u w:val="single" w:color="auto"/>
          <w:color w:val="auto"/>
        </w:rPr>
        <w:t>Section 2.16(e)</w:t>
      </w:r>
      <w:r>
        <w:rPr>
          <w:rFonts w:ascii="Arial" w:cs="Arial" w:eastAsia="Arial" w:hAnsi="Arial"/>
          <w:sz w:val="20"/>
          <w:szCs w:val="20"/>
          <w:color w:val="auto"/>
        </w:rPr>
        <w:t xml:space="preserve"> shall be delivered solely to the participating Lender) to the same extent as if it were a Lender and had acquired its interest by assignment pursuant to paragraph (b) of this Section. To the extent permitted by law, each Participant also shall be entitled to the benefits of </w:t>
      </w:r>
      <w:r>
        <w:rPr>
          <w:rFonts w:ascii="Arial" w:cs="Arial" w:eastAsia="Arial" w:hAnsi="Arial"/>
          <w:sz w:val="20"/>
          <w:szCs w:val="20"/>
          <w:u w:val="single" w:color="auto"/>
          <w:color w:val="auto"/>
        </w:rPr>
        <w:t>Section 9.7(b)</w:t>
      </w:r>
      <w:r>
        <w:rPr>
          <w:rFonts w:ascii="Arial" w:cs="Arial" w:eastAsia="Arial" w:hAnsi="Arial"/>
          <w:sz w:val="20"/>
          <w:szCs w:val="20"/>
          <w:color w:val="auto"/>
        </w:rPr>
        <w:t xml:space="preserve"> as though it were a Lender, provided such Participant shall be subject to </w:t>
      </w:r>
      <w:r>
        <w:rPr>
          <w:rFonts w:ascii="Arial" w:cs="Arial" w:eastAsia="Arial" w:hAnsi="Arial"/>
          <w:sz w:val="20"/>
          <w:szCs w:val="20"/>
          <w:u w:val="single" w:color="auto"/>
          <w:color w:val="auto"/>
        </w:rPr>
        <w:t>Section 9.7(a)</w:t>
      </w:r>
      <w:r>
        <w:rPr>
          <w:rFonts w:ascii="Arial" w:cs="Arial" w:eastAsia="Arial" w:hAnsi="Arial"/>
          <w:sz w:val="20"/>
          <w:szCs w:val="20"/>
          <w:color w:val="auto"/>
        </w:rPr>
        <w:t xml:space="preserve"> as though it were a Lender.</w:t>
      </w:r>
    </w:p>
    <w:p>
      <w:pPr>
        <w:spacing w:after="0" w:line="212" w:lineRule="exact"/>
        <w:rPr>
          <w:rFonts w:ascii="Arial" w:cs="Arial" w:eastAsia="Arial" w:hAnsi="Arial"/>
          <w:sz w:val="20"/>
          <w:szCs w:val="20"/>
          <w:color w:val="auto"/>
        </w:rPr>
      </w:pPr>
    </w:p>
    <w:p>
      <w:pPr>
        <w:ind w:left="660" w:right="20" w:firstLine="644"/>
        <w:spacing w:after="0"/>
        <w:tabs>
          <w:tab w:leader="none" w:pos="1693" w:val="left"/>
        </w:tabs>
        <w:numPr>
          <w:ilvl w:val="1"/>
          <w:numId w:val="245"/>
        </w:numPr>
        <w:rPr>
          <w:rFonts w:ascii="Arial" w:cs="Arial" w:eastAsia="Arial" w:hAnsi="Arial"/>
          <w:sz w:val="20"/>
          <w:szCs w:val="20"/>
          <w:color w:val="auto"/>
        </w:rPr>
      </w:pPr>
      <w:r>
        <w:rPr>
          <w:rFonts w:ascii="Arial" w:cs="Arial" w:eastAsia="Arial" w:hAnsi="Arial"/>
          <w:sz w:val="20"/>
          <w:szCs w:val="20"/>
          <w:color w:val="auto"/>
        </w:rPr>
        <w:t xml:space="preserve">A Participant shall not be entitled to receive any greater payment under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2.16</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2.17</w:t>
      </w:r>
      <w:r>
        <w:rPr>
          <w:rFonts w:ascii="Arial" w:cs="Arial" w:eastAsia="Arial" w:hAnsi="Arial"/>
          <w:sz w:val="20"/>
          <w:szCs w:val="20"/>
          <w:color w:val="auto"/>
        </w:rPr>
        <w:t xml:space="preserve"> than the applicable Lender would have been entitled to receive with respect to the participation sold to such Participant, except to the extent that any entitlement to a greater payment results from a change in any Requirement of Law arising after such Participant became a Participant.</w:t>
      </w:r>
    </w:p>
    <w:p>
      <w:pPr>
        <w:spacing w:after="0" w:line="214" w:lineRule="exact"/>
        <w:rPr>
          <w:rFonts w:ascii="Arial" w:cs="Arial" w:eastAsia="Arial" w:hAnsi="Arial"/>
          <w:sz w:val="20"/>
          <w:szCs w:val="20"/>
          <w:color w:val="auto"/>
        </w:rPr>
      </w:pPr>
    </w:p>
    <w:p>
      <w:pPr>
        <w:ind w:left="660" w:right="60" w:firstLine="644"/>
        <w:spacing w:after="0" w:line="235" w:lineRule="auto"/>
        <w:tabs>
          <w:tab w:leader="none" w:pos="1748" w:val="left"/>
        </w:tabs>
        <w:numPr>
          <w:ilvl w:val="1"/>
          <w:numId w:val="245"/>
        </w:numPr>
        <w:rPr>
          <w:rFonts w:ascii="Arial" w:cs="Arial" w:eastAsia="Arial" w:hAnsi="Arial"/>
          <w:sz w:val="20"/>
          <w:szCs w:val="20"/>
          <w:color w:val="auto"/>
        </w:rPr>
      </w:pPr>
      <w:r>
        <w:rPr>
          <w:rFonts w:ascii="Arial" w:cs="Arial" w:eastAsia="Arial" w:hAnsi="Arial"/>
          <w:sz w:val="20"/>
          <w:szCs w:val="20"/>
          <w:color w:val="auto"/>
        </w:rPr>
        <w:t>Each Lender that sells a participation shall, acting solely for this purpose as a non-fiduciary agent of the Borrower, maintain a register on which it enters the name and address of each participant and the principal amounts (and related interest amounts) of each participant’s interest in the Term Loans or other obligations under this Agreement (the “</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The entries in a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to any Person (including the identity of any Participant or any information relating to a Participant’s interest in any Term Loans) except to the extent that such disclosure is necessary to establish that such Term Loan is in registered form under Section 5f.103(c) of the United States Treasury Regulations or, if different, under Sections 871(h) or 881(c) of the Code.</w:t>
      </w:r>
    </w:p>
    <w:p>
      <w:pPr>
        <w:spacing w:after="0" w:line="205" w:lineRule="exact"/>
        <w:rPr>
          <w:rFonts w:ascii="Arial" w:cs="Arial" w:eastAsia="Arial" w:hAnsi="Arial"/>
          <w:sz w:val="20"/>
          <w:szCs w:val="20"/>
          <w:color w:val="auto"/>
        </w:rPr>
      </w:pPr>
    </w:p>
    <w:p>
      <w:pPr>
        <w:ind w:right="20" w:firstLine="656"/>
        <w:spacing w:after="0"/>
        <w:tabs>
          <w:tab w:leader="none" w:pos="1099"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rFonts w:ascii="Arial" w:cs="Arial" w:eastAsia="Arial" w:hAnsi="Arial"/>
          <w:sz w:val="20"/>
          <w:szCs w:val="20"/>
          <w:color w:val="auto"/>
        </w:rPr>
      </w:pPr>
    </w:p>
    <w:p>
      <w:pPr>
        <w:ind w:right="80" w:firstLine="656"/>
        <w:spacing w:after="0"/>
        <w:tabs>
          <w:tab w:leader="none" w:pos="1110" w:val="left"/>
        </w:tabs>
        <w:numPr>
          <w:ilvl w:val="0"/>
          <w:numId w:val="245"/>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9.15</w:t>
      </w:r>
      <w:r>
        <w:rPr>
          <w:rFonts w:ascii="Arial" w:cs="Arial" w:eastAsia="Arial" w:hAnsi="Arial"/>
          <w:sz w:val="20"/>
          <w:szCs w:val="20"/>
          <w:color w:val="auto"/>
        </w:rPr>
        <w:t xml:space="preserve">, the Borrower authorizes each Lender to disclose to any Transferee and any prospective Transferee (in each case which agrees to comply with the provisions of </w:t>
      </w:r>
      <w:r>
        <w:rPr>
          <w:rFonts w:ascii="Arial" w:cs="Arial" w:eastAsia="Arial" w:hAnsi="Arial"/>
          <w:sz w:val="20"/>
          <w:szCs w:val="20"/>
          <w:u w:val="single" w:color="auto"/>
          <w:color w:val="auto"/>
        </w:rPr>
        <w:t>Section 9.15</w:t>
      </w:r>
      <w:r>
        <w:rPr>
          <w:rFonts w:ascii="Arial" w:cs="Arial" w:eastAsia="Arial" w:hAnsi="Arial"/>
          <w:sz w:val="20"/>
          <w:szCs w:val="20"/>
          <w:color w:val="auto"/>
        </w:rPr>
        <w:t xml:space="preserve"> or confidentiality requirements no less restrictive on such prospective transferee than those set forth in </w:t>
      </w:r>
      <w:r>
        <w:rPr>
          <w:rFonts w:ascii="Arial" w:cs="Arial" w:eastAsia="Arial" w:hAnsi="Arial"/>
          <w:sz w:val="20"/>
          <w:szCs w:val="20"/>
          <w:u w:val="single" w:color="auto"/>
          <w:color w:val="auto"/>
        </w:rPr>
        <w:t>Section 9.15</w:t>
      </w:r>
      <w:r>
        <w:rPr>
          <w:rFonts w:ascii="Arial" w:cs="Arial" w:eastAsia="Arial" w:hAnsi="Arial"/>
          <w:sz w:val="20"/>
          <w:szCs w:val="20"/>
          <w:color w:val="auto"/>
        </w:rPr>
        <w:t>) any and all financial information in such Lender’s possession concerning the Borrower and its Affiliates which has been delivered to such Lender by or on behalf of the Borrower pursuant to this Agreement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200"/>
          </w:cols>
          <w:pgMar w:left="320" w:top="1414" w:right="379" w:bottom="1440" w:gutter="0" w:footer="0" w:header="0"/>
        </w:sectPr>
      </w:pPr>
    </w:p>
    <w:bookmarkStart w:id="237" w:name="page238"/>
    <w:bookmarkEnd w:id="237"/>
    <w:p>
      <w:pPr>
        <w:ind w:right="580"/>
        <w:spacing w:after="0" w:line="257" w:lineRule="auto"/>
        <w:rPr>
          <w:sz w:val="20"/>
          <w:szCs w:val="20"/>
          <w:color w:val="auto"/>
        </w:rPr>
      </w:pPr>
      <w:r>
        <w:rPr>
          <w:rFonts w:ascii="Arial" w:cs="Arial" w:eastAsia="Arial" w:hAnsi="Arial"/>
          <w:sz w:val="20"/>
          <w:szCs w:val="20"/>
          <w:color w:val="auto"/>
        </w:rPr>
        <w:t>other Loan Document or which has been delivered to such Lender by or on behalf of the Borrower in connection with such Lender’s credit evaluation of the Borrower and its Affiliates prior to becoming a party to this Agreement.</w:t>
      </w:r>
    </w:p>
    <w:p>
      <w:pPr>
        <w:spacing w:after="0" w:line="19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19"/>
          <w:szCs w:val="19"/>
          <w:u w:val="single" w:color="auto"/>
          <w:color w:val="auto"/>
        </w:rPr>
        <w:t>Adjustments; Setoff</w:t>
      </w:r>
      <w:r>
        <w:rPr>
          <w:rFonts w:ascii="Arial" w:cs="Arial" w:eastAsia="Arial" w:hAnsi="Arial"/>
          <w:sz w:val="19"/>
          <w:szCs w:val="19"/>
          <w:color w:val="auto"/>
        </w:rPr>
        <w:t>.</w:t>
      </w:r>
    </w:p>
    <w:p>
      <w:pPr>
        <w:spacing w:after="0" w:line="229" w:lineRule="exact"/>
        <w:rPr>
          <w:sz w:val="20"/>
          <w:szCs w:val="20"/>
          <w:color w:val="auto"/>
        </w:rPr>
      </w:pPr>
    </w:p>
    <w:p>
      <w:pPr>
        <w:ind w:right="20" w:firstLine="656"/>
        <w:spacing w:after="0" w:line="233" w:lineRule="auto"/>
        <w:tabs>
          <w:tab w:leader="none" w:pos="111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Except to the extent that this Agreement, any other Loan Document or a court order expressly provides or permits for payments to be allocated to a particular Lender or to the Lenders, if any Lender (a “</w:t>
      </w:r>
      <w:r>
        <w:rPr>
          <w:rFonts w:ascii="Arial" w:cs="Arial" w:eastAsia="Arial" w:hAnsi="Arial"/>
          <w:sz w:val="20"/>
          <w:szCs w:val="20"/>
          <w:u w:val="single" w:color="auto"/>
          <w:color w:val="auto"/>
        </w:rPr>
        <w:t>Benefited Lender</w:t>
      </w:r>
      <w:r>
        <w:rPr>
          <w:rFonts w:ascii="Arial" w:cs="Arial" w:eastAsia="Arial" w:hAnsi="Arial"/>
          <w:sz w:val="20"/>
          <w:szCs w:val="20"/>
          <w:color w:val="auto"/>
        </w:rPr>
        <w:t xml:space="preserve">”) shall receive any payment of all or part of the Obligations owing to it (other than in connection with an assignment or participation made pursuant to </w:t>
      </w:r>
      <w:r>
        <w:rPr>
          <w:rFonts w:ascii="Arial" w:cs="Arial" w:eastAsia="Arial" w:hAnsi="Arial"/>
          <w:sz w:val="20"/>
          <w:szCs w:val="20"/>
          <w:u w:val="single" w:color="auto"/>
          <w:color w:val="auto"/>
        </w:rPr>
        <w:t>Section 9.6</w:t>
      </w:r>
      <w:r>
        <w:rPr>
          <w:rFonts w:ascii="Arial" w:cs="Arial" w:eastAsia="Arial" w:hAnsi="Arial"/>
          <w:sz w:val="20"/>
          <w:szCs w:val="20"/>
          <w:color w:val="auto"/>
        </w:rPr>
        <w:t xml:space="preserve">), or receive any collateral in respect thereof (whether voluntarily or involuntarily, by setoff or otherwise), in a greater proportion than any such payment to or collateral received by any other Lender, if any, in respect of the Obligations owing to such other Lender, such Benefited Lender shall purchase for cash from the other Lenders a participating interest in such portion of the Obligations owing to each such other Lender, or shall provide such other Lenders with the benefits of any such collateral, as shall be necessary to cause such Benefited Lender to share the excess payment or benefits of such collateral ratably with each of the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5" w:lineRule="exact"/>
        <w:rPr>
          <w:rFonts w:ascii="Arial" w:cs="Arial" w:eastAsia="Arial" w:hAnsi="Arial"/>
          <w:sz w:val="20"/>
          <w:szCs w:val="20"/>
          <w:color w:val="auto"/>
        </w:rPr>
      </w:pPr>
    </w:p>
    <w:p>
      <w:pPr>
        <w:ind w:right="60" w:firstLine="656"/>
        <w:spacing w:after="0" w:line="246" w:lineRule="auto"/>
        <w:tabs>
          <w:tab w:leader="none" w:pos="111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 xml:space="preserve">In addition to any rights and remedies of the Lenders provided by law, each Lender shall have the right, unless otherwise agreed in writing by such Lender with the Borrower, without notice to the Borrower, any such notice being expressly waived by the Borrower to the extent permitted by applicable law, upon any Obligations becoming due and payable by the Borrower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Lender, any affiliate thereof or any of their respective branches or agencies to or for the credit or the account of the Borrower. Each Lender agrees promptly to notify the Borrower and the Administrative Agent after any such application made by such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application.</w:t>
      </w:r>
    </w:p>
    <w:p>
      <w:pPr>
        <w:spacing w:after="0" w:line="207" w:lineRule="exact"/>
        <w:rPr>
          <w:sz w:val="20"/>
          <w:szCs w:val="20"/>
          <w:color w:val="auto"/>
        </w:rPr>
      </w:pPr>
    </w:p>
    <w:p>
      <w:pPr>
        <w:ind w:right="40" w:firstLine="648"/>
        <w:spacing w:after="0" w:line="235" w:lineRule="auto"/>
        <w:rPr>
          <w:sz w:val="20"/>
          <w:szCs w:val="20"/>
          <w:color w:val="auto"/>
        </w:rPr>
      </w:pPr>
      <w:r>
        <w:rPr>
          <w:rFonts w:ascii="Arial" w:cs="Arial" w:eastAsia="Arial" w:hAnsi="Arial"/>
          <w:sz w:val="20"/>
          <w:szCs w:val="20"/>
          <w:color w:val="auto"/>
        </w:rPr>
        <w:t xml:space="preserve">9.8.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email transmission shall be effective as delivery of a manually executed counterpart hereof. The words “execution”, “signed”, “signature” and words of like import in this Agreement or in any other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214"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9.9. </w:t>
      </w: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1" w:lineRule="exact"/>
        <w:rPr>
          <w:sz w:val="20"/>
          <w:szCs w:val="20"/>
          <w:color w:val="auto"/>
        </w:rPr>
      </w:pPr>
    </w:p>
    <w:p>
      <w:pPr>
        <w:ind w:right="160" w:firstLine="648"/>
        <w:spacing w:after="0" w:line="248" w:lineRule="auto"/>
        <w:rPr>
          <w:sz w:val="20"/>
          <w:szCs w:val="20"/>
          <w:color w:val="auto"/>
        </w:rPr>
      </w:pPr>
      <w:r>
        <w:rPr>
          <w:rFonts w:ascii="Arial" w:cs="Arial" w:eastAsia="Arial" w:hAnsi="Arial"/>
          <w:sz w:val="20"/>
          <w:szCs w:val="20"/>
          <w:color w:val="auto"/>
        </w:rPr>
        <w:t xml:space="preserve">9.10. </w:t>
      </w: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and the other Loan Documents represent the entire agreement of the Borrower, the Administrative Agent and the Lenders with respect to the subject matter hereof and thereof, and there are no promises, undertakings, representations or warranties by the Administrative Agent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14" w:right="339" w:bottom="1440" w:gutter="0" w:footer="0" w:header="0"/>
        </w:sectPr>
      </w:pPr>
    </w:p>
    <w:bookmarkStart w:id="238" w:name="page239"/>
    <w:bookmarkEnd w:id="238"/>
    <w:p>
      <w:pPr>
        <w:spacing w:after="0"/>
        <w:rPr>
          <w:sz w:val="20"/>
          <w:szCs w:val="20"/>
          <w:color w:val="auto"/>
        </w:rPr>
      </w:pPr>
      <w:r>
        <w:rPr>
          <w:rFonts w:ascii="Arial" w:cs="Arial" w:eastAsia="Arial" w:hAnsi="Arial"/>
          <w:sz w:val="20"/>
          <w:szCs w:val="20"/>
          <w:color w:val="auto"/>
        </w:rPr>
        <w:t>Lender relative to the subject matter hereof not expressly set forth or referred to herein or in the other Loan Documents.</w:t>
      </w:r>
    </w:p>
    <w:p>
      <w:pPr>
        <w:spacing w:after="0" w:line="229" w:lineRule="exact"/>
        <w:rPr>
          <w:sz w:val="20"/>
          <w:szCs w:val="20"/>
          <w:color w:val="auto"/>
        </w:rPr>
      </w:pPr>
    </w:p>
    <w:p>
      <w:pPr>
        <w:jc w:val="both"/>
        <w:ind w:right="360" w:firstLine="648"/>
        <w:spacing w:after="0" w:line="248" w:lineRule="auto"/>
        <w:rPr>
          <w:sz w:val="20"/>
          <w:szCs w:val="20"/>
          <w:color w:val="auto"/>
        </w:rPr>
      </w:pPr>
      <w:r>
        <w:rPr>
          <w:rFonts w:ascii="Arial" w:cs="Arial" w:eastAsia="Arial" w:hAnsi="Arial"/>
          <w:sz w:val="20"/>
          <w:szCs w:val="20"/>
          <w:color w:val="auto"/>
        </w:rPr>
        <w:t xml:space="preserve">9.11.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AND THE RIGHTS AND OBLIGATIONS OF THE PARTIES UNDER THIS AGREEMENT SHALL BE GOVERNED BY, AND CONSTRUED AND INTERPRETED IN ACCORDANCE WITH, THE LAW OF THE STATE OF NEW YORK.</w:t>
      </w:r>
    </w:p>
    <w:p>
      <w:pPr>
        <w:spacing w:after="0" w:line="20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9"/>
          <w:szCs w:val="19"/>
          <w:u w:val="single" w:color="auto"/>
          <w:color w:val="auto"/>
        </w:rPr>
        <w:t>Submission To Jurisdiction; Waivers</w:t>
      </w:r>
      <w:r>
        <w:rPr>
          <w:rFonts w:ascii="Arial" w:cs="Arial" w:eastAsia="Arial" w:hAnsi="Arial"/>
          <w:sz w:val="19"/>
          <w:szCs w:val="19"/>
          <w:color w:val="auto"/>
        </w:rPr>
        <w:t>.</w:t>
      </w:r>
    </w:p>
    <w:p>
      <w:pPr>
        <w:spacing w:after="0" w:line="229" w:lineRule="exact"/>
        <w:rPr>
          <w:sz w:val="20"/>
          <w:szCs w:val="20"/>
          <w:color w:val="auto"/>
        </w:rPr>
      </w:pPr>
    </w:p>
    <w:p>
      <w:pPr>
        <w:ind w:right="60" w:firstLine="656"/>
        <w:spacing w:after="0"/>
        <w:tabs>
          <w:tab w:leader="none" w:pos="111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 xml:space="preserve">Subject to clause (b)(iii) of this </w:t>
      </w:r>
      <w:r>
        <w:rPr>
          <w:rFonts w:ascii="Arial" w:cs="Arial" w:eastAsia="Arial" w:hAnsi="Arial"/>
          <w:sz w:val="20"/>
          <w:szCs w:val="20"/>
          <w:u w:val="single" w:color="auto"/>
          <w:color w:val="auto"/>
        </w:rPr>
        <w:t>Section 9.12</w:t>
      </w:r>
      <w:r>
        <w:rPr>
          <w:rFonts w:ascii="Arial" w:cs="Arial" w:eastAsia="Arial" w:hAnsi="Arial"/>
          <w:sz w:val="20"/>
          <w:szCs w:val="20"/>
          <w:color w:val="auto"/>
        </w:rPr>
        <w:t>, each party hereto hereby irrevocably and unconditionally submits for itself and its property in any legal action or proceeding relating to this Agreement and the other Loan Documents to which it is a party, or for recognition and enforcement of any judgment in respect thereof, to the exclusive general jurisdiction of the courts of the State of New York, the courts of the United States for the Southern District of New York, and appellate courts from any thereof, in each case that are located in the Borough of Manhattan, the City of New York;</w:t>
      </w:r>
    </w:p>
    <w:p>
      <w:pPr>
        <w:spacing w:after="0" w:line="200" w:lineRule="exact"/>
        <w:rPr>
          <w:rFonts w:ascii="Arial" w:cs="Arial" w:eastAsia="Arial" w:hAnsi="Arial"/>
          <w:sz w:val="20"/>
          <w:szCs w:val="20"/>
          <w:color w:val="auto"/>
        </w:rPr>
      </w:pPr>
    </w:p>
    <w:p>
      <w:pPr>
        <w:ind w:left="1120" w:hanging="464"/>
        <w:spacing w:after="0"/>
        <w:tabs>
          <w:tab w:leader="none" w:pos="1120" w:val="left"/>
        </w:tabs>
        <w:numPr>
          <w:ilvl w:val="0"/>
          <w:numId w:val="247"/>
        </w:numPr>
        <w:rPr>
          <w:rFonts w:ascii="Arial" w:cs="Arial" w:eastAsia="Arial" w:hAnsi="Arial"/>
          <w:sz w:val="20"/>
          <w:szCs w:val="20"/>
          <w:color w:val="auto"/>
        </w:rPr>
      </w:pPr>
      <w:r>
        <w:rPr>
          <w:rFonts w:ascii="Arial" w:cs="Arial" w:eastAsia="Arial" w:hAnsi="Arial"/>
          <w:sz w:val="20"/>
          <w:szCs w:val="20"/>
          <w:color w:val="auto"/>
        </w:rPr>
        <w:t>The Borrower hereby irrevocably and unconditionally:</w:t>
      </w:r>
    </w:p>
    <w:p>
      <w:pPr>
        <w:spacing w:after="0" w:line="242" w:lineRule="exact"/>
        <w:rPr>
          <w:rFonts w:ascii="Arial" w:cs="Arial" w:eastAsia="Arial" w:hAnsi="Arial"/>
          <w:sz w:val="20"/>
          <w:szCs w:val="20"/>
          <w:color w:val="auto"/>
        </w:rPr>
      </w:pPr>
    </w:p>
    <w:p>
      <w:pPr>
        <w:ind w:left="660" w:right="300" w:firstLine="644"/>
        <w:spacing w:after="0" w:line="241" w:lineRule="auto"/>
        <w:tabs>
          <w:tab w:leader="none" w:pos="1704" w:val="left"/>
        </w:tabs>
        <w:numPr>
          <w:ilvl w:val="1"/>
          <w:numId w:val="247"/>
        </w:numPr>
        <w:rPr>
          <w:rFonts w:ascii="Arial" w:cs="Arial" w:eastAsia="Arial" w:hAnsi="Arial"/>
          <w:sz w:val="20"/>
          <w:szCs w:val="20"/>
          <w:color w:val="auto"/>
        </w:rPr>
      </w:pPr>
      <w:r>
        <w:rPr>
          <w:rFonts w:ascii="Arial" w:cs="Arial" w:eastAsia="Arial" w:hAnsi="Arial"/>
          <w:sz w:val="20"/>
          <w:szCs w:val="20"/>
          <w:color w:val="auto"/>
        </w:rPr>
        <w:t>agrees that any such action or proceeding shall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211" w:lineRule="exact"/>
        <w:rPr>
          <w:rFonts w:ascii="Arial" w:cs="Arial" w:eastAsia="Arial" w:hAnsi="Arial"/>
          <w:sz w:val="20"/>
          <w:szCs w:val="20"/>
          <w:color w:val="auto"/>
        </w:rPr>
      </w:pPr>
    </w:p>
    <w:p>
      <w:pPr>
        <w:jc w:val="both"/>
        <w:ind w:left="660" w:right="200" w:firstLine="644"/>
        <w:spacing w:after="0"/>
        <w:tabs>
          <w:tab w:leader="none" w:pos="1748" w:val="left"/>
        </w:tabs>
        <w:numPr>
          <w:ilvl w:val="1"/>
          <w:numId w:val="247"/>
        </w:numPr>
        <w:rPr>
          <w:rFonts w:ascii="Arial" w:cs="Arial" w:eastAsia="Arial" w:hAnsi="Arial"/>
          <w:sz w:val="20"/>
          <w:szCs w:val="20"/>
          <w:color w:val="auto"/>
        </w:rPr>
      </w:pPr>
      <w:r>
        <w:rPr>
          <w:rFonts w:ascii="Arial" w:cs="Arial" w:eastAsia="Arial" w:hAnsi="Arial"/>
          <w:sz w:val="20"/>
          <w:szCs w:val="20"/>
          <w:color w:val="auto"/>
        </w:rPr>
        <w:t xml:space="preserve">agrees that service of process in any such action or proceeding may be effected by mailing a copy thereof by registered or certified mail (or any substantially similar form of mail), postage prepaid, to the Borrower at its address set forth in </w:t>
      </w:r>
      <w:r>
        <w:rPr>
          <w:rFonts w:ascii="Arial" w:cs="Arial" w:eastAsia="Arial" w:hAnsi="Arial"/>
          <w:sz w:val="20"/>
          <w:szCs w:val="20"/>
          <w:u w:val="single" w:color="auto"/>
          <w:color w:val="auto"/>
        </w:rPr>
        <w:t>Section 9.2</w:t>
      </w:r>
      <w:r>
        <w:rPr>
          <w:rFonts w:ascii="Arial" w:cs="Arial" w:eastAsia="Arial" w:hAnsi="Arial"/>
          <w:sz w:val="20"/>
          <w:szCs w:val="20"/>
          <w:color w:val="auto"/>
        </w:rPr>
        <w:t xml:space="preserve"> or at such other address of which the Administrative Agent shall have been notified pursuant thereto;</w:t>
      </w:r>
    </w:p>
    <w:p>
      <w:pPr>
        <w:spacing w:after="0" w:line="214" w:lineRule="exact"/>
        <w:rPr>
          <w:rFonts w:ascii="Arial" w:cs="Arial" w:eastAsia="Arial" w:hAnsi="Arial"/>
          <w:sz w:val="20"/>
          <w:szCs w:val="20"/>
          <w:color w:val="auto"/>
        </w:rPr>
      </w:pPr>
    </w:p>
    <w:p>
      <w:pPr>
        <w:ind w:left="660" w:firstLine="644"/>
        <w:spacing w:after="0" w:line="257" w:lineRule="auto"/>
        <w:tabs>
          <w:tab w:leader="none" w:pos="1792" w:val="left"/>
        </w:tabs>
        <w:numPr>
          <w:ilvl w:val="1"/>
          <w:numId w:val="247"/>
        </w:numPr>
        <w:rPr>
          <w:rFonts w:ascii="Arial" w:cs="Arial" w:eastAsia="Arial" w:hAnsi="Arial"/>
          <w:sz w:val="20"/>
          <w:szCs w:val="20"/>
          <w:color w:val="auto"/>
        </w:rPr>
      </w:pPr>
      <w:r>
        <w:rPr>
          <w:rFonts w:ascii="Arial" w:cs="Arial" w:eastAsia="Arial" w:hAnsi="Arial"/>
          <w:sz w:val="20"/>
          <w:szCs w:val="20"/>
          <w:color w:val="auto"/>
        </w:rPr>
        <w:t>agrees that nothing herein shall affect the right to effect service of process in any other manner permitted by law or shall limit the right of any Agent, any Arranger or any Lender to sue in any other jurisdiction; and</w:t>
      </w:r>
    </w:p>
    <w:p>
      <w:pPr>
        <w:spacing w:after="0" w:line="182" w:lineRule="exact"/>
        <w:rPr>
          <w:rFonts w:ascii="Arial" w:cs="Arial" w:eastAsia="Arial" w:hAnsi="Arial"/>
          <w:sz w:val="20"/>
          <w:szCs w:val="20"/>
          <w:color w:val="auto"/>
        </w:rPr>
      </w:pPr>
    </w:p>
    <w:p>
      <w:pPr>
        <w:ind w:left="660" w:right="180" w:firstLine="644"/>
        <w:spacing w:after="0" w:line="271" w:lineRule="auto"/>
        <w:tabs>
          <w:tab w:leader="none" w:pos="1803" w:val="left"/>
        </w:tabs>
        <w:numPr>
          <w:ilvl w:val="1"/>
          <w:numId w:val="247"/>
        </w:numPr>
        <w:rPr>
          <w:rFonts w:ascii="Arial" w:cs="Arial" w:eastAsia="Arial" w:hAnsi="Arial"/>
          <w:sz w:val="20"/>
          <w:szCs w:val="20"/>
          <w:color w:val="auto"/>
        </w:rPr>
      </w:pPr>
      <w:r>
        <w:rPr>
          <w:rFonts w:ascii="Arial" w:cs="Arial" w:eastAsia="Arial" w:hAnsi="Arial"/>
          <w:sz w:val="20"/>
          <w:szCs w:val="20"/>
          <w:color w:val="auto"/>
        </w:rPr>
        <w:t>waives, to the maximum extent not prohibited by law, any right it may have to claim or recover in any legal action or proceeding referred to in this Section any special, exemplary, punitive or consequential damages.</w:t>
      </w:r>
    </w:p>
    <w:p>
      <w:pPr>
        <w:spacing w:after="0" w:line="16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9.13.</w:t>
      </w:r>
      <w:r>
        <w:rPr>
          <w:sz w:val="20"/>
          <w:szCs w:val="20"/>
          <w:color w:val="auto"/>
        </w:rPr>
        <w:tab/>
      </w:r>
      <w:r>
        <w:rPr>
          <w:rFonts w:ascii="Arial" w:cs="Arial" w:eastAsia="Arial" w:hAnsi="Arial"/>
          <w:sz w:val="19"/>
          <w:szCs w:val="19"/>
          <w:u w:val="single" w:color="auto"/>
          <w:color w:val="auto"/>
        </w:rPr>
        <w:t>Acknowledgments</w:t>
      </w:r>
      <w:r>
        <w:rPr>
          <w:rFonts w:ascii="Arial" w:cs="Arial" w:eastAsia="Arial" w:hAnsi="Arial"/>
          <w:sz w:val="19"/>
          <w:szCs w:val="19"/>
          <w:color w:val="auto"/>
        </w:rPr>
        <w:t>. The Borrower hereby acknowledges that:</w:t>
      </w:r>
    </w:p>
    <w:p>
      <w:pPr>
        <w:spacing w:after="0" w:line="243" w:lineRule="exact"/>
        <w:rPr>
          <w:sz w:val="20"/>
          <w:szCs w:val="20"/>
          <w:color w:val="auto"/>
        </w:rPr>
      </w:pPr>
    </w:p>
    <w:p>
      <w:pPr>
        <w:ind w:left="1120" w:hanging="464"/>
        <w:spacing w:after="0"/>
        <w:tabs>
          <w:tab w:leader="none" w:pos="112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it has been advised by counsel in the negotiation, execution and delivery of this Agreement and the other Loan</w:t>
      </w:r>
    </w:p>
    <w:p>
      <w:pPr>
        <w:spacing w:after="0" w:line="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Documents;</w:t>
      </w:r>
    </w:p>
    <w:p>
      <w:pPr>
        <w:spacing w:after="0" w:line="224" w:lineRule="exact"/>
        <w:rPr>
          <w:rFonts w:ascii="Arial" w:cs="Arial" w:eastAsia="Arial" w:hAnsi="Arial"/>
          <w:sz w:val="20"/>
          <w:szCs w:val="20"/>
          <w:color w:val="auto"/>
        </w:rPr>
      </w:pPr>
    </w:p>
    <w:p>
      <w:pPr>
        <w:ind w:right="60" w:firstLine="656"/>
        <w:spacing w:after="0" w:line="241" w:lineRule="auto"/>
        <w:tabs>
          <w:tab w:leader="none" w:pos="111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notwithstanding the provisions of this Agreement or any of the other Loan Documents, the Arrangers, Syndication Agents and Documentation Agents shall have no powers, duties, responsibilities or liabilities with respect to this Agreement and the other Loan Documents;</w:t>
      </w:r>
    </w:p>
    <w:p>
      <w:pPr>
        <w:spacing w:after="0" w:line="211" w:lineRule="exact"/>
        <w:rPr>
          <w:rFonts w:ascii="Arial" w:cs="Arial" w:eastAsia="Arial" w:hAnsi="Arial"/>
          <w:sz w:val="20"/>
          <w:szCs w:val="20"/>
          <w:color w:val="auto"/>
        </w:rPr>
      </w:pPr>
    </w:p>
    <w:p>
      <w:pPr>
        <w:ind w:right="180" w:firstLine="656"/>
        <w:spacing w:after="0" w:line="257" w:lineRule="auto"/>
        <w:tabs>
          <w:tab w:leader="none" w:pos="1099"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Agent, the Arrangers, the Syndication Agents, the Documentation Agents, the Lenders and their Affiliates may have economic interests that conflict with those of the Borrower; and</w:t>
      </w:r>
    </w:p>
    <w:p>
      <w:pPr>
        <w:spacing w:after="0" w:line="195" w:lineRule="exact"/>
        <w:rPr>
          <w:rFonts w:ascii="Arial" w:cs="Arial" w:eastAsia="Arial" w:hAnsi="Arial"/>
          <w:sz w:val="20"/>
          <w:szCs w:val="20"/>
          <w:color w:val="auto"/>
        </w:rPr>
      </w:pPr>
    </w:p>
    <w:p>
      <w:pPr>
        <w:ind w:right="120" w:firstLine="656"/>
        <w:spacing w:after="0" w:line="257" w:lineRule="auto"/>
        <w:tabs>
          <w:tab w:leader="none" w:pos="1110" w:val="left"/>
        </w:tabs>
        <w:numPr>
          <w:ilvl w:val="0"/>
          <w:numId w:val="248"/>
        </w:numPr>
        <w:rPr>
          <w:rFonts w:ascii="Arial" w:cs="Arial" w:eastAsia="Arial" w:hAnsi="Arial"/>
          <w:sz w:val="20"/>
          <w:szCs w:val="20"/>
          <w:color w:val="auto"/>
        </w:rPr>
      </w:pPr>
      <w:r>
        <w:rPr>
          <w:rFonts w:ascii="Arial" w:cs="Arial" w:eastAsia="Arial" w:hAnsi="Arial"/>
          <w:sz w:val="20"/>
          <w:szCs w:val="20"/>
          <w:color w:val="auto"/>
        </w:rPr>
        <w:t>no joint venture is created hereby or by the other Loan Documents or otherwise exists by virtue of the transactions contemplated hereby among the Lenders or among the Borrower and the Lenders.</w:t>
      </w:r>
    </w:p>
    <w:p>
      <w:pPr>
        <w:spacing w:after="0" w:line="19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9.14.</w:t>
      </w:r>
      <w:r>
        <w:rPr>
          <w:sz w:val="20"/>
          <w:szCs w:val="20"/>
          <w:color w:val="auto"/>
        </w:rPr>
        <w:tab/>
      </w:r>
      <w:r>
        <w:rPr>
          <w:rFonts w:ascii="Arial" w:cs="Arial" w:eastAsia="Arial" w:hAnsi="Arial"/>
          <w:sz w:val="19"/>
          <w:szCs w:val="19"/>
          <w:u w:val="single" w:color="auto"/>
          <w:color w:val="auto"/>
        </w:rPr>
        <w:t>Guarantors; Release of Guarantors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220"/>
          </w:cols>
          <w:pgMar w:left="320" w:top="1414" w:right="359" w:bottom="1440" w:gutter="0" w:footer="0" w:header="0"/>
        </w:sectPr>
      </w:pPr>
    </w:p>
    <w:bookmarkStart w:id="239" w:name="page240"/>
    <w:bookmarkEnd w:id="239"/>
    <w:p>
      <w:pPr>
        <w:spacing w:after="0" w:line="218" w:lineRule="exact"/>
        <w:rPr>
          <w:sz w:val="20"/>
          <w:szCs w:val="20"/>
          <w:color w:val="auto"/>
        </w:rPr>
      </w:pPr>
    </w:p>
    <w:p>
      <w:pPr>
        <w:jc w:val="both"/>
        <w:ind w:right="180" w:firstLine="656"/>
        <w:spacing w:after="0"/>
        <w:tabs>
          <w:tab w:leader="none" w:pos="1106"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Borrower may, at any time after the Closing Date, upon prior written notice to the Administrative Agent, cause any of its Subsidiaries to become a Guarantor by causing such Subsidiary to execute and deliver to the Administrative Agent a Subsidiary Guaranty, with respect to such Subsidiary, all in form and substance reasonably satisfactory to the Administrative Agent.</w:t>
      </w:r>
    </w:p>
    <w:p>
      <w:pPr>
        <w:spacing w:after="0" w:line="214" w:lineRule="exact"/>
        <w:rPr>
          <w:rFonts w:ascii="Arial" w:cs="Arial" w:eastAsia="Arial" w:hAnsi="Arial"/>
          <w:sz w:val="20"/>
          <w:szCs w:val="20"/>
          <w:color w:val="auto"/>
        </w:rPr>
      </w:pPr>
    </w:p>
    <w:p>
      <w:pPr>
        <w:ind w:right="40" w:firstLine="656"/>
        <w:spacing w:after="0" w:line="235" w:lineRule="auto"/>
        <w:tabs>
          <w:tab w:leader="none" w:pos="111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the Administrative Agent is hereby irrevocably authorized by each Lender (and each such Lender hereby expressly consents) (without requirement of notice to or consent of any Lender except as expressly required by Section 9.1(a)), and the Administrative Agent hereby agrees with the Borrower, to take any action reasonably requested by the Borrower to effect the release of any Guarantor from its guarantee obligations (i) to the extent necessary to permit consummation of any transaction not prohibited by any Loan Document or that has been consented to in accordance with Section 9.1(a), including, in each case and without limitation, any sale, transfer or other disposition of any Guarantor (other than to the Borrower or another Guarantor), and (ii) under the circumstances described in paragraph (c) below (and, upon the consummation of any such transaction in preceding clause (i) or (ii), such Guarantor shall be released from its obligations hereunder).</w:t>
      </w:r>
    </w:p>
    <w:p>
      <w:pPr>
        <w:spacing w:after="0" w:line="200" w:lineRule="exact"/>
        <w:rPr>
          <w:rFonts w:ascii="Arial" w:cs="Arial" w:eastAsia="Arial" w:hAnsi="Arial"/>
          <w:sz w:val="20"/>
          <w:szCs w:val="20"/>
          <w:color w:val="auto"/>
        </w:rPr>
      </w:pPr>
    </w:p>
    <w:p>
      <w:pPr>
        <w:ind w:right="20" w:firstLine="656"/>
        <w:spacing w:after="0"/>
        <w:tabs>
          <w:tab w:leader="none" w:pos="1099" w:val="left"/>
        </w:tabs>
        <w:numPr>
          <w:ilvl w:val="0"/>
          <w:numId w:val="249"/>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herein or in any other Loan Document, the Lenders hereby agree, and the Administrative Agent is hereby irrevocably authorized by each Lender (without requirement of notice to or consent of any Lender) to take any action required by the Borrower having the effect of releasing a Guarantor from its guarantee obligations hereunder if (i) all or substantially all of the assets of such Guarantor have been sold or otherwise disposed of (including by way of merger or consolidation) to a Person that is not a Borrower or a Guarantor or (ii) such Guarantor has been liquidated or dissolved.</w:t>
      </w:r>
    </w:p>
    <w:p>
      <w:pPr>
        <w:spacing w:after="0" w:line="199" w:lineRule="exact"/>
        <w:rPr>
          <w:rFonts w:ascii="Arial" w:cs="Arial" w:eastAsia="Arial" w:hAnsi="Arial"/>
          <w:sz w:val="20"/>
          <w:szCs w:val="20"/>
          <w:color w:val="auto"/>
        </w:rPr>
      </w:pPr>
    </w:p>
    <w:p>
      <w:pPr>
        <w:ind w:left="1120" w:hanging="464"/>
        <w:spacing w:after="0"/>
        <w:tabs>
          <w:tab w:leader="none" w:pos="1120" w:val="left"/>
        </w:tabs>
        <w:numPr>
          <w:ilvl w:val="0"/>
          <w:numId w:val="249"/>
        </w:numPr>
        <w:rPr>
          <w:rFonts w:ascii="Arial" w:cs="Arial" w:eastAsia="Arial" w:hAnsi="Arial"/>
          <w:sz w:val="20"/>
          <w:szCs w:val="20"/>
          <w:color w:val="auto"/>
        </w:rPr>
      </w:pPr>
      <w:r>
        <w:rPr>
          <w:rFonts w:ascii="Arial" w:cs="Arial" w:eastAsia="Arial" w:hAnsi="Arial"/>
          <w:sz w:val="20"/>
          <w:szCs w:val="20"/>
          <w:color w:val="auto"/>
        </w:rPr>
        <w:t>The Guarantee of the Obligations by any Guarantor will terminate upon:</w:t>
      </w:r>
    </w:p>
    <w:p>
      <w:pPr>
        <w:spacing w:after="0" w:line="229" w:lineRule="exact"/>
        <w:rPr>
          <w:rFonts w:ascii="Arial" w:cs="Arial" w:eastAsia="Arial" w:hAnsi="Arial"/>
          <w:sz w:val="20"/>
          <w:szCs w:val="20"/>
          <w:color w:val="auto"/>
        </w:rPr>
      </w:pPr>
    </w:p>
    <w:p>
      <w:pPr>
        <w:ind w:left="660" w:right="840" w:firstLine="644"/>
        <w:spacing w:after="0" w:line="271" w:lineRule="auto"/>
        <w:tabs>
          <w:tab w:leader="none" w:pos="1704" w:val="left"/>
        </w:tabs>
        <w:numPr>
          <w:ilvl w:val="1"/>
          <w:numId w:val="249"/>
        </w:numPr>
        <w:rPr>
          <w:rFonts w:ascii="Arial" w:cs="Arial" w:eastAsia="Arial" w:hAnsi="Arial"/>
          <w:sz w:val="20"/>
          <w:szCs w:val="20"/>
          <w:color w:val="auto"/>
        </w:rPr>
      </w:pPr>
      <w:r>
        <w:rPr>
          <w:rFonts w:ascii="Arial" w:cs="Arial" w:eastAsia="Arial" w:hAnsi="Arial"/>
          <w:sz w:val="20"/>
          <w:szCs w:val="20"/>
          <w:color w:val="auto"/>
        </w:rPr>
        <w:t>a sale or other disposition (including by way of consolidation or merger) of the Capital Stock of such Guarantor such that such Guarantor is no longer a Restricted Subsidiary of the Borrower; and</w:t>
      </w:r>
    </w:p>
    <w:p>
      <w:pPr>
        <w:spacing w:after="0" w:line="169" w:lineRule="exact"/>
        <w:rPr>
          <w:rFonts w:ascii="Arial" w:cs="Arial" w:eastAsia="Arial" w:hAnsi="Arial"/>
          <w:sz w:val="20"/>
          <w:szCs w:val="20"/>
          <w:color w:val="auto"/>
        </w:rPr>
      </w:pPr>
    </w:p>
    <w:p>
      <w:pPr>
        <w:ind w:left="660" w:firstLine="644"/>
        <w:spacing w:after="0" w:line="248" w:lineRule="auto"/>
        <w:tabs>
          <w:tab w:leader="none" w:pos="1748" w:val="left"/>
        </w:tabs>
        <w:numPr>
          <w:ilvl w:val="1"/>
          <w:numId w:val="249"/>
        </w:numPr>
        <w:rPr>
          <w:rFonts w:ascii="Arial" w:cs="Arial" w:eastAsia="Arial" w:hAnsi="Arial"/>
          <w:sz w:val="20"/>
          <w:szCs w:val="20"/>
          <w:color w:val="auto"/>
        </w:rPr>
      </w:pPr>
      <w:r>
        <w:rPr>
          <w:rFonts w:ascii="Arial" w:cs="Arial" w:eastAsia="Arial" w:hAnsi="Arial"/>
          <w:sz w:val="20"/>
          <w:szCs w:val="20"/>
          <w:color w:val="auto"/>
        </w:rPr>
        <w:t>if such Guarantor was not required to Guarantee the Obligations, but did so at its option, the request by such Guarantor of release at any time; provided that after giving effect to such release the Borrower would be in compliance with the covenant set forth in Section 6.1.</w:t>
      </w:r>
    </w:p>
    <w:p>
      <w:pPr>
        <w:spacing w:after="0" w:line="205" w:lineRule="exact"/>
        <w:rPr>
          <w:sz w:val="20"/>
          <w:szCs w:val="20"/>
          <w:color w:val="auto"/>
        </w:rPr>
      </w:pPr>
    </w:p>
    <w:p>
      <w:pPr>
        <w:ind w:right="380"/>
        <w:spacing w:after="0" w:line="257" w:lineRule="auto"/>
        <w:rPr>
          <w:sz w:val="20"/>
          <w:szCs w:val="20"/>
          <w:color w:val="auto"/>
        </w:rPr>
      </w:pPr>
      <w:r>
        <w:rPr>
          <w:rFonts w:ascii="Arial" w:cs="Arial" w:eastAsia="Arial" w:hAnsi="Arial"/>
          <w:sz w:val="20"/>
          <w:szCs w:val="20"/>
          <w:color w:val="auto"/>
        </w:rPr>
        <w:t>The Administrative Agent will execute any documents reasonably required in order to evidence the release of any Guarantor from its obligations under its Guarantee pursuant to the foregoing.</w:t>
      </w:r>
    </w:p>
    <w:p>
      <w:pPr>
        <w:spacing w:after="0" w:line="182" w:lineRule="exact"/>
        <w:rPr>
          <w:sz w:val="20"/>
          <w:szCs w:val="20"/>
          <w:color w:val="auto"/>
        </w:rPr>
      </w:pPr>
    </w:p>
    <w:p>
      <w:pPr>
        <w:ind w:right="40" w:firstLine="648"/>
        <w:spacing w:after="0" w:line="234" w:lineRule="auto"/>
        <w:rPr>
          <w:sz w:val="20"/>
          <w:szCs w:val="20"/>
          <w:color w:val="auto"/>
        </w:rPr>
      </w:pPr>
      <w:r>
        <w:rPr>
          <w:rFonts w:ascii="Arial" w:cs="Arial" w:eastAsia="Arial" w:hAnsi="Arial"/>
          <w:sz w:val="20"/>
          <w:szCs w:val="20"/>
          <w:color w:val="auto"/>
        </w:rPr>
        <w:t xml:space="preserve">9.15. </w:t>
      </w:r>
      <w:r>
        <w:rPr>
          <w:rFonts w:ascii="Arial" w:cs="Arial" w:eastAsia="Arial" w:hAnsi="Arial"/>
          <w:sz w:val="20"/>
          <w:szCs w:val="20"/>
          <w:u w:val="single" w:color="auto"/>
          <w:color w:val="auto"/>
        </w:rPr>
        <w:t>Confidentiality</w:t>
      </w:r>
      <w:r>
        <w:rPr>
          <w:rFonts w:ascii="Arial" w:cs="Arial" w:eastAsia="Arial" w:hAnsi="Arial"/>
          <w:sz w:val="20"/>
          <w:szCs w:val="20"/>
          <w:color w:val="auto"/>
        </w:rPr>
        <w:t xml:space="preserve">. Each Agent, each Arranger and each Lender agrees to keep confidential all non-public information provided to it by any Loan Party, the Administrative Agent or any Lender pursuant to or in connection with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herein shall prevent any Agent, any Arranger, any Lender from disclosing any such information (a) to the Administrative Agent, any other Lender or any affiliate thereof (so long as such affiliate agrees to be bound by the provisions of this </w:t>
      </w:r>
      <w:r>
        <w:rPr>
          <w:rFonts w:ascii="Arial" w:cs="Arial" w:eastAsia="Arial" w:hAnsi="Arial"/>
          <w:sz w:val="20"/>
          <w:szCs w:val="20"/>
          <w:u w:val="single" w:color="auto"/>
          <w:color w:val="auto"/>
        </w:rPr>
        <w:t>Section 9.15</w:t>
      </w:r>
      <w:r>
        <w:rPr>
          <w:rFonts w:ascii="Arial" w:cs="Arial" w:eastAsia="Arial" w:hAnsi="Arial"/>
          <w:sz w:val="20"/>
          <w:szCs w:val="20"/>
          <w:color w:val="auto"/>
        </w:rPr>
        <w:t xml:space="preserve">), (b) subject to an agreement to comply with provisions no less restrictive than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9.15</w:t>
      </w:r>
      <w:r>
        <w:rPr>
          <w:rFonts w:ascii="Arial" w:cs="Arial" w:eastAsia="Arial" w:hAnsi="Arial"/>
          <w:sz w:val="20"/>
          <w:szCs w:val="20"/>
          <w:color w:val="auto"/>
        </w:rPr>
        <w:t xml:space="preserve">, or to any actual or prospective Transferee (or any professional advisor to such counterparty), (c) to its employees, directors, officers, agents, attorneys, accountants, partners and other professional advisors (including insurance brokers) or those of any of its affiliates, (d) upon the request or demand, or in accordance with the requirements (including reporting requirements), of any Governmental Authority having jurisdiction over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permitted by law, such Lender shall promptly notify the applicable Loan Party of such disclosure (except with respect to any audit or examination conducted by bank accountants or any governmental bank authority exercising examination or regulatory authority), in response to any order of any court or other Governmental Authority or as may otherwise be required pursuant to any Requirement of Law or other legal process,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permitted by law, such Lender shall promptly notify the applicable Loan Party of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240"/>
          </w:cols>
          <w:pgMar w:left="320" w:top="1440" w:right="339" w:bottom="1440" w:gutter="0" w:footer="0" w:header="0"/>
          <w:type w:val="continuous"/>
        </w:sectPr>
      </w:pPr>
    </w:p>
    <w:bookmarkStart w:id="240" w:name="page241"/>
    <w:bookmarkEnd w:id="240"/>
    <w:p>
      <w:pPr>
        <w:spacing w:after="0" w:line="236" w:lineRule="auto"/>
        <w:rPr>
          <w:sz w:val="20"/>
          <w:szCs w:val="20"/>
          <w:color w:val="auto"/>
        </w:rPr>
      </w:pPr>
      <w:r>
        <w:rPr>
          <w:rFonts w:ascii="Arial" w:cs="Arial" w:eastAsia="Arial" w:hAnsi="Arial"/>
          <w:sz w:val="20"/>
          <w:szCs w:val="20"/>
          <w:color w:val="auto"/>
        </w:rPr>
        <w:t xml:space="preserve">disclosure (except with respect to any audit or examination conducted by bank accountants or any governmental bank authority exercising examination or regulatory authority), (e) if requested or required to do so in connection with any litigation or similar proceeding;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the extent permitted by law, such Lender shall promptly notify the applicable Loan Party of such disclosure, (f) to the extent such information has been independently developed by such Lender or that has been publicly disclosed other than in breach of this Agreement, (g) to the National Association of Insurance Commissioners or any similar organization or any nationally recognized rating agency that requires access to information about a Lender’s investment portfolio in connection with ratings issued with respect to such Lender, (h) in connection with the exercise of any remedy hereunder or under any other Loan Document and (i) any other disclosure with the written consent of the Borrower.</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20"/>
          <w:szCs w:val="20"/>
          <w:color w:val="auto"/>
        </w:rPr>
        <w:t>Each Lender acknowledges that all information, including requests for waivers and amendments, furnished by the Borrower or the Administrative Agent pursuant to, or in the course of administering this Agreement or the other Loan Documents, will be syndicate-level information, which may (except as provided in the following paragraph) contain material non-public information concerning the Borrower and its Affiliates and their related parties or their respective securities. Accordingly, each Lender confirms to the Borrower and the Administrative Agent that (i) it has developed compliance procedures regarding the use of material non-public information, (ii) it has identified in its administrative questionnaire a credit contact who may receive information that may contain material non-public information in accordance with its compliance procedures and applicable law, including federal and state securities laws and (iii) it will handle such material non-public information in accordance with those procedures and applicable law, including federal and state securities laws.</w:t>
      </w:r>
    </w:p>
    <w:p>
      <w:pPr>
        <w:spacing w:after="0" w:line="206" w:lineRule="exact"/>
        <w:rPr>
          <w:sz w:val="20"/>
          <w:szCs w:val="20"/>
          <w:color w:val="auto"/>
        </w:rPr>
      </w:pPr>
    </w:p>
    <w:p>
      <w:pPr>
        <w:ind w:firstLine="648"/>
        <w:spacing w:after="0" w:line="234" w:lineRule="auto"/>
        <w:rPr>
          <w:sz w:val="20"/>
          <w:szCs w:val="20"/>
          <w:color w:val="auto"/>
        </w:rPr>
      </w:pPr>
      <w:r>
        <w:rPr>
          <w:rFonts w:ascii="Arial" w:cs="Arial" w:eastAsia="Arial" w:hAnsi="Arial"/>
          <w:sz w:val="20"/>
          <w:szCs w:val="20"/>
          <w:color w:val="auto"/>
        </w:rPr>
        <w:t>The Borrower acknowledges that certain of the Lenders may be “public-side” Lenders (Lenders that do not wish to receive material non-public information with respect to the Borrower, its subsidiaries or their securities) (each, a “</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and, if documents required to be delivered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5.2</w:t>
      </w:r>
      <w:r>
        <w:rPr>
          <w:rFonts w:ascii="Arial" w:cs="Arial" w:eastAsia="Arial" w:hAnsi="Arial"/>
          <w:sz w:val="20"/>
          <w:szCs w:val="20"/>
          <w:color w:val="auto"/>
        </w:rPr>
        <w:t xml:space="preserve"> or otherwise are being distributed through the Platform, the Borrower agrees to designate those documents or other information that are suitable for delivery to the Public Lenders as such. Any document that the Borrower has indicated contains non-public information shall not be posted on that portion of the Platform designated for such Public Lenders. If the Borrower has not indicated whether a document delivered pursuant to </w:t>
      </w:r>
      <w:r>
        <w:rPr>
          <w:rFonts w:ascii="Arial" w:cs="Arial" w:eastAsia="Arial" w:hAnsi="Arial"/>
          <w:sz w:val="20"/>
          <w:szCs w:val="20"/>
          <w:u w:val="single" w:color="auto"/>
          <w:color w:val="auto"/>
        </w:rPr>
        <w:t>Section 5.1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5.2</w:t>
      </w:r>
      <w:r>
        <w:rPr>
          <w:rFonts w:ascii="Arial" w:cs="Arial" w:eastAsia="Arial" w:hAnsi="Arial"/>
          <w:sz w:val="20"/>
          <w:szCs w:val="20"/>
          <w:color w:val="auto"/>
        </w:rPr>
        <w:t xml:space="preserve"> contains non-public information, the Administrative Agent reserves the right to post such document or notice solely on that portion of the Platform designated for Lenders who wish to receive material nonpublic information with respect to the Borrower, its Subsidiaries and their securities. The Borrower acknowledges and agrees that copies of the Loan Documents may be distributed to Public Lenders (unless the Borrower promptly notifies the Administrative Agent that any such document contains material non-public information with respect to the Borrower or its securities).</w:t>
      </w:r>
    </w:p>
    <w:p>
      <w:pPr>
        <w:spacing w:after="0" w:line="220" w:lineRule="exact"/>
        <w:rPr>
          <w:sz w:val="20"/>
          <w:szCs w:val="20"/>
          <w:color w:val="auto"/>
        </w:rPr>
      </w:pPr>
    </w:p>
    <w:p>
      <w:pPr>
        <w:ind w:firstLine="648"/>
        <w:spacing w:after="0" w:line="248" w:lineRule="auto"/>
        <w:rPr>
          <w:sz w:val="20"/>
          <w:szCs w:val="20"/>
          <w:color w:val="auto"/>
        </w:rPr>
      </w:pPr>
      <w:r>
        <w:rPr>
          <w:rFonts w:ascii="Arial" w:cs="Arial" w:eastAsia="Arial" w:hAnsi="Arial"/>
          <w:sz w:val="20"/>
          <w:szCs w:val="20"/>
          <w:color w:val="auto"/>
        </w:rPr>
        <w:t xml:space="preserve">9.16. </w:t>
      </w:r>
      <w:r>
        <w:rPr>
          <w:rFonts w:ascii="Arial" w:cs="Arial" w:eastAsia="Arial" w:hAnsi="Arial"/>
          <w:sz w:val="20"/>
          <w:szCs w:val="20"/>
          <w:u w:val="single" w:color="auto"/>
          <w:color w:val="auto"/>
        </w:rPr>
        <w:t>WAIVERS OF JURY TRIAL</w:t>
      </w:r>
      <w:r>
        <w:rPr>
          <w:rFonts w:ascii="Arial" w:cs="Arial" w:eastAsia="Arial" w:hAnsi="Arial"/>
          <w:sz w:val="20"/>
          <w:szCs w:val="20"/>
          <w:color w:val="auto"/>
        </w:rPr>
        <w:t>. THE BORROWER, THE ADMINISTRATIVE AGENT, AND THE LENDERS HEREBY IRREVOCABLY AND UNCONDITIONALLY WAIVE TRIAL BY JURY IN ANY LEGAL ACTION OR PROCEEDING RELATING TO THIS AGREEMENT OR ANY OTHER LOAN DOCUMENT AND FOR ANY COUNTERCLAIM THEREIN.</w:t>
      </w:r>
    </w:p>
    <w:p>
      <w:pPr>
        <w:spacing w:after="0" w:line="192" w:lineRule="exact"/>
        <w:rPr>
          <w:sz w:val="20"/>
          <w:szCs w:val="20"/>
          <w:color w:val="auto"/>
        </w:rPr>
      </w:pPr>
    </w:p>
    <w:p>
      <w:pPr>
        <w:ind w:right="20" w:firstLine="648"/>
        <w:spacing w:after="0" w:line="237" w:lineRule="auto"/>
        <w:rPr>
          <w:sz w:val="20"/>
          <w:szCs w:val="20"/>
          <w:color w:val="auto"/>
        </w:rPr>
      </w:pPr>
      <w:r>
        <w:rPr>
          <w:rFonts w:ascii="Arial" w:cs="Arial" w:eastAsia="Arial" w:hAnsi="Arial"/>
          <w:sz w:val="20"/>
          <w:szCs w:val="20"/>
          <w:color w:val="auto"/>
        </w:rPr>
        <w:t xml:space="preserve">9.17. </w:t>
      </w:r>
      <w:r>
        <w:rPr>
          <w:rFonts w:ascii="Arial" w:cs="Arial" w:eastAsia="Arial" w:hAnsi="Arial"/>
          <w:sz w:val="20"/>
          <w:szCs w:val="20"/>
          <w:u w:val="single" w:color="auto"/>
          <w:color w:val="auto"/>
        </w:rPr>
        <w:t>Patriot Act</w:t>
      </w:r>
      <w:r>
        <w:rPr>
          <w:rFonts w:ascii="Arial" w:cs="Arial" w:eastAsia="Arial" w:hAnsi="Arial"/>
          <w:sz w:val="20"/>
          <w:szCs w:val="20"/>
          <w:color w:val="auto"/>
        </w:rPr>
        <w:t>. Each Lender that is subject to the requirements of the Patriot Act hereby notifies each Loan Party that pursuant to the requirements of the Patriot Act, it is required to obtain, verify and record information that identifies each Loan Party, which information includes the name and address of such Loan Party and other information that will allow such Lender to identify such Loan Party in accordance with the Patriot Act. The Borrower shall, and shall cause each of its Subsidiaries to, provide, to the extent commercially reasonable, such information and take such actions as are reasonably requested by each Lender and the Administrative Agent to maintain compliance with the Patriot Act.</w:t>
      </w:r>
    </w:p>
    <w:p>
      <w:pPr>
        <w:spacing w:after="0" w:line="217" w:lineRule="exact"/>
        <w:rPr>
          <w:sz w:val="20"/>
          <w:szCs w:val="20"/>
          <w:color w:val="auto"/>
        </w:rPr>
      </w:pPr>
    </w:p>
    <w:p>
      <w:pPr>
        <w:ind w:right="140" w:firstLine="648"/>
        <w:spacing w:after="0" w:line="241" w:lineRule="auto"/>
        <w:rPr>
          <w:sz w:val="20"/>
          <w:szCs w:val="20"/>
          <w:color w:val="auto"/>
        </w:rPr>
      </w:pPr>
      <w:r>
        <w:rPr>
          <w:rFonts w:ascii="Arial" w:cs="Arial" w:eastAsia="Arial" w:hAnsi="Arial"/>
          <w:sz w:val="20"/>
          <w:szCs w:val="20"/>
          <w:color w:val="auto"/>
        </w:rPr>
        <w:t xml:space="preserve">9.18. </w:t>
      </w:r>
      <w:r>
        <w:rPr>
          <w:rFonts w:ascii="Arial" w:cs="Arial" w:eastAsia="Arial" w:hAnsi="Arial"/>
          <w:sz w:val="20"/>
          <w:szCs w:val="20"/>
          <w:u w:val="single" w:color="auto"/>
          <w:color w:val="auto"/>
        </w:rPr>
        <w:t>No Fiduciary Duty</w:t>
      </w:r>
      <w:r>
        <w:rPr>
          <w:rFonts w:ascii="Arial" w:cs="Arial" w:eastAsia="Arial" w:hAnsi="Arial"/>
          <w:sz w:val="20"/>
          <w:szCs w:val="20"/>
          <w:color w:val="auto"/>
        </w:rPr>
        <w:t>. Each Agent, each Lender, the Arrangers, the Syndication Agents, the Documentation Agents and their respective Affiliates (collectively, solely for purposes of this paragraph, the “</w:t>
      </w:r>
      <w:r>
        <w:rPr>
          <w:rFonts w:ascii="Arial" w:cs="Arial" w:eastAsia="Arial" w:hAnsi="Arial"/>
          <w:sz w:val="20"/>
          <w:szCs w:val="20"/>
          <w:u w:val="single" w:color="auto"/>
          <w:color w:val="auto"/>
        </w:rPr>
        <w:t>Lenders</w:t>
      </w:r>
      <w:r>
        <w:rPr>
          <w:rFonts w:ascii="Arial" w:cs="Arial" w:eastAsia="Arial" w:hAnsi="Arial"/>
          <w:sz w:val="20"/>
          <w:szCs w:val="20"/>
          <w:color w:val="auto"/>
        </w:rPr>
        <w:t>”) may have economic interests that conflict with those of the Borrower, its stockholders and/or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14" w:right="339" w:bottom="1440" w:gutter="0" w:footer="0" w:header="0"/>
        </w:sectPr>
      </w:pPr>
    </w:p>
    <w:bookmarkStart w:id="241" w:name="page242"/>
    <w:bookmarkEnd w:id="241"/>
    <w:p>
      <w:pPr>
        <w:ind w:right="20"/>
        <w:spacing w:after="0" w:line="233" w:lineRule="auto"/>
        <w:rPr>
          <w:sz w:val="20"/>
          <w:szCs w:val="20"/>
          <w:color w:val="auto"/>
        </w:rPr>
      </w:pPr>
      <w:r>
        <w:rPr>
          <w:rFonts w:ascii="Arial" w:cs="Arial" w:eastAsia="Arial" w:hAnsi="Arial"/>
          <w:sz w:val="20"/>
          <w:szCs w:val="20"/>
          <w:color w:val="auto"/>
        </w:rPr>
        <w:t>affiliates. The Borrower agrees that nothing in the Loan Documents or otherwise will be deemed to create an advisory, fiduciary or agency relationship or fiduciary or other implied duty between any Lender, on the one hand, and the Borrower, its stockholders or its affiliates, on the other. The Borrower acknowledges and agrees that (i) the transactions contemplated by the Loan Documents (including the exercise of rights and remedies hereunder and thereunder) are arm’s-length commercial transactions between the Lenders, on the one hand, and the Borrower, on the other,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 Borrower agrees that it will not claim that any Lender has rendered advisory services of any nature or respect, or owes a fiduciary or similar duty to the Borrower, in connection with such transaction or the process leading thereto. None of the Arrangers, Syndication Agents and Documentation Agents identified on the cover page or signature pages of this Agreement shall have any rights, powers, obligations, liabilities, responsibilities or duties under this Agreement or any of the other Loan Documents, except in its capacity, as applicable, as a Lender hereunder. Without limiting any other provision of this Article, none of such Arrangers, Syndication Agents and Documentation Agents in their respective capacities as such shall have or be deemed to have any fiduciary relationship with any Lender, the Administrative Agent or any other Person by reason of this Agreement or any other Loan Document.</w:t>
      </w:r>
    </w:p>
    <w:p>
      <w:pPr>
        <w:spacing w:after="0" w:line="212" w:lineRule="exact"/>
        <w:rPr>
          <w:sz w:val="20"/>
          <w:szCs w:val="20"/>
          <w:color w:val="auto"/>
        </w:rPr>
      </w:pPr>
    </w:p>
    <w:p>
      <w:pPr>
        <w:ind w:firstLine="648"/>
        <w:spacing w:after="0"/>
        <w:rPr>
          <w:sz w:val="20"/>
          <w:szCs w:val="20"/>
          <w:color w:val="auto"/>
        </w:rPr>
      </w:pPr>
      <w:r>
        <w:rPr>
          <w:rFonts w:ascii="Arial" w:cs="Arial" w:eastAsia="Arial" w:hAnsi="Arial"/>
          <w:sz w:val="20"/>
          <w:szCs w:val="20"/>
          <w:color w:val="auto"/>
        </w:rPr>
        <w:t xml:space="preserve">9.19. </w:t>
      </w:r>
      <w:r>
        <w:rPr>
          <w:rFonts w:ascii="Arial" w:cs="Arial" w:eastAsia="Arial" w:hAnsi="Arial"/>
          <w:sz w:val="20"/>
          <w:szCs w:val="20"/>
          <w:u w:val="single" w:color="auto"/>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ind w:right="580" w:firstLine="656"/>
        <w:spacing w:after="0" w:line="284" w:lineRule="auto"/>
        <w:tabs>
          <w:tab w:leader="none" w:pos="1110" w:val="left"/>
        </w:tabs>
        <w:numPr>
          <w:ilvl w:val="0"/>
          <w:numId w:val="250"/>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1" w:lineRule="exact"/>
        <w:rPr>
          <w:rFonts w:ascii="Arial" w:cs="Arial" w:eastAsia="Arial" w:hAnsi="Arial"/>
          <w:sz w:val="19"/>
          <w:szCs w:val="19"/>
          <w:color w:val="auto"/>
        </w:rPr>
      </w:pPr>
    </w:p>
    <w:p>
      <w:pPr>
        <w:ind w:left="1120" w:hanging="464"/>
        <w:spacing w:after="0"/>
        <w:tabs>
          <w:tab w:leader="none" w:pos="1120" w:val="left"/>
        </w:tabs>
        <w:numPr>
          <w:ilvl w:val="0"/>
          <w:numId w:val="250"/>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29" w:lineRule="exact"/>
        <w:rPr>
          <w:rFonts w:ascii="Arial" w:cs="Arial" w:eastAsia="Arial" w:hAnsi="Arial"/>
          <w:sz w:val="20"/>
          <w:szCs w:val="20"/>
          <w:color w:val="auto"/>
        </w:rPr>
      </w:pPr>
    </w:p>
    <w:p>
      <w:pPr>
        <w:ind w:left="1600" w:hanging="296"/>
        <w:spacing w:after="0"/>
        <w:tabs>
          <w:tab w:leader="none" w:pos="1600" w:val="left"/>
        </w:tabs>
        <w:numPr>
          <w:ilvl w:val="1"/>
          <w:numId w:val="250"/>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2" w:lineRule="exact"/>
        <w:rPr>
          <w:rFonts w:ascii="Arial" w:cs="Arial" w:eastAsia="Arial" w:hAnsi="Arial"/>
          <w:sz w:val="20"/>
          <w:szCs w:val="20"/>
          <w:color w:val="auto"/>
        </w:rPr>
      </w:pPr>
    </w:p>
    <w:p>
      <w:pPr>
        <w:ind w:left="660" w:right="60" w:firstLine="644"/>
        <w:spacing w:after="0"/>
        <w:tabs>
          <w:tab w:leader="none" w:pos="1605" w:val="left"/>
        </w:tabs>
        <w:numPr>
          <w:ilvl w:val="1"/>
          <w:numId w:val="250"/>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200" w:lineRule="exact"/>
        <w:rPr>
          <w:rFonts w:ascii="Arial" w:cs="Arial" w:eastAsia="Arial" w:hAnsi="Arial"/>
          <w:sz w:val="20"/>
          <w:szCs w:val="20"/>
          <w:color w:val="auto"/>
        </w:rPr>
      </w:pPr>
    </w:p>
    <w:p>
      <w:pPr>
        <w:ind w:left="660" w:right="300" w:firstLine="644"/>
        <w:spacing w:after="0" w:line="271" w:lineRule="auto"/>
        <w:tabs>
          <w:tab w:leader="none" w:pos="1605" w:val="left"/>
        </w:tabs>
        <w:numPr>
          <w:ilvl w:val="1"/>
          <w:numId w:val="250"/>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69" w:lineRule="exact"/>
        <w:rPr>
          <w:sz w:val="20"/>
          <w:szCs w:val="20"/>
          <w:color w:val="auto"/>
        </w:rPr>
      </w:pPr>
    </w:p>
    <w:p>
      <w:pPr>
        <w:ind w:right="80" w:firstLine="648"/>
        <w:spacing w:after="0" w:line="248" w:lineRule="auto"/>
        <w:rPr>
          <w:sz w:val="20"/>
          <w:szCs w:val="20"/>
          <w:color w:val="auto"/>
        </w:rPr>
      </w:pPr>
      <w:r>
        <w:rPr>
          <w:rFonts w:ascii="Arial" w:cs="Arial" w:eastAsia="Arial" w:hAnsi="Arial"/>
          <w:sz w:val="20"/>
          <w:szCs w:val="20"/>
          <w:color w:val="auto"/>
        </w:rPr>
        <w:t xml:space="preserve">9.20. </w:t>
      </w:r>
      <w:r>
        <w:rPr>
          <w:rFonts w:ascii="Arial" w:cs="Arial" w:eastAsia="Arial" w:hAnsi="Arial"/>
          <w:sz w:val="20"/>
          <w:szCs w:val="20"/>
          <w:u w:val="single" w:color="auto"/>
          <w:color w:val="auto"/>
        </w:rPr>
        <w:t>Interest Rate Limitations</w:t>
      </w:r>
      <w:r>
        <w:rPr>
          <w:rFonts w:ascii="Arial" w:cs="Arial" w:eastAsia="Arial" w:hAnsi="Arial"/>
          <w:sz w:val="20"/>
          <w:szCs w:val="20"/>
          <w:color w:val="auto"/>
        </w:rPr>
        <w:t>. Notwithstanding anything herein to the contrary, if at any time the interest rate applicable to any Term Loan, together with all Charges, shall exceed the maximum lawful rate (the “</w:t>
      </w:r>
      <w:r>
        <w:rPr>
          <w:rFonts w:ascii="Arial" w:cs="Arial" w:eastAsia="Arial" w:hAnsi="Arial"/>
          <w:sz w:val="20"/>
          <w:szCs w:val="20"/>
          <w:u w:val="single" w:color="auto"/>
          <w:color w:val="auto"/>
        </w:rPr>
        <w:t>Maximum Rate</w:t>
      </w:r>
      <w:r>
        <w:rPr>
          <w:rFonts w:ascii="Arial" w:cs="Arial" w:eastAsia="Arial" w:hAnsi="Arial"/>
          <w:sz w:val="20"/>
          <w:szCs w:val="20"/>
          <w:color w:val="auto"/>
        </w:rPr>
        <w:t>”) which may be contracted for, charged, taken, received or reserved by the Lender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14" w:right="339" w:bottom="1440" w:gutter="0" w:footer="0" w:header="0"/>
        </w:sectPr>
      </w:pPr>
    </w:p>
    <w:bookmarkStart w:id="242" w:name="page243"/>
    <w:bookmarkEnd w:id="242"/>
    <w:p>
      <w:pPr>
        <w:jc w:val="both"/>
        <w:ind w:right="280"/>
        <w:spacing w:after="0" w:line="248" w:lineRule="auto"/>
        <w:rPr>
          <w:sz w:val="20"/>
          <w:szCs w:val="20"/>
          <w:color w:val="auto"/>
        </w:rPr>
      </w:pPr>
      <w:r>
        <w:rPr>
          <w:rFonts w:ascii="Arial" w:cs="Arial" w:eastAsia="Arial" w:hAnsi="Arial"/>
          <w:sz w:val="19"/>
          <w:szCs w:val="19"/>
          <w:color w:val="auto"/>
        </w:rPr>
        <w:t>such Term Loan in accordance with applicable law, the rate of interest payable in respect of such Term Loan, together with all Charges payable in respect thereof, shall be limited to the Maximum Rate and, to the extent lawful, the interest and Charges that would have been payable in respect of such Term Loan but were not payable as a result of the operation of this Section</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9.20 shall be cumulated and the interest and Charges payable to such Lender in respect of other Term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20"/>
          </w:cols>
          <w:pgMar w:left="320" w:top="1414" w:right="359" w:bottom="1440" w:gutter="0" w:footer="0" w:header="0"/>
        </w:sectPr>
      </w:pPr>
    </w:p>
    <w:bookmarkStart w:id="243" w:name="page244"/>
    <w:bookmarkEnd w:id="243"/>
    <w:p>
      <w:pPr>
        <w:spacing w:after="0" w:line="200" w:lineRule="exact"/>
        <w:rPr>
          <w:sz w:val="20"/>
          <w:szCs w:val="20"/>
          <w:color w:val="auto"/>
        </w:rPr>
      </w:pPr>
    </w:p>
    <w:p>
      <w:pPr>
        <w:spacing w:after="0" w:line="26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IN WITNESS HEREOF, the parties hereto have caused this Agreement to be duly executed as of the day and the year first written.</w:t>
      </w:r>
    </w:p>
    <w:p>
      <w:pPr>
        <w:spacing w:after="0" w:line="194"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BORROWER:</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MICRON TECHNOLOGY, INC.</w:t>
      </w:r>
    </w:p>
    <w:p>
      <w:pPr>
        <w:spacing w:after="0" w:line="200" w:lineRule="exact"/>
        <w:rPr>
          <w:sz w:val="20"/>
          <w:szCs w:val="20"/>
          <w:color w:val="auto"/>
        </w:rPr>
      </w:pPr>
    </w:p>
    <w:p>
      <w:pPr>
        <w:spacing w:after="0" w:line="28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Gregory Routin</w:t>
      </w:r>
    </w:p>
    <w:p>
      <w:pPr>
        <w:spacing w:after="0" w:line="4" w:lineRule="exact"/>
        <w:rPr>
          <w:sz w:val="20"/>
          <w:szCs w:val="20"/>
          <w:color w:val="auto"/>
        </w:rPr>
      </w:pPr>
    </w:p>
    <w:p>
      <w:pPr>
        <w:ind w:left="5600"/>
        <w:spacing w:after="0"/>
        <w:rPr>
          <w:sz w:val="20"/>
          <w:szCs w:val="20"/>
          <w:color w:val="auto"/>
        </w:rPr>
      </w:pPr>
      <w:r>
        <w:rPr>
          <w:rFonts w:ascii="Arial" w:cs="Arial" w:eastAsia="Arial" w:hAnsi="Arial"/>
          <w:sz w:val="20"/>
          <w:szCs w:val="20"/>
          <w:color w:val="auto"/>
        </w:rPr>
        <w:t>Name: Gregory Routin</w:t>
      </w:r>
    </w:p>
    <w:p>
      <w:pPr>
        <w:ind w:left="5600"/>
        <w:spacing w:after="0"/>
        <w:rPr>
          <w:sz w:val="20"/>
          <w:szCs w:val="20"/>
          <w:color w:val="auto"/>
        </w:rPr>
      </w:pPr>
      <w:r>
        <w:rPr>
          <w:rFonts w:ascii="Arial" w:cs="Arial" w:eastAsia="Arial" w:hAnsi="Arial"/>
          <w:sz w:val="20"/>
          <w:szCs w:val="20"/>
          <w:color w:val="auto"/>
        </w:rPr>
        <w:t>Title: Vice President and Treasurer</w:t>
      </w:r>
    </w:p>
    <w:p>
      <w:pPr>
        <w:sectPr>
          <w:pgSz w:w="11900" w:h="16838" w:orient="portrait"/>
          <w:cols w:equalWidth="0" w:num="1">
            <w:col w:w="10340"/>
          </w:cols>
          <w:pgMar w:left="320" w:top="1440" w:right="1239" w:bottom="10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420"/>
        <w:spacing w:after="0"/>
        <w:rPr>
          <w:sz w:val="20"/>
          <w:szCs w:val="20"/>
          <w:color w:val="auto"/>
        </w:rPr>
      </w:pPr>
      <w:r>
        <w:rPr>
          <w:rFonts w:ascii="Arial" w:cs="Arial" w:eastAsia="Arial" w:hAnsi="Arial"/>
          <w:sz w:val="19"/>
          <w:szCs w:val="19"/>
          <w:color w:val="auto"/>
        </w:rPr>
        <w:t>[Signature Page to Micron Technology, Inc. Term Loan Credit Agreement]</w:t>
      </w:r>
    </w:p>
    <w:p>
      <w:pPr>
        <w:sectPr>
          <w:pgSz w:w="11900" w:h="16838" w:orient="portrait"/>
          <w:cols w:equalWidth="0" w:num="1">
            <w:col w:w="10340"/>
          </w:cols>
          <w:pgMar w:left="320" w:top="1440" w:right="1239" w:bottom="1073" w:gutter="0" w:footer="0" w:header="0"/>
          <w:type w:val="continuous"/>
        </w:sectPr>
      </w:pPr>
    </w:p>
    <w:bookmarkStart w:id="244" w:name="page245"/>
    <w:bookmarkEnd w:id="244"/>
    <w:p>
      <w:pPr>
        <w:spacing w:after="0" w:line="216" w:lineRule="exact"/>
        <w:rPr>
          <w:sz w:val="20"/>
          <w:szCs w:val="20"/>
          <w:color w:val="auto"/>
        </w:rPr>
      </w:pPr>
    </w:p>
    <w:p>
      <w:pPr>
        <w:ind w:left="4080" w:right="279"/>
        <w:spacing w:after="0" w:line="297" w:lineRule="auto"/>
        <w:rPr>
          <w:sz w:val="20"/>
          <w:szCs w:val="20"/>
          <w:color w:val="auto"/>
        </w:rPr>
      </w:pPr>
      <w:r>
        <w:rPr>
          <w:rFonts w:ascii="Arial" w:cs="Arial" w:eastAsia="Arial" w:hAnsi="Arial"/>
          <w:sz w:val="19"/>
          <w:szCs w:val="19"/>
          <w:b w:val="1"/>
          <w:bCs w:val="1"/>
          <w:color w:val="auto"/>
        </w:rPr>
        <w:t>WELLS FARGO BANK, NATIONAL ASSOCIATION, as Administrative Agent and a Lender</w:t>
      </w:r>
    </w:p>
    <w:p>
      <w:pPr>
        <w:spacing w:after="0" w:line="39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Sid Khanolkar</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Sid Khanolkar</w:t>
      </w:r>
    </w:p>
    <w:p>
      <w:pPr>
        <w:ind w:left="44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Mizuho Bank, Ltd.,</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Tracy Rahn</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Tracy Rahn</w:t>
      </w:r>
    </w:p>
    <w:p>
      <w:pPr>
        <w:ind w:left="44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TRUIST BANK,</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Paige Scheper</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Paige Scheper</w:t>
      </w:r>
    </w:p>
    <w:p>
      <w:pPr>
        <w:ind w:left="4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DBS BANK LTD.,</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Kate Khoo</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Kate Khoo</w:t>
      </w:r>
    </w:p>
    <w:p>
      <w:pPr>
        <w:ind w:left="44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JPMORGAN CHASE BANK, N.A.,</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Ryan Zimmerman</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Ryan Zimmerman</w:t>
      </w:r>
    </w:p>
    <w:p>
      <w:pPr>
        <w:ind w:left="4480"/>
        <w:spacing w:after="0"/>
        <w:rPr>
          <w:sz w:val="20"/>
          <w:szCs w:val="20"/>
          <w:color w:val="auto"/>
        </w:rPr>
      </w:pPr>
      <w:r>
        <w:rPr>
          <w:rFonts w:ascii="Arial" w:cs="Arial" w:eastAsia="Arial" w:hAnsi="Arial"/>
          <w:sz w:val="20"/>
          <w:szCs w:val="20"/>
          <w:color w:val="auto"/>
        </w:rPr>
        <w:t>Title: Vice President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Micron Technology, Inc. Term Loan Credit Agreement]</w:t>
      </w:r>
    </w:p>
    <w:p>
      <w:pPr>
        <w:sectPr>
          <w:pgSz w:w="11900" w:h="16838" w:orient="portrait"/>
          <w:cols w:equalWidth="0" w:num="1">
            <w:col w:w="9019"/>
          </w:cols>
          <w:pgMar w:left="1440" w:top="1440" w:right="1440" w:bottom="1440" w:gutter="0" w:footer="0" w:header="0"/>
          <w:type w:val="continuous"/>
        </w:sectPr>
      </w:pPr>
    </w:p>
    <w:bookmarkStart w:id="245" w:name="page246"/>
    <w:bookmarkEnd w:id="245"/>
    <w:p>
      <w:pPr>
        <w:spacing w:after="0" w:line="216" w:lineRule="exact"/>
        <w:rPr>
          <w:sz w:val="20"/>
          <w:szCs w:val="20"/>
          <w:color w:val="auto"/>
        </w:rPr>
      </w:pPr>
    </w:p>
    <w:p>
      <w:pPr>
        <w:ind w:left="4080" w:right="79"/>
        <w:spacing w:after="0" w:line="242" w:lineRule="auto"/>
        <w:rPr>
          <w:sz w:val="20"/>
          <w:szCs w:val="20"/>
          <w:color w:val="auto"/>
        </w:rPr>
      </w:pPr>
      <w:r>
        <w:rPr>
          <w:rFonts w:ascii="Arial" w:cs="Arial" w:eastAsia="Arial" w:hAnsi="Arial"/>
          <w:sz w:val="20"/>
          <w:szCs w:val="20"/>
          <w:b w:val="1"/>
          <w:bCs w:val="1"/>
          <w:color w:val="auto"/>
        </w:rPr>
        <w:t>Oversea-Chinese Banking Corporation Limited, Los Angeles Agency,</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9"/>
          <w:szCs w:val="19"/>
          <w:b w:val="1"/>
          <w:bCs w:val="1"/>
          <w:color w:val="auto"/>
        </w:rPr>
        <w:t>as a Lender</w:t>
      </w:r>
    </w:p>
    <w:p>
      <w:pPr>
        <w:spacing w:after="0" w:line="200" w:lineRule="exact"/>
        <w:rPr>
          <w:sz w:val="20"/>
          <w:szCs w:val="20"/>
          <w:color w:val="auto"/>
        </w:rPr>
      </w:pPr>
    </w:p>
    <w:p>
      <w:pPr>
        <w:spacing w:after="0" w:line="26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Charles Ong</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Charles Ong</w:t>
      </w:r>
    </w:p>
    <w:p>
      <w:pPr>
        <w:ind w:left="4480"/>
        <w:spacing w:after="0"/>
        <w:rPr>
          <w:sz w:val="20"/>
          <w:szCs w:val="20"/>
          <w:color w:val="auto"/>
        </w:rPr>
      </w:pPr>
      <w:r>
        <w:rPr>
          <w:rFonts w:ascii="Arial" w:cs="Arial" w:eastAsia="Arial" w:hAnsi="Arial"/>
          <w:sz w:val="20"/>
          <w:szCs w:val="20"/>
          <w:color w:val="auto"/>
        </w:rPr>
        <w:t>Title: General Manager and Head USA</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PNC Bank, National Association,</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Skyler Zweifel</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Skyler Zweifel</w:t>
      </w:r>
    </w:p>
    <w:p>
      <w:pPr>
        <w:ind w:left="44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The Bank of Nova Scotia,</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Luke Copley</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Luke Copley</w:t>
      </w:r>
    </w:p>
    <w:p>
      <w:pPr>
        <w:ind w:left="4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80" w:right="139"/>
        <w:spacing w:after="0" w:line="270" w:lineRule="auto"/>
        <w:rPr>
          <w:sz w:val="20"/>
          <w:szCs w:val="20"/>
          <w:color w:val="auto"/>
        </w:rPr>
      </w:pPr>
      <w:r>
        <w:rPr>
          <w:rFonts w:ascii="Arial" w:cs="Arial" w:eastAsia="Arial" w:hAnsi="Arial"/>
          <w:sz w:val="20"/>
          <w:szCs w:val="20"/>
          <w:b w:val="1"/>
          <w:bCs w:val="1"/>
          <w:color w:val="auto"/>
        </w:rPr>
        <w:t>Australia and New Zealand Banking Group Limited, as a Lender</w:t>
      </w:r>
    </w:p>
    <w:p>
      <w:pPr>
        <w:spacing w:after="0" w:line="200" w:lineRule="exact"/>
        <w:rPr>
          <w:sz w:val="20"/>
          <w:szCs w:val="20"/>
          <w:color w:val="auto"/>
        </w:rPr>
      </w:pPr>
    </w:p>
    <w:p>
      <w:pPr>
        <w:spacing w:after="0" w:line="2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Robert Grillo</w:t>
      </w:r>
    </w:p>
    <w:p>
      <w:pPr>
        <w:ind w:left="4480"/>
        <w:spacing w:after="0" w:line="229" w:lineRule="auto"/>
        <w:rPr>
          <w:sz w:val="20"/>
          <w:szCs w:val="20"/>
          <w:color w:val="auto"/>
        </w:rPr>
      </w:pPr>
      <w:r>
        <w:rPr>
          <w:rFonts w:ascii="Arial" w:cs="Arial" w:eastAsia="Arial" w:hAnsi="Arial"/>
          <w:sz w:val="20"/>
          <w:szCs w:val="20"/>
          <w:color w:val="auto"/>
        </w:rPr>
        <w:t>Name: Robert Grillo</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The Toronto-Dominion Bank, New York Branch,</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68"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Perlman</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David Perlman</w:t>
      </w:r>
    </w:p>
    <w:p>
      <w:pPr>
        <w:ind w:left="44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Micron Technology, Inc. Term Loan Credit Agreement]</w:t>
      </w:r>
    </w:p>
    <w:p>
      <w:pPr>
        <w:sectPr>
          <w:pgSz w:w="11900" w:h="16838" w:orient="portrait"/>
          <w:cols w:equalWidth="0" w:num="1">
            <w:col w:w="9019"/>
          </w:cols>
          <w:pgMar w:left="1440" w:top="1440" w:right="1440" w:bottom="1440" w:gutter="0" w:footer="0" w:header="0"/>
          <w:type w:val="continuous"/>
        </w:sectPr>
      </w:pPr>
    </w:p>
    <w:bookmarkStart w:id="246" w:name="page247"/>
    <w:bookmarkEnd w:id="246"/>
    <w:p>
      <w:pPr>
        <w:spacing w:after="0" w:line="216" w:lineRule="exact"/>
        <w:rPr>
          <w:sz w:val="20"/>
          <w:szCs w:val="20"/>
          <w:color w:val="auto"/>
        </w:rPr>
      </w:pPr>
    </w:p>
    <w:p>
      <w:pPr>
        <w:ind w:left="4080"/>
        <w:spacing w:after="0" w:line="270" w:lineRule="auto"/>
        <w:rPr>
          <w:sz w:val="20"/>
          <w:szCs w:val="20"/>
          <w:color w:val="auto"/>
        </w:rPr>
      </w:pPr>
      <w:r>
        <w:rPr>
          <w:rFonts w:ascii="Arial" w:cs="Arial" w:eastAsia="Arial" w:hAnsi="Arial"/>
          <w:sz w:val="20"/>
          <w:szCs w:val="20"/>
          <w:b w:val="1"/>
          <w:bCs w:val="1"/>
          <w:color w:val="auto"/>
        </w:rPr>
        <w:t>Canadian Imperial Bank of Commerce, New York Branch, as a Lender</w:t>
      </w:r>
    </w:p>
    <w:p>
      <w:pPr>
        <w:spacing w:after="0" w:line="200" w:lineRule="exact"/>
        <w:rPr>
          <w:sz w:val="20"/>
          <w:szCs w:val="20"/>
          <w:color w:val="auto"/>
        </w:rPr>
      </w:pPr>
    </w:p>
    <w:p>
      <w:pPr>
        <w:spacing w:after="0" w:line="216"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Bernadette Murphy</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Bernadette Murphy</w:t>
      </w:r>
    </w:p>
    <w:p>
      <w:pPr>
        <w:ind w:left="4480"/>
        <w:spacing w:after="0"/>
        <w:rPr>
          <w:sz w:val="20"/>
          <w:szCs w:val="20"/>
          <w:color w:val="auto"/>
        </w:rPr>
      </w:pPr>
      <w:r>
        <w:rPr>
          <w:rFonts w:ascii="Arial" w:cs="Arial" w:eastAsia="Arial" w:hAnsi="Arial"/>
          <w:sz w:val="20"/>
          <w:szCs w:val="20"/>
          <w:color w:val="auto"/>
        </w:rPr>
        <w:t>Title: Managing Director and Authorized Signatory</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Credit Agricole Corporate and Investment Bank,</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Jill Wong</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Jill Wong</w:t>
      </w:r>
    </w:p>
    <w:p>
      <w:pPr>
        <w:ind w:left="4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Gordon Yip</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Gordon Yip</w:t>
      </w:r>
    </w:p>
    <w:p>
      <w:pPr>
        <w:ind w:left="44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MORGAN STANLEY BANK, N.A.,</w:t>
      </w:r>
    </w:p>
    <w:p>
      <w:pPr>
        <w:spacing w:after="0" w:line="20"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Michael King</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Michael King</w:t>
      </w:r>
    </w:p>
    <w:p>
      <w:pPr>
        <w:ind w:left="44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MUFG Bank, Ltd.,</w:t>
      </w:r>
    </w:p>
    <w:p>
      <w:pPr>
        <w:spacing w:after="0" w:line="6" w:lineRule="exact"/>
        <w:rPr>
          <w:sz w:val="20"/>
          <w:szCs w:val="20"/>
          <w:color w:val="auto"/>
        </w:rPr>
      </w:pPr>
    </w:p>
    <w:p>
      <w:pPr>
        <w:ind w:left="4080"/>
        <w:spacing w:after="0"/>
        <w:rPr>
          <w:sz w:val="20"/>
          <w:szCs w:val="20"/>
          <w:color w:val="auto"/>
        </w:rPr>
      </w:pPr>
      <w:r>
        <w:rPr>
          <w:rFonts w:ascii="Arial" w:cs="Arial" w:eastAsia="Arial" w:hAnsi="Arial"/>
          <w:sz w:val="20"/>
          <w:szCs w:val="20"/>
          <w:b w:val="1"/>
          <w:bCs w:val="1"/>
          <w:color w:val="auto"/>
        </w:rPr>
        <w:t>as a Lender</w:t>
      </w:r>
    </w:p>
    <w:p>
      <w:pPr>
        <w:spacing w:after="0" w:line="200" w:lineRule="exact"/>
        <w:rPr>
          <w:sz w:val="20"/>
          <w:szCs w:val="20"/>
          <w:color w:val="auto"/>
        </w:rPr>
      </w:pPr>
    </w:p>
    <w:p>
      <w:pPr>
        <w:spacing w:after="0" w:line="2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Marlon Matthews</w:t>
      </w:r>
    </w:p>
    <w:p>
      <w:pPr>
        <w:spacing w:after="0" w:line="4"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Marlon Matthews</w:t>
      </w:r>
    </w:p>
    <w:p>
      <w:pPr>
        <w:ind w:left="4480"/>
        <w:spacing w:after="0"/>
        <w:rPr>
          <w:sz w:val="20"/>
          <w:szCs w:val="20"/>
          <w:color w:val="auto"/>
        </w:rPr>
      </w:pPr>
      <w:r>
        <w:rPr>
          <w:rFonts w:ascii="Arial" w:cs="Arial" w:eastAsia="Arial" w:hAnsi="Arial"/>
          <w:sz w:val="20"/>
          <w:szCs w:val="20"/>
          <w:color w:val="auto"/>
        </w:rPr>
        <w:t>Title: Director</w:t>
      </w:r>
    </w:p>
    <w:p>
      <w:pPr>
        <w:sectPr>
          <w:pgSz w:w="11900" w:h="16838" w:orient="portrait"/>
          <w:cols w:equalWidth="0" w:num="1">
            <w:col w:w="9420"/>
          </w:cols>
          <w:pgMar w:left="144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[Signature Page to Micron Technology, Inc. Term Loan Credit Agreement]</w:t>
      </w:r>
    </w:p>
    <w:p>
      <w:pPr>
        <w:sectPr>
          <w:pgSz w:w="11900" w:h="16838" w:orient="portrait"/>
          <w:cols w:equalWidth="0" w:num="1">
            <w:col w:w="9420"/>
          </w:cols>
          <w:pgMar w:left="1440" w:top="1440" w:right="1039" w:bottom="1440" w:gutter="0" w:footer="0" w:header="0"/>
          <w:type w:val="continuous"/>
        </w:sectPr>
      </w:pPr>
    </w:p>
    <w:bookmarkStart w:id="247" w:name="page248"/>
    <w:bookmarkEnd w:id="247"/>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22,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2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December 22, 2022</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9"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Quarterly Report of Micron Technology, Inc. on Form 10-Q for the period ended December 1,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December 22,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9"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Quarterly Report of Micron Technology, Inc. on Form 10-Q for the period ended December 1, 2022,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December 22, 2022</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1)"/>
      <w:numFmt w:val="decimal"/>
      <w:start w:val="1"/>
    </w:lvl>
  </w:abstractNum>
  <w:abstractNum w:abstractNumId="4">
    <w:nsid w:val="5D888A08"/>
    <w:multiLevelType w:val="hybridMultilevel"/>
    <w:lvl w:ilvl="0">
      <w:lvlJc w:val="left"/>
      <w:lvlText w:val="(%1)"/>
      <w:numFmt w:val="decimal"/>
      <w:start w:val="1"/>
    </w:lvl>
  </w:abstractNum>
  <w:abstractNum w:abstractNumId="5">
    <w:nsid w:val="2A082C70"/>
    <w:multiLevelType w:val="hybridMultilevel"/>
    <w:lvl w:ilvl="0">
      <w:lvlJc w:val="left"/>
      <w:lvlText w:val="(%1)"/>
      <w:numFmt w:val="decimal"/>
      <w:start w:val="1"/>
    </w:lvl>
  </w:abstractNum>
  <w:abstractNum w:abstractNumId="6">
    <w:nsid w:val="5EC6AFD4"/>
    <w:multiLevelType w:val="hybridMultilevel"/>
    <w:lvl w:ilvl="0">
      <w:lvlJc w:val="left"/>
      <w:lvlText w:val="(%1)"/>
      <w:numFmt w:val="decimal"/>
      <w:start w:val="1"/>
    </w:lvl>
  </w:abstractNum>
  <w:abstractNum w:abstractNumId="7">
    <w:nsid w:val="19E21BB2"/>
    <w:multiLevelType w:val="hybridMultilevel"/>
    <w:lvl w:ilvl="0">
      <w:lvlJc w:val="left"/>
      <w:lvlText w:val="(%1)"/>
      <w:numFmt w:val="lowerRoman"/>
      <w:start w:val="1"/>
    </w:lvl>
  </w:abstractNum>
  <w:abstractNum w:abstractNumId="8">
    <w:nsid w:val="75E0858A"/>
    <w:multiLevelType w:val="hybridMultilevel"/>
    <w:lvl w:ilvl="0">
      <w:lvlJc w:val="left"/>
      <w:lvlText w:val="(%1)"/>
      <w:numFmt w:val="decimal"/>
      <w:start w:val="3"/>
    </w:lvl>
  </w:abstractNum>
  <w:abstractNum w:abstractNumId="9">
    <w:nsid w:val="57A61A29"/>
    <w:multiLevelType w:val="hybridMultilevel"/>
    <w:lvl w:ilvl="0">
      <w:lvlJc w:val="left"/>
      <w:lvlText w:val="(%1)"/>
      <w:numFmt w:val="decimal"/>
      <w:start w:val="3"/>
    </w:lvl>
  </w:abstractNum>
  <w:abstractNum w:abstractNumId="10">
    <w:nsid w:val="5399C654"/>
    <w:multiLevelType w:val="hybridMultilevel"/>
    <w:lvl w:ilvl="0">
      <w:lvlJc w:val="left"/>
      <w:lvlText w:val="(%1)"/>
      <w:numFmt w:val="decimal"/>
      <w:start w:val="1"/>
    </w:lvl>
  </w:abstractNum>
  <w:abstractNum w:abstractNumId="11">
    <w:nsid w:val="20EE1348"/>
    <w:multiLevelType w:val="hybridMultilevel"/>
    <w:lvl w:ilvl="0">
      <w:lvlJc w:val="left"/>
      <w:lvlText w:val="•"/>
      <w:numFmt w:val="bullet"/>
      <w:start w:val="1"/>
    </w:lvl>
  </w:abstractNum>
  <w:abstractNum w:abstractNumId="12">
    <w:nsid w:val="4427069A"/>
    <w:multiLevelType w:val="hybridMultilevel"/>
    <w:lvl w:ilvl="0">
      <w:lvlJc w:val="left"/>
      <w:lvlText w:val="•"/>
      <w:numFmt w:val="bullet"/>
      <w:start w:val="1"/>
    </w:lvl>
  </w:abstractNum>
  <w:abstractNum w:abstractNumId="13">
    <w:nsid w:val="B37E80A"/>
    <w:multiLevelType w:val="hybridMultilevel"/>
    <w:lvl w:ilvl="0">
      <w:lvlJc w:val="left"/>
      <w:lvlText w:val="•"/>
      <w:numFmt w:val="bullet"/>
      <w:start w:val="1"/>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endash "/>
      <w:numFmt w:val="bullet"/>
      <w:start w:val="1"/>
    </w:lvl>
  </w:abstractNum>
  <w:abstractNum w:abstractNumId="18">
    <w:nsid w:val="E3E47A8"/>
    <w:multiLevelType w:val="hybridMultilevel"/>
    <w:lvl w:ilvl="0">
      <w:lvlJc w:val="left"/>
      <w:lvlText w:val="•"/>
      <w:numFmt w:val="bullet"/>
      <w:start w:val="1"/>
    </w:lvl>
  </w:abstractNum>
  <w:abstractNum w:abstractNumId="19">
    <w:nsid w:val="2E48F044"/>
    <w:multiLevelType w:val="hybridMultilevel"/>
    <w:lvl w:ilvl="0">
      <w:lvlJc w:val="left"/>
      <w:lvlText w:val="•"/>
      <w:numFmt w:val="bullet"/>
      <w:start w:val="1"/>
    </w:lvl>
  </w:abstractNum>
  <w:abstractNum w:abstractNumId="20">
    <w:nsid w:val="49D0FEAC"/>
    <w:multiLevelType w:val="hybridMultilevel"/>
    <w:lvl w:ilvl="0">
      <w:lvlJc w:val="left"/>
      <w:lvlText w:val="•"/>
      <w:numFmt w:val="bullet"/>
      <w:start w:val="1"/>
    </w:lvl>
  </w:abstractNum>
  <w:abstractNum w:abstractNumId="21">
    <w:nsid w:val="4BEE5A5B"/>
    <w:multiLevelType w:val="hybridMultilevel"/>
    <w:lvl w:ilvl="0">
      <w:lvlJc w:val="left"/>
      <w:lvlText w:val="•"/>
      <w:numFmt w:val="bullet"/>
      <w:start w:val="1"/>
    </w:lvl>
  </w:abstractNum>
  <w:abstractNum w:abstractNumId="22">
    <w:nsid w:val="5551B9F3"/>
    <w:multiLevelType w:val="hybridMultilevel"/>
    <w:lvl w:ilvl="0">
      <w:lvlJc w:val="left"/>
      <w:lvlText w:val="•"/>
      <w:numFmt w:val="bullet"/>
      <w:start w:val="1"/>
    </w:lvl>
  </w:abstractNum>
  <w:abstractNum w:abstractNumId="23">
    <w:nsid w:val="24F6AB8E"/>
    <w:multiLevelType w:val="hybridMultilevel"/>
    <w:lvl w:ilvl="0">
      <w:lvlJc w:val="left"/>
      <w:lvlText w:val="•"/>
      <w:numFmt w:val="bullet"/>
      <w:start w:val="1"/>
    </w:lvl>
  </w:abstractNum>
  <w:abstractNum w:abstractNumId="24">
    <w:nsid w:val="634C574C"/>
    <w:multiLevelType w:val="hybridMultilevel"/>
    <w:lvl w:ilvl="0">
      <w:lvlJc w:val="left"/>
      <w:lvlText w:val="•"/>
      <w:numFmt w:val="bullet"/>
      <w:start w:val="1"/>
    </w:lvl>
  </w:abstractNum>
  <w:abstractNum w:abstractNumId="25">
    <w:nsid w:val="24E99DD7"/>
    <w:multiLevelType w:val="hybridMultilevel"/>
    <w:lvl w:ilvl="0">
      <w:lvlJc w:val="left"/>
      <w:lvlText w:val="•"/>
      <w:numFmt w:val="bullet"/>
      <w:start w:val="1"/>
    </w:lvl>
  </w:abstractNum>
  <w:abstractNum w:abstractNumId="26">
    <w:nsid w:val="2A31B62D"/>
    <w:multiLevelType w:val="hybridMultilevel"/>
    <w:lvl w:ilvl="0">
      <w:lvlJc w:val="left"/>
      <w:lvlText w:val="•"/>
      <w:numFmt w:val="bullet"/>
      <w:start w:val="1"/>
    </w:lvl>
  </w:abstractNum>
  <w:abstractNum w:abstractNumId="27">
    <w:nsid w:val="1849C29B"/>
    <w:multiLevelType w:val="hybridMultilevel"/>
    <w:lvl w:ilvl="0">
      <w:lvlJc w:val="left"/>
      <w:lvlText w:val="•"/>
      <w:numFmt w:val="bullet"/>
      <w:start w:val="1"/>
    </w:lvl>
  </w:abstractNum>
  <w:abstractNum w:abstractNumId="28">
    <w:nsid w:val="7DFF9D09"/>
    <w:multiLevelType w:val="hybridMultilevel"/>
    <w:lvl w:ilvl="0">
      <w:lvlJc w:val="left"/>
      <w:lvlText w:val="•"/>
      <w:numFmt w:val="bullet"/>
      <w:start w:val="1"/>
    </w:lvl>
  </w:abstractNum>
  <w:abstractNum w:abstractNumId="29">
    <w:nsid w:val="754342"/>
    <w:multiLevelType w:val="hybridMultilevel"/>
    <w:lvl w:ilvl="0">
      <w:lvlJc w:val="left"/>
      <w:lvlText w:val="•"/>
      <w:numFmt w:val="bullet"/>
      <w:start w:val="1"/>
    </w:lvl>
  </w:abstractNum>
  <w:abstractNum w:abstractNumId="30">
    <w:nsid w:val="69E7F3E5"/>
    <w:multiLevelType w:val="hybridMultilevel"/>
    <w:lvl w:ilvl="0">
      <w:lvlJc w:val="left"/>
      <w:lvlText w:val="•"/>
      <w:numFmt w:val="bullet"/>
      <w:start w:val="1"/>
    </w:lvl>
  </w:abstractNum>
  <w:abstractNum w:abstractNumId="31">
    <w:nsid w:val="2A6DE806"/>
    <w:multiLevelType w:val="hybridMultilevel"/>
    <w:lvl w:ilvl="0">
      <w:lvlJc w:val="left"/>
      <w:lvlText w:val="•"/>
      <w:numFmt w:val="bullet"/>
      <w:start w:val="1"/>
    </w:lvl>
  </w:abstractNum>
  <w:abstractNum w:abstractNumId="32">
    <w:nsid w:val="1816F8C4"/>
    <w:multiLevelType w:val="hybridMultilevel"/>
    <w:lvl w:ilvl="0">
      <w:lvlJc w:val="left"/>
      <w:lvlText w:val="•"/>
      <w:numFmt w:val="bullet"/>
      <w:start w:val="1"/>
    </w:lvl>
  </w:abstractNum>
  <w:abstractNum w:abstractNumId="33">
    <w:nsid w:val="37DF2233"/>
    <w:multiLevelType w:val="hybridMultilevel"/>
    <w:lvl w:ilvl="0">
      <w:lvlJc w:val="left"/>
      <w:lvlText w:val="•"/>
      <w:numFmt w:val="bullet"/>
      <w:start w:val="1"/>
    </w:lvl>
  </w:abstractNum>
  <w:abstractNum w:abstractNumId="34">
    <w:nsid w:val="7AB49DAF"/>
    <w:multiLevelType w:val="hybridMultilevel"/>
    <w:lvl w:ilvl="0">
      <w:lvlJc w:val="left"/>
      <w:lvlText w:val="(%1)"/>
      <w:numFmt w:val="lowerLetter"/>
      <w:start w:val="1"/>
    </w:lvl>
  </w:abstractNum>
  <w:abstractNum w:abstractNumId="35">
    <w:nsid w:val="759F82CD"/>
    <w:multiLevelType w:val="hybridMultilevel"/>
    <w:lvl w:ilvl="0">
      <w:lvlJc w:val="left"/>
      <w:lvlText w:val="(%1)"/>
      <w:numFmt w:val="lowerLetter"/>
      <w:start w:val="5"/>
    </w:lvl>
  </w:abstractNum>
  <w:abstractNum w:abstractNumId="36">
    <w:nsid w:val="61E74EA3"/>
    <w:multiLevelType w:val="hybridMultilevel"/>
    <w:lvl w:ilvl="0">
      <w:lvlJc w:val="left"/>
      <w:lvlText w:val="(%1)"/>
      <w:numFmt w:val="lowerRoman"/>
      <w:start w:val="1"/>
    </w:lvl>
  </w:abstractNum>
  <w:abstractNum w:abstractNumId="37">
    <w:nsid w:val="597B4D84"/>
    <w:multiLevelType w:val="hybridMultilevel"/>
    <w:lvl w:ilvl="0">
      <w:lvlJc w:val="left"/>
      <w:lvlText w:val="(%1)"/>
      <w:numFmt w:val="lowerRoman"/>
      <w:start w:val="3"/>
    </w:lvl>
  </w:abstractNum>
  <w:abstractNum w:abstractNumId="38">
    <w:nsid w:val="F819E7F"/>
    <w:multiLevelType w:val="hybridMultilevel"/>
    <w:lvl w:ilvl="0">
      <w:lvlJc w:val="left"/>
      <w:lvlText w:val="(%1)"/>
      <w:numFmt w:val="lowerLetter"/>
      <w:start w:val="7"/>
    </w:lvl>
  </w:abstractNum>
  <w:abstractNum w:abstractNumId="39">
    <w:nsid w:val="57C7D42D"/>
    <w:multiLevelType w:val="hybridMultilevel"/>
    <w:lvl w:ilvl="0">
      <w:lvlJc w:val="left"/>
      <w:lvlText w:val="(%1)"/>
      <w:numFmt w:val="lowerLetter"/>
      <w:start w:val="11"/>
    </w:lvl>
  </w:abstractNum>
  <w:abstractNum w:abstractNumId="40">
    <w:nsid w:val="312167AD"/>
    <w:multiLevelType w:val="hybridMultilevel"/>
    <w:lvl w:ilvl="0">
      <w:lvlJc w:val="left"/>
      <w:lvlText w:val="(%1)"/>
      <w:numFmt w:val="lowerLetter"/>
      <w:start w:val="21"/>
    </w:lvl>
  </w:abstractNum>
  <w:abstractNum w:abstractNumId="41">
    <w:nsid w:val="631B64D4"/>
    <w:multiLevelType w:val="hybridMultilevel"/>
    <w:lvl w:ilvl="0">
      <w:lvlJc w:val="left"/>
      <w:lvlText w:val="(%1)"/>
      <w:numFmt w:val="lowerLetter"/>
      <w:start w:val="27"/>
    </w:lvl>
  </w:abstractNum>
  <w:abstractNum w:abstractNumId="42">
    <w:nsid w:val="78B5E776"/>
    <w:multiLevelType w:val="hybridMultilevel"/>
    <w:lvl w:ilvl="0">
      <w:lvlJc w:val="left"/>
      <w:lvlText w:val="(%1)"/>
      <w:numFmt w:val="lowerLetter"/>
      <w:start w:val="33"/>
    </w:lvl>
  </w:abstractNum>
  <w:abstractNum w:abstractNumId="43">
    <w:nsid w:val="75486E47"/>
    <w:multiLevelType w:val="hybridMultilevel"/>
    <w:lvl w:ilvl="0">
      <w:lvlJc w:val="left"/>
      <w:lvlText w:val="(%1)"/>
      <w:numFmt w:val="lowerLetter"/>
      <w:start w:val="1"/>
    </w:lvl>
  </w:abstractNum>
  <w:abstractNum w:abstractNumId="44">
    <w:nsid w:val="6E534CDE"/>
    <w:multiLevelType w:val="hybridMultilevel"/>
    <w:lvl w:ilvl="0">
      <w:lvlJc w:val="left"/>
      <w:lvlText w:val="(%1)"/>
      <w:numFmt w:val="lowerLetter"/>
      <w:start w:val="5"/>
    </w:lvl>
  </w:abstractNum>
  <w:abstractNum w:abstractNumId="45">
    <w:nsid w:val="1A0DDE32"/>
    <w:multiLevelType w:val="hybridMultilevel"/>
    <w:lvl w:ilvl="0">
      <w:lvlJc w:val="left"/>
      <w:lvlText w:val="(%1)"/>
      <w:numFmt w:val="lowerLetter"/>
      <w:start w:val="7"/>
    </w:lvl>
  </w:abstractNum>
  <w:abstractNum w:abstractNumId="46">
    <w:nsid w:val="65968C1C"/>
    <w:multiLevelType w:val="hybridMultilevel"/>
    <w:lvl w:ilvl="0">
      <w:lvlJc w:val="left"/>
      <w:lvlText w:val="(%1)"/>
      <w:numFmt w:val="lowerLetter"/>
      <w:start w:val="1"/>
    </w:lvl>
  </w:abstractNum>
  <w:abstractNum w:abstractNumId="47">
    <w:nsid w:val="46263DEC"/>
    <w:multiLevelType w:val="hybridMultilevel"/>
    <w:lvl w:ilvl="0">
      <w:lvlJc w:val="left"/>
      <w:lvlText w:val="(%1)"/>
      <w:numFmt w:val="lowerLetter"/>
      <w:start w:val="1"/>
    </w:lvl>
  </w:abstractNum>
  <w:abstractNum w:abstractNumId="48">
    <w:nsid w:val="260D8C4A"/>
    <w:multiLevelType w:val="hybridMultilevel"/>
    <w:lvl w:ilvl="0">
      <w:lvlJc w:val="left"/>
      <w:lvlText w:val="(%1)"/>
      <w:numFmt w:val="lowerLetter"/>
      <w:start w:val="1"/>
    </w:lvl>
  </w:abstractNum>
  <w:abstractNum w:abstractNumId="49">
    <w:nsid w:val="73D4D3C4"/>
    <w:multiLevelType w:val="hybridMultilevel"/>
    <w:lvl w:ilvl="0">
      <w:lvlJc w:val="left"/>
      <w:lvlText w:val="(%1)"/>
      <w:numFmt w:val="decimal"/>
      <w:start w:val="1"/>
    </w:lvl>
  </w:abstractNum>
  <w:abstractNum w:abstractNumId="50">
    <w:nsid w:val="746F2E30"/>
    <w:multiLevelType w:val="hybridMultilevel"/>
    <w:lvl w:ilvl="0">
      <w:lvlJc w:val="left"/>
      <w:lvlText w:val="(%1)"/>
      <w:numFmt w:val="lowerLetter"/>
      <w:start w:val="2"/>
    </w:lvl>
  </w:abstractNum>
  <w:abstractNum w:abstractNumId="51">
    <w:nsid w:val="6FDE8AF6"/>
    <w:multiLevelType w:val="hybridMultilevel"/>
    <w:lvl w:ilvl="0">
      <w:lvlJc w:val="left"/>
      <w:lvlText w:val="(%1)"/>
      <w:numFmt w:val="lowerLetter"/>
      <w:start w:val="1"/>
    </w:lvl>
  </w:abstractNum>
  <w:abstractNum w:abstractNumId="52">
    <w:nsid w:val="3FC32E20"/>
    <w:multiLevelType w:val="hybridMultilevel"/>
    <w:lvl w:ilvl="0">
      <w:lvlJc w:val="left"/>
      <w:lvlText w:val="(%1)"/>
      <w:numFmt w:val="lowerRoman"/>
      <w:start w:val="1"/>
    </w:lvl>
  </w:abstractNum>
  <w:abstractNum w:abstractNumId="53">
    <w:nsid w:val="49C0E823"/>
    <w:multiLevelType w:val="hybridMultilevel"/>
    <w:lvl w:ilvl="0">
      <w:lvlJc w:val="left"/>
      <w:lvlText w:val="(%1)"/>
      <w:numFmt w:val="lowerLetter"/>
      <w:start w:val="2"/>
    </w:lvl>
  </w:abstractNum>
  <w:abstractNum w:abstractNumId="54">
    <w:nsid w:val="14D53685"/>
    <w:multiLevelType w:val="hybridMultilevel"/>
    <w:lvl w:ilvl="0">
      <w:lvlJc w:val="left"/>
      <w:lvlText w:val="(%1)"/>
      <w:numFmt w:val="lowerRoman"/>
      <w:start w:val="1"/>
    </w:lvl>
  </w:abstractNum>
  <w:abstractNum w:abstractNumId="55">
    <w:nsid w:val="230F856C"/>
    <w:multiLevelType w:val="hybridMultilevel"/>
    <w:lvl w:ilvl="0">
      <w:lvlJc w:val="left"/>
      <w:lvlText w:val="(%1)"/>
      <w:numFmt w:val="lowerRoman"/>
      <w:start w:val="2"/>
    </w:lvl>
  </w:abstractNum>
  <w:abstractNum w:abstractNumId="56">
    <w:nsid w:val="6EAA85FB"/>
    <w:multiLevelType w:val="hybridMultilevel"/>
    <w:lvl w:ilvl="0">
      <w:lvlJc w:val="left"/>
      <w:lvlText w:val="(%1)"/>
      <w:numFmt w:val="lowerRoman"/>
      <w:start w:val="1"/>
    </w:lvl>
  </w:abstractNum>
  <w:abstractNum w:abstractNumId="57">
    <w:nsid w:val="3F06ECB2"/>
    <w:multiLevelType w:val="hybridMultilevel"/>
    <w:lvl w:ilvl="0">
      <w:lvlJc w:val="left"/>
      <w:lvlText w:val="(%1)"/>
      <w:numFmt w:val="lowerRoman"/>
      <w:start w:val="5"/>
    </w:lvl>
  </w:abstractNum>
  <w:abstractNum w:abstractNumId="58">
    <w:nsid w:val="3B594807"/>
    <w:multiLevelType w:val="hybridMultilevel"/>
    <w:lvl w:ilvl="0">
      <w:lvlJc w:val="left"/>
      <w:lvlText w:val="(%1)"/>
      <w:numFmt w:val="lowerLetter"/>
      <w:start w:val="1"/>
    </w:lvl>
  </w:abstractNum>
  <w:abstractNum w:abstractNumId="59">
    <w:nsid w:val="6CAA2304"/>
    <w:multiLevelType w:val="hybridMultilevel"/>
    <w:lvl w:ilvl="0">
      <w:lvlJc w:val="left"/>
      <w:lvlText w:val="(%1)"/>
      <w:numFmt w:val="lowerLetter"/>
      <w:start w:val="2"/>
    </w:lvl>
  </w:abstractNum>
  <w:abstractNum w:abstractNumId="60">
    <w:nsid w:val="3F7C2FF4"/>
    <w:multiLevelType w:val="hybridMultilevel"/>
    <w:lvl w:ilvl="0">
      <w:lvlJc w:val="left"/>
      <w:lvlText w:val="(%1)"/>
      <w:numFmt w:val="lowerLetter"/>
      <w:start w:val="1"/>
    </w:lvl>
  </w:abstractNum>
  <w:abstractNum w:abstractNumId="61">
    <w:nsid w:val="25413BEC"/>
    <w:multiLevelType w:val="hybridMultilevel"/>
    <w:lvl w:ilvl="0">
      <w:lvlJc w:val="left"/>
      <w:lvlText w:val="(%1)"/>
      <w:numFmt w:val="lowerRoman"/>
      <w:start w:val="1"/>
    </w:lvl>
  </w:abstractNum>
  <w:abstractNum w:abstractNumId="62">
    <w:nsid w:val="17180B0B"/>
    <w:multiLevelType w:val="hybridMultilevel"/>
    <w:lvl w:ilvl="0">
      <w:lvlJc w:val="left"/>
      <w:lvlText w:val="(%1)"/>
      <w:numFmt w:val="lowerLetter"/>
      <w:start w:val="5"/>
    </w:lvl>
  </w:abstractNum>
  <w:abstractNum w:abstractNumId="63">
    <w:nsid w:val="579328B9"/>
    <w:multiLevelType w:val="hybridMultilevel"/>
    <w:lvl w:ilvl="0">
      <w:lvlJc w:val="left"/>
      <w:lvlText w:val="(%1)"/>
      <w:numFmt w:val="lowerLetter"/>
      <w:start w:val="1"/>
    </w:lvl>
  </w:abstractNum>
  <w:abstractNum w:abstractNumId="64">
    <w:nsid w:val="5D205E20"/>
    <w:multiLevelType w:val="hybridMultilevel"/>
    <w:lvl w:ilvl="0">
      <w:lvlJc w:val="left"/>
      <w:lvlText w:val="(%1)"/>
      <w:numFmt w:val="lowerLetter"/>
      <w:start w:val="2"/>
    </w:lvl>
  </w:abstractNum>
  <w:abstractNum w:abstractNumId="65">
    <w:nsid w:val="11CCA8BA"/>
    <w:multiLevelType w:val="hybridMultilevel"/>
    <w:lvl w:ilvl="0">
      <w:lvlJc w:val="left"/>
      <w:lvlText w:val="%1."/>
      <w:numFmt w:val="decimal"/>
      <w:start w:val="1"/>
    </w:lvl>
    <w:lvl w:ilvl="1">
      <w:lvlJc w:val="left"/>
      <w:lvlText w:val="(%2)"/>
      <w:numFmt w:val="lowerLetter"/>
      <w:start w:val="1"/>
    </w:lvl>
  </w:abstractNum>
  <w:abstractNum w:abstractNumId="66">
    <w:nsid w:val="4D32AB86"/>
    <w:multiLevelType w:val="hybridMultilevel"/>
    <w:lvl w:ilvl="0">
      <w:lvlJc w:val="left"/>
      <w:lvlText w:val="(%1)"/>
      <w:numFmt w:val="lowerLetter"/>
      <w:start w:val="3"/>
    </w:lvl>
  </w:abstractNum>
  <w:abstractNum w:abstractNumId="67">
    <w:nsid w:val="3F07ACC3"/>
    <w:multiLevelType w:val="hybridMultilevel"/>
    <w:lvl w:ilvl="0">
      <w:lvlJc w:val="left"/>
      <w:lvlText w:val="(%1)"/>
      <w:numFmt w:val="lowerRoman"/>
      <w:start w:val="2"/>
    </w:lvl>
  </w:abstractNum>
  <w:abstractNum w:abstractNumId="68">
    <w:nsid w:val="6B47F63E"/>
    <w:multiLevelType w:val="hybridMultilevel"/>
    <w:lvl w:ilvl="0">
      <w:lvlJc w:val="left"/>
      <w:lvlText w:val="%1."/>
      <w:numFmt w:val="decimal"/>
      <w:start w:val="5"/>
    </w:lvl>
  </w:abstractNum>
  <w:abstractNum w:abstractNumId="69">
    <w:nsid w:val="5CB44A05"/>
    <w:multiLevelType w:val="hybridMultilevel"/>
    <w:lvl w:ilvl="0">
      <w:lvlJc w:val="left"/>
      <w:lvlText w:val="%1."/>
      <w:numFmt w:val="decimal"/>
      <w:start w:val="6"/>
    </w:lvl>
  </w:abstractNum>
  <w:abstractNum w:abstractNumId="70">
    <w:nsid w:val="16CF80F1"/>
    <w:multiLevelType w:val="hybridMultilevel"/>
    <w:lvl w:ilvl="0">
      <w:lvlJc w:val="left"/>
      <w:lvlText w:val="%1."/>
      <w:numFmt w:val="decimal"/>
      <w:start w:val="10"/>
    </w:lvl>
  </w:abstractNum>
  <w:abstractNum w:abstractNumId="71">
    <w:nsid w:val="1C695DEC"/>
    <w:multiLevelType w:val="hybridMultilevel"/>
    <w:lvl w:ilvl="0">
      <w:lvlJc w:val="left"/>
      <w:lvlText w:val="%1."/>
      <w:numFmt w:val="decimal"/>
      <w:start w:val="1"/>
    </w:lvl>
  </w:abstractNum>
  <w:abstractNum w:abstractNumId="72">
    <w:nsid w:val="3FCFAED9"/>
    <w:multiLevelType w:val="hybridMultilevel"/>
    <w:lvl w:ilvl="0">
      <w:lvlJc w:val="left"/>
      <w:lvlText w:val="%1."/>
      <w:numFmt w:val="decimal"/>
      <w:start w:val="4"/>
    </w:lvl>
    <w:lvl w:ilvl="1">
      <w:lvlJc w:val="left"/>
      <w:lvlText w:val="(%2)"/>
      <w:numFmt w:val="lowerLetter"/>
      <w:start w:val="1"/>
    </w:lvl>
  </w:abstractNum>
  <w:abstractNum w:abstractNumId="73">
    <w:nsid w:val="F856867"/>
    <w:multiLevelType w:val="hybridMultilevel"/>
    <w:lvl w:ilvl="0">
      <w:lvlJc w:val="left"/>
      <w:lvlText w:val="%1."/>
      <w:numFmt w:val="decimal"/>
      <w:start w:val="5"/>
    </w:lvl>
  </w:abstractNum>
  <w:abstractNum w:abstractNumId="74">
    <w:nsid w:val="11B1CC33"/>
    <w:multiLevelType w:val="hybridMultilevel"/>
    <w:lvl w:ilvl="0">
      <w:lvlJc w:val="left"/>
      <w:lvlText w:val="%1."/>
      <w:numFmt w:val="decimal"/>
      <w:start w:val="7"/>
    </w:lvl>
  </w:abstractNum>
  <w:abstractNum w:abstractNumId="75">
    <w:nsid w:val="2E22FBB7"/>
    <w:multiLevelType w:val="hybridMultilevel"/>
    <w:lvl w:ilvl="0">
      <w:lvlJc w:val="left"/>
      <w:lvlText w:val="%1."/>
      <w:numFmt w:val="decimal"/>
      <w:start w:val="13"/>
    </w:lvl>
  </w:abstractNum>
  <w:abstractNum w:abstractNumId="76">
    <w:nsid w:val="29934699"/>
    <w:multiLevelType w:val="hybridMultilevel"/>
    <w:lvl w:ilvl="0">
      <w:lvlJc w:val="left"/>
      <w:lvlText w:val="%1."/>
      <w:numFmt w:val="decimal"/>
      <w:start w:val="1"/>
    </w:lvl>
    <w:lvl w:ilvl="1">
      <w:lvlJc w:val="left"/>
      <w:lvlText w:val="(%2)"/>
      <w:numFmt w:val="lowerLetter"/>
      <w:start w:val="1"/>
    </w:lvl>
  </w:abstractNum>
  <w:abstractNum w:abstractNumId="77">
    <w:nsid w:val="77485850"/>
    <w:multiLevelType w:val="hybridMultilevel"/>
    <w:lvl w:ilvl="0">
      <w:lvlJc w:val="left"/>
      <w:lvlText w:val="(%1)"/>
      <w:numFmt w:val="lowerLetter"/>
      <w:start w:val="2"/>
    </w:lvl>
  </w:abstractNum>
  <w:abstractNum w:abstractNumId="78">
    <w:nsid w:val="744939A3"/>
    <w:multiLevelType w:val="hybridMultilevel"/>
    <w:lvl w:ilvl="0">
      <w:lvlJc w:val="left"/>
      <w:lvlText w:val="(%1)"/>
      <w:numFmt w:val="lowerRoman"/>
      <w:start w:val="2"/>
    </w:lvl>
  </w:abstractNum>
  <w:abstractNum w:abstractNumId="79">
    <w:nsid w:val="4FA0D2E3"/>
    <w:multiLevelType w:val="hybridMultilevel"/>
    <w:lvl w:ilvl="0">
      <w:lvlJc w:val="left"/>
      <w:lvlText w:val="%1."/>
      <w:numFmt w:val="decimal"/>
      <w:start w:val="5"/>
    </w:lvl>
  </w:abstractNum>
  <w:abstractNum w:abstractNumId="80">
    <w:nsid w:val="6B1D2C14"/>
    <w:multiLevelType w:val="hybridMultilevel"/>
    <w:lvl w:ilvl="0">
      <w:lvlJc w:val="left"/>
      <w:lvlText w:val="%1."/>
      <w:numFmt w:val="decimal"/>
      <w:start w:val="8"/>
    </w:lvl>
  </w:abstractNum>
  <w:abstractNum w:abstractNumId="81">
    <w:nsid w:val="68B867D3"/>
    <w:multiLevelType w:val="hybridMultilevel"/>
    <w:lvl w:ilvl="0">
      <w:lvlJc w:val="left"/>
      <w:lvlText w:val="%1."/>
      <w:numFmt w:val="decimal"/>
      <w:start w:val="1"/>
    </w:lvl>
    <w:lvl w:ilvl="1">
      <w:lvlJc w:val="left"/>
      <w:lvlText w:val="(%2)"/>
      <w:numFmt w:val="lowerLetter"/>
      <w:start w:val="1"/>
    </w:lvl>
  </w:abstractNum>
  <w:abstractNum w:abstractNumId="82">
    <w:nsid w:val="3F7F5DD9"/>
    <w:multiLevelType w:val="hybridMultilevel"/>
    <w:lvl w:ilvl="0">
      <w:lvlJc w:val="left"/>
      <w:lvlText w:val="%1."/>
      <w:numFmt w:val="decimal"/>
      <w:start w:val="6"/>
    </w:lvl>
    <w:lvl w:ilvl="1">
      <w:lvlJc w:val="left"/>
      <w:lvlText w:val="(%2)"/>
      <w:numFmt w:val="lowerLetter"/>
      <w:start w:val="1"/>
    </w:lvl>
  </w:abstractNum>
  <w:abstractNum w:abstractNumId="83">
    <w:nsid w:val="2AE05A34"/>
    <w:multiLevelType w:val="hybridMultilevel"/>
    <w:lvl w:ilvl="0">
      <w:lvlJc w:val="left"/>
      <w:lvlText w:val="(%1)"/>
      <w:numFmt w:val="lowerRoman"/>
      <w:start w:val="2"/>
    </w:lvl>
  </w:abstractNum>
  <w:abstractNum w:abstractNumId="84">
    <w:nsid w:val="32794FF7"/>
    <w:multiLevelType w:val="hybridMultilevel"/>
    <w:lvl w:ilvl="0">
      <w:lvlJc w:val="left"/>
      <w:lvlText w:val="%1."/>
      <w:numFmt w:val="decimal"/>
      <w:start w:val="7"/>
    </w:lvl>
  </w:abstractNum>
  <w:abstractNum w:abstractNumId="85">
    <w:nsid w:val="5454945E"/>
    <w:multiLevelType w:val="hybridMultilevel"/>
    <w:lvl w:ilvl="0">
      <w:lvlJc w:val="left"/>
      <w:lvlText w:val="%1."/>
      <w:numFmt w:val="decimal"/>
      <w:start w:val="12"/>
    </w:lvl>
  </w:abstractNum>
  <w:abstractNum w:abstractNumId="86">
    <w:nsid w:val="4DEFDFA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7">
    <w:nsid w:val="2123D5F2"/>
    <w:multiLevelType w:val="hybridMultilevel"/>
    <w:lvl w:ilvl="0">
      <w:lvlJc w:val="left"/>
      <w:lvlText w:val="(%1)"/>
      <w:numFmt w:val="lowerRoman"/>
      <w:start w:val="3"/>
    </w:lvl>
  </w:abstractNum>
  <w:abstractNum w:abstractNumId="88">
    <w:nsid w:val="135B8110"/>
    <w:multiLevelType w:val="hybridMultilevel"/>
    <w:lvl w:ilvl="0">
      <w:lvlJc w:val="left"/>
      <w:lvlText w:val="%1"/>
      <w:numFmt w:val="decimal"/>
      <w:start w:val="1"/>
    </w:lvl>
    <w:lvl w:ilvl="1">
      <w:lvlJc w:val="left"/>
      <w:lvlText w:val="(%2)"/>
      <w:numFmt w:val="lowerLetter"/>
      <w:start w:val="3"/>
    </w:lvl>
  </w:abstractNum>
  <w:abstractNum w:abstractNumId="89">
    <w:nsid w:val="94927A8"/>
    <w:multiLevelType w:val="hybridMultilevel"/>
    <w:lvl w:ilvl="0">
      <w:lvlJc w:val="left"/>
      <w:lvlText w:val="%1."/>
      <w:numFmt w:val="decimal"/>
      <w:start w:val="5"/>
    </w:lvl>
    <w:lvl w:ilvl="1">
      <w:lvlJc w:val="left"/>
      <w:lvlText w:val="(%2)"/>
      <w:numFmt w:val="lowerLetter"/>
      <w:start w:val="1"/>
    </w:lvl>
  </w:abstractNum>
  <w:abstractNum w:abstractNumId="90">
    <w:nsid w:val="DCDF8F6"/>
    <w:multiLevelType w:val="hybridMultilevel"/>
    <w:lvl w:ilvl="0">
      <w:lvlJc w:val="left"/>
      <w:lvlText w:val="(%1)"/>
      <w:numFmt w:val="lowerLetter"/>
      <w:start w:val="2"/>
    </w:lvl>
  </w:abstractNum>
  <w:abstractNum w:abstractNumId="91">
    <w:nsid w:val="52D7B105"/>
    <w:multiLevelType w:val="hybridMultilevel"/>
    <w:lvl w:ilvl="0">
      <w:lvlJc w:val="left"/>
      <w:lvlText w:val="%1"/>
      <w:numFmt w:val="decimal"/>
      <w:start w:val="1"/>
    </w:lvl>
    <w:lvl w:ilvl="1">
      <w:lvlJc w:val="left"/>
      <w:lvlText w:val="(%2)"/>
      <w:numFmt w:val="lowerLetter"/>
      <w:start w:val="4"/>
    </w:lvl>
  </w:abstractNum>
  <w:abstractNum w:abstractNumId="92">
    <w:nsid w:val="2E8A6394"/>
    <w:multiLevelType w:val="hybridMultilevel"/>
    <w:lvl w:ilvl="0">
      <w:lvlJc w:val="left"/>
      <w:lvlText w:val="%1."/>
      <w:numFmt w:val="decimal"/>
      <w:start w:val="9"/>
    </w:lvl>
    <w:lvl w:ilvl="1">
      <w:lvlJc w:val="left"/>
      <w:lvlText w:val="%2"/>
      <w:numFmt w:val="lowerLetter"/>
      <w:start w:val="1"/>
    </w:lvl>
  </w:abstractNum>
  <w:abstractNum w:abstractNumId="93">
    <w:nsid w:val="24E60401"/>
    <w:multiLevelType w:val="hybridMultilevel"/>
    <w:lvl w:ilvl="0">
      <w:lvlJc w:val="left"/>
      <w:lvlText w:val="•"/>
      <w:numFmt w:val="bullet"/>
      <w:start w:val="1"/>
    </w:lvl>
    <w:lvl w:ilvl="1">
      <w:lvlJc w:val="left"/>
      <w:lvlText w:val="(%2)"/>
      <w:numFmt w:val="lowerLetter"/>
      <w:start w:val="1"/>
    </w:lvl>
  </w:abstractNum>
  <w:abstractNum w:abstractNumId="94">
    <w:nsid w:val="2A6AD9BE"/>
    <w:multiLevelType w:val="hybridMultilevel"/>
    <w:lvl w:ilvl="0">
      <w:lvlJc w:val="left"/>
      <w:lvlText w:val="%1"/>
      <w:numFmt w:val="decimal"/>
      <w:start w:val="1"/>
    </w:lvl>
    <w:lvl w:ilvl="1">
      <w:lvlJc w:val="left"/>
      <w:lvlText w:val="(%2)"/>
      <w:numFmt w:val="lowerLetter"/>
      <w:start w:val="3"/>
    </w:lvl>
  </w:abstractNum>
  <w:abstractNum w:abstractNumId="95">
    <w:nsid w:val="BAAC1B4"/>
    <w:multiLevelType w:val="hybridMultilevel"/>
    <w:lvl w:ilvl="0">
      <w:lvlJc w:val="left"/>
      <w:lvlText w:val="%1."/>
      <w:numFmt w:val="decimal"/>
      <w:start w:val="10"/>
    </w:lvl>
    <w:lvl w:ilvl="1">
      <w:lvlJc w:val="left"/>
      <w:lvlText w:val="%2"/>
      <w:numFmt w:val="lowerLetter"/>
      <w:start w:val="1"/>
    </w:lvl>
  </w:abstractNum>
  <w:abstractNum w:abstractNumId="96">
    <w:nsid w:val="36B2ACBC"/>
    <w:multiLevelType w:val="hybridMultilevel"/>
    <w:lvl w:ilvl="0">
      <w:lvlJc w:val="left"/>
      <w:lvlText w:val="%1."/>
      <w:numFmt w:val="decimal"/>
      <w:start w:val="13"/>
    </w:lvl>
    <w:lvl w:ilvl="1">
      <w:lvlJc w:val="left"/>
      <w:lvlText w:val="(%2)"/>
      <w:numFmt w:val="lowerLetter"/>
      <w:start w:val="1"/>
    </w:lvl>
  </w:abstractNum>
  <w:abstractNum w:abstractNumId="97">
    <w:nsid w:val="779D854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98">
    <w:nsid w:val="4AB26E7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99">
    <w:nsid w:val="21FAA2FA"/>
    <w:multiLevelType w:val="hybridMultilevel"/>
    <w:lvl w:ilvl="0">
      <w:lvlJc w:val="left"/>
      <w:lvlText w:val="%1."/>
      <w:numFmt w:val="decimal"/>
      <w:start w:val="16"/>
    </w:lvl>
  </w:abstractNum>
  <w:abstractNum w:abstractNumId="100">
    <w:nsid w:val="5451CF49"/>
    <w:multiLevelType w:val="hybridMultilevel"/>
    <w:lvl w:ilvl="0">
      <w:lvlJc w:val="left"/>
      <w:lvlText w:val="%1."/>
      <w:numFmt w:val="decimal"/>
      <w:start w:val="18"/>
    </w:lvl>
  </w:abstractNum>
  <w:abstractNum w:abstractNumId="101">
    <w:nsid w:val="6181EF69"/>
    <w:multiLevelType w:val="hybridMultilevel"/>
    <w:lvl w:ilvl="0">
      <w:lvlJc w:val="left"/>
      <w:lvlText w:val="%1."/>
      <w:numFmt w:val="decimal"/>
      <w:start w:val="23"/>
    </w:lvl>
  </w:abstractNum>
  <w:abstractNum w:abstractNumId="102">
    <w:nsid w:val="3E6400E6"/>
    <w:multiLevelType w:val="hybridMultilevel"/>
    <w:lvl w:ilvl="0">
      <w:lvlJc w:val="left"/>
      <w:lvlText w:val="%1."/>
      <w:numFmt w:val="decimal"/>
      <w:start w:val="28"/>
    </w:lvl>
    <w:lvl w:ilvl="1">
      <w:lvlJc w:val="left"/>
      <w:lvlText w:val="*"/>
      <w:numFmt w:val="bullet"/>
      <w:start w:val="1"/>
    </w:lvl>
  </w:abstractNum>
  <w:abstractNum w:abstractNumId="103">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4">
    <w:nsid w:val="710757D0"/>
    <w:multiLevelType w:val="hybridMultilevel"/>
    <w:lvl w:ilvl="0">
      <w:lvlJc w:val="left"/>
      <w:lvlText w:val="(%1)"/>
      <w:numFmt w:val="lowerRoman"/>
      <w:start w:val="3"/>
    </w:lvl>
  </w:abstractNum>
  <w:abstractNum w:abstractNumId="105">
    <w:nsid w:val="5015CD1A"/>
    <w:multiLevelType w:val="hybridMultilevel"/>
    <w:lvl w:ilvl="0">
      <w:lvlJc w:val="left"/>
      <w:lvlText w:val="%1"/>
      <w:numFmt w:val="decimal"/>
      <w:start w:val="1"/>
    </w:lvl>
    <w:lvl w:ilvl="1">
      <w:lvlJc w:val="left"/>
      <w:lvlText w:val="(%2)"/>
      <w:numFmt w:val="lowerLetter"/>
      <w:start w:val="3"/>
    </w:lvl>
  </w:abstractNum>
  <w:abstractNum w:abstractNumId="106">
    <w:nsid w:val="424479DA"/>
    <w:multiLevelType w:val="hybridMultilevel"/>
    <w:lvl w:ilvl="0">
      <w:lvlJc w:val="left"/>
      <w:lvlText w:val="%1."/>
      <w:numFmt w:val="decimal"/>
      <w:start w:val="5"/>
    </w:lvl>
    <w:lvl w:ilvl="1">
      <w:lvlJc w:val="left"/>
      <w:lvlText w:val="(%2)"/>
      <w:numFmt w:val="lowerLetter"/>
      <w:start w:val="1"/>
    </w:lvl>
  </w:abstractNum>
  <w:abstractNum w:abstractNumId="107">
    <w:nsid w:val="1A9A9E69"/>
    <w:multiLevelType w:val="hybridMultilevel"/>
    <w:lvl w:ilvl="0">
      <w:lvlJc w:val="left"/>
      <w:lvlText w:val="(%1)"/>
      <w:numFmt w:val="lowerLetter"/>
      <w:start w:val="2"/>
    </w:lvl>
  </w:abstractNum>
  <w:abstractNum w:abstractNumId="108">
    <w:nsid w:val="475E256A"/>
    <w:multiLevelType w:val="hybridMultilevel"/>
    <w:lvl w:ilvl="0">
      <w:lvlJc w:val="left"/>
      <w:lvlText w:val="%1"/>
      <w:numFmt w:val="decimal"/>
      <w:start w:val="1"/>
    </w:lvl>
    <w:lvl w:ilvl="1">
      <w:lvlJc w:val="left"/>
      <w:lvlText w:val="(%2)"/>
      <w:numFmt w:val="lowerLetter"/>
      <w:start w:val="4"/>
    </w:lvl>
  </w:abstractNum>
  <w:abstractNum w:abstractNumId="109">
    <w:nsid w:val="368DB37E"/>
    <w:multiLevelType w:val="hybridMultilevel"/>
    <w:lvl w:ilvl="0">
      <w:lvlJc w:val="left"/>
      <w:lvlText w:val="%1."/>
      <w:numFmt w:val="decimal"/>
      <w:start w:val="9"/>
    </w:lvl>
    <w:lvl w:ilvl="1">
      <w:lvlJc w:val="left"/>
      <w:lvlText w:val="%2"/>
      <w:numFmt w:val="lowerLetter"/>
      <w:start w:val="1"/>
    </w:lvl>
  </w:abstractNum>
  <w:abstractNum w:abstractNumId="110">
    <w:nsid w:val="6A3B714C"/>
    <w:multiLevelType w:val="hybridMultilevel"/>
    <w:lvl w:ilvl="0">
      <w:lvlJc w:val="left"/>
      <w:lvlText w:val="•"/>
      <w:numFmt w:val="bullet"/>
      <w:start w:val="1"/>
    </w:lvl>
    <w:lvl w:ilvl="1">
      <w:lvlJc w:val="left"/>
      <w:lvlText w:val="(%2)"/>
      <w:numFmt w:val="lowerLetter"/>
      <w:start w:val="1"/>
    </w:lvl>
  </w:abstractNum>
  <w:abstractNum w:abstractNumId="111">
    <w:nsid w:val="327B517E"/>
    <w:multiLevelType w:val="hybridMultilevel"/>
    <w:lvl w:ilvl="0">
      <w:lvlJc w:val="left"/>
      <w:lvlText w:val="%1"/>
      <w:numFmt w:val="decimal"/>
      <w:start w:val="1"/>
    </w:lvl>
    <w:lvl w:ilvl="1">
      <w:lvlJc w:val="left"/>
      <w:lvlText w:val="(%2)"/>
      <w:numFmt w:val="lowerLetter"/>
      <w:start w:val="3"/>
    </w:lvl>
  </w:abstractNum>
  <w:abstractNum w:abstractNumId="112">
    <w:nsid w:val="1F461B51"/>
    <w:multiLevelType w:val="hybridMultilevel"/>
    <w:lvl w:ilvl="0">
      <w:lvlJc w:val="left"/>
      <w:lvlText w:val="%1."/>
      <w:numFmt w:val="decimal"/>
      <w:start w:val="10"/>
    </w:lvl>
    <w:lvl w:ilvl="1">
      <w:lvlJc w:val="left"/>
      <w:lvlText w:val="%2"/>
      <w:numFmt w:val="lowerLetter"/>
      <w:start w:val="1"/>
    </w:lvl>
  </w:abstractNum>
  <w:abstractNum w:abstractNumId="113">
    <w:nsid w:val="29BACF25"/>
    <w:multiLevelType w:val="hybridMultilevel"/>
    <w:lvl w:ilvl="0">
      <w:lvlJc w:val="left"/>
      <w:lvlText w:val="%1."/>
      <w:numFmt w:val="decimal"/>
      <w:start w:val="13"/>
    </w:lvl>
    <w:lvl w:ilvl="1">
      <w:lvlJc w:val="left"/>
      <w:lvlText w:val="(%2)"/>
      <w:numFmt w:val="lowerLetter"/>
      <w:start w:val="1"/>
    </w:lvl>
  </w:abstractNum>
  <w:abstractNum w:abstractNumId="114">
    <w:nsid w:val="5D5BABB3"/>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15">
    <w:nsid w:val="51BF6B48"/>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16">
    <w:nsid w:val="7E0F6384"/>
    <w:multiLevelType w:val="hybridMultilevel"/>
    <w:lvl w:ilvl="0">
      <w:lvlJc w:val="left"/>
      <w:lvlText w:val="%1."/>
      <w:numFmt w:val="decimal"/>
      <w:start w:val="16"/>
    </w:lvl>
  </w:abstractNum>
  <w:abstractNum w:abstractNumId="117">
    <w:nsid w:val="2B4B8B53"/>
    <w:multiLevelType w:val="hybridMultilevel"/>
    <w:lvl w:ilvl="0">
      <w:lvlJc w:val="left"/>
      <w:lvlText w:val="%1."/>
      <w:numFmt w:val="decimal"/>
      <w:start w:val="18"/>
    </w:lvl>
  </w:abstractNum>
  <w:abstractNum w:abstractNumId="118">
    <w:nsid w:val="72E3413A"/>
    <w:multiLevelType w:val="hybridMultilevel"/>
    <w:lvl w:ilvl="0">
      <w:lvlJc w:val="left"/>
      <w:lvlText w:val="%1."/>
      <w:numFmt w:val="decimal"/>
      <w:start w:val="23"/>
    </w:lvl>
  </w:abstractNum>
  <w:abstractNum w:abstractNumId="119">
    <w:nsid w:val="116AE494"/>
    <w:multiLevelType w:val="hybridMultilevel"/>
    <w:lvl w:ilvl="0">
      <w:lvlJc w:val="left"/>
      <w:lvlText w:val="%1."/>
      <w:numFmt w:val="decimal"/>
      <w:start w:val="28"/>
    </w:lvl>
    <w:lvl w:ilvl="1">
      <w:lvlJc w:val="left"/>
      <w:lvlText w:val="*"/>
      <w:numFmt w:val="bullet"/>
      <w:start w:val="1"/>
    </w:lvl>
  </w:abstractNum>
  <w:abstractNum w:abstractNumId="120">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1">
    <w:nsid w:val="B13A3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2">
    <w:nsid w:val="6442959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3">
    <w:nsid w:val="631F169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4">
    <w:nsid w:val="25973E32"/>
    <w:multiLevelType w:val="hybridMultilevel"/>
    <w:lvl w:ilvl="0">
      <w:lvlJc w:val="left"/>
      <w:lvlText w:val="%1"/>
      <w:numFmt w:val="upperLetter"/>
      <w:start w:val="1"/>
    </w:lvl>
    <w:lvl w:ilvl="1">
      <w:lvlJc w:val="left"/>
      <w:lvlText w:val="%2."/>
      <w:numFmt w:val="decimal"/>
      <w:start w:val="7"/>
    </w:lvl>
    <w:lvl w:ilvl="2">
      <w:lvlJc w:val="left"/>
      <w:lvlText w:val="(%3)"/>
      <w:numFmt w:val="lowerLetter"/>
      <w:start w:val="1"/>
    </w:lvl>
  </w:abstractNum>
  <w:abstractNum w:abstractNumId="125">
    <w:nsid w:val="EAD6F57"/>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26">
    <w:nsid w:val="6EC9D844"/>
    <w:multiLevelType w:val="hybridMultilevel"/>
    <w:lvl w:ilvl="0">
      <w:lvlJc w:val="left"/>
      <w:lvlText w:val="%1"/>
      <w:numFmt w:val="decimal"/>
      <w:start w:val="1"/>
    </w:lvl>
    <w:lvl w:ilvl="1">
      <w:lvlJc w:val="left"/>
      <w:lvlText w:val="(%2)"/>
      <w:numFmt w:val="lowerLetter"/>
      <w:start w:val="2"/>
    </w:lvl>
  </w:abstractNum>
  <w:abstractNum w:abstractNumId="127">
    <w:nsid w:val="5C49EAEE"/>
    <w:multiLevelType w:val="hybridMultilevel"/>
    <w:lvl w:ilvl="0">
      <w:lvlJc w:val="left"/>
      <w:lvlText w:val="%1."/>
      <w:numFmt w:val="decimal"/>
      <w:start w:val="9"/>
    </w:lvl>
    <w:lvl w:ilvl="1">
      <w:lvlJc w:val="left"/>
      <w:lvlText w:val="%2"/>
      <w:numFmt w:val="lowerLetter"/>
      <w:start w:val="1"/>
    </w:lvl>
  </w:abstractNum>
  <w:abstractNum w:abstractNumId="128">
    <w:nsid w:val="64AF49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29">
    <w:nsid w:val="397C46BC"/>
    <w:multiLevelType w:val="hybridMultilevel"/>
    <w:lvl w:ilvl="0">
      <w:lvlJc w:val="left"/>
      <w:lvlText w:val="•"/>
      <w:numFmt w:val="bullet"/>
      <w:start w:val="1"/>
    </w:lvl>
    <w:lvl w:ilvl="1">
      <w:lvlJc w:val="left"/>
      <w:lvlText w:val="%2."/>
      <w:numFmt w:val="decimal"/>
      <w:start w:val="10"/>
    </w:lvl>
    <w:lvl w:ilvl="2">
      <w:lvlJc w:val="left"/>
      <w:lvlText w:val="%3"/>
      <w:numFmt w:val="lowerLetter"/>
      <w:start w:val="1"/>
    </w:lvl>
  </w:abstractNum>
  <w:abstractNum w:abstractNumId="130">
    <w:nsid w:val="7E448DE9"/>
    <w:multiLevelType w:val="hybridMultilevel"/>
    <w:lvl w:ilvl="0">
      <w:lvlJc w:val="left"/>
      <w:lvlText w:val="%1."/>
      <w:numFmt w:val="decimal"/>
      <w:start w:val="11"/>
    </w:lvl>
    <w:lvl w:ilvl="1">
      <w:lvlJc w:val="left"/>
      <w:lvlText w:val="(%2)"/>
      <w:numFmt w:val="lowerLetter"/>
      <w:start w:val="1"/>
    </w:lvl>
  </w:abstractNum>
  <w:abstractNum w:abstractNumId="131">
    <w:nsid w:val="5A9CC3E5"/>
    <w:multiLevelType w:val="hybridMultilevel"/>
    <w:lvl w:ilvl="0">
      <w:lvlJc w:val="left"/>
      <w:lvlText w:val="(%1)"/>
      <w:numFmt w:val="lowerLetter"/>
      <w:start w:val="5"/>
    </w:lvl>
    <w:lvl w:ilvl="1">
      <w:lvlJc w:val="left"/>
      <w:lvlText w:val="(%2)"/>
      <w:numFmt w:val="lowerRoman"/>
      <w:start w:val="1"/>
    </w:lvl>
  </w:abstractNum>
  <w:abstractNum w:abstractNumId="132">
    <w:nsid w:val="1AFE3625"/>
    <w:multiLevelType w:val="hybridMultilevel"/>
    <w:lvl w:ilvl="0">
      <w:lvlJc w:val="left"/>
      <w:lvlText w:val="%1"/>
      <w:numFmt w:val="decimal"/>
      <w:start w:val="1"/>
    </w:lvl>
    <w:lvl w:ilvl="1">
      <w:lvlJc w:val="left"/>
      <w:lvlText w:val="(%2)"/>
      <w:numFmt w:val="lowerRoman"/>
      <w:start w:val="3"/>
    </w:lvl>
  </w:abstractNum>
  <w:abstractNum w:abstractNumId="133">
    <w:nsid w:val="3CA88ECF"/>
    <w:multiLevelType w:val="hybridMultilevel"/>
    <w:lvl w:ilvl="0">
      <w:lvlJc w:val="left"/>
      <w:lvlText w:val="%1."/>
      <w:numFmt w:val="decimal"/>
      <w:start w:val="14"/>
    </w:lvl>
    <w:lvl w:ilvl="1">
      <w:lvlJc w:val="left"/>
      <w:lvlText w:val="%2"/>
      <w:numFmt w:val="lowerRoman"/>
      <w:start w:val="1"/>
    </w:lvl>
  </w:abstractNum>
  <w:abstractNum w:abstractNumId="134">
    <w:nsid w:val="6EBE4208"/>
    <w:multiLevelType w:val="hybridMultilevel"/>
    <w:lvl w:ilvl="0">
      <w:lvlJc w:val="left"/>
      <w:lvlText w:val="%1."/>
      <w:numFmt w:val="decimal"/>
      <w:start w:val="16"/>
    </w:lvl>
  </w:abstractNum>
  <w:abstractNum w:abstractNumId="135">
    <w:nsid w:val="C058DF5"/>
    <w:multiLevelType w:val="hybridMultilevel"/>
    <w:lvl w:ilvl="0">
      <w:lvlJc w:val="left"/>
      <w:lvlText w:val="%1."/>
      <w:numFmt w:val="decimal"/>
      <w:start w:val="21"/>
    </w:lvl>
  </w:abstractNum>
  <w:abstractNum w:abstractNumId="136">
    <w:nsid w:val="CBE5BE9"/>
    <w:multiLevelType w:val="hybridMultilevel"/>
    <w:lvl w:ilvl="0">
      <w:lvlJc w:val="left"/>
      <w:lvlText w:val="%1."/>
      <w:numFmt w:val="decimal"/>
      <w:start w:val="26"/>
    </w:lvl>
    <w:lvl w:ilvl="1">
      <w:lvlJc w:val="left"/>
      <w:lvlText w:val="*"/>
      <w:numFmt w:val="bullet"/>
      <w:start w:val="1"/>
    </w:lvl>
  </w:abstractNum>
  <w:abstractNum w:abstractNumId="137">
    <w:nsid w:val="3102BBE2"/>
    <w:multiLevelType w:val="hybridMultilevel"/>
    <w:lvl w:ilvl="0">
      <w:lvlJc w:val="left"/>
      <w:lvlText w:val="•"/>
      <w:numFmt w:val="bullet"/>
      <w:start w:val="1"/>
    </w:lvl>
  </w:abstractNum>
  <w:abstractNum w:abstractNumId="138">
    <w:nsid w:val="26A02C5E"/>
    <w:multiLevelType w:val="hybridMultilevel"/>
    <w:lvl w:ilvl="0">
      <w:lvlJc w:val="left"/>
      <w:lvlText w:val="•"/>
      <w:numFmt w:val="bullet"/>
      <w:start w:val="1"/>
    </w:lvl>
  </w:abstractNum>
  <w:abstractNum w:abstractNumId="139">
    <w:nsid w:val="541C8153"/>
    <w:multiLevelType w:val="hybridMultilevel"/>
    <w:lvl w:ilvl="0">
      <w:lvlJc w:val="left"/>
      <w:lvlText w:val="•"/>
      <w:numFmt w:val="bullet"/>
      <w:start w:val="1"/>
    </w:lvl>
  </w:abstractNum>
  <w:abstractNum w:abstractNumId="140">
    <w:nsid w:val="67906F60"/>
    <w:multiLevelType w:val="hybridMultilevel"/>
    <w:lvl w:ilvl="0">
      <w:lvlJc w:val="left"/>
      <w:lvlText w:val="•"/>
      <w:numFmt w:val="bullet"/>
      <w:start w:val="1"/>
    </w:lvl>
  </w:abstractNum>
  <w:abstractNum w:abstractNumId="141">
    <w:nsid w:val="10DB9DAA"/>
    <w:multiLevelType w:val="hybridMultilevel"/>
    <w:lvl w:ilvl="0">
      <w:lvlJc w:val="left"/>
      <w:lvlText w:val="%1."/>
      <w:numFmt w:val="decimal"/>
      <w:start w:val="1"/>
    </w:lvl>
  </w:abstractNum>
  <w:abstractNum w:abstractNumId="142">
    <w:nsid w:val="697D2D2"/>
    <w:multiLevelType w:val="hybridMultilevel"/>
    <w:lvl w:ilvl="0">
      <w:lvlJc w:val="left"/>
      <w:lvlText w:val="%1."/>
      <w:numFmt w:val="decimal"/>
      <w:start w:val="4"/>
    </w:lvl>
    <w:lvl w:ilvl="1">
      <w:lvlJc w:val="left"/>
      <w:lvlText w:val="(%2)"/>
      <w:numFmt w:val="lowerLetter"/>
      <w:start w:val="1"/>
    </w:lvl>
  </w:abstractNum>
  <w:abstractNum w:abstractNumId="143">
    <w:nsid w:val="6D68AB2"/>
    <w:multiLevelType w:val="hybridMultilevel"/>
    <w:lvl w:ilvl="0">
      <w:lvlJc w:val="left"/>
      <w:lvlText w:val="%1."/>
      <w:numFmt w:val="decimal"/>
      <w:start w:val="5"/>
    </w:lvl>
  </w:abstractNum>
  <w:abstractNum w:abstractNumId="144">
    <w:nsid w:val="3A966CD0"/>
    <w:multiLevelType w:val="hybridMultilevel"/>
    <w:lvl w:ilvl="0">
      <w:lvlJc w:val="left"/>
      <w:lvlText w:val="%1."/>
      <w:numFmt w:val="decimal"/>
      <w:start w:val="7"/>
    </w:lvl>
  </w:abstractNum>
  <w:abstractNum w:abstractNumId="145">
    <w:nsid w:val="63F37E85"/>
    <w:multiLevelType w:val="hybridMultilevel"/>
    <w:lvl w:ilvl="0">
      <w:lvlJc w:val="left"/>
      <w:lvlText w:val="%1."/>
      <w:numFmt w:val="decimal"/>
      <w:start w:val="13"/>
    </w:lvl>
  </w:abstractNum>
  <w:abstractNum w:abstractNumId="146">
    <w:nsid w:val="5895F5FA"/>
    <w:multiLevelType w:val="hybridMultilevel"/>
    <w:lvl w:ilvl="0">
      <w:lvlJc w:val="left"/>
      <w:lvlText w:val="%1."/>
      <w:numFmt w:val="decimal"/>
      <w:start w:val="1"/>
    </w:lvl>
    <w:lvl w:ilvl="1">
      <w:lvlJc w:val="left"/>
      <w:lvlText w:val="(%2)"/>
      <w:numFmt w:val="lowerLetter"/>
      <w:start w:val="1"/>
    </w:lvl>
  </w:abstractNum>
  <w:abstractNum w:abstractNumId="147">
    <w:nsid w:val="38A5D054"/>
    <w:multiLevelType w:val="hybridMultilevel"/>
    <w:lvl w:ilvl="0">
      <w:lvlJc w:val="left"/>
      <w:lvlText w:val="(%1)"/>
      <w:numFmt w:val="upperLetter"/>
      <w:start w:val="2"/>
    </w:lvl>
  </w:abstractNum>
  <w:abstractNum w:abstractNumId="148">
    <w:nsid w:val="F3F09D8"/>
    <w:multiLevelType w:val="hybridMultilevel"/>
    <w:lvl w:ilvl="0">
      <w:lvlJc w:val="left"/>
      <w:lvlText w:val="(%1)"/>
      <w:numFmt w:val="lowerLetter"/>
      <w:start w:val="3"/>
    </w:lvl>
  </w:abstractNum>
  <w:abstractNum w:abstractNumId="149">
    <w:nsid w:val="4B793735"/>
    <w:multiLevelType w:val="hybridMultilevel"/>
    <w:lvl w:ilvl="0">
      <w:lvlJc w:val="left"/>
      <w:lvlText w:val="%1."/>
      <w:numFmt w:val="decimal"/>
      <w:start w:val="4"/>
    </w:lvl>
    <w:lvl w:ilvl="1">
      <w:lvlJc w:val="left"/>
      <w:lvlText w:val="(%2)"/>
      <w:numFmt w:val="lowerLetter"/>
      <w:start w:val="1"/>
    </w:lvl>
  </w:abstractNum>
  <w:abstractNum w:abstractNumId="150">
    <w:nsid w:val="4A10B4E8"/>
    <w:multiLevelType w:val="hybridMultilevel"/>
    <w:lvl w:ilvl="0">
      <w:lvlJc w:val="left"/>
      <w:lvlText w:val="(%1)"/>
      <w:numFmt w:val="decimal"/>
      <w:start w:val="30"/>
    </w:lvl>
    <w:lvl w:ilvl="1">
      <w:lvlJc w:val="left"/>
      <w:lvlText w:val="(%2)"/>
      <w:numFmt w:val="lowerLetter"/>
      <w:start w:val="2"/>
    </w:lvl>
  </w:abstractNum>
  <w:abstractNum w:abstractNumId="151">
    <w:nsid w:val="43D3BCD4"/>
    <w:multiLevelType w:val="hybridMultilevel"/>
    <w:lvl w:ilvl="0">
      <w:lvlJc w:val="left"/>
      <w:lvlText w:val="%1"/>
      <w:numFmt w:val="decimal"/>
      <w:start w:val="1"/>
    </w:lvl>
    <w:lvl w:ilvl="1">
      <w:lvlJc w:val="left"/>
      <w:lvlText w:val="(%2)"/>
      <w:numFmt w:val="lowerLetter"/>
      <w:start w:val="4"/>
    </w:lvl>
  </w:abstractNum>
  <w:abstractNum w:abstractNumId="152">
    <w:nsid w:val="4C2A7166"/>
    <w:multiLevelType w:val="hybridMultilevel"/>
    <w:lvl w:ilvl="0">
      <w:lvlJc w:val="left"/>
      <w:lvlText w:val="%1."/>
      <w:numFmt w:val="decimal"/>
      <w:start w:val="8"/>
    </w:lvl>
    <w:lvl w:ilvl="1">
      <w:lvlJc w:val="left"/>
      <w:lvlText w:val="%2"/>
      <w:numFmt w:val="lowerLetter"/>
      <w:start w:val="1"/>
    </w:lvl>
  </w:abstractNum>
  <w:abstractNum w:abstractNumId="153">
    <w:nsid w:val="2E534A82"/>
    <w:multiLevelType w:val="hybridMultilevel"/>
    <w:lvl w:ilvl="0">
      <w:lvlJc w:val="left"/>
      <w:lvlText w:val="%1."/>
      <w:numFmt w:val="decimal"/>
      <w:start w:val="10"/>
    </w:lvl>
    <w:lvl w:ilvl="1">
      <w:lvlJc w:val="left"/>
      <w:lvlText w:val="(%2)"/>
      <w:numFmt w:val="lowerLetter"/>
      <w:start w:val="1"/>
    </w:lvl>
  </w:abstractNum>
  <w:abstractNum w:abstractNumId="154">
    <w:nsid w:val="26F2D364"/>
    <w:multiLevelType w:val="hybridMultilevel"/>
    <w:lvl w:ilvl="0">
      <w:lvlJc w:val="left"/>
      <w:lvlText w:val="(%1)"/>
      <w:numFmt w:val="lowerLetter"/>
      <w:start w:val="5"/>
    </w:lvl>
    <w:lvl w:ilvl="1">
      <w:lvlJc w:val="left"/>
      <w:lvlText w:val="(%2)"/>
      <w:numFmt w:val="lowerRoman"/>
      <w:start w:val="1"/>
    </w:lvl>
  </w:abstractNum>
  <w:abstractNum w:abstractNumId="155">
    <w:nsid w:val="71C1AF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56">
    <w:nsid w:val="3D00B9D9"/>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57">
    <w:nsid w:val="15BCABA8"/>
    <w:multiLevelType w:val="hybridMultilevel"/>
    <w:lvl w:ilvl="0">
      <w:lvlJc w:val="left"/>
      <w:lvlText w:val="%1"/>
      <w:numFmt w:val="decimal"/>
      <w:start w:val="1"/>
    </w:lvl>
    <w:lvl w:ilvl="1">
      <w:lvlJc w:val="left"/>
      <w:lvlText w:val="(%2)"/>
      <w:numFmt w:val="lowerLetter"/>
      <w:start w:val="6"/>
    </w:lvl>
  </w:abstractNum>
  <w:abstractNum w:abstractNumId="158">
    <w:nsid w:val="4E0B9A87"/>
    <w:multiLevelType w:val="hybridMultilevel"/>
    <w:lvl w:ilvl="0">
      <w:lvlJc w:val="left"/>
      <w:lvlText w:val="%1."/>
      <w:numFmt w:val="decimal"/>
      <w:start w:val="15"/>
    </w:lvl>
    <w:lvl w:ilvl="1">
      <w:lvlJc w:val="left"/>
      <w:lvlText w:val="%2"/>
      <w:numFmt w:val="lowerLetter"/>
      <w:start w:val="1"/>
    </w:lvl>
  </w:abstractNum>
  <w:abstractNum w:abstractNumId="159">
    <w:nsid w:val="434BAE75"/>
    <w:multiLevelType w:val="hybridMultilevel"/>
    <w:lvl w:ilvl="0">
      <w:lvlJc w:val="left"/>
      <w:lvlText w:val="%1."/>
      <w:numFmt w:val="decimal"/>
      <w:start w:val="16"/>
    </w:lvl>
  </w:abstractNum>
  <w:abstractNum w:abstractNumId="160">
    <w:nsid w:val="4F38F265"/>
    <w:multiLevelType w:val="hybridMultilevel"/>
    <w:lvl w:ilvl="0">
      <w:lvlJc w:val="left"/>
      <w:lvlText w:val="%1."/>
      <w:numFmt w:val="decimal"/>
      <w:start w:val="20"/>
    </w:lvl>
  </w:abstractNum>
  <w:abstractNum w:abstractNumId="161">
    <w:nsid w:val="4C502870"/>
    <w:multiLevelType w:val="hybridMultilevel"/>
    <w:lvl w:ilvl="0">
      <w:lvlJc w:val="left"/>
      <w:lvlText w:val="%1."/>
      <w:numFmt w:val="decimal"/>
      <w:start w:val="26"/>
    </w:lvl>
  </w:abstractNum>
  <w:abstractNum w:abstractNumId="162">
    <w:nsid w:val="1DE8725A"/>
    <w:multiLevelType w:val="hybridMultilevel"/>
    <w:lvl w:ilvl="0">
      <w:lvlJc w:val="left"/>
      <w:lvlText w:val="%1."/>
      <w:numFmt w:val="decimal"/>
      <w:start w:val="30"/>
    </w:lvl>
  </w:abstractNum>
  <w:abstractNum w:abstractNumId="163">
    <w:nsid w:val="6A37288A"/>
    <w:multiLevelType w:val="hybridMultilevel"/>
    <w:lvl w:ilvl="0">
      <w:lvlJc w:val="left"/>
      <w:lvlText w:val="(%1)"/>
      <w:numFmt w:val="lowerLetter"/>
      <w:start w:val="1"/>
    </w:lvl>
  </w:abstractNum>
  <w:abstractNum w:abstractNumId="164">
    <w:nsid w:val="8F8B73F"/>
    <w:multiLevelType w:val="hybridMultilevel"/>
    <w:lvl w:ilvl="0">
      <w:lvlJc w:val="left"/>
      <w:lvlText w:val="(%1)"/>
      <w:numFmt w:val="lowerLetter"/>
      <w:start w:val="2"/>
    </w:lvl>
  </w:abstractNum>
  <w:abstractNum w:abstractNumId="165">
    <w:nsid w:val="CA6B462"/>
    <w:multiLevelType w:val="hybridMultilevel"/>
    <w:lvl w:ilvl="0">
      <w:lvlJc w:val="left"/>
      <w:lvlText w:val="(%1)"/>
      <w:numFmt w:val="lowerLetter"/>
      <w:start w:val="3"/>
    </w:lvl>
  </w:abstractNum>
  <w:abstractNum w:abstractNumId="166">
    <w:nsid w:val="763CB680"/>
    <w:multiLevelType w:val="hybridMultilevel"/>
    <w:lvl w:ilvl="0">
      <w:lvlJc w:val="left"/>
      <w:lvlText w:val="(%1)"/>
      <w:numFmt w:val="lowerLetter"/>
      <w:start w:val="1"/>
    </w:lvl>
  </w:abstractNum>
  <w:abstractNum w:abstractNumId="167">
    <w:nsid w:val="15B71329"/>
    <w:multiLevelType w:val="hybridMultilevel"/>
    <w:lvl w:ilvl="0">
      <w:lvlJc w:val="left"/>
      <w:lvlText w:val="(%1)"/>
      <w:numFmt w:val="lowerLetter"/>
      <w:start w:val="2"/>
    </w:lvl>
  </w:abstractNum>
  <w:abstractNum w:abstractNumId="168">
    <w:nsid w:val="3DA97044"/>
    <w:multiLevelType w:val="hybridMultilevel"/>
    <w:lvl w:ilvl="0">
      <w:lvlJc w:val="left"/>
      <w:lvlText w:val="(%1)"/>
      <w:numFmt w:val="lowerLetter"/>
      <w:start w:val="1"/>
    </w:lvl>
  </w:abstractNum>
  <w:abstractNum w:abstractNumId="169">
    <w:nsid w:val="1CDCE2DE"/>
    <w:multiLevelType w:val="hybridMultilevel"/>
    <w:lvl w:ilvl="0">
      <w:lvlJc w:val="left"/>
      <w:lvlText w:val="(%1)"/>
      <w:numFmt w:val="lowerLetter"/>
      <w:start w:val="1"/>
    </w:lvl>
  </w:abstractNum>
  <w:abstractNum w:abstractNumId="170">
    <w:nsid w:val="69D3947C"/>
    <w:multiLevelType w:val="hybridMultilevel"/>
    <w:lvl w:ilvl="0">
      <w:lvlJc w:val="left"/>
      <w:lvlText w:val="(%1)"/>
      <w:numFmt w:val="decimal"/>
      <w:start w:val="1"/>
    </w:lvl>
  </w:abstractNum>
  <w:abstractNum w:abstractNumId="171">
    <w:nsid w:val="2539DFA5"/>
    <w:multiLevelType w:val="hybridMultilevel"/>
    <w:lvl w:ilvl="0">
      <w:lvlJc w:val="left"/>
      <w:lvlText w:val="(%1)"/>
      <w:numFmt w:val="decimal"/>
      <w:start w:val="5"/>
    </w:lvl>
  </w:abstractNum>
  <w:abstractNum w:abstractNumId="172">
    <w:nsid w:val="2DB88089"/>
    <w:multiLevelType w:val="hybridMultilevel"/>
    <w:lvl w:ilvl="0">
      <w:lvlJc w:val="left"/>
      <w:lvlText w:val="(%1)"/>
      <w:numFmt w:val="lowerLetter"/>
      <w:start w:val="1"/>
    </w:lvl>
  </w:abstractNum>
  <w:abstractNum w:abstractNumId="173">
    <w:nsid w:val="706B674E"/>
    <w:multiLevelType w:val="hybridMultilevel"/>
    <w:lvl w:ilvl="0">
      <w:lvlJc w:val="left"/>
      <w:lvlText w:val="(%1)"/>
      <w:numFmt w:val="lowerLetter"/>
      <w:start w:val="3"/>
    </w:lvl>
  </w:abstractNum>
  <w:abstractNum w:abstractNumId="174">
    <w:nsid w:val="2C106A57"/>
    <w:multiLevelType w:val="hybridMultilevel"/>
    <w:lvl w:ilvl="0">
      <w:lvlJc w:val="left"/>
      <w:lvlText w:val="(%1)"/>
      <w:numFmt w:val="decimal"/>
      <w:start w:val="1"/>
    </w:lvl>
  </w:abstractNum>
  <w:abstractNum w:abstractNumId="175">
    <w:nsid w:val="684EED59"/>
    <w:multiLevelType w:val="hybridMultilevel"/>
    <w:lvl w:ilvl="0">
      <w:lvlJc w:val="left"/>
      <w:lvlText w:val="(%1)"/>
      <w:numFmt w:val="decimal"/>
      <w:start w:val="3"/>
    </w:lvl>
  </w:abstractNum>
  <w:abstractNum w:abstractNumId="176">
    <w:nsid w:val="545EE5D3"/>
    <w:multiLevelType w:val="hybridMultilevel"/>
    <w:lvl w:ilvl="0">
      <w:lvlJc w:val="left"/>
      <w:lvlText w:val="(%1)"/>
      <w:numFmt w:val="decimal"/>
      <w:start w:val="11"/>
    </w:lvl>
  </w:abstractNum>
  <w:abstractNum w:abstractNumId="177">
    <w:nsid w:val="4A66051"/>
    <w:multiLevelType w:val="hybridMultilevel"/>
    <w:lvl w:ilvl="0">
      <w:lvlJc w:val="left"/>
      <w:lvlText w:val="(%1)"/>
      <w:numFmt w:val="lowerRoman"/>
      <w:start w:val="10"/>
    </w:lvl>
  </w:abstractNum>
  <w:abstractNum w:abstractNumId="178">
    <w:nsid w:val="20F4BDAD"/>
    <w:multiLevelType w:val="hybridMultilevel"/>
    <w:lvl w:ilvl="0">
      <w:lvlJc w:val="left"/>
      <w:lvlText w:val="(%1)"/>
      <w:numFmt w:val="decimal"/>
      <w:start w:val="2"/>
    </w:lvl>
  </w:abstractNum>
  <w:abstractNum w:abstractNumId="179">
    <w:nsid w:val="639DEFAC"/>
    <w:multiLevelType w:val="hybridMultilevel"/>
    <w:lvl w:ilvl="0">
      <w:lvlJc w:val="left"/>
      <w:lvlText w:val="(%1)"/>
      <w:numFmt w:val="decimal"/>
      <w:start w:val="1"/>
    </w:lvl>
  </w:abstractNum>
  <w:abstractNum w:abstractNumId="180">
    <w:nsid w:val="501F9786"/>
    <w:multiLevelType w:val="hybridMultilevel"/>
    <w:lvl w:ilvl="0">
      <w:lvlJc w:val="left"/>
      <w:lvlText w:val="(%1)"/>
      <w:numFmt w:val="lowerLetter"/>
      <w:start w:val="1"/>
    </w:lvl>
  </w:abstractNum>
  <w:abstractNum w:abstractNumId="181">
    <w:nsid w:val="6B057295"/>
    <w:multiLevelType w:val="hybridMultilevel"/>
    <w:lvl w:ilvl="0">
      <w:lvlJc w:val="left"/>
      <w:lvlText w:val="(%1)"/>
      <w:numFmt w:val="lowerLetter"/>
      <w:start w:val="1"/>
    </w:lvl>
  </w:abstractNum>
  <w:abstractNum w:abstractNumId="182">
    <w:nsid w:val="2771AC80"/>
    <w:multiLevelType w:val="hybridMultilevel"/>
    <w:lvl w:ilvl="0">
      <w:lvlJc w:val="left"/>
      <w:lvlText w:val="(%1)"/>
      <w:numFmt w:val="lowerLetter"/>
      <w:start w:val="1"/>
    </w:lvl>
  </w:abstractNum>
  <w:abstractNum w:abstractNumId="183">
    <w:nsid w:val="1C4A08EC"/>
    <w:multiLevelType w:val="hybridMultilevel"/>
    <w:lvl w:ilvl="0">
      <w:lvlJc w:val="left"/>
      <w:lvlText w:val="(%1)"/>
      <w:numFmt w:val="lowerLetter"/>
      <w:start w:val="3"/>
    </w:lvl>
  </w:abstractNum>
  <w:abstractNum w:abstractNumId="184">
    <w:nsid w:val="1958BD17"/>
    <w:multiLevelType w:val="hybridMultilevel"/>
    <w:lvl w:ilvl="0">
      <w:lvlJc w:val="left"/>
      <w:lvlText w:val="(%1)"/>
      <w:numFmt w:val="lowerRoman"/>
      <w:start w:val="1"/>
    </w:lvl>
  </w:abstractNum>
  <w:abstractNum w:abstractNumId="185">
    <w:nsid w:val="4E647FE4"/>
    <w:multiLevelType w:val="hybridMultilevel"/>
    <w:lvl w:ilvl="0">
      <w:lvlJc w:val="left"/>
      <w:lvlText w:val="(%1)"/>
      <w:numFmt w:val="lowerLetter"/>
      <w:start w:val="1"/>
    </w:lvl>
  </w:abstractNum>
  <w:abstractNum w:abstractNumId="186">
    <w:nsid w:val="E0BB885"/>
    <w:multiLevelType w:val="hybridMultilevel"/>
    <w:lvl w:ilvl="0">
      <w:lvlJc w:val="left"/>
      <w:lvlText w:val="(%1)"/>
      <w:numFmt w:val="lowerLetter"/>
      <w:start w:val="2"/>
    </w:lvl>
  </w:abstractNum>
  <w:abstractNum w:abstractNumId="187">
    <w:nsid w:val="565976F1"/>
    <w:multiLevelType w:val="hybridMultilevel"/>
    <w:lvl w:ilvl="0">
      <w:lvlJc w:val="left"/>
      <w:lvlText w:val="(%1)"/>
      <w:numFmt w:val="lowerLetter"/>
      <w:start w:val="1"/>
    </w:lvl>
  </w:abstractNum>
  <w:abstractNum w:abstractNumId="188">
    <w:nsid w:val="64212B8C"/>
    <w:multiLevelType w:val="hybridMultilevel"/>
    <w:lvl w:ilvl="0">
      <w:lvlJc w:val="left"/>
      <w:lvlText w:val="%1"/>
      <w:numFmt w:val="lowerLetter"/>
      <w:start w:val="1"/>
    </w:lvl>
    <w:lvl w:ilvl="1">
      <w:lvlJc w:val="left"/>
      <w:lvlText w:val="(%2)"/>
      <w:numFmt w:val="lowerRoman"/>
      <w:start w:val="1"/>
    </w:lvl>
  </w:abstractNum>
  <w:abstractNum w:abstractNumId="189">
    <w:nsid w:val="5C17530C"/>
    <w:multiLevelType w:val="hybridMultilevel"/>
    <w:lvl w:ilvl="0">
      <w:lvlJc w:val="left"/>
      <w:lvlText w:val="(%1)"/>
      <w:numFmt w:val="lowerLetter"/>
      <w:start w:val="7"/>
    </w:lvl>
    <w:lvl w:ilvl="1">
      <w:lvlJc w:val="left"/>
      <w:lvlText w:val="(%2)"/>
      <w:numFmt w:val="lowerRoman"/>
      <w:start w:val="1"/>
    </w:lvl>
  </w:abstractNum>
  <w:abstractNum w:abstractNumId="190">
    <w:nsid w:val="19A52566"/>
    <w:multiLevelType w:val="hybridMultilevel"/>
    <w:lvl w:ilvl="0">
      <w:lvlJc w:val="left"/>
      <w:lvlText w:val="(%1)"/>
      <w:numFmt w:val="lowerLetter"/>
      <w:start w:val="1"/>
    </w:lvl>
  </w:abstractNum>
  <w:abstractNum w:abstractNumId="191">
    <w:nsid w:val="335A1DF1"/>
    <w:multiLevelType w:val="hybridMultilevel"/>
    <w:lvl w:ilvl="0">
      <w:lvlJc w:val="left"/>
      <w:lvlText w:val="(%1)"/>
      <w:numFmt w:val="lowerLetter"/>
      <w:start w:val="1"/>
    </w:lvl>
  </w:abstractNum>
  <w:abstractNum w:abstractNumId="192">
    <w:nsid w:val="28677B7C"/>
    <w:multiLevelType w:val="hybridMultilevel"/>
    <w:lvl w:ilvl="0">
      <w:lvlJc w:val="left"/>
      <w:lvlText w:val="(%1)"/>
      <w:numFmt w:val="lowerLetter"/>
      <w:start w:val="1"/>
    </w:lvl>
  </w:abstractNum>
  <w:abstractNum w:abstractNumId="193">
    <w:nsid w:val="378D97C0"/>
    <w:multiLevelType w:val="hybridMultilevel"/>
    <w:lvl w:ilvl="0">
      <w:lvlJc w:val="left"/>
      <w:lvlText w:val="(%1)"/>
      <w:numFmt w:val="lowerLetter"/>
      <w:start w:val="3"/>
    </w:lvl>
  </w:abstractNum>
  <w:abstractNum w:abstractNumId="194">
    <w:nsid w:val="1D91467C"/>
    <w:multiLevelType w:val="hybridMultilevel"/>
    <w:lvl w:ilvl="0">
      <w:lvlJc w:val="left"/>
      <w:lvlText w:val="(%1)"/>
      <w:numFmt w:val="lowerLetter"/>
      <w:start w:val="7"/>
    </w:lvl>
  </w:abstractNum>
  <w:abstractNum w:abstractNumId="195">
    <w:nsid w:val="316032BB"/>
    <w:multiLevelType w:val="hybridMultilevel"/>
    <w:lvl w:ilvl="0">
      <w:lvlJc w:val="left"/>
      <w:lvlText w:val="(%1)"/>
      <w:numFmt w:val="lowerLetter"/>
      <w:start w:val="1"/>
    </w:lvl>
  </w:abstractNum>
  <w:abstractNum w:abstractNumId="196">
    <w:nsid w:val="44344C22"/>
    <w:multiLevelType w:val="hybridMultilevel"/>
    <w:lvl w:ilvl="0">
      <w:lvlJc w:val="left"/>
      <w:lvlText w:val="(%1)"/>
      <w:numFmt w:val="lowerLetter"/>
      <w:start w:val="2"/>
    </w:lvl>
  </w:abstractNum>
  <w:abstractNum w:abstractNumId="197">
    <w:nsid w:val="13CDFCFC"/>
    <w:multiLevelType w:val="hybridMultilevel"/>
    <w:lvl w:ilvl="0">
      <w:lvlJc w:val="left"/>
      <w:lvlText w:val="(%1)"/>
      <w:numFmt w:val="lowerLetter"/>
      <w:start w:val="1"/>
    </w:lvl>
  </w:abstractNum>
  <w:abstractNum w:abstractNumId="198">
    <w:nsid w:val="471745E4"/>
    <w:multiLevelType w:val="hybridMultilevel"/>
    <w:lvl w:ilvl="0">
      <w:lvlJc w:val="left"/>
      <w:lvlText w:val="(%1)"/>
      <w:numFmt w:val="lowerLetter"/>
      <w:start w:val="4"/>
    </w:lvl>
  </w:abstractNum>
  <w:abstractNum w:abstractNumId="199">
    <w:nsid w:val="1DDBC66"/>
    <w:multiLevelType w:val="hybridMultilevel"/>
    <w:lvl w:ilvl="0">
      <w:lvlJc w:val="left"/>
      <w:lvlText w:val="(%1)"/>
      <w:numFmt w:val="lowerLetter"/>
      <w:start w:val="1"/>
    </w:lvl>
    <w:lvl w:ilvl="1">
      <w:lvlJc w:val="left"/>
      <w:lvlText w:val="(%2)"/>
      <w:numFmt w:val="lowerRoman"/>
      <w:start w:val="1"/>
    </w:lvl>
  </w:abstractNum>
  <w:abstractNum w:abstractNumId="200">
    <w:nsid w:val="30AADFDA"/>
    <w:multiLevelType w:val="hybridMultilevel"/>
    <w:lvl w:ilvl="0">
      <w:lvlJc w:val="left"/>
      <w:lvlText w:val="(%1)"/>
      <w:numFmt w:val="lowerLetter"/>
      <w:start w:val="2"/>
    </w:lvl>
  </w:abstractNum>
  <w:abstractNum w:abstractNumId="201">
    <w:nsid w:val="30EADA61"/>
    <w:multiLevelType w:val="hybridMultilevel"/>
    <w:lvl w:ilvl="0">
      <w:lvlJc w:val="left"/>
      <w:lvlText w:val="(%1)"/>
      <w:numFmt w:val="lowerLetter"/>
      <w:start w:val="3"/>
    </w:lvl>
  </w:abstractNum>
  <w:abstractNum w:abstractNumId="202">
    <w:nsid w:val="27179C0B"/>
    <w:multiLevelType w:val="hybridMultilevel"/>
    <w:lvl w:ilvl="0">
      <w:lvlJc w:val="left"/>
      <w:lvlText w:val="%1"/>
      <w:numFmt w:val="lowerLetter"/>
      <w:start w:val="1"/>
    </w:lvl>
    <w:lvl w:ilvl="1">
      <w:lvlJc w:val="left"/>
      <w:lvlText w:val="(%2)"/>
      <w:numFmt w:val="lowerLetter"/>
      <w:start w:val="1"/>
    </w:lvl>
  </w:abstractNum>
  <w:abstractNum w:abstractNumId="203">
    <w:nsid w:val="5E636063"/>
    <w:multiLevelType w:val="hybridMultilevel"/>
    <w:lvl w:ilvl="0">
      <w:lvlJc w:val="left"/>
      <w:lvlText w:val="(%1)"/>
      <w:numFmt w:val="lowerLetter"/>
      <w:start w:val="25"/>
    </w:lvl>
    <w:lvl w:ilvl="1">
      <w:lvlJc w:val="left"/>
      <w:lvlText w:val="%2"/>
      <w:numFmt w:val="lowerLetter"/>
      <w:start w:val="1"/>
    </w:lvl>
  </w:abstractNum>
  <w:abstractNum w:abstractNumId="204">
    <w:nsid w:val="215641AF"/>
    <w:multiLevelType w:val="hybridMultilevel"/>
    <w:lvl w:ilvl="0">
      <w:lvlJc w:val="left"/>
      <w:lvlText w:val="(%1)"/>
      <w:numFmt w:val="lowerLetter"/>
      <w:start w:val="2"/>
    </w:lvl>
  </w:abstractNum>
  <w:abstractNum w:abstractNumId="205">
    <w:nsid w:val="53280662"/>
    <w:multiLevelType w:val="hybridMultilevel"/>
    <w:lvl w:ilvl="0">
      <w:lvlJc w:val="left"/>
      <w:lvlText w:val="(%1)"/>
      <w:numFmt w:val="lowerRoman"/>
      <w:start w:val="1"/>
    </w:lvl>
    <w:lvl w:ilvl="1">
      <w:lvlJc w:val="left"/>
      <w:lvlText w:val="(%2)"/>
      <w:numFmt w:val="upperLetter"/>
      <w:start w:val="1"/>
    </w:lvl>
  </w:abstractNum>
  <w:abstractNum w:abstractNumId="206">
    <w:nsid w:val="46B24DBC"/>
    <w:multiLevelType w:val="hybridMultilevel"/>
    <w:lvl w:ilvl="0">
      <w:lvlJc w:val="left"/>
      <w:lvlText w:val="(%1)"/>
      <w:numFmt w:val="lowerLetter"/>
      <w:start w:val="6"/>
    </w:lvl>
  </w:abstractNum>
  <w:abstractNum w:abstractNumId="207">
    <w:nsid w:val="75B52783"/>
    <w:multiLevelType w:val="hybridMultilevel"/>
    <w:lvl w:ilvl="0">
      <w:lvlJc w:val="left"/>
      <w:lvlText w:val="%1"/>
      <w:numFmt w:val="lowerLetter"/>
      <w:start w:val="1"/>
    </w:lvl>
    <w:lvl w:ilvl="1">
      <w:lvlJc w:val="left"/>
      <w:lvlText w:val="(%2)"/>
      <w:numFmt w:val="lowerLetter"/>
      <w:start w:val="1"/>
    </w:lvl>
  </w:abstractNum>
  <w:abstractNum w:abstractNumId="208">
    <w:nsid w:val="57CE66B4"/>
    <w:multiLevelType w:val="hybridMultilevel"/>
    <w:lvl w:ilvl="0">
      <w:lvlJc w:val="left"/>
      <w:lvlText w:val="(%1)"/>
      <w:numFmt w:val="lowerLetter"/>
      <w:start w:val="61"/>
    </w:lvl>
    <w:lvl w:ilvl="1">
      <w:lvlJc w:val="left"/>
      <w:lvlText w:val="(%2)"/>
      <w:numFmt w:val="lowerLetter"/>
      <w:start w:val="2"/>
    </w:lvl>
  </w:abstractNum>
  <w:abstractNum w:abstractNumId="209">
    <w:nsid w:val="67A70B69"/>
    <w:multiLevelType w:val="hybridMultilevel"/>
    <w:lvl w:ilvl="0">
      <w:lvlJc w:val="left"/>
      <w:lvlText w:val="(%1)"/>
      <w:numFmt w:val="lowerLetter"/>
      <w:start w:val="5"/>
    </w:lvl>
  </w:abstractNum>
  <w:abstractNum w:abstractNumId="210">
    <w:nsid w:val="5953172F"/>
    <w:multiLevelType w:val="hybridMultilevel"/>
    <w:lvl w:ilvl="0">
      <w:lvlJc w:val="left"/>
      <w:lvlText w:val="(%1)"/>
      <w:numFmt w:val="lowerRoman"/>
      <w:start w:val="6"/>
    </w:lvl>
  </w:abstractNum>
  <w:abstractNum w:abstractNumId="211">
    <w:nsid w:val="27EDFE3A"/>
    <w:multiLevelType w:val="hybridMultilevel"/>
    <w:lvl w:ilvl="0">
      <w:lvlJc w:val="left"/>
      <w:lvlText w:val="(%1)"/>
      <w:numFmt w:val="lowerLetter"/>
      <w:start w:val="1"/>
    </w:lvl>
  </w:abstractNum>
  <w:abstractNum w:abstractNumId="212">
    <w:nsid w:val="52AC7DFF"/>
    <w:multiLevelType w:val="hybridMultilevel"/>
    <w:lvl w:ilvl="0">
      <w:lvlJc w:val="left"/>
      <w:lvlText w:val="(%1)"/>
      <w:numFmt w:val="lowerLetter"/>
      <w:start w:val="3"/>
    </w:lvl>
  </w:abstractNum>
  <w:abstractNum w:abstractNumId="213">
    <w:nsid w:val="C4C3AF"/>
    <w:multiLevelType w:val="hybridMultilevel"/>
    <w:lvl w:ilvl="0">
      <w:lvlJc w:val="left"/>
      <w:lvlText w:val="(%1)"/>
      <w:numFmt w:val="lowerLetter"/>
      <w:start w:val="1"/>
    </w:lvl>
  </w:abstractNum>
  <w:abstractNum w:abstractNumId="214">
    <w:nsid w:val="44380727"/>
    <w:multiLevelType w:val="hybridMultilevel"/>
    <w:lvl w:ilvl="0">
      <w:lvlJc w:val="left"/>
      <w:lvlText w:val="(%1)"/>
      <w:numFmt w:val="lowerLetter"/>
      <w:start w:val="1"/>
    </w:lvl>
  </w:abstractNum>
  <w:abstractNum w:abstractNumId="215">
    <w:nsid w:val="6C053B16"/>
    <w:multiLevelType w:val="hybridMultilevel"/>
    <w:lvl w:ilvl="0">
      <w:lvlJc w:val="left"/>
      <w:lvlText w:val="(%1)"/>
      <w:numFmt w:val="lowerLetter"/>
      <w:start w:val="5"/>
    </w:lvl>
  </w:abstractNum>
  <w:abstractNum w:abstractNumId="216">
    <w:nsid w:val="4F294393"/>
    <w:multiLevelType w:val="hybridMultilevel"/>
    <w:lvl w:ilvl="0">
      <w:lvlJc w:val="left"/>
      <w:lvlText w:val="(%1)"/>
      <w:numFmt w:val="lowerLetter"/>
      <w:start w:val="1"/>
    </w:lvl>
  </w:abstractNum>
  <w:abstractNum w:abstractNumId="217">
    <w:nsid w:val="5243BFAC"/>
    <w:multiLevelType w:val="hybridMultilevel"/>
    <w:lvl w:ilvl="0">
      <w:lvlJc w:val="left"/>
      <w:lvlText w:val="(%1)"/>
      <w:numFmt w:val="lowerLetter"/>
      <w:start w:val="1"/>
    </w:lvl>
  </w:abstractNum>
  <w:abstractNum w:abstractNumId="218">
    <w:nsid w:val="425EB207"/>
    <w:multiLevelType w:val="hybridMultilevel"/>
    <w:lvl w:ilvl="0">
      <w:lvlJc w:val="left"/>
      <w:lvlText w:val="(%1)"/>
      <w:numFmt w:val="lowerLetter"/>
      <w:start w:val="1"/>
    </w:lvl>
  </w:abstractNum>
  <w:abstractNum w:abstractNumId="219">
    <w:nsid w:val="334A6F1F"/>
    <w:multiLevelType w:val="hybridMultilevel"/>
    <w:lvl w:ilvl="0">
      <w:lvlJc w:val="left"/>
      <w:lvlText w:val="(%1)"/>
      <w:numFmt w:val="lowerLetter"/>
      <w:start w:val="5"/>
    </w:lvl>
  </w:abstractNum>
  <w:abstractNum w:abstractNumId="220">
    <w:nsid w:val="2E5B12B8"/>
    <w:multiLevelType w:val="hybridMultilevel"/>
    <w:lvl w:ilvl="0">
      <w:lvlJc w:val="left"/>
      <w:lvlText w:val="(%1)"/>
      <w:numFmt w:val="lowerLetter"/>
      <w:start w:val="1"/>
    </w:lvl>
  </w:abstractNum>
  <w:abstractNum w:abstractNumId="221">
    <w:nsid w:val="5C03D76D"/>
    <w:multiLevelType w:val="hybridMultilevel"/>
    <w:lvl w:ilvl="0">
      <w:lvlJc w:val="left"/>
      <w:lvlText w:val="(%1)"/>
      <w:numFmt w:val="lowerLetter"/>
      <w:start w:val="1"/>
    </w:lvl>
    <w:lvl w:ilvl="1">
      <w:lvlJc w:val="left"/>
      <w:lvlText w:val="(%2)"/>
      <w:numFmt w:val="decimal"/>
      <w:start w:val="1"/>
    </w:lvl>
  </w:abstractNum>
  <w:abstractNum w:abstractNumId="222">
    <w:nsid w:val="66A48D11"/>
    <w:multiLevelType w:val="hybridMultilevel"/>
    <w:lvl w:ilvl="0">
      <w:lvlJc w:val="left"/>
      <w:lvlText w:val="(%1)"/>
      <w:numFmt w:val="lowerLetter"/>
      <w:start w:val="2"/>
    </w:lvl>
  </w:abstractNum>
  <w:abstractNum w:abstractNumId="223">
    <w:nsid w:val="56C28E34"/>
    <w:multiLevelType w:val="hybridMultilevel"/>
    <w:lvl w:ilvl="0">
      <w:lvlJc w:val="left"/>
      <w:lvlText w:val="(%1)"/>
      <w:numFmt w:val="lowerLetter"/>
      <w:start w:val="1"/>
    </w:lvl>
    <w:lvl w:ilvl="1">
      <w:lvlJc w:val="left"/>
      <w:lvlText w:val="(%2)"/>
      <w:numFmt w:val="decimal"/>
      <w:start w:val="1"/>
    </w:lvl>
  </w:abstractNum>
  <w:abstractNum w:abstractNumId="224">
    <w:nsid w:val="13916F2D"/>
    <w:multiLevelType w:val="hybridMultilevel"/>
    <w:lvl w:ilvl="0">
      <w:lvlJc w:val="left"/>
      <w:lvlText w:val="%1"/>
      <w:numFmt w:val="lowerLetter"/>
      <w:start w:val="1"/>
    </w:lvl>
    <w:lvl w:ilvl="1">
      <w:lvlJc w:val="left"/>
      <w:lvlText w:val="(%2)"/>
      <w:numFmt w:val="decimal"/>
      <w:start w:val="2"/>
    </w:lvl>
  </w:abstractNum>
  <w:abstractNum w:abstractNumId="225">
    <w:nsid w:val="435D38D"/>
    <w:multiLevelType w:val="hybridMultilevel"/>
    <w:lvl w:ilvl="0">
      <w:lvlJc w:val="left"/>
      <w:lvlText w:val="(%1)"/>
      <w:numFmt w:val="lowerLetter"/>
      <w:start w:val="2"/>
    </w:lvl>
    <w:lvl w:ilvl="1">
      <w:lvlJc w:val="left"/>
      <w:lvlText w:val="%2"/>
      <w:numFmt w:val="decimal"/>
      <w:start w:val="1"/>
    </w:lvl>
  </w:abstractNum>
  <w:abstractNum w:abstractNumId="226">
    <w:nsid w:val="822C0EF"/>
    <w:multiLevelType w:val="hybridMultilevel"/>
    <w:lvl w:ilvl="0">
      <w:lvlJc w:val="left"/>
      <w:lvlText w:val="(%1)"/>
      <w:numFmt w:val="lowerLetter"/>
      <w:start w:val="1"/>
    </w:lvl>
    <w:lvl w:ilvl="1">
      <w:lvlJc w:val="left"/>
      <w:lvlText w:val="(%2)"/>
      <w:numFmt w:val="decimal"/>
      <w:start w:val="1"/>
    </w:lvl>
  </w:abstractNum>
  <w:abstractNum w:abstractNumId="227">
    <w:nsid w:val="57C5BB4F"/>
    <w:multiLevelType w:val="hybridMultilevel"/>
    <w:lvl w:ilvl="0">
      <w:lvlJc w:val="left"/>
      <w:lvlText w:val="(%1)"/>
      <w:numFmt w:val="lowerLetter"/>
      <w:start w:val="8"/>
    </w:lvl>
  </w:abstractNum>
  <w:abstractNum w:abstractNumId="228">
    <w:nsid w:val="1803D089"/>
    <w:multiLevelType w:val="hybridMultilevel"/>
    <w:lvl w:ilvl="0">
      <w:lvlJc w:val="left"/>
      <w:lvlText w:val="(%1)"/>
      <w:numFmt w:val="decimal"/>
      <w:start w:val="10"/>
    </w:lvl>
  </w:abstractNum>
  <w:abstractNum w:abstractNumId="229">
    <w:nsid w:val="4F3A06D4"/>
    <w:multiLevelType w:val="hybridMultilevel"/>
    <w:lvl w:ilvl="0">
      <w:lvlJc w:val="left"/>
      <w:lvlText w:val="(%1)"/>
      <w:numFmt w:val="lowerLetter"/>
      <w:start w:val="1"/>
    </w:lvl>
  </w:abstractNum>
  <w:abstractNum w:abstractNumId="230">
    <w:nsid w:val="59A377B6"/>
    <w:multiLevelType w:val="hybridMultilevel"/>
    <w:lvl w:ilvl="0">
      <w:lvlJc w:val="left"/>
      <w:lvlText w:val="(%1)"/>
      <w:numFmt w:val="lowerLetter"/>
      <w:start w:val="2"/>
    </w:lvl>
    <w:lvl w:ilvl="1">
      <w:lvlJc w:val="left"/>
      <w:lvlText w:val="(%2)"/>
      <w:numFmt w:val="lowerRoman"/>
      <w:start w:val="1"/>
    </w:lvl>
  </w:abstractNum>
  <w:abstractNum w:abstractNumId="231">
    <w:nsid w:val="48AEB063"/>
    <w:multiLevelType w:val="hybridMultilevel"/>
    <w:lvl w:ilvl="0">
      <w:lvlJc w:val="left"/>
      <w:lvlText w:val="(%1)"/>
      <w:numFmt w:val="lowerLetter"/>
      <w:start w:val="5"/>
    </w:lvl>
  </w:abstractNum>
  <w:abstractNum w:abstractNumId="232">
    <w:nsid w:val="24E135"/>
    <w:multiLevelType w:val="hybridMultilevel"/>
    <w:lvl w:ilvl="0">
      <w:lvlJc w:val="left"/>
      <w:lvlText w:val="(%1)"/>
      <w:numFmt w:val="lowerLetter"/>
      <w:start w:val="1"/>
    </w:lvl>
  </w:abstractNum>
  <w:abstractNum w:abstractNumId="233">
    <w:nsid w:val="BB13C1"/>
    <w:multiLevelType w:val="hybridMultilevel"/>
    <w:lvl w:ilvl="0">
      <w:lvlJc w:val="left"/>
      <w:lvlText w:val="%1"/>
      <w:numFmt w:val="upperLetter"/>
      <w:start w:val="1"/>
    </w:lvl>
    <w:lvl w:ilvl="1">
      <w:lvlJc w:val="left"/>
      <w:lvlText w:val="(%2)"/>
      <w:numFmt w:val="lowerRoman"/>
      <w:start w:val="1"/>
    </w:lvl>
  </w:abstractNum>
  <w:abstractNum w:abstractNumId="234">
    <w:nsid w:val="271210C7"/>
    <w:multiLevelType w:val="hybridMultilevel"/>
    <w:lvl w:ilvl="0">
      <w:lvlJc w:val="left"/>
      <w:lvlText w:val="(%1)"/>
      <w:numFmt w:val="upperLetter"/>
      <w:start w:val="4"/>
    </w:lvl>
    <w:lvl w:ilvl="1">
      <w:lvlJc w:val="left"/>
      <w:lvlText w:val="(%2)"/>
      <w:numFmt w:val="lowerRoman"/>
      <w:start w:val="4"/>
    </w:lvl>
  </w:abstractNum>
  <w:abstractNum w:abstractNumId="235">
    <w:nsid w:val="217B22E4"/>
    <w:multiLevelType w:val="hybridMultilevel"/>
    <w:lvl w:ilvl="0">
      <w:lvlJc w:val="left"/>
      <w:lvlText w:val="(%1)"/>
      <w:numFmt w:val="lowerLetter"/>
      <w:start w:val="2"/>
    </w:lvl>
  </w:abstractNum>
  <w:abstractNum w:abstractNumId="236">
    <w:nsid w:val="53E31A24"/>
    <w:multiLevelType w:val="hybridMultilevel"/>
    <w:lvl w:ilvl="0">
      <w:lvlJc w:val="left"/>
      <w:lvlText w:val="(%1)"/>
      <w:numFmt w:val="lowerLetter"/>
      <w:start w:val="1"/>
    </w:lvl>
  </w:abstractNum>
  <w:abstractNum w:abstractNumId="237">
    <w:nsid w:val="6DC45E83"/>
    <w:multiLevelType w:val="hybridMultilevel"/>
    <w:lvl w:ilvl="0">
      <w:lvlJc w:val="left"/>
      <w:lvlText w:val="(%1)"/>
      <w:numFmt w:val="lowerLetter"/>
      <w:start w:val="2"/>
    </w:lvl>
  </w:abstractNum>
  <w:abstractNum w:abstractNumId="238">
    <w:nsid w:val="17304A67"/>
    <w:multiLevelType w:val="hybridMultilevel"/>
    <w:lvl w:ilvl="0">
      <w:lvlJc w:val="left"/>
      <w:lvlText w:val="(%1)"/>
      <w:numFmt w:val="lowerLetter"/>
      <w:start w:val="1"/>
    </w:lvl>
  </w:abstractNum>
  <w:abstractNum w:abstractNumId="239">
    <w:nsid w:val="2BB180D8"/>
    <w:multiLevelType w:val="hybridMultilevel"/>
    <w:lvl w:ilvl="0">
      <w:lvlJc w:val="left"/>
      <w:lvlText w:val="(%1)"/>
      <w:numFmt w:val="lowerLetter"/>
      <w:start w:val="2"/>
    </w:lvl>
  </w:abstractNum>
  <w:abstractNum w:abstractNumId="240">
    <w:nsid w:val="556B69ED"/>
    <w:multiLevelType w:val="hybridMultilevel"/>
    <w:lvl w:ilvl="0">
      <w:lvlJc w:val="left"/>
      <w:lvlText w:val="(%1)"/>
      <w:numFmt w:val="lowerLetter"/>
      <w:start w:val="3"/>
    </w:lvl>
  </w:abstractNum>
  <w:abstractNum w:abstractNumId="241">
    <w:nsid w:val="708361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2">
    <w:nsid w:val="539F7F12"/>
    <w:multiLevelType w:val="hybridMultilevel"/>
    <w:lvl w:ilvl="0">
      <w:lvlJc w:val="left"/>
      <w:lvlText w:val="(%1)"/>
      <w:numFmt w:val="upperLetter"/>
      <w:start w:val="3"/>
    </w:lvl>
  </w:abstractNum>
  <w:abstractNum w:abstractNumId="243">
    <w:nsid w:val="2817E7EC"/>
    <w:multiLevelType w:val="hybridMultilevel"/>
    <w:lvl w:ilvl="0">
      <w:lvlJc w:val="left"/>
      <w:lvlText w:val="(%1)"/>
      <w:numFmt w:val="lowerRoman"/>
      <w:start w:val="3"/>
    </w:lvl>
  </w:abstractNum>
  <w:abstractNum w:abstractNumId="244">
    <w:nsid w:val="71482545"/>
    <w:multiLevelType w:val="hybridMultilevel"/>
    <w:lvl w:ilvl="0">
      <w:lvlJc w:val="left"/>
      <w:lvlText w:val="(%1)"/>
      <w:numFmt w:val="lowerLetter"/>
      <w:start w:val="3"/>
    </w:lvl>
    <w:lvl w:ilvl="1">
      <w:lvlJc w:val="left"/>
      <w:lvlText w:val="(%2)"/>
      <w:numFmt w:val="lowerRoman"/>
      <w:start w:val="1"/>
    </w:lvl>
  </w:abstractNum>
  <w:abstractNum w:abstractNumId="245">
    <w:nsid w:val="17D78639"/>
    <w:multiLevelType w:val="hybridMultilevel"/>
    <w:lvl w:ilvl="0">
      <w:lvlJc w:val="left"/>
      <w:lvlText w:val="(%1)"/>
      <w:numFmt w:val="lowerLetter"/>
      <w:start w:val="1"/>
    </w:lvl>
  </w:abstractNum>
  <w:abstractNum w:abstractNumId="246">
    <w:nsid w:val="141D2302"/>
    <w:multiLevelType w:val="hybridMultilevel"/>
    <w:lvl w:ilvl="0">
      <w:lvlJc w:val="left"/>
      <w:lvlText w:val="(%1)"/>
      <w:numFmt w:val="lowerLetter"/>
      <w:start w:val="1"/>
    </w:lvl>
    <w:lvl w:ilvl="1">
      <w:lvlJc w:val="left"/>
      <w:lvlText w:val="(%2)"/>
      <w:numFmt w:val="lowerRoman"/>
      <w:start w:val="1"/>
    </w:lvl>
  </w:abstractNum>
  <w:abstractNum w:abstractNumId="247">
    <w:nsid w:val="407168D8"/>
    <w:multiLevelType w:val="hybridMultilevel"/>
    <w:lvl w:ilvl="0">
      <w:lvlJc w:val="left"/>
      <w:lvlText w:val="(%1)"/>
      <w:numFmt w:val="lowerLetter"/>
      <w:start w:val="1"/>
    </w:lvl>
  </w:abstractNum>
  <w:abstractNum w:abstractNumId="248">
    <w:nsid w:val="6A1B45E5"/>
    <w:multiLevelType w:val="hybridMultilevel"/>
    <w:lvl w:ilvl="0">
      <w:lvlJc w:val="left"/>
      <w:lvlText w:val="(%1)"/>
      <w:numFmt w:val="lowerLetter"/>
      <w:start w:val="1"/>
    </w:lvl>
    <w:lvl w:ilvl="1">
      <w:lvlJc w:val="left"/>
      <w:lvlText w:val="(%2)"/>
      <w:numFmt w:val="lowerRoman"/>
      <w:start w:val="1"/>
    </w:lvl>
  </w:abstractNum>
  <w:abstractNum w:abstractNumId="249">
    <w:nsid w:val="567BD50A"/>
    <w:multiLevelType w:val="hybridMultilevel"/>
    <w:lvl w:ilvl="0">
      <w:lvlJc w:val="left"/>
      <w:lvlText w:val="(%1)"/>
      <w:numFmt w:val="lowerLetter"/>
      <w:start w:val="1"/>
    </w:lvl>
    <w:lvl w:ilvl="1">
      <w:lvlJc w:val="left"/>
      <w:lvlText w:val="(%2)"/>
      <w:numFmt w:val="decimal"/>
      <w:start w:val="1"/>
    </w:lvl>
  </w:abstractNum>
  <w:abstractNum w:abstractNumId="250">
    <w:nsid w:val="73BBD7F8"/>
    <w:multiLevelType w:val="hybridMultilevel"/>
    <w:lvl w:ilvl="0">
      <w:lvlJc w:val="left"/>
      <w:lvlText w:val="%1."/>
      <w:numFmt w:val="decimal"/>
      <w:start w:val="1"/>
    </w:lvl>
    <w:lvl w:ilvl="1">
      <w:lvlJc w:val="left"/>
      <w:lvlText w:val="%2."/>
      <w:numFmt w:val="lowerLetter"/>
      <w:start w:val="1"/>
    </w:lvl>
  </w:abstractNum>
  <w:abstractNum w:abstractNumId="251">
    <w:nsid w:val="1876589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12" Type="http://schemas.openxmlformats.org/officeDocument/2006/relationships/hyperlink" Target="https://www.sec.gov/Archives/edgar/data/723125/000072312522000051/a2023q1ex42-supplementali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2022-12-22T11:49:59Z</dcterms:created>
  <dcterms:modified xsi:type="dcterms:W3CDTF">2022-12-22T11:49:59Z</dcterms:modified>
</cp:coreProperties>
</file>