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81"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243205</wp:posOffset>
            </wp:positionH>
            <wp:positionV relativeFrom="page">
              <wp:posOffset>612140</wp:posOffset>
            </wp:positionV>
            <wp:extent cx="707517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page">
              <wp:posOffset>243205</wp:posOffset>
            </wp:positionH>
            <wp:positionV relativeFrom="page">
              <wp:posOffset>629285</wp:posOffset>
            </wp:positionV>
            <wp:extent cx="70751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8-K</w:t>
      </w:r>
    </w:p>
    <w:p>
      <w:pPr>
        <w:spacing w:after="0" w:line="200" w:lineRule="exact"/>
        <w:rPr>
          <w:sz w:val="24"/>
          <w:szCs w:val="24"/>
          <w:color w:val="auto"/>
        </w:rPr>
      </w:pPr>
    </w:p>
    <w:p>
      <w:pPr>
        <w:spacing w:after="0" w:line="3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CURRENT REPORT</w:t>
      </w:r>
    </w:p>
    <w:p>
      <w:pPr>
        <w:spacing w:after="0" w:line="1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00" w:lineRule="exact"/>
        <w:rPr>
          <w:sz w:val="24"/>
          <w:szCs w:val="24"/>
          <w:color w:val="auto"/>
        </w:rPr>
      </w:pP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April 26, 2017</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(date of earliest event reported)</w:t>
      </w:r>
    </w:p>
    <w:p>
      <w:pPr>
        <w:spacing w:after="0" w:line="35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MICRON TECHNOLOGY,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240" w:type="dxa"/>
            <w:vAlign w:val="bottom"/>
          </w:tcPr>
          <w:p>
            <w:pPr>
              <w:jc w:val="center"/>
              <w:spacing w:after="0"/>
              <w:rPr>
                <w:sz w:val="20"/>
                <w:szCs w:val="20"/>
                <w:color w:val="auto"/>
              </w:rPr>
            </w:pPr>
            <w:r>
              <w:rPr>
                <w:rFonts w:ascii="Arial" w:cs="Arial" w:eastAsia="Arial" w:hAnsi="Arial"/>
                <w:sz w:val="18"/>
                <w:szCs w:val="18"/>
                <w:b w:val="1"/>
                <w:bCs w:val="1"/>
                <w:color w:val="auto"/>
                <w:w w:val="91"/>
              </w:rPr>
              <w:t>Delaware</w:t>
            </w:r>
          </w:p>
        </w:tc>
        <w:tc>
          <w:tcPr>
            <w:tcW w:w="3180" w:type="dxa"/>
            <w:vAlign w:val="bottom"/>
          </w:tcPr>
          <w:p>
            <w:pPr>
              <w:jc w:val="right"/>
              <w:ind w:right="1250"/>
              <w:spacing w:after="0"/>
              <w:rPr>
                <w:sz w:val="20"/>
                <w:szCs w:val="20"/>
                <w:color w:val="auto"/>
              </w:rPr>
            </w:pPr>
            <w:r>
              <w:rPr>
                <w:rFonts w:ascii="Arial" w:cs="Arial" w:eastAsia="Arial" w:hAnsi="Arial"/>
                <w:sz w:val="18"/>
                <w:szCs w:val="18"/>
                <w:b w:val="1"/>
                <w:bCs w:val="1"/>
                <w:color w:val="auto"/>
              </w:rPr>
              <w:t>1-10658</w:t>
            </w:r>
          </w:p>
        </w:tc>
        <w:tc>
          <w:tcPr>
            <w:tcW w:w="4000" w:type="dxa"/>
            <w:vAlign w:val="bottom"/>
          </w:tcPr>
          <w:p>
            <w:pPr>
              <w:jc w:val="right"/>
              <w:ind w:right="1530"/>
              <w:spacing w:after="0"/>
              <w:rPr>
                <w:sz w:val="20"/>
                <w:szCs w:val="20"/>
                <w:color w:val="auto"/>
              </w:rPr>
            </w:pPr>
            <w:r>
              <w:rPr>
                <w:rFonts w:ascii="Arial" w:cs="Arial" w:eastAsia="Arial" w:hAnsi="Arial"/>
                <w:sz w:val="18"/>
                <w:szCs w:val="18"/>
                <w:b w:val="1"/>
                <w:bCs w:val="1"/>
                <w:color w:val="auto"/>
              </w:rPr>
              <w:t>75-1618004</w:t>
            </w:r>
          </w:p>
        </w:tc>
      </w:tr>
      <w:tr>
        <w:trPr>
          <w:trHeight w:val="27"/>
        </w:trPr>
        <w:tc>
          <w:tcPr>
            <w:tcW w:w="4240" w:type="dxa"/>
            <w:vAlign w:val="bottom"/>
            <w:tcBorders>
              <w:bottom w:val="single" w:sz="8" w:color="auto"/>
            </w:tcBorders>
          </w:tcPr>
          <w:p>
            <w:pPr>
              <w:spacing w:after="0"/>
              <w:rPr>
                <w:sz w:val="2"/>
                <w:szCs w:val="2"/>
                <w:color w:val="auto"/>
              </w:rPr>
            </w:pPr>
          </w:p>
        </w:tc>
        <w:tc>
          <w:tcPr>
            <w:tcW w:w="3180" w:type="dxa"/>
            <w:vAlign w:val="bottom"/>
            <w:tcBorders>
              <w:bottom w:val="single" w:sz="8" w:color="auto"/>
            </w:tcBorders>
          </w:tcPr>
          <w:p>
            <w:pPr>
              <w:spacing w:after="0"/>
              <w:rPr>
                <w:sz w:val="2"/>
                <w:szCs w:val="2"/>
                <w:color w:val="auto"/>
              </w:rPr>
            </w:pPr>
          </w:p>
        </w:tc>
        <w:tc>
          <w:tcPr>
            <w:tcW w:w="4000" w:type="dxa"/>
            <w:vAlign w:val="bottom"/>
            <w:tcBorders>
              <w:bottom w:val="single" w:sz="8" w:color="auto"/>
            </w:tcBorders>
          </w:tcPr>
          <w:p>
            <w:pPr>
              <w:spacing w:after="0"/>
              <w:rPr>
                <w:sz w:val="2"/>
                <w:szCs w:val="2"/>
                <w:color w:val="auto"/>
              </w:rPr>
            </w:pPr>
          </w:p>
        </w:tc>
      </w:tr>
      <w:tr>
        <w:trPr>
          <w:trHeight w:val="237"/>
        </w:trPr>
        <w:tc>
          <w:tcPr>
            <w:tcW w:w="4240" w:type="dxa"/>
            <w:vAlign w:val="bottom"/>
          </w:tcPr>
          <w:p>
            <w:pPr>
              <w:jc w:val="center"/>
              <w:spacing w:after="0"/>
              <w:rPr>
                <w:sz w:val="20"/>
                <w:szCs w:val="20"/>
                <w:color w:val="auto"/>
              </w:rPr>
            </w:pPr>
            <w:r>
              <w:rPr>
                <w:rFonts w:ascii="Arial" w:cs="Arial" w:eastAsia="Arial" w:hAnsi="Arial"/>
                <w:sz w:val="18"/>
                <w:szCs w:val="18"/>
                <w:color w:val="auto"/>
                <w:w w:val="92"/>
              </w:rPr>
              <w:t>(State or other jurisdiction of incorporation)</w:t>
            </w:r>
          </w:p>
        </w:tc>
        <w:tc>
          <w:tcPr>
            <w:tcW w:w="3180" w:type="dxa"/>
            <w:vAlign w:val="bottom"/>
          </w:tcPr>
          <w:p>
            <w:pPr>
              <w:jc w:val="center"/>
              <w:ind w:right="10"/>
              <w:spacing w:after="0"/>
              <w:rPr>
                <w:sz w:val="20"/>
                <w:szCs w:val="20"/>
                <w:color w:val="auto"/>
              </w:rPr>
            </w:pPr>
            <w:r>
              <w:rPr>
                <w:rFonts w:ascii="Arial" w:cs="Arial" w:eastAsia="Arial" w:hAnsi="Arial"/>
                <w:sz w:val="18"/>
                <w:szCs w:val="18"/>
                <w:color w:val="auto"/>
                <w:w w:val="93"/>
              </w:rPr>
              <w:t>(Commission File Number)</w:t>
            </w:r>
          </w:p>
        </w:tc>
        <w:tc>
          <w:tcPr>
            <w:tcW w:w="4000" w:type="dxa"/>
            <w:vAlign w:val="bottom"/>
          </w:tcPr>
          <w:p>
            <w:pPr>
              <w:jc w:val="center"/>
              <w:ind w:right="10"/>
              <w:spacing w:after="0"/>
              <w:rPr>
                <w:sz w:val="20"/>
                <w:szCs w:val="20"/>
                <w:color w:val="auto"/>
              </w:rPr>
            </w:pPr>
            <w:r>
              <w:rPr>
                <w:rFonts w:ascii="Arial" w:cs="Arial" w:eastAsia="Arial" w:hAnsi="Arial"/>
                <w:sz w:val="18"/>
                <w:szCs w:val="18"/>
                <w:color w:val="auto"/>
                <w:w w:val="94"/>
              </w:rPr>
              <w:t>(I.R.S. Employer Identification No.)</w:t>
            </w:r>
          </w:p>
        </w:tc>
      </w:tr>
    </w:tbl>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8000 South Federal Way</w:t>
      </w:r>
    </w:p>
    <w:p>
      <w:pPr>
        <w:spacing w:after="0" w:line="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Boise, Idaho 83716-9632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75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w:t>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(208) 368-4000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2294890</wp:posOffset>
            </wp:positionH>
            <wp:positionV relativeFrom="paragraph">
              <wp:posOffset>34290</wp:posOffset>
            </wp:positionV>
            <wp:extent cx="26670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6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00" w:lineRule="exact"/>
        <w:rPr>
          <w:sz w:val="24"/>
          <w:szCs w:val="24"/>
          <w:color w:val="auto"/>
        </w:rPr>
      </w:pPr>
    </w:p>
    <w:p>
      <w:pPr>
        <w:ind w:right="1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90805</wp:posOffset>
            </wp:positionH>
            <wp:positionV relativeFrom="paragraph">
              <wp:posOffset>452120</wp:posOffset>
            </wp:positionV>
            <wp:extent cx="70751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075170" cy="8890"/>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469265</wp:posOffset>
            </wp:positionV>
            <wp:extent cx="70751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1" w:name="page2"/>
    <w:bookmarkEnd w:id="1"/>
    <w:p>
      <w:pPr>
        <w:ind w:left="1120" w:right="2640" w:hanging="1079"/>
        <w:spacing w:after="0" w:line="282" w:lineRule="auto"/>
        <w:tabs>
          <w:tab w:leader="none" w:pos="110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Sanjay Mehrotra</w:t>
      </w:r>
    </w:p>
    <w:p>
      <w:pPr>
        <w:spacing w:after="0" w:line="22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April 26, 2017, the Board of Directors of Micron Technology, Inc. (the “Company”) appointed Sanjay Mehrotra (57) to serve as the President, Chief Executive Officer, and a director of the Company, effective May 8, 2017. There are no prior arrangements or understandings between Mr. Mehrotra and any other persons pursuant to which he was selected as an officer or director. The press release related to Mr. Mehrotra joining the Company is included as Exhibit 99.1 to this Current Report on Form 8-K.</w:t>
      </w:r>
    </w:p>
    <w:p>
      <w:pPr>
        <w:spacing w:after="0" w:line="187" w:lineRule="exact"/>
        <w:rPr>
          <w:sz w:val="20"/>
          <w:szCs w:val="20"/>
          <w:color w:val="auto"/>
        </w:rPr>
      </w:pPr>
    </w:p>
    <w:p>
      <w:pPr>
        <w:ind w:right="260" w:firstLine="324"/>
        <w:spacing w:after="0" w:line="255" w:lineRule="auto"/>
        <w:rPr>
          <w:sz w:val="20"/>
          <w:szCs w:val="20"/>
          <w:color w:val="auto"/>
        </w:rPr>
      </w:pPr>
      <w:r>
        <w:rPr>
          <w:rFonts w:ascii="Arial" w:cs="Arial" w:eastAsia="Arial" w:hAnsi="Arial"/>
          <w:sz w:val="18"/>
          <w:szCs w:val="18"/>
          <w:color w:val="auto"/>
        </w:rPr>
        <w:t>Mr. Mehrotra was a co-founder of SanDisk Corporation and served as its president and CEO from 2011 to 2016. He drove the growth of the company from a start-up in 1988 to an industry-leading Fortune 500 company with revenues that reached $6.6 billion and ultimately culminated in a sale to Western Digital Corporation for $16 billion in 2016. Mr. Mehrotra has over 35 years of experience in the non-volatile semiconductor memory industry, including engineering and management positions at Integrated Device Technology, Inc., SEEQ Technology, Inc., Intel Corporation and Atmel Corporation. Mr. Mehrotra serves as a director of Cavium, Inc. and H20.ai. Mr. Mehrotra has a B.S. and an M.S. in Electrical Engineering and Computer Sciences from the University of California, Berkeley.</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6"/>
          <w:szCs w:val="16"/>
          <w:color w:val="auto"/>
        </w:rPr>
        <w:t>Mr. Mehrotra will receive an annual base salary of $1,200,000 and participate in the Company’s Executive Officer Performance Incentive Plan (the “EIP”) with a target payout percentage of 150% of his base salary. Mr. Mehrotra’s payout under the EIP for fiscal 2017 (which ends on August 31, 2017) will be prorated based on his period of employment with the Company during fiscal 2017. For the remaining portion of fiscal 2017, Mr. Mehrotra will also receive equity awards with an aggregate grant date fair value of $4,602,739.72 pursuant to the Company’s long-term incentive (“LTI”) equity program. In addition, Mr. Mehrotra will receive a one-time equity inducement award with an aggregate grant date fair value of $9,000,000 (the “Inducement Award”). These equity awards will vest over four years, with 25% of the award vesting on each of the 1</w:t>
      </w:r>
      <w:r>
        <w:rPr>
          <w:rFonts w:ascii="Arial" w:cs="Arial" w:eastAsia="Arial" w:hAnsi="Arial"/>
          <w:sz w:val="22"/>
          <w:szCs w:val="22"/>
          <w:color w:val="auto"/>
          <w:vertAlign w:val="superscript"/>
        </w:rPr>
        <w:t>st</w:t>
      </w:r>
      <w:r>
        <w:rPr>
          <w:rFonts w:ascii="Arial" w:cs="Arial" w:eastAsia="Arial" w:hAnsi="Arial"/>
          <w:sz w:val="16"/>
          <w:szCs w:val="16"/>
          <w:color w:val="auto"/>
        </w:rPr>
        <w:t>, 2</w:t>
      </w:r>
      <w:r>
        <w:rPr>
          <w:rFonts w:ascii="Arial" w:cs="Arial" w:eastAsia="Arial" w:hAnsi="Arial"/>
          <w:sz w:val="22"/>
          <w:szCs w:val="22"/>
          <w:color w:val="auto"/>
          <w:vertAlign w:val="superscript"/>
        </w:rPr>
        <w:t>nd</w:t>
      </w:r>
      <w:r>
        <w:rPr>
          <w:rFonts w:ascii="Arial" w:cs="Arial" w:eastAsia="Arial" w:hAnsi="Arial"/>
          <w:sz w:val="16"/>
          <w:szCs w:val="16"/>
          <w:color w:val="auto"/>
        </w:rPr>
        <w:t>, 3</w:t>
      </w:r>
      <w:r>
        <w:rPr>
          <w:rFonts w:ascii="Arial" w:cs="Arial" w:eastAsia="Arial" w:hAnsi="Arial"/>
          <w:sz w:val="22"/>
          <w:szCs w:val="22"/>
          <w:color w:val="auto"/>
          <w:vertAlign w:val="superscript"/>
        </w:rPr>
        <w:t>rd</w:t>
      </w:r>
      <w:r>
        <w:rPr>
          <w:rFonts w:ascii="Arial" w:cs="Arial" w:eastAsia="Arial" w:hAnsi="Arial"/>
          <w:sz w:val="16"/>
          <w:szCs w:val="16"/>
          <w:color w:val="auto"/>
        </w:rPr>
        <w:t xml:space="preserve"> and 4</w:t>
      </w:r>
      <w:r>
        <w:rPr>
          <w:rFonts w:ascii="Arial" w:cs="Arial" w:eastAsia="Arial" w:hAnsi="Arial"/>
          <w:sz w:val="22"/>
          <w:szCs w:val="22"/>
          <w:color w:val="auto"/>
          <w:vertAlign w:val="superscript"/>
        </w:rPr>
        <w:t>th</w:t>
      </w:r>
      <w:r>
        <w:rPr>
          <w:rFonts w:ascii="Arial" w:cs="Arial" w:eastAsia="Arial" w:hAnsi="Arial"/>
          <w:sz w:val="16"/>
          <w:szCs w:val="16"/>
          <w:color w:val="auto"/>
        </w:rPr>
        <w:t xml:space="preserve"> anniversaries of the date of grant, subject to Mr. Mehrotra’s continued employment on each vesting date. For fiscal 2018, Mr. Mehrotra is expected to receive an LTI award with a grant date fair value of at least $10,000,000 with such other terms as determined by the Compensation Committee of the Company’s Board of Directors.</w:t>
      </w:r>
    </w:p>
    <w:p>
      <w:pPr>
        <w:spacing w:after="0" w:line="179"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Mr. Mehrotra will enter into an Executive Agreement with the Company providing for severance benefits. The Executive Agreement provides that if Mr. Mehrotra’s employment with the Company terminates as result of his death or “disability”, the Company terminates Mr. Mehrotra’s employment without “cause” or Mr. Mehrotra’s resigns for “good reason”, then in addition to receiving his accrued base salary, accrued vacation pay, and other earned and vested employee benefits, Mr. Mehrotra will receive the following severance benefits: salary continuation equal to two times Mr. Mehrotra’s salary in effect upon the date of termination paid in installments during the one year period following termination (or paid in a lump sum if Mr. Mehrotra’s termination of employment occurs on, or within 12 months after, a “change in control” of the Company); a pro-rated annual bonus under the EIP for the year of termination, subject to achievement of applicable performance criteria, paid in accordance with the terms of the EIP; an additional bonus of two times Mr. Mehrotra’s target annual bonus under the EIP for the year of termination paid on the anniversary of Mr. Mehrotra’s termination; continued vesting (and exercisability) of any options, restricted stock or other time-based, and, subject to achievement of applicable performance criteria, performance-based equity for the one-year period following Mr. Mehrotra’s termination of employment; a cash payment equal to the medical benefits and employer qualified plan matching contributions Mr. Mehrotra’s would have received had Mr. Mehrotra remained employed for an additional two years paid in a lump sum following termination; provided that if Mr. Mehrotra’s severance benefits become payable on account of his “good reason” resignation prior to a “change in control” of the Company, the unvested portion of the Inducement Award will be forfeited and, in addition, if Mr. Mehrotra becomes employed within one year of his termination of employment, the unpaid portion of his salary continuation benefit will be forfeited. The Executive Agreement also includes an Internal Revenue Code Section 280G (“Section 280G”) “cut-back” provision, which provides that Mr. Mehrotra’s benefits under the Executive Agreement will be reduced so that no Section 280G excise tax will apply, if such reduction will result in a higher net after-tax benefit to Mr. Mehrotra; provided that the Company shall provide no tax gross-up under the Executive Agreement. Mr. Mehrotra’s entitlement to the benefits provided under the Executive Agreement are conditioned on Mr. Mehrotra signing a release of claims in favor of the Company and on Mr. Mehrotra’s compliance with terms of the Company’s non-competition, non-solicitation, and non-disclosure agreement.</w:t>
      </w:r>
    </w:p>
    <w:p>
      <w:pPr>
        <w:spacing w:after="0" w:line="19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Mr. Mehrotra will be subject to the Company’s compensation recoupment policies as in effect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00"/>
          </w:cols>
          <w:pgMar w:left="240" w:top="742" w:right="259" w:bottom="1440" w:gutter="0" w:footer="0" w:header="0"/>
        </w:sectPr>
      </w:pPr>
    </w:p>
    <w:bookmarkStart w:id="2" w:name="page3"/>
    <w:bookmarkEnd w:id="2"/>
    <w:p>
      <w:pPr>
        <w:ind w:left="340"/>
        <w:spacing w:after="0"/>
        <w:rPr>
          <w:sz w:val="20"/>
          <w:szCs w:val="20"/>
          <w:color w:val="auto"/>
        </w:rPr>
      </w:pPr>
      <w:r>
        <w:rPr>
          <w:rFonts w:ascii="Arial" w:cs="Arial" w:eastAsia="Arial" w:hAnsi="Arial"/>
          <w:sz w:val="18"/>
          <w:szCs w:val="18"/>
          <w:i w:val="1"/>
          <w:iCs w:val="1"/>
          <w:color w:val="auto"/>
        </w:rPr>
        <w:t>D. Mark Durcan</w:t>
      </w:r>
    </w:p>
    <w:p>
      <w:pPr>
        <w:spacing w:after="0" w:line="225" w:lineRule="exact"/>
        <w:rPr>
          <w:sz w:val="20"/>
          <w:szCs w:val="20"/>
          <w:color w:val="auto"/>
        </w:rPr>
      </w:pPr>
    </w:p>
    <w:p>
      <w:pPr>
        <w:jc w:val="both"/>
        <w:ind w:firstLine="324"/>
        <w:spacing w:after="0" w:line="264" w:lineRule="auto"/>
        <w:rPr>
          <w:sz w:val="20"/>
          <w:szCs w:val="20"/>
          <w:color w:val="auto"/>
        </w:rPr>
      </w:pPr>
      <w:r>
        <w:rPr>
          <w:rFonts w:ascii="Arial" w:cs="Arial" w:eastAsia="Arial" w:hAnsi="Arial"/>
          <w:sz w:val="18"/>
          <w:szCs w:val="18"/>
          <w:color w:val="auto"/>
        </w:rPr>
        <w:t>Effective as of May 8, 2017, D. Mark Durcan will no longer serve as the Chief Executive Officer of the Company. To provide for an orderly transition of duties, Mr. Durcan will stay with the Company until early August and serve as an advisor to the President and Chief Executive Officer. Mr. Durcan will resign from the Company’s Board of Directors on May 8, 2017.</w:t>
      </w:r>
    </w:p>
    <w:p>
      <w:pPr>
        <w:spacing w:after="0" w:line="200" w:lineRule="exact"/>
        <w:rPr>
          <w:sz w:val="20"/>
          <w:szCs w:val="20"/>
          <w:color w:val="auto"/>
        </w:rPr>
      </w:pP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Item 9.01</w:t>
            </w:r>
          </w:p>
        </w:tc>
        <w:tc>
          <w:tcPr>
            <w:tcW w:w="10340" w:type="dxa"/>
            <w:vAlign w:val="bottom"/>
            <w:gridSpan w:val="3"/>
          </w:tcPr>
          <w:p>
            <w:pPr>
              <w:ind w:left="1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567"/>
        </w:trPr>
        <w:tc>
          <w:tcPr>
            <w:tcW w:w="1020" w:type="dxa"/>
            <w:vAlign w:val="bottom"/>
          </w:tcPr>
          <w:p>
            <w:pPr>
              <w:spacing w:after="0"/>
              <w:rPr>
                <w:sz w:val="24"/>
                <w:szCs w:val="24"/>
                <w:color w:val="auto"/>
              </w:rPr>
            </w:pPr>
          </w:p>
        </w:tc>
        <w:tc>
          <w:tcPr>
            <w:tcW w:w="10340" w:type="dxa"/>
            <w:vAlign w:val="bottom"/>
            <w:gridSpan w:val="3"/>
          </w:tcPr>
          <w:p>
            <w:pPr>
              <w:ind w:left="100"/>
              <w:spacing w:after="0"/>
              <w:rPr>
                <w:sz w:val="20"/>
                <w:szCs w:val="20"/>
                <w:color w:val="auto"/>
              </w:rPr>
            </w:pPr>
            <w:r>
              <w:rPr>
                <w:rFonts w:ascii="Arial" w:cs="Arial" w:eastAsia="Arial" w:hAnsi="Arial"/>
                <w:sz w:val="18"/>
                <w:szCs w:val="18"/>
                <w:color w:val="auto"/>
              </w:rPr>
              <w:t>(d) Exhibits.</w:t>
            </w:r>
          </w:p>
        </w:tc>
      </w:tr>
      <w:tr>
        <w:trPr>
          <w:trHeight w:val="837"/>
        </w:trPr>
        <w:tc>
          <w:tcPr>
            <w:tcW w:w="1020" w:type="dxa"/>
            <w:vAlign w:val="bottom"/>
          </w:tcPr>
          <w:p>
            <w:pPr>
              <w:ind w:left="40"/>
              <w:spacing w:after="0"/>
              <w:rPr>
                <w:sz w:val="20"/>
                <w:szCs w:val="20"/>
                <w:color w:val="auto"/>
              </w:rPr>
            </w:pPr>
            <w:r>
              <w:rPr>
                <w:rFonts w:ascii="Arial" w:cs="Arial" w:eastAsia="Arial" w:hAnsi="Arial"/>
                <w:sz w:val="18"/>
                <w:szCs w:val="18"/>
                <w:b w:val="1"/>
                <w:bCs w:val="1"/>
                <w:color w:val="auto"/>
              </w:rPr>
              <w:t>Exhibit No.</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76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760" w:type="dxa"/>
            <w:vAlign w:val="bottom"/>
            <w:tcBorders>
              <w:bottom w:val="single" w:sz="8" w:color="auto"/>
            </w:tcBorders>
          </w:tcPr>
          <w:p>
            <w:pPr>
              <w:spacing w:after="0"/>
              <w:rPr>
                <w:sz w:val="2"/>
                <w:szCs w:val="2"/>
                <w:color w:val="auto"/>
              </w:rPr>
            </w:pPr>
          </w:p>
        </w:tc>
      </w:tr>
      <w:tr>
        <w:trPr>
          <w:trHeight w:val="237"/>
        </w:trPr>
        <w:tc>
          <w:tcPr>
            <w:tcW w:w="1020" w:type="dxa"/>
            <w:vAlign w:val="bottom"/>
          </w:tcPr>
          <w:p>
            <w:pPr>
              <w:jc w:val="right"/>
              <w:ind w:right="90"/>
              <w:spacing w:after="0"/>
              <w:rPr>
                <w:sz w:val="20"/>
                <w:szCs w:val="20"/>
                <w:color w:val="auto"/>
              </w:rPr>
            </w:pPr>
            <w:r>
              <w:rPr>
                <w:rFonts w:ascii="Arial" w:cs="Arial" w:eastAsia="Arial" w:hAnsi="Arial"/>
                <w:sz w:val="18"/>
                <w:szCs w:val="18"/>
                <w:color w:val="auto"/>
              </w:rPr>
              <w:t>99.1</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760" w:type="dxa"/>
            <w:vAlign w:val="bottom"/>
          </w:tcPr>
          <w:p>
            <w:pPr>
              <w:ind w:left="20"/>
              <w:spacing w:after="0"/>
              <w:rPr>
                <w:sz w:val="20"/>
                <w:szCs w:val="20"/>
                <w:color w:val="auto"/>
              </w:rPr>
            </w:pPr>
            <w:r>
              <w:rPr>
                <w:rFonts w:ascii="Arial" w:cs="Arial" w:eastAsia="Arial" w:hAnsi="Arial"/>
                <w:sz w:val="18"/>
                <w:szCs w:val="18"/>
                <w:color w:val="auto"/>
              </w:rPr>
              <w:t>Press Release issued on April 27, 2017</w:t>
            </w:r>
          </w:p>
        </w:tc>
      </w:tr>
    </w:tbl>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800" w:right="239" w:bottom="1440" w:gutter="0" w:footer="0" w:header="0"/>
        </w:sectPr>
      </w:pPr>
    </w:p>
    <w:bookmarkStart w:id="3" w:name="page4"/>
    <w:bookmarkEnd w:id="3"/>
    <w:p>
      <w:pPr>
        <w:jc w:val="center"/>
        <w:ind w:right="-5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7140" w:type="dxa"/>
            <w:vAlign w:val="bottom"/>
            <w:gridSpan w:val="2"/>
          </w:tcPr>
          <w:p>
            <w:pPr>
              <w:ind w:left="1860"/>
              <w:spacing w:after="0"/>
              <w:rPr>
                <w:sz w:val="20"/>
                <w:szCs w:val="20"/>
                <w:color w:val="auto"/>
              </w:rPr>
            </w:pPr>
            <w:r>
              <w:rPr>
                <w:rFonts w:ascii="Arial" w:cs="Arial" w:eastAsia="Arial" w:hAnsi="Arial"/>
                <w:sz w:val="18"/>
                <w:szCs w:val="18"/>
                <w:b w:val="1"/>
                <w:bCs w:val="1"/>
                <w:color w:val="auto"/>
              </w:rPr>
              <w:t>MICRON TECHNOLOGY, INC.</w:t>
            </w:r>
          </w:p>
        </w:tc>
        <w:tc>
          <w:tcPr>
            <w:tcW w:w="0" w:type="dxa"/>
            <w:vAlign w:val="bottom"/>
          </w:tcPr>
          <w:p>
            <w:pPr>
              <w:spacing w:after="0"/>
              <w:rPr>
                <w:sz w:val="1"/>
                <w:szCs w:val="1"/>
                <w:color w:val="auto"/>
              </w:rPr>
            </w:pPr>
          </w:p>
        </w:tc>
      </w:tr>
      <w:tr>
        <w:trPr>
          <w:trHeight w:val="864"/>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ind w:left="180"/>
              <w:spacing w:after="0"/>
              <w:rPr>
                <w:sz w:val="20"/>
                <w:szCs w:val="20"/>
                <w:color w:val="auto"/>
              </w:rPr>
            </w:pPr>
            <w:r>
              <w:rPr>
                <w:rFonts w:ascii="Arial" w:cs="Arial" w:eastAsia="Arial" w:hAnsi="Arial"/>
                <w:sz w:val="18"/>
                <w:szCs w:val="18"/>
                <w:color w:val="auto"/>
              </w:rPr>
              <w:t>April 28, 2017</w:t>
            </w:r>
          </w:p>
        </w:tc>
        <w:tc>
          <w:tcPr>
            <w:tcW w:w="2800" w:type="dxa"/>
            <w:vAlign w:val="bottom"/>
          </w:tcPr>
          <w:p>
            <w:pPr>
              <w:ind w:left="1860"/>
              <w:spacing w:after="0"/>
              <w:rPr>
                <w:sz w:val="20"/>
                <w:szCs w:val="20"/>
                <w:color w:val="auto"/>
              </w:rPr>
            </w:pPr>
            <w:r>
              <w:rPr>
                <w:rFonts w:ascii="Arial" w:cs="Arial" w:eastAsia="Arial" w:hAnsi="Arial"/>
                <w:sz w:val="18"/>
                <w:szCs w:val="18"/>
                <w:color w:val="auto"/>
              </w:rPr>
              <w:t>By:</w:t>
            </w:r>
          </w:p>
        </w:tc>
        <w:tc>
          <w:tcPr>
            <w:tcW w:w="4340" w:type="dxa"/>
            <w:vAlign w:val="bottom"/>
          </w:tcPr>
          <w:p>
            <w:pPr>
              <w:ind w:left="20"/>
              <w:spacing w:after="0"/>
              <w:rPr>
                <w:sz w:val="20"/>
                <w:szCs w:val="20"/>
                <w:color w:val="auto"/>
              </w:rPr>
            </w:pPr>
            <w:r>
              <w:rPr>
                <w:rFonts w:ascii="Arial" w:cs="Arial" w:eastAsia="Arial" w:hAnsi="Arial"/>
                <w:sz w:val="18"/>
                <w:szCs w:val="18"/>
                <w:i w:val="1"/>
                <w:iCs w:val="1"/>
                <w:color w:val="auto"/>
              </w:rPr>
              <w:t>/s/ Ernest E. Maddock</w:t>
            </w:r>
          </w:p>
        </w:tc>
        <w:tc>
          <w:tcPr>
            <w:tcW w:w="0" w:type="dxa"/>
            <w:vAlign w:val="bottom"/>
          </w:tcPr>
          <w:p>
            <w:pPr>
              <w:spacing w:after="0"/>
              <w:rPr>
                <w:sz w:val="1"/>
                <w:szCs w:val="1"/>
                <w:color w:val="auto"/>
              </w:rPr>
            </w:pPr>
          </w:p>
        </w:tc>
      </w:tr>
      <w:tr>
        <w:trPr>
          <w:trHeight w:val="27"/>
        </w:trPr>
        <w:tc>
          <w:tcPr>
            <w:tcW w:w="580" w:type="dxa"/>
            <w:vAlign w:val="bottom"/>
          </w:tcPr>
          <w:p>
            <w:pPr>
              <w:spacing w:after="0"/>
              <w:rPr>
                <w:sz w:val="2"/>
                <w:szCs w:val="2"/>
                <w:color w:val="auto"/>
              </w:rPr>
            </w:pPr>
          </w:p>
        </w:tc>
        <w:tc>
          <w:tcPr>
            <w:tcW w:w="3100" w:type="dxa"/>
            <w:vAlign w:val="bottom"/>
          </w:tcPr>
          <w:p>
            <w:pPr>
              <w:spacing w:after="0"/>
              <w:rPr>
                <w:sz w:val="2"/>
                <w:szCs w:val="2"/>
                <w:color w:val="auto"/>
              </w:rPr>
            </w:pPr>
          </w:p>
        </w:tc>
        <w:tc>
          <w:tcPr>
            <w:tcW w:w="2800" w:type="dxa"/>
            <w:vAlign w:val="bottom"/>
            <w:vMerge w:val="restart"/>
          </w:tcPr>
          <w:p>
            <w:pPr>
              <w:ind w:left="1860"/>
              <w:spacing w:after="0"/>
              <w:rPr>
                <w:sz w:val="20"/>
                <w:szCs w:val="20"/>
                <w:color w:val="auto"/>
              </w:rPr>
            </w:pPr>
            <w:r>
              <w:rPr>
                <w:rFonts w:ascii="Arial" w:cs="Arial" w:eastAsia="Arial" w:hAnsi="Arial"/>
                <w:sz w:val="18"/>
                <w:szCs w:val="18"/>
                <w:color w:val="auto"/>
              </w:rPr>
              <w:t>Name:</w:t>
            </w:r>
          </w:p>
        </w:tc>
        <w:tc>
          <w:tcPr>
            <w:tcW w:w="4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vMerge w:val="continue"/>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Ernest E. Maddock</w:t>
            </w:r>
          </w:p>
        </w:tc>
        <w:tc>
          <w:tcPr>
            <w:tcW w:w="0" w:type="dxa"/>
            <w:vAlign w:val="bottom"/>
          </w:tcPr>
          <w:p>
            <w:pPr>
              <w:spacing w:after="0"/>
              <w:rPr>
                <w:sz w:val="1"/>
                <w:szCs w:val="1"/>
                <w:color w:val="auto"/>
              </w:rPr>
            </w:pPr>
          </w:p>
        </w:tc>
      </w:tr>
      <w:tr>
        <w:trPr>
          <w:trHeight w:val="256"/>
        </w:trPr>
        <w:tc>
          <w:tcPr>
            <w:tcW w:w="58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2800" w:type="dxa"/>
            <w:vAlign w:val="bottom"/>
          </w:tcPr>
          <w:p>
            <w:pPr>
              <w:ind w:left="1860"/>
              <w:spacing w:after="0"/>
              <w:rPr>
                <w:sz w:val="20"/>
                <w:szCs w:val="20"/>
                <w:color w:val="auto"/>
              </w:rPr>
            </w:pPr>
            <w:r>
              <w:rPr>
                <w:rFonts w:ascii="Arial" w:cs="Arial" w:eastAsia="Arial" w:hAnsi="Arial"/>
                <w:sz w:val="18"/>
                <w:szCs w:val="18"/>
                <w:color w:val="auto"/>
              </w:rPr>
              <w:t>Title:</w:t>
            </w:r>
          </w:p>
        </w:tc>
        <w:tc>
          <w:tcPr>
            <w:tcW w:w="4340" w:type="dxa"/>
            <w:vAlign w:val="bottom"/>
          </w:tcPr>
          <w:p>
            <w:pPr>
              <w:ind w:left="20"/>
              <w:spacing w:after="0"/>
              <w:rPr>
                <w:sz w:val="20"/>
                <w:szCs w:val="20"/>
                <w:color w:val="auto"/>
              </w:rPr>
            </w:pPr>
            <w:r>
              <w:rPr>
                <w:rFonts w:ascii="Arial" w:cs="Arial" w:eastAsia="Arial" w:hAnsi="Arial"/>
                <w:sz w:val="18"/>
                <w:szCs w:val="18"/>
                <w:color w:val="auto"/>
              </w:rPr>
              <w:t>Chief Financial Officer and</w:t>
            </w:r>
          </w:p>
        </w:tc>
        <w:tc>
          <w:tcPr>
            <w:tcW w:w="0" w:type="dxa"/>
            <w:vAlign w:val="bottom"/>
          </w:tcPr>
          <w:p>
            <w:pPr>
              <w:spacing w:after="0"/>
              <w:rPr>
                <w:sz w:val="1"/>
                <w:szCs w:val="1"/>
                <w:color w:val="auto"/>
              </w:rPr>
            </w:pPr>
          </w:p>
        </w:tc>
      </w:tr>
      <w:tr>
        <w:trPr>
          <w:trHeight w:val="230"/>
        </w:trPr>
        <w:tc>
          <w:tcPr>
            <w:tcW w:w="580" w:type="dxa"/>
            <w:vAlign w:val="bottom"/>
          </w:tcPr>
          <w:p>
            <w:pPr>
              <w:spacing w:after="0"/>
              <w:rPr>
                <w:sz w:val="20"/>
                <w:szCs w:val="20"/>
                <w:color w:val="auto"/>
              </w:rPr>
            </w:pPr>
          </w:p>
        </w:tc>
        <w:tc>
          <w:tcPr>
            <w:tcW w:w="31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4340" w:type="dxa"/>
            <w:vAlign w:val="bottom"/>
          </w:tcPr>
          <w:p>
            <w:pPr>
              <w:ind w:left="20"/>
              <w:spacing w:after="0"/>
              <w:rPr>
                <w:sz w:val="20"/>
                <w:szCs w:val="20"/>
                <w:color w:val="auto"/>
              </w:rPr>
            </w:pPr>
            <w:r>
              <w:rPr>
                <w:rFonts w:ascii="Arial" w:cs="Arial" w:eastAsia="Arial" w:hAnsi="Arial"/>
                <w:sz w:val="18"/>
                <w:szCs w:val="18"/>
                <w:color w:val="auto"/>
              </w:rPr>
              <w:t>Vice President, Finance</w:t>
            </w:r>
          </w:p>
        </w:tc>
        <w:tc>
          <w:tcPr>
            <w:tcW w:w="0" w:type="dxa"/>
            <w:vAlign w:val="bottom"/>
          </w:tcPr>
          <w:p>
            <w:pPr>
              <w:spacing w:after="0"/>
              <w:rPr>
                <w:sz w:val="1"/>
                <w:szCs w:val="1"/>
                <w:color w:val="auto"/>
              </w:rPr>
            </w:pPr>
          </w:p>
        </w:tc>
      </w:tr>
    </w:tbl>
    <w:p>
      <w:pPr>
        <w:sectPr>
          <w:pgSz w:w="11900" w:h="16838" w:orient="portrait"/>
          <w:cols w:equalWidth="0" w:num="1">
            <w:col w:w="10860"/>
          </w:cols>
          <w:pgMar w:left="240" w:top="580" w:right="799" w:bottom="1440" w:gutter="0" w:footer="0" w:header="0"/>
        </w:sectPr>
      </w:pPr>
    </w:p>
    <w:bookmarkStart w:id="4" w:name="page5"/>
    <w:bookmarkEnd w:id="4"/>
    <w:p>
      <w:pPr>
        <w:jc w:val="center"/>
        <w:ind w:right="-780"/>
        <w:spacing w:after="0"/>
        <w:rPr>
          <w:sz w:val="20"/>
          <w:szCs w:val="20"/>
          <w:color w:val="auto"/>
        </w:rPr>
      </w:pPr>
      <w:r>
        <w:rPr>
          <w:rFonts w:ascii="Arial" w:cs="Arial" w:eastAsia="Arial" w:hAnsi="Arial"/>
          <w:sz w:val="18"/>
          <w:szCs w:val="18"/>
          <w:b w:val="1"/>
          <w:bCs w:val="1"/>
          <w:color w:val="auto"/>
        </w:rPr>
        <w:t>INDEX TO EXHIBITS FILED WITH</w:t>
      </w:r>
    </w:p>
    <w:p>
      <w:pPr>
        <w:spacing w:after="0" w:line="27" w:lineRule="exact"/>
        <w:rPr>
          <w:sz w:val="20"/>
          <w:szCs w:val="20"/>
          <w:color w:val="auto"/>
        </w:rPr>
      </w:pPr>
    </w:p>
    <w:p>
      <w:pPr>
        <w:jc w:val="center"/>
        <w:ind w:right="-780"/>
        <w:spacing w:after="0"/>
        <w:rPr>
          <w:sz w:val="20"/>
          <w:szCs w:val="20"/>
          <w:color w:val="auto"/>
        </w:rPr>
      </w:pPr>
      <w:r>
        <w:rPr>
          <w:rFonts w:ascii="Arial" w:cs="Arial" w:eastAsia="Arial" w:hAnsi="Arial"/>
          <w:sz w:val="17"/>
          <w:szCs w:val="17"/>
          <w:b w:val="1"/>
          <w:bCs w:val="1"/>
          <w:color w:val="auto"/>
        </w:rPr>
        <w:t>THE CURRENT REPORT ON FORM 8-K DATED APRIL 26, 2017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Exhibit</w:t>
      </w:r>
      <w:r>
        <w:rPr>
          <w:sz w:val="20"/>
          <w:szCs w:val="20"/>
          <w:color w:val="auto"/>
        </w:rPr>
        <w:tab/>
      </w:r>
      <w:r>
        <w:rPr>
          <w:rFonts w:ascii="Arial" w:cs="Arial" w:eastAsia="Arial" w:hAnsi="Arial"/>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20"/>
        <w:spacing w:after="0"/>
        <w:tabs>
          <w:tab w:leader="none" w:pos="120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issued on April 27, 2017</w:t>
      </w:r>
    </w:p>
    <w:p>
      <w:pPr>
        <w:sectPr>
          <w:pgSz w:w="11900" w:h="16838" w:orient="portrait"/>
          <w:cols w:equalWidth="0" w:num="1">
            <w:col w:w="9799"/>
          </w:cols>
          <w:pgMar w:left="660" w:top="580" w:right="1440"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b w:val="1"/>
          <w:bCs w:val="1"/>
          <w:color w:val="auto"/>
        </w:rPr>
        <w:t>EXHIBIT 99.1</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80" w:type="dxa"/>
            <w:vAlign w:val="bottom"/>
            <w:gridSpan w:val="3"/>
          </w:tcPr>
          <w:p>
            <w:pPr>
              <w:spacing w:after="0"/>
              <w:rPr>
                <w:sz w:val="20"/>
                <w:szCs w:val="20"/>
                <w:color w:val="auto"/>
              </w:rPr>
            </w:pPr>
            <w:r>
              <w:rPr>
                <w:rFonts w:ascii="Arial" w:cs="Arial" w:eastAsia="Arial" w:hAnsi="Arial"/>
                <w:sz w:val="18"/>
                <w:szCs w:val="18"/>
                <w:b w:val="1"/>
                <w:bCs w:val="1"/>
                <w:color w:val="auto"/>
              </w:rPr>
              <w:t>FOR IMMEDIATE RELEASE</w:t>
            </w:r>
          </w:p>
        </w:tc>
        <w:tc>
          <w:tcPr>
            <w:tcW w:w="780" w:type="dxa"/>
            <w:vAlign w:val="bottom"/>
          </w:tcPr>
          <w:p>
            <w:pPr>
              <w:spacing w:after="0"/>
              <w:rPr>
                <w:sz w:val="20"/>
                <w:szCs w:val="20"/>
                <w:color w:val="auto"/>
              </w:rPr>
            </w:pPr>
          </w:p>
        </w:tc>
        <w:tc>
          <w:tcPr>
            <w:tcW w:w="1880" w:type="dxa"/>
            <w:vAlign w:val="bottom"/>
          </w:tcPr>
          <w:p>
            <w:pPr>
              <w:spacing w:after="0"/>
              <w:rPr>
                <w:sz w:val="20"/>
                <w:szCs w:val="20"/>
                <w:color w:val="auto"/>
              </w:rPr>
            </w:pPr>
          </w:p>
        </w:tc>
      </w:tr>
      <w:tr>
        <w:trPr>
          <w:trHeight w:val="616"/>
        </w:trPr>
        <w:tc>
          <w:tcPr>
            <w:tcW w:w="1660" w:type="dxa"/>
            <w:vAlign w:val="bottom"/>
          </w:tcPr>
          <w:p>
            <w:pPr>
              <w:ind w:left="40"/>
              <w:spacing w:after="0"/>
              <w:rPr>
                <w:sz w:val="20"/>
                <w:szCs w:val="20"/>
                <w:color w:val="auto"/>
              </w:rPr>
            </w:pPr>
            <w:r>
              <w:rPr>
                <w:rFonts w:ascii="Arial" w:cs="Arial" w:eastAsia="Arial" w:hAnsi="Arial"/>
                <w:sz w:val="18"/>
                <w:szCs w:val="18"/>
                <w:color w:val="auto"/>
              </w:rPr>
              <w:t>Contacts:</w:t>
            </w:r>
          </w:p>
        </w:tc>
        <w:tc>
          <w:tcPr>
            <w:tcW w:w="2320" w:type="dxa"/>
            <w:vAlign w:val="bottom"/>
            <w:gridSpan w:val="2"/>
          </w:tcPr>
          <w:p>
            <w:pPr>
              <w:spacing w:after="0"/>
              <w:rPr>
                <w:sz w:val="20"/>
                <w:szCs w:val="20"/>
                <w:color w:val="auto"/>
              </w:rPr>
            </w:pPr>
            <w:r>
              <w:rPr>
                <w:rFonts w:ascii="Arial" w:cs="Arial" w:eastAsia="Arial" w:hAnsi="Arial"/>
                <w:sz w:val="18"/>
                <w:szCs w:val="18"/>
                <w:color w:val="auto"/>
              </w:rPr>
              <w:t>Liz Morali</w:t>
            </w:r>
          </w:p>
        </w:tc>
        <w:tc>
          <w:tcPr>
            <w:tcW w:w="2660" w:type="dxa"/>
            <w:vAlign w:val="bottom"/>
            <w:gridSpan w:val="2"/>
          </w:tcPr>
          <w:p>
            <w:pPr>
              <w:ind w:left="780"/>
              <w:spacing w:after="0"/>
              <w:rPr>
                <w:sz w:val="20"/>
                <w:szCs w:val="20"/>
                <w:color w:val="auto"/>
              </w:rPr>
            </w:pPr>
            <w:r>
              <w:rPr>
                <w:rFonts w:ascii="Arial" w:cs="Arial" w:eastAsia="Arial" w:hAnsi="Arial"/>
                <w:sz w:val="18"/>
                <w:szCs w:val="18"/>
                <w:color w:val="auto"/>
              </w:rPr>
              <w:t>Marc Musgrove</w:t>
            </w:r>
          </w:p>
        </w:tc>
      </w:tr>
      <w:tr>
        <w:trPr>
          <w:trHeight w:val="270"/>
        </w:trPr>
        <w:tc>
          <w:tcPr>
            <w:tcW w:w="1660" w:type="dxa"/>
            <w:vAlign w:val="bottom"/>
          </w:tcPr>
          <w:p>
            <w:pPr>
              <w:spacing w:after="0"/>
              <w:rPr>
                <w:sz w:val="23"/>
                <w:szCs w:val="23"/>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auto"/>
              </w:rPr>
              <w:t>Investor Relations</w:t>
            </w:r>
          </w:p>
        </w:tc>
        <w:tc>
          <w:tcPr>
            <w:tcW w:w="2660" w:type="dxa"/>
            <w:vAlign w:val="bottom"/>
            <w:gridSpan w:val="2"/>
          </w:tcPr>
          <w:p>
            <w:pPr>
              <w:ind w:left="780"/>
              <w:spacing w:after="0"/>
              <w:rPr>
                <w:sz w:val="20"/>
                <w:szCs w:val="20"/>
                <w:color w:val="auto"/>
              </w:rPr>
            </w:pPr>
            <w:r>
              <w:rPr>
                <w:rFonts w:ascii="Arial" w:cs="Arial" w:eastAsia="Arial" w:hAnsi="Arial"/>
                <w:sz w:val="18"/>
                <w:szCs w:val="18"/>
                <w:color w:val="auto"/>
              </w:rPr>
              <w:t>Public Relations</w:t>
            </w:r>
          </w:p>
        </w:tc>
      </w:tr>
      <w:tr>
        <w:trPr>
          <w:trHeight w:val="230"/>
        </w:trPr>
        <w:tc>
          <w:tcPr>
            <w:tcW w:w="1660" w:type="dxa"/>
            <w:vAlign w:val="bottom"/>
          </w:tcPr>
          <w:p>
            <w:pPr>
              <w:spacing w:after="0"/>
              <w:rPr>
                <w:sz w:val="19"/>
                <w:szCs w:val="19"/>
                <w:color w:val="auto"/>
              </w:rPr>
            </w:pPr>
          </w:p>
        </w:tc>
        <w:tc>
          <w:tcPr>
            <w:tcW w:w="2320" w:type="dxa"/>
            <w:vAlign w:val="bottom"/>
            <w:gridSpan w:val="2"/>
          </w:tcPr>
          <w:p>
            <w:pPr>
              <w:spacing w:after="0"/>
              <w:rPr>
                <w:sz w:val="20"/>
                <w:szCs w:val="20"/>
                <w:color w:val="auto"/>
              </w:rPr>
            </w:pPr>
            <w:r>
              <w:rPr>
                <w:rFonts w:ascii="Arial" w:cs="Arial" w:eastAsia="Arial" w:hAnsi="Arial"/>
                <w:sz w:val="18"/>
                <w:szCs w:val="18"/>
                <w:color w:val="0000FF"/>
              </w:rPr>
              <w:t>lmorali@micron.com</w:t>
            </w:r>
          </w:p>
        </w:tc>
        <w:tc>
          <w:tcPr>
            <w:tcW w:w="2660" w:type="dxa"/>
            <w:vAlign w:val="bottom"/>
            <w:gridSpan w:val="2"/>
          </w:tcPr>
          <w:p>
            <w:pPr>
              <w:ind w:left="780"/>
              <w:spacing w:after="0"/>
              <w:rPr>
                <w:sz w:val="20"/>
                <w:szCs w:val="20"/>
                <w:color w:val="auto"/>
              </w:rPr>
            </w:pPr>
            <w:r>
              <w:rPr>
                <w:rFonts w:ascii="Arial" w:cs="Arial" w:eastAsia="Arial" w:hAnsi="Arial"/>
                <w:sz w:val="18"/>
                <w:szCs w:val="18"/>
                <w:color w:val="0000FF"/>
                <w:w w:val="90"/>
              </w:rPr>
              <w:t>mmusgrove@micron.com</w:t>
            </w:r>
          </w:p>
        </w:tc>
      </w:tr>
      <w:tr>
        <w:trPr>
          <w:trHeight w:val="291"/>
        </w:trPr>
        <w:tc>
          <w:tcPr>
            <w:tcW w:w="1660" w:type="dxa"/>
            <w:vAlign w:val="bottom"/>
          </w:tcPr>
          <w:p>
            <w:pPr>
              <w:spacing w:after="0"/>
              <w:rPr>
                <w:sz w:val="24"/>
                <w:szCs w:val="24"/>
                <w:color w:val="auto"/>
              </w:rPr>
            </w:pPr>
          </w:p>
        </w:tc>
        <w:tc>
          <w:tcPr>
            <w:tcW w:w="154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363-2231</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80" w:type="dxa"/>
            <w:vAlign w:val="bottom"/>
            <w:tcBorders>
              <w:top w:val="single" w:sz="8" w:color="0000FF"/>
            </w:tcBorders>
          </w:tcPr>
          <w:p>
            <w:pPr>
              <w:spacing w:after="0"/>
              <w:rPr>
                <w:sz w:val="20"/>
                <w:szCs w:val="20"/>
                <w:color w:val="auto"/>
              </w:rPr>
            </w:pPr>
            <w:r>
              <w:rPr>
                <w:rFonts w:ascii="Arial" w:cs="Arial" w:eastAsia="Arial" w:hAnsi="Arial"/>
                <w:sz w:val="18"/>
                <w:szCs w:val="18"/>
                <w:color w:val="auto"/>
              </w:rPr>
              <w:t>(208) 363-2405</w:t>
            </w: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MICRON APPOINTS SANJAY MEHROTRA AS PRESIDENT AND CHIEF EXECUTIVE OFFICER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SanDisk Co-founder and Former President &amp; CEO to Take the Helm of Global Leader in Memory and Storage Solutions</w:t>
      </w:r>
    </w:p>
    <w:p>
      <w:pPr>
        <w:spacing w:after="0" w:line="221" w:lineRule="exact"/>
        <w:rPr>
          <w:sz w:val="20"/>
          <w:szCs w:val="20"/>
          <w:color w:val="auto"/>
        </w:rPr>
      </w:pPr>
    </w:p>
    <w:p>
      <w:pPr>
        <w:jc w:val="both"/>
        <w:ind w:right="40" w:firstLine="324"/>
        <w:spacing w:after="0" w:line="314" w:lineRule="auto"/>
        <w:rPr>
          <w:sz w:val="20"/>
          <w:szCs w:val="20"/>
          <w:color w:val="auto"/>
        </w:rPr>
      </w:pPr>
      <w:r>
        <w:rPr>
          <w:rFonts w:ascii="Arial" w:cs="Arial" w:eastAsia="Arial" w:hAnsi="Arial"/>
          <w:sz w:val="16"/>
          <w:szCs w:val="16"/>
          <w:b w:val="1"/>
          <w:bCs w:val="1"/>
          <w:color w:val="auto"/>
        </w:rPr>
        <w:t xml:space="preserve">BOISE, Idaho </w:t>
      </w:r>
      <w:r>
        <w:rPr>
          <w:rFonts w:ascii="Arial" w:cs="Arial" w:eastAsia="Arial" w:hAnsi="Arial"/>
          <w:sz w:val="16"/>
          <w:szCs w:val="16"/>
          <w:color w:val="auto"/>
        </w:rPr>
        <w:t>(April 27, 2017) - Micron Technology, Inc. (NASDAQ: MU) announced today that the board of directors has appointed Sanjay Mehrotra</w:t>
      </w:r>
      <w:r>
        <w:rPr>
          <w:rFonts w:ascii="Arial" w:cs="Arial" w:eastAsia="Arial" w:hAnsi="Arial"/>
          <w:sz w:val="16"/>
          <w:szCs w:val="16"/>
          <w:b w:val="1"/>
          <w:bCs w:val="1"/>
          <w:color w:val="auto"/>
        </w:rPr>
        <w:t xml:space="preserve"> </w:t>
      </w:r>
      <w:r>
        <w:rPr>
          <w:rFonts w:ascii="Arial" w:cs="Arial" w:eastAsia="Arial" w:hAnsi="Arial"/>
          <w:sz w:val="16"/>
          <w:szCs w:val="16"/>
          <w:color w:val="auto"/>
        </w:rPr>
        <w:t>as president and chief executive officer and a member of the board of directors, effective May 8, 2017. Mehrotra succeeds Mark Durcan and joins Micron at a time of increasing opportunity for memory and storage technologies and solutions as the key enablers for the next-generation of computing architectures.</w:t>
      </w:r>
    </w:p>
    <w:p>
      <w:pPr>
        <w:spacing w:after="0" w:line="146" w:lineRule="exact"/>
        <w:rPr>
          <w:sz w:val="20"/>
          <w:szCs w:val="20"/>
          <w:color w:val="auto"/>
        </w:rPr>
      </w:pPr>
    </w:p>
    <w:p>
      <w:pPr>
        <w:ind w:right="60" w:firstLine="324"/>
        <w:spacing w:after="0" w:line="264" w:lineRule="auto"/>
        <w:rPr>
          <w:sz w:val="20"/>
          <w:szCs w:val="20"/>
          <w:color w:val="auto"/>
        </w:rPr>
      </w:pPr>
      <w:r>
        <w:rPr>
          <w:rFonts w:ascii="Arial" w:cs="Arial" w:eastAsia="Arial" w:hAnsi="Arial"/>
          <w:sz w:val="18"/>
          <w:szCs w:val="18"/>
          <w:color w:val="auto"/>
        </w:rPr>
        <w:t>“Sanjay has an outstanding track record of business success and exceptional knowledge of the memory and storage industry,” said Robert E. Switz, chairman of the board of directors and a member of the CEO selection committee. “His experience in markets ranging from consumer to enterprise make him uniquely qualified to lead Micron into the future.”</w:t>
      </w:r>
    </w:p>
    <w:p>
      <w:pPr>
        <w:spacing w:after="0" w:line="181" w:lineRule="exact"/>
        <w:rPr>
          <w:sz w:val="20"/>
          <w:szCs w:val="20"/>
          <w:color w:val="auto"/>
        </w:rPr>
      </w:pPr>
    </w:p>
    <w:p>
      <w:pPr>
        <w:ind w:right="220" w:firstLine="324"/>
        <w:spacing w:after="0" w:line="264" w:lineRule="auto"/>
        <w:rPr>
          <w:sz w:val="20"/>
          <w:szCs w:val="20"/>
          <w:color w:val="auto"/>
        </w:rPr>
      </w:pPr>
      <w:r>
        <w:rPr>
          <w:rFonts w:ascii="Arial" w:cs="Arial" w:eastAsia="Arial" w:hAnsi="Arial"/>
          <w:sz w:val="18"/>
          <w:szCs w:val="18"/>
          <w:color w:val="auto"/>
        </w:rPr>
        <w:t>Mehrotra was a co-founder of SanDisk and served as its president and CEO from 2011 to 2016. He drove the growth of the company from a start-up in 1988 to an industry-leading Fortune 500 company with revenues that reached $6.6 billion, and ultimately culminated in a sale for $16 billion to Western Digital Corporation in 2016.</w:t>
      </w:r>
    </w:p>
    <w:p>
      <w:pPr>
        <w:spacing w:after="0" w:line="18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His team pioneered a diversified and comprehensive portfolio of flash storage solutions that included removable products, embedded mobile solutions, client and enterprise solid state drives and innovative enterprise system solutions. He also initiated and guided a highly successful 17-year joint venture partnership with Toshiba in NAND Flash memory technology development and manufacturing. In addition, he established and ran key manufacturing operations in China, Taiwan, Japan and Malaysia.</w:t>
      </w:r>
    </w:p>
    <w:p>
      <w:pPr>
        <w:spacing w:after="0" w:line="187"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“Innovation in memory and storage technology is enabling new products, improved customer experience and growth across multiple markets,” said Mehrotra. “Micron is at the forefront of driving these innovations, and I am thrilled to have the opportunity to lead such a talented global team.”</w:t>
      </w:r>
    </w:p>
    <w:p>
      <w:pPr>
        <w:spacing w:after="0" w:line="124"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Durcan will step down as CEO and from the Micron board of directors effective May 8, 2017, but will serve as an advisor to the company until early August. “Mark has made an immense contribution to Micron and to the semiconductor industry at large over his 32 years at the company and 5 years as CEO,” noted Switz. “We wish him all the best in his future endeavors.”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 xml:space="preserve">Additional career information on Sanjay Mehrotra is available at </w:t>
      </w:r>
      <w:r>
        <w:rPr>
          <w:rFonts w:ascii="Arial" w:cs="Arial" w:eastAsia="Arial" w:hAnsi="Arial"/>
          <w:sz w:val="18"/>
          <w:szCs w:val="18"/>
          <w:u w:val="single" w:color="auto"/>
          <w:color w:val="0563C1"/>
        </w:rPr>
        <w:t>http://www.micron.com/media</w:t>
      </w:r>
      <w:r>
        <w:rPr>
          <w:rFonts w:ascii="Arial" w:cs="Arial" w:eastAsia="Arial" w:hAnsi="Arial"/>
          <w:sz w:val="18"/>
          <w:szCs w:val="18"/>
          <w:color w:val="auto"/>
        </w:rPr>
        <w:t>.</w:t>
      </w:r>
    </w:p>
    <w:p>
      <w:pPr>
        <w:spacing w:after="0" w:line="225"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Micron Technology is a world leader in innovative memory solutions. Through our global brands - Micron, Crucial®, Lexar® and Ballistix® - our broad portfolio of high-performance memory technologies, including DRAM, NAND, NOR Flash and 3D XPoint™ memory, is transforming how the world uses information. Backed by more than 35 years of technology leadership, Micron's memory solutions enable the world's most innovative computing, consumer, enterprise storage, data center, mobile, embedded and automotive applications. Micron's common stock is traded on the Nasdaq under the MU symbol. To learn more about Micron Technology, Inc., visit micron.com.</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 #</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The Micron logo and Micron symbol are trademarks of Micron Technology, Inc. All other trademarks are the property of their respective owners.</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2019-12-05T11:20:22Z</dcterms:created>
  <dcterms:modified xsi:type="dcterms:W3CDTF">2019-12-05T11:20:22Z</dcterms:modified>
</cp:coreProperties>
</file>